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9pt;height:.1pt;mso-position-horizontal-relative:page;mso-position-vertical-relative:page;z-index:0" coordorigin="1104,982" coordsize="9698,2">
            <v:shape style="position:absolute;left:1104;top:982;width:9698;height:2" coordorigin="1104,982" coordsize="9698,0" path="m1104,982l10802,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6"/>
          <w:szCs w:val="16"/>
        </w:rPr>
      </w:pPr>
    </w:p>
    <w:p>
      <w:pPr>
        <w:spacing w:line="3405" w:lineRule="exact"/>
        <w:ind w:left="73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7"/>
          <w:sz w:val="20"/>
          <w:szCs w:val="20"/>
        </w:rPr>
        <w:drawing>
          <wp:inline distT="0" distB="0" distL="0" distR="0">
            <wp:extent cx="5380990" cy="21621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380990" cy="2162175"/>
                    </a:xfrm>
                    <a:prstGeom prst="rect">
                      <a:avLst/>
                    </a:prstGeom>
                  </pic:spPr>
                </pic:pic>
              </a:graphicData>
            </a:graphic>
          </wp:inline>
        </w:drawing>
      </w:r>
      <w:r>
        <w:rPr>
          <w:rFonts w:ascii="Times New Roman" w:hAnsi="Times New Roman" w:cs="Times New Roman" w:eastAsia="Times New Roman" w:hint="default"/>
          <w:position w:val="-67"/>
          <w:sz w:val="20"/>
          <w:szCs w:val="20"/>
        </w:rPr>
      </w:r>
    </w:p>
    <w:p>
      <w:pPr>
        <w:spacing w:line="240" w:lineRule="auto" w:before="6"/>
        <w:rPr>
          <w:rFonts w:ascii="Times New Roman" w:hAnsi="Times New Roman" w:cs="Times New Roman" w:eastAsia="Times New Roman" w:hint="default"/>
          <w:sz w:val="13"/>
          <w:szCs w:val="13"/>
        </w:rPr>
      </w:pPr>
    </w:p>
    <w:p>
      <w:pPr>
        <w:spacing w:line="460" w:lineRule="exact" w:before="0"/>
        <w:ind w:left="2421" w:right="2425" w:firstLine="0"/>
        <w:jc w:val="center"/>
        <w:rPr>
          <w:rFonts w:ascii="宋体" w:hAnsi="宋体" w:cs="宋体" w:eastAsia="宋体" w:hint="default"/>
          <w:sz w:val="36"/>
          <w:szCs w:val="36"/>
        </w:rPr>
      </w:pPr>
      <w:r>
        <w:rPr>
          <w:rFonts w:ascii="宋体" w:hAnsi="宋体" w:cs="宋体" w:eastAsia="宋体" w:hint="default"/>
          <w:b/>
          <w:bCs/>
          <w:sz w:val="36"/>
          <w:szCs w:val="36"/>
        </w:rPr>
        <w:t>北京数字政通科技股份有限公司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2421" w:right="2422"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2017</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5"/>
        <w:rPr>
          <w:rFonts w:ascii="宋体" w:hAnsi="宋体" w:cs="宋体" w:eastAsia="宋体" w:hint="default"/>
          <w:b/>
          <w:bCs/>
          <w:sz w:val="32"/>
          <w:szCs w:val="32"/>
        </w:rPr>
      </w:pPr>
    </w:p>
    <w:p>
      <w:pPr>
        <w:spacing w:before="0"/>
        <w:ind w:left="2421" w:right="2421" w:firstLine="0"/>
        <w:jc w:val="center"/>
        <w:rPr>
          <w:rFonts w:ascii="Times New Roman" w:hAnsi="Times New Roman" w:cs="Times New Roman" w:eastAsia="Times New Roman" w:hint="default"/>
          <w:sz w:val="22"/>
          <w:szCs w:val="22"/>
        </w:rPr>
      </w:pPr>
      <w:r>
        <w:rPr>
          <w:rFonts w:ascii="Times New Roman"/>
          <w:b/>
          <w:sz w:val="22"/>
        </w:rPr>
        <w:t>2018-025</w:t>
      </w:r>
      <w:r>
        <w:rPr>
          <w:rFonts w:ascii="Times New Roman"/>
          <w:sz w:val="22"/>
        </w:rPr>
      </w: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before="128"/>
        <w:ind w:left="2421" w:right="242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5" w:footer="979" w:top="1060" w:bottom="1160" w:left="980" w:right="98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2" w:right="153"/>
        <w:jc w:val="left"/>
        <w:rPr>
          <w:b w:val="0"/>
          <w:bCs w:val="0"/>
        </w:rPr>
      </w:pPr>
      <w:bookmarkStart w:name="_bookmark0" w:id="1"/>
      <w:bookmarkEnd w:id="1"/>
      <w:r>
        <w:rPr>
          <w:b w:val="0"/>
          <w:bCs w:val="0"/>
        </w:rPr>
      </w:r>
      <w:r>
        <w:rPr/>
        <w:t>第一节</w:t>
      </w:r>
      <w:r>
        <w:rPr>
          <w:spacing w:val="-5"/>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56"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3"/>
        <w:ind w:left="152" w:right="15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公司负责人吴强华、主管会计工作负责人殷小敏及会计机构负责人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向华声明：保证年度报告中财务报告的真实、准确、完整。</w:t>
      </w:r>
      <w:r>
        <w:rPr>
          <w:rFonts w:ascii="宋体" w:hAnsi="宋体" w:cs="宋体" w:eastAsia="宋体" w:hint="default"/>
          <w:sz w:val="28"/>
          <w:szCs w:val="28"/>
        </w:rPr>
      </w:r>
    </w:p>
    <w:p>
      <w:pPr>
        <w:spacing w:line="472" w:lineRule="auto" w:before="148"/>
        <w:ind w:left="714" w:right="153"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本年度报告中涉及未来计划或规划等前瞻性陈述的，均不构成公司对投资</w:t>
      </w:r>
      <w:r>
        <w:rPr>
          <w:rFonts w:ascii="宋体" w:hAnsi="宋体" w:cs="宋体" w:eastAsia="宋体" w:hint="default"/>
          <w:spacing w:val="2"/>
          <w:sz w:val="28"/>
          <w:szCs w:val="28"/>
        </w:rPr>
      </w:r>
    </w:p>
    <w:p>
      <w:pPr>
        <w:spacing w:line="408" w:lineRule="auto" w:before="0"/>
        <w:ind w:left="152" w:right="149" w:firstLine="0"/>
        <w:jc w:val="left"/>
        <w:rPr>
          <w:rFonts w:ascii="宋体" w:hAnsi="宋体" w:cs="宋体" w:eastAsia="宋体" w:hint="default"/>
          <w:sz w:val="28"/>
          <w:szCs w:val="28"/>
        </w:rPr>
      </w:pPr>
      <w:r>
        <w:rPr>
          <w:rFonts w:ascii="宋体" w:hAnsi="宋体" w:cs="宋体" w:eastAsia="宋体" w:hint="default"/>
          <w:b/>
          <w:bCs/>
          <w:spacing w:val="2"/>
          <w:sz w:val="28"/>
          <w:szCs w:val="28"/>
        </w:rPr>
        <w:t>者的实质承诺，投资者及相关人士均应对此保持足够的风险认识，并且应当理</w:t>
      </w:r>
      <w:r>
        <w:rPr>
          <w:rFonts w:ascii="宋体" w:hAnsi="宋体" w:cs="宋体" w:eastAsia="宋体" w:hint="default"/>
          <w:b/>
          <w:bCs/>
          <w:spacing w:val="2"/>
          <w:w w:val="99"/>
          <w:sz w:val="28"/>
          <w:szCs w:val="28"/>
        </w:rPr>
        <w:t> </w:t>
      </w:r>
      <w:r>
        <w:rPr>
          <w:rFonts w:ascii="宋体" w:hAnsi="宋体" w:cs="宋体" w:eastAsia="宋体" w:hint="default"/>
          <w:b/>
          <w:bCs/>
          <w:sz w:val="28"/>
          <w:szCs w:val="28"/>
        </w:rPr>
        <w:t>解计划、预测与承诺之间的差异，敬请投资者注意投资风险。</w:t>
      </w:r>
      <w:r>
        <w:rPr>
          <w:rFonts w:ascii="宋体" w:hAnsi="宋体" w:cs="宋体" w:eastAsia="宋体" w:hint="default"/>
          <w:sz w:val="28"/>
          <w:szCs w:val="28"/>
        </w:rPr>
      </w:r>
    </w:p>
    <w:p>
      <w:pPr>
        <w:spacing w:line="405" w:lineRule="auto" w:before="162"/>
        <w:ind w:left="152" w:right="151" w:firstLine="562"/>
        <w:jc w:val="both"/>
        <w:rPr>
          <w:rFonts w:ascii="宋体" w:hAnsi="宋体" w:cs="宋体" w:eastAsia="宋体" w:hint="default"/>
          <w:sz w:val="28"/>
          <w:szCs w:val="28"/>
        </w:rPr>
      </w:pPr>
      <w:r>
        <w:rPr>
          <w:rFonts w:ascii="宋体" w:hAnsi="宋体" w:cs="宋体" w:eastAsia="宋体" w:hint="default"/>
          <w:b/>
          <w:bCs/>
          <w:spacing w:val="2"/>
          <w:sz w:val="28"/>
          <w:szCs w:val="28"/>
        </w:rPr>
        <w:t>（</w:t>
      </w:r>
      <w:r>
        <w:rPr>
          <w:rFonts w:ascii="Times New Roman" w:hAnsi="Times New Roman" w:cs="Times New Roman" w:eastAsia="Times New Roman" w:hint="default"/>
          <w:b/>
          <w:bCs/>
          <w:spacing w:val="2"/>
          <w:sz w:val="28"/>
          <w:szCs w:val="28"/>
        </w:rPr>
        <w:t>1</w:t>
      </w:r>
      <w:r>
        <w:rPr>
          <w:rFonts w:ascii="宋体" w:hAnsi="宋体" w:cs="宋体" w:eastAsia="宋体" w:hint="default"/>
          <w:b/>
          <w:bCs/>
          <w:spacing w:val="2"/>
          <w:sz w:val="28"/>
          <w:szCs w:val="28"/>
        </w:rPr>
        <w:t>）依赖政府采购风险</w:t>
      </w:r>
      <w:r>
        <w:rPr>
          <w:rFonts w:ascii="宋体" w:hAnsi="宋体" w:cs="宋体" w:eastAsia="宋体" w:hint="default"/>
          <w:b/>
          <w:bCs/>
          <w:spacing w:val="5"/>
          <w:sz w:val="28"/>
          <w:szCs w:val="28"/>
        </w:rPr>
        <w:t> </w:t>
      </w:r>
      <w:r>
        <w:rPr>
          <w:rFonts w:ascii="宋体" w:hAnsi="宋体" w:cs="宋体" w:eastAsia="宋体" w:hint="default"/>
          <w:b/>
          <w:bCs/>
          <w:spacing w:val="2"/>
          <w:sz w:val="28"/>
          <w:szCs w:val="28"/>
        </w:rPr>
        <w:t>公司产品主要是各级政府（部、省、市、区、县</w:t>
      </w:r>
      <w:r>
        <w:rPr>
          <w:rFonts w:ascii="宋体" w:hAnsi="宋体" w:cs="宋体" w:eastAsia="宋体" w:hint="default"/>
          <w:b/>
          <w:bCs/>
          <w:w w:val="99"/>
          <w:sz w:val="28"/>
          <w:szCs w:val="28"/>
        </w:rPr>
        <w:t> </w:t>
      </w:r>
      <w:r>
        <w:rPr>
          <w:rFonts w:ascii="宋体" w:hAnsi="宋体" w:cs="宋体" w:eastAsia="宋体" w:hint="default"/>
          <w:b/>
          <w:bCs/>
          <w:spacing w:val="2"/>
          <w:sz w:val="28"/>
          <w:szCs w:val="28"/>
        </w:rPr>
        <w:t>政府）的数字化城市管理平台以及国土、规划等政府主管部门的专用管理信息</w:t>
      </w:r>
      <w:r>
        <w:rPr>
          <w:rFonts w:ascii="宋体" w:hAnsi="宋体" w:cs="宋体" w:eastAsia="宋体" w:hint="default"/>
          <w:b/>
          <w:bCs/>
          <w:w w:val="99"/>
          <w:sz w:val="28"/>
          <w:szCs w:val="28"/>
        </w:rPr>
        <w:t> </w:t>
      </w:r>
      <w:r>
        <w:rPr>
          <w:rFonts w:ascii="宋体" w:hAnsi="宋体" w:cs="宋体" w:eastAsia="宋体" w:hint="default"/>
          <w:b/>
          <w:bCs/>
          <w:spacing w:val="2"/>
          <w:sz w:val="28"/>
          <w:szCs w:val="28"/>
        </w:rPr>
        <w:t>系统。客户定位于各级政府（部、省、市、区、县政府）部门，虽然街道、乡</w:t>
      </w:r>
      <w:r>
        <w:rPr>
          <w:rFonts w:ascii="宋体" w:hAnsi="宋体" w:cs="宋体" w:eastAsia="宋体" w:hint="default"/>
          <w:b/>
          <w:bCs/>
          <w:w w:val="99"/>
          <w:sz w:val="28"/>
          <w:szCs w:val="28"/>
        </w:rPr>
        <w:t> </w:t>
      </w:r>
      <w:r>
        <w:rPr>
          <w:rFonts w:ascii="宋体" w:hAnsi="宋体" w:cs="宋体" w:eastAsia="宋体" w:hint="default"/>
          <w:b/>
          <w:bCs/>
          <w:spacing w:val="-6"/>
          <w:w w:val="99"/>
          <w:sz w:val="28"/>
          <w:szCs w:val="28"/>
        </w:rPr>
        <w:t>镇、城市各个专业部门（如执法、污水、供水、园林、海塘、公路等）、大型企</w:t>
      </w:r>
      <w:r>
        <w:rPr>
          <w:rFonts w:ascii="宋体" w:hAnsi="宋体" w:cs="宋体" w:eastAsia="宋体" w:hint="default"/>
          <w:b/>
          <w:bCs/>
          <w:spacing w:val="-128"/>
          <w:w w:val="99"/>
          <w:sz w:val="28"/>
          <w:szCs w:val="28"/>
        </w:rPr>
        <w:t> </w:t>
      </w:r>
      <w:r>
        <w:rPr>
          <w:rFonts w:ascii="宋体" w:hAnsi="宋体" w:cs="宋体" w:eastAsia="宋体" w:hint="default"/>
          <w:b/>
          <w:bCs/>
          <w:spacing w:val="-128"/>
          <w:w w:val="99"/>
          <w:sz w:val="28"/>
          <w:szCs w:val="28"/>
        </w:rPr>
      </w:r>
      <w:r>
        <w:rPr>
          <w:rFonts w:ascii="宋体" w:hAnsi="宋体" w:cs="宋体" w:eastAsia="宋体" w:hint="default"/>
          <w:b/>
          <w:bCs/>
          <w:spacing w:val="2"/>
          <w:sz w:val="28"/>
          <w:szCs w:val="28"/>
        </w:rPr>
        <w:t>业也是公司的目标用户群，但目前公司销售收入主要来源于政府采购，项目均</w:t>
      </w:r>
      <w:r>
        <w:rPr>
          <w:rFonts w:ascii="宋体" w:hAnsi="宋体" w:cs="宋体" w:eastAsia="宋体" w:hint="default"/>
          <w:b/>
          <w:bCs/>
          <w:w w:val="99"/>
          <w:sz w:val="28"/>
          <w:szCs w:val="28"/>
        </w:rPr>
        <w:t> </w:t>
      </w:r>
      <w:r>
        <w:rPr>
          <w:rFonts w:ascii="宋体" w:hAnsi="宋体" w:cs="宋体" w:eastAsia="宋体" w:hint="default"/>
          <w:b/>
          <w:bCs/>
          <w:spacing w:val="2"/>
          <w:sz w:val="28"/>
          <w:szCs w:val="28"/>
        </w:rPr>
        <w:t>通过各级政府招投标过程获得。面对尚不明朗的宏观经济形势，地方政府和行</w:t>
      </w:r>
      <w:r>
        <w:rPr>
          <w:rFonts w:ascii="宋体" w:hAnsi="宋体" w:cs="宋体" w:eastAsia="宋体" w:hint="default"/>
          <w:b/>
          <w:bCs/>
          <w:spacing w:val="-138"/>
          <w:sz w:val="28"/>
          <w:szCs w:val="28"/>
        </w:rPr>
        <w:t> </w:t>
      </w:r>
      <w:r>
        <w:rPr>
          <w:rFonts w:ascii="宋体" w:hAnsi="宋体" w:cs="宋体" w:eastAsia="宋体" w:hint="default"/>
          <w:b/>
          <w:bCs/>
          <w:spacing w:val="-138"/>
          <w:sz w:val="28"/>
          <w:szCs w:val="28"/>
        </w:rPr>
      </w:r>
      <w:r>
        <w:rPr>
          <w:rFonts w:ascii="宋体" w:hAnsi="宋体" w:cs="宋体" w:eastAsia="宋体" w:hint="default"/>
          <w:b/>
          <w:bCs/>
          <w:spacing w:val="2"/>
          <w:sz w:val="28"/>
          <w:szCs w:val="28"/>
        </w:rPr>
        <w:t>业主管部门可能存在财政紧缩、推迟或减少对电子政务系统的投入，未来将会</w:t>
      </w:r>
      <w:r>
        <w:rPr>
          <w:rFonts w:ascii="宋体" w:hAnsi="宋体" w:cs="宋体" w:eastAsia="宋体" w:hint="default"/>
          <w:b/>
          <w:bCs/>
          <w:w w:val="99"/>
          <w:sz w:val="28"/>
          <w:szCs w:val="28"/>
        </w:rPr>
        <w:t> </w:t>
      </w:r>
      <w:r>
        <w:rPr>
          <w:rFonts w:ascii="宋体" w:hAnsi="宋体" w:cs="宋体" w:eastAsia="宋体" w:hint="default"/>
          <w:b/>
          <w:bCs/>
          <w:sz w:val="28"/>
          <w:szCs w:val="28"/>
        </w:rPr>
        <w:t>对公司的经营产生一定影响。</w:t>
      </w:r>
      <w:r>
        <w:rPr>
          <w:rFonts w:ascii="宋体" w:hAnsi="宋体" w:cs="宋体" w:eastAsia="宋体" w:hint="default"/>
          <w:sz w:val="28"/>
          <w:szCs w:val="28"/>
        </w:rPr>
      </w:r>
    </w:p>
    <w:p>
      <w:pPr>
        <w:spacing w:line="386" w:lineRule="auto" w:before="165"/>
        <w:ind w:left="152" w:right="153" w:firstLine="562"/>
        <w:jc w:val="both"/>
        <w:rPr>
          <w:rFonts w:ascii="宋体" w:hAnsi="宋体" w:cs="宋体" w:eastAsia="宋体" w:hint="default"/>
          <w:sz w:val="28"/>
          <w:szCs w:val="28"/>
        </w:rPr>
      </w:pPr>
      <w:r>
        <w:rPr>
          <w:rFonts w:ascii="宋体" w:hAnsi="宋体" w:cs="宋体" w:eastAsia="宋体" w:hint="default"/>
          <w:b/>
          <w:bCs/>
          <w:spacing w:val="-2"/>
          <w:sz w:val="28"/>
          <w:szCs w:val="28"/>
        </w:rPr>
        <w:t>（</w:t>
      </w:r>
      <w:r>
        <w:rPr>
          <w:rFonts w:ascii="Times New Roman" w:hAnsi="Times New Roman" w:cs="Times New Roman" w:eastAsia="Times New Roman" w:hint="default"/>
          <w:b/>
          <w:bCs/>
          <w:spacing w:val="-2"/>
          <w:sz w:val="28"/>
          <w:szCs w:val="28"/>
        </w:rPr>
        <w:t>2</w:t>
      </w:r>
      <w:r>
        <w:rPr>
          <w:rFonts w:ascii="宋体" w:hAnsi="宋体" w:cs="宋体" w:eastAsia="宋体" w:hint="default"/>
          <w:b/>
          <w:bCs/>
          <w:spacing w:val="-2"/>
          <w:sz w:val="28"/>
          <w:szCs w:val="28"/>
        </w:rPr>
        <w:t>）市场竞争加剧的风险公司在传统数字城市管理领域有着较强的市场竞</w:t>
      </w:r>
      <w:r>
        <w:rPr>
          <w:rFonts w:ascii="宋体" w:hAnsi="宋体" w:cs="宋体" w:eastAsia="宋体" w:hint="default"/>
          <w:b/>
          <w:bCs/>
          <w:w w:val="99"/>
          <w:sz w:val="28"/>
          <w:szCs w:val="28"/>
        </w:rPr>
        <w:t> </w:t>
      </w:r>
      <w:r>
        <w:rPr>
          <w:rFonts w:ascii="宋体" w:hAnsi="宋体" w:cs="宋体" w:eastAsia="宋体" w:hint="default"/>
          <w:b/>
          <w:bCs/>
          <w:spacing w:val="2"/>
          <w:sz w:val="28"/>
          <w:szCs w:val="28"/>
        </w:rPr>
        <w:t>争力，但随着智慧城市建设的高速发展，数字政通的业务也在不断延伸，将不</w:t>
      </w:r>
      <w:r>
        <w:rPr>
          <w:rFonts w:ascii="宋体" w:hAnsi="宋体" w:cs="宋体" w:eastAsia="宋体" w:hint="default"/>
          <w:spacing w:val="2"/>
          <w:sz w:val="28"/>
          <w:szCs w:val="28"/>
        </w:rPr>
      </w:r>
    </w:p>
    <w:p>
      <w:pPr>
        <w:spacing w:after="0" w:line="386" w:lineRule="auto"/>
        <w:jc w:val="both"/>
        <w:rPr>
          <w:rFonts w:ascii="宋体" w:hAnsi="宋体" w:cs="宋体" w:eastAsia="宋体" w:hint="default"/>
          <w:sz w:val="28"/>
          <w:szCs w:val="28"/>
        </w:rPr>
        <w:sectPr>
          <w:footerReference w:type="default" r:id="rId8"/>
          <w:pgSz w:w="11910" w:h="16840"/>
          <w:pgMar w:footer="979" w:header="745" w:top="1060" w:bottom="1160" w:left="980" w:right="98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29"/>
          <w:szCs w:val="29"/>
        </w:rPr>
      </w:pPr>
    </w:p>
    <w:p>
      <w:pPr>
        <w:spacing w:line="408" w:lineRule="auto" w:before="14"/>
        <w:ind w:left="152" w:right="161" w:firstLine="0"/>
        <w:jc w:val="both"/>
        <w:rPr>
          <w:rFonts w:ascii="宋体" w:hAnsi="宋体" w:cs="宋体" w:eastAsia="宋体" w:hint="default"/>
          <w:sz w:val="28"/>
          <w:szCs w:val="28"/>
        </w:rPr>
      </w:pPr>
      <w:r>
        <w:rPr>
          <w:rFonts w:ascii="宋体" w:hAnsi="宋体" w:cs="宋体" w:eastAsia="宋体" w:hint="default"/>
          <w:b/>
          <w:bCs/>
          <w:spacing w:val="2"/>
          <w:sz w:val="28"/>
          <w:szCs w:val="28"/>
        </w:rPr>
        <w:t>可避免的与更多规模和实力更强的行业公司进行竞争，市场竞争呈逐步加剧的</w:t>
      </w:r>
      <w:r>
        <w:rPr>
          <w:rFonts w:ascii="宋体" w:hAnsi="宋体" w:cs="宋体" w:eastAsia="宋体" w:hint="default"/>
          <w:b/>
          <w:bCs/>
          <w:w w:val="99"/>
          <w:sz w:val="28"/>
          <w:szCs w:val="28"/>
        </w:rPr>
        <w:t> </w:t>
      </w:r>
      <w:r>
        <w:rPr>
          <w:rFonts w:ascii="宋体" w:hAnsi="宋体" w:cs="宋体" w:eastAsia="宋体" w:hint="default"/>
          <w:b/>
          <w:bCs/>
          <w:spacing w:val="2"/>
          <w:sz w:val="28"/>
          <w:szCs w:val="28"/>
        </w:rPr>
        <w:t>态势，如果公司在发展过程中不能持续保持技术领先优势以及不断提升市场营</w:t>
      </w:r>
      <w:r>
        <w:rPr>
          <w:rFonts w:ascii="宋体" w:hAnsi="宋体" w:cs="宋体" w:eastAsia="宋体" w:hint="default"/>
          <w:b/>
          <w:bCs/>
          <w:w w:val="99"/>
          <w:sz w:val="28"/>
          <w:szCs w:val="28"/>
        </w:rPr>
        <w:t> </w:t>
      </w:r>
      <w:r>
        <w:rPr>
          <w:rFonts w:ascii="宋体" w:hAnsi="宋体" w:cs="宋体" w:eastAsia="宋体" w:hint="default"/>
          <w:b/>
          <w:bCs/>
          <w:spacing w:val="2"/>
          <w:sz w:val="28"/>
          <w:szCs w:val="28"/>
        </w:rPr>
        <w:t>销和本地化服务能力，将有可能面临市场份额下滑，技术、服务能力被竞争对</w:t>
      </w:r>
      <w:r>
        <w:rPr>
          <w:rFonts w:ascii="宋体" w:hAnsi="宋体" w:cs="宋体" w:eastAsia="宋体" w:hint="default"/>
          <w:b/>
          <w:bCs/>
          <w:w w:val="99"/>
          <w:sz w:val="28"/>
          <w:szCs w:val="28"/>
        </w:rPr>
        <w:t> </w:t>
      </w:r>
      <w:r>
        <w:rPr>
          <w:rFonts w:ascii="宋体" w:hAnsi="宋体" w:cs="宋体" w:eastAsia="宋体" w:hint="default"/>
          <w:b/>
          <w:bCs/>
          <w:sz w:val="28"/>
          <w:szCs w:val="28"/>
        </w:rPr>
        <w:t>手超越的风险，同时可能会导致毛利率下降的风险。</w:t>
      </w:r>
      <w:r>
        <w:rPr>
          <w:rFonts w:ascii="宋体" w:hAnsi="宋体" w:cs="宋体" w:eastAsia="宋体" w:hint="default"/>
          <w:sz w:val="28"/>
          <w:szCs w:val="28"/>
        </w:rPr>
      </w:r>
    </w:p>
    <w:p>
      <w:pPr>
        <w:spacing w:line="405" w:lineRule="auto" w:before="162"/>
        <w:ind w:left="152" w:right="151" w:firstLine="562"/>
        <w:jc w:val="both"/>
        <w:rPr>
          <w:rFonts w:ascii="宋体" w:hAnsi="宋体" w:cs="宋体" w:eastAsia="宋体" w:hint="default"/>
          <w:sz w:val="28"/>
          <w:szCs w:val="28"/>
        </w:rPr>
      </w:pPr>
      <w:r>
        <w:rPr>
          <w:rFonts w:ascii="宋体" w:hAnsi="宋体" w:cs="宋体" w:eastAsia="宋体" w:hint="default"/>
          <w:b/>
          <w:bCs/>
          <w:spacing w:val="2"/>
          <w:sz w:val="28"/>
          <w:szCs w:val="28"/>
        </w:rPr>
        <w:t>（</w:t>
      </w:r>
      <w:r>
        <w:rPr>
          <w:rFonts w:ascii="Times New Roman" w:hAnsi="Times New Roman" w:cs="Times New Roman" w:eastAsia="Times New Roman" w:hint="default"/>
          <w:b/>
          <w:bCs/>
          <w:spacing w:val="2"/>
          <w:sz w:val="28"/>
          <w:szCs w:val="28"/>
        </w:rPr>
        <w:t>3</w:t>
      </w:r>
      <w:r>
        <w:rPr>
          <w:rFonts w:ascii="宋体" w:hAnsi="宋体" w:cs="宋体" w:eastAsia="宋体" w:hint="default"/>
          <w:b/>
          <w:bCs/>
          <w:spacing w:val="2"/>
          <w:sz w:val="28"/>
          <w:szCs w:val="28"/>
        </w:rPr>
        <w:t>）核心技术人员流失风险</w:t>
      </w:r>
      <w:r>
        <w:rPr>
          <w:rFonts w:ascii="宋体" w:hAnsi="宋体" w:cs="宋体" w:eastAsia="宋体" w:hint="default"/>
          <w:b/>
          <w:bCs/>
          <w:spacing w:val="5"/>
          <w:sz w:val="28"/>
          <w:szCs w:val="28"/>
        </w:rPr>
        <w:t> </w:t>
      </w:r>
      <w:r>
        <w:rPr>
          <w:rFonts w:ascii="宋体" w:hAnsi="宋体" w:cs="宋体" w:eastAsia="宋体" w:hint="default"/>
          <w:b/>
          <w:bCs/>
          <w:spacing w:val="2"/>
          <w:sz w:val="28"/>
          <w:szCs w:val="28"/>
        </w:rPr>
        <w:t>软件行业属于智力密集型行业，核心技术人</w:t>
      </w:r>
      <w:r>
        <w:rPr>
          <w:rFonts w:ascii="宋体" w:hAnsi="宋体" w:cs="宋体" w:eastAsia="宋体" w:hint="default"/>
          <w:b/>
          <w:bCs/>
          <w:w w:val="99"/>
          <w:sz w:val="28"/>
          <w:szCs w:val="28"/>
        </w:rPr>
        <w:t> </w:t>
      </w:r>
      <w:r>
        <w:rPr>
          <w:rFonts w:ascii="宋体" w:hAnsi="宋体" w:cs="宋体" w:eastAsia="宋体" w:hint="default"/>
          <w:b/>
          <w:bCs/>
          <w:spacing w:val="2"/>
          <w:sz w:val="28"/>
          <w:szCs w:val="28"/>
        </w:rPr>
        <w:t>员对公司的产品创新、持续发展起着关键的作用，核心技术人员的稳定对公司</w:t>
      </w:r>
      <w:r>
        <w:rPr>
          <w:rFonts w:ascii="宋体" w:hAnsi="宋体" w:cs="宋体" w:eastAsia="宋体" w:hint="default"/>
          <w:b/>
          <w:bCs/>
          <w:w w:val="99"/>
          <w:sz w:val="28"/>
          <w:szCs w:val="28"/>
        </w:rPr>
        <w:t> </w:t>
      </w:r>
      <w:r>
        <w:rPr>
          <w:rFonts w:ascii="宋体" w:hAnsi="宋体" w:cs="宋体" w:eastAsia="宋体" w:hint="default"/>
          <w:b/>
          <w:bCs/>
          <w:spacing w:val="2"/>
          <w:sz w:val="28"/>
          <w:szCs w:val="28"/>
        </w:rPr>
        <w:t>的发展具有重要影响。经过多年发展，公司现已拥有一支高素质的技术人员队</w:t>
      </w:r>
      <w:r>
        <w:rPr>
          <w:rFonts w:ascii="宋体" w:hAnsi="宋体" w:cs="宋体" w:eastAsia="宋体" w:hint="default"/>
          <w:b/>
          <w:bCs/>
          <w:w w:val="99"/>
          <w:sz w:val="28"/>
          <w:szCs w:val="28"/>
        </w:rPr>
        <w:t> </w:t>
      </w:r>
      <w:r>
        <w:rPr>
          <w:rFonts w:ascii="宋体" w:hAnsi="宋体" w:cs="宋体" w:eastAsia="宋体" w:hint="default"/>
          <w:b/>
          <w:bCs/>
          <w:spacing w:val="2"/>
          <w:sz w:val="28"/>
          <w:szCs w:val="28"/>
        </w:rPr>
        <w:t>伍，为了吸引和稳定现有核心技术团队，公司已建立完善的知识管理体系，采</w:t>
      </w:r>
      <w:r>
        <w:rPr>
          <w:rFonts w:ascii="宋体" w:hAnsi="宋体" w:cs="宋体" w:eastAsia="宋体" w:hint="default"/>
          <w:b/>
          <w:bCs/>
          <w:w w:val="99"/>
          <w:sz w:val="28"/>
          <w:szCs w:val="28"/>
        </w:rPr>
        <w:t> </w:t>
      </w:r>
      <w:r>
        <w:rPr>
          <w:rFonts w:ascii="宋体" w:hAnsi="宋体" w:cs="宋体" w:eastAsia="宋体" w:hint="default"/>
          <w:b/>
          <w:bCs/>
          <w:spacing w:val="2"/>
          <w:sz w:val="28"/>
          <w:szCs w:val="28"/>
        </w:rPr>
        <w:t>取了一系列吸引和稳定核心技术人员的措施，包括实施股权激励计划，提高核</w:t>
      </w:r>
      <w:r>
        <w:rPr>
          <w:rFonts w:ascii="宋体" w:hAnsi="宋体" w:cs="宋体" w:eastAsia="宋体" w:hint="default"/>
          <w:b/>
          <w:bCs/>
          <w:w w:val="99"/>
          <w:sz w:val="28"/>
          <w:szCs w:val="28"/>
        </w:rPr>
        <w:t> </w:t>
      </w:r>
      <w:r>
        <w:rPr>
          <w:rFonts w:ascii="宋体" w:hAnsi="宋体" w:cs="宋体" w:eastAsia="宋体" w:hint="default"/>
          <w:b/>
          <w:bCs/>
          <w:spacing w:val="2"/>
          <w:sz w:val="28"/>
          <w:szCs w:val="28"/>
        </w:rPr>
        <w:t>心技术人员福利待遇、增加培训机会、创造良好的工作和文化氛围等，努力维</w:t>
      </w:r>
      <w:r>
        <w:rPr>
          <w:rFonts w:ascii="宋体" w:hAnsi="宋体" w:cs="宋体" w:eastAsia="宋体" w:hint="default"/>
          <w:b/>
          <w:bCs/>
          <w:w w:val="99"/>
          <w:sz w:val="28"/>
          <w:szCs w:val="28"/>
        </w:rPr>
        <w:t> </w:t>
      </w:r>
      <w:r>
        <w:rPr>
          <w:rFonts w:ascii="宋体" w:hAnsi="宋体" w:cs="宋体" w:eastAsia="宋体" w:hint="default"/>
          <w:b/>
          <w:bCs/>
          <w:spacing w:val="2"/>
          <w:sz w:val="28"/>
          <w:szCs w:val="28"/>
        </w:rPr>
        <w:t>护技术团队的稳定发展，但考虑到软件行业技术变革速度快、人员流动率偏高</w:t>
      </w:r>
      <w:r>
        <w:rPr>
          <w:rFonts w:ascii="宋体" w:hAnsi="宋体" w:cs="宋体" w:eastAsia="宋体" w:hint="default"/>
          <w:b/>
          <w:bCs/>
          <w:w w:val="99"/>
          <w:sz w:val="28"/>
          <w:szCs w:val="28"/>
        </w:rPr>
        <w:t> </w:t>
      </w:r>
      <w:r>
        <w:rPr>
          <w:rFonts w:ascii="宋体" w:hAnsi="宋体" w:cs="宋体" w:eastAsia="宋体" w:hint="default"/>
          <w:b/>
          <w:bCs/>
          <w:spacing w:val="2"/>
          <w:sz w:val="28"/>
          <w:szCs w:val="28"/>
        </w:rPr>
        <w:t>的特点，未来如果公司的核心技术团队流失率过高，将不利于公司各项经营目</w:t>
      </w:r>
      <w:r>
        <w:rPr>
          <w:rFonts w:ascii="宋体" w:hAnsi="宋体" w:cs="宋体" w:eastAsia="宋体" w:hint="default"/>
          <w:b/>
          <w:bCs/>
          <w:spacing w:val="-138"/>
          <w:sz w:val="28"/>
          <w:szCs w:val="28"/>
        </w:rPr>
        <w:t> </w:t>
      </w:r>
      <w:r>
        <w:rPr>
          <w:rFonts w:ascii="宋体" w:hAnsi="宋体" w:cs="宋体" w:eastAsia="宋体" w:hint="default"/>
          <w:b/>
          <w:bCs/>
          <w:spacing w:val="-138"/>
          <w:sz w:val="28"/>
          <w:szCs w:val="28"/>
        </w:rPr>
      </w:r>
      <w:r>
        <w:rPr>
          <w:rFonts w:ascii="宋体" w:hAnsi="宋体" w:cs="宋体" w:eastAsia="宋体" w:hint="default"/>
          <w:b/>
          <w:bCs/>
          <w:sz w:val="28"/>
          <w:szCs w:val="28"/>
        </w:rPr>
        <w:t>标的实现，对公司未来发展将产生不利影响。</w:t>
      </w:r>
      <w:r>
        <w:rPr>
          <w:rFonts w:ascii="宋体" w:hAnsi="宋体" w:cs="宋体" w:eastAsia="宋体" w:hint="default"/>
          <w:sz w:val="28"/>
          <w:szCs w:val="28"/>
        </w:rPr>
      </w:r>
    </w:p>
    <w:p>
      <w:pPr>
        <w:spacing w:before="162"/>
        <w:ind w:left="714" w:right="0" w:firstLine="0"/>
        <w:jc w:val="left"/>
        <w:rPr>
          <w:rFonts w:ascii="宋体" w:hAnsi="宋体" w:cs="宋体" w:eastAsia="宋体" w:hint="default"/>
          <w:sz w:val="28"/>
          <w:szCs w:val="28"/>
        </w:rPr>
      </w:pP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88"/>
          <w:sz w:val="28"/>
          <w:szCs w:val="28"/>
        </w:rPr>
        <w:t> </w:t>
      </w:r>
      <w:r>
        <w:rPr>
          <w:rFonts w:ascii="Times New Roman" w:hAnsi="Times New Roman" w:cs="Times New Roman" w:eastAsia="Times New Roman" w:hint="default"/>
          <w:b/>
          <w:bCs/>
          <w:sz w:val="28"/>
          <w:szCs w:val="28"/>
        </w:rPr>
        <w:t>424,626,905</w:t>
      </w:r>
      <w:r>
        <w:rPr>
          <w:rFonts w:ascii="Times New Roman" w:hAnsi="Times New Roman" w:cs="Times New Roman" w:eastAsia="Times New Roman" w:hint="default"/>
          <w:b/>
          <w:bCs/>
          <w:spacing w:val="-17"/>
          <w:sz w:val="28"/>
          <w:szCs w:val="28"/>
        </w:rPr>
        <w:t> </w:t>
      </w:r>
      <w:r>
        <w:rPr>
          <w:rFonts w:ascii="宋体" w:hAnsi="宋体" w:cs="宋体" w:eastAsia="宋体" w:hint="default"/>
          <w:b/>
          <w:bCs/>
          <w:spacing w:val="-6"/>
          <w:sz w:val="28"/>
          <w:szCs w:val="28"/>
        </w:rPr>
        <w:t>为基数，向</w:t>
      </w:r>
      <w:r>
        <w:rPr>
          <w:rFonts w:ascii="宋体" w:hAnsi="宋体" w:cs="宋体" w:eastAsia="宋体" w:hint="default"/>
          <w:spacing w:val="-6"/>
          <w:sz w:val="28"/>
          <w:szCs w:val="28"/>
        </w:rPr>
      </w:r>
    </w:p>
    <w:p>
      <w:pPr>
        <w:spacing w:before="236"/>
        <w:ind w:left="152" w:right="0" w:firstLine="0"/>
        <w:jc w:val="both"/>
        <w:rPr>
          <w:rFonts w:ascii="宋体" w:hAnsi="宋体" w:cs="宋体" w:eastAsia="宋体" w:hint="default"/>
          <w:sz w:val="28"/>
          <w:szCs w:val="28"/>
        </w:rPr>
      </w:pPr>
      <w:r>
        <w:rPr>
          <w:rFonts w:ascii="宋体" w:hAnsi="宋体" w:cs="宋体" w:eastAsia="宋体" w:hint="default"/>
          <w:b/>
          <w:bCs/>
          <w:w w:val="99"/>
          <w:sz w:val="28"/>
          <w:szCs w:val="28"/>
        </w:rPr>
        <w:t>全体</w:t>
      </w:r>
      <w:r>
        <w:rPr>
          <w:rFonts w:ascii="宋体" w:hAnsi="宋体" w:cs="宋体" w:eastAsia="宋体" w:hint="default"/>
          <w:b/>
          <w:bCs/>
          <w:spacing w:val="2"/>
          <w:w w:val="99"/>
          <w:sz w:val="28"/>
          <w:szCs w:val="28"/>
        </w:rPr>
        <w:t>股</w:t>
      </w:r>
      <w:r>
        <w:rPr>
          <w:rFonts w:ascii="宋体" w:hAnsi="宋体" w:cs="宋体" w:eastAsia="宋体" w:hint="default"/>
          <w:b/>
          <w:bCs/>
          <w:w w:val="99"/>
          <w:sz w:val="28"/>
          <w:szCs w:val="28"/>
        </w:rPr>
        <w:t>东每</w:t>
      </w:r>
      <w:r>
        <w:rPr>
          <w:rFonts w:ascii="宋体" w:hAnsi="宋体" w:cs="宋体" w:eastAsia="宋体" w:hint="default"/>
          <w:b/>
          <w:bCs/>
          <w:spacing w:val="-71"/>
          <w:sz w:val="28"/>
          <w:szCs w:val="28"/>
        </w:rPr>
        <w:t> </w:t>
      </w:r>
      <w:r>
        <w:rPr>
          <w:rFonts w:ascii="Times New Roman" w:hAnsi="Times New Roman" w:cs="Times New Roman" w:eastAsia="Times New Roman" w:hint="default"/>
          <w:b/>
          <w:bCs/>
          <w:spacing w:val="1"/>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w w:val="99"/>
          <w:sz w:val="28"/>
          <w:szCs w:val="28"/>
        </w:rPr>
        <w:t>股派发现</w:t>
      </w:r>
      <w:r>
        <w:rPr>
          <w:rFonts w:ascii="宋体" w:hAnsi="宋体" w:cs="宋体" w:eastAsia="宋体" w:hint="default"/>
          <w:b/>
          <w:bCs/>
          <w:spacing w:val="2"/>
          <w:w w:val="99"/>
          <w:sz w:val="28"/>
          <w:szCs w:val="28"/>
        </w:rPr>
        <w:t>金</w:t>
      </w:r>
      <w:r>
        <w:rPr>
          <w:rFonts w:ascii="宋体" w:hAnsi="宋体" w:cs="宋体" w:eastAsia="宋体" w:hint="default"/>
          <w:b/>
          <w:bCs/>
          <w:w w:val="99"/>
          <w:sz w:val="28"/>
          <w:szCs w:val="28"/>
        </w:rPr>
        <w:t>红利</w:t>
      </w:r>
      <w:r>
        <w:rPr>
          <w:rFonts w:ascii="宋体" w:hAnsi="宋体" w:cs="宋体" w:eastAsia="宋体" w:hint="default"/>
          <w:b/>
          <w:bCs/>
          <w:spacing w:val="-71"/>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w w:val="100"/>
          <w:sz w:val="28"/>
          <w:szCs w:val="28"/>
        </w:rPr>
        <w:t>3</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2"/>
          <w:w w:val="99"/>
          <w:sz w:val="28"/>
          <w:szCs w:val="28"/>
        </w:rPr>
        <w:t>元</w:t>
      </w:r>
      <w:r>
        <w:rPr>
          <w:rFonts w:ascii="宋体" w:hAnsi="宋体" w:cs="宋体" w:eastAsia="宋体" w:hint="default"/>
          <w:b/>
          <w:bCs/>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32"/>
          <w:w w:val="99"/>
          <w:sz w:val="28"/>
          <w:szCs w:val="28"/>
        </w:rPr>
        <w:t>，</w:t>
      </w:r>
      <w:r>
        <w:rPr>
          <w:rFonts w:ascii="宋体" w:hAnsi="宋体" w:cs="宋体" w:eastAsia="宋体" w:hint="default"/>
          <w:b/>
          <w:bCs/>
          <w:w w:val="99"/>
          <w:sz w:val="28"/>
          <w:szCs w:val="28"/>
        </w:rPr>
        <w:t>送红股</w:t>
      </w:r>
      <w:r>
        <w:rPr>
          <w:rFonts w:ascii="宋体" w:hAnsi="宋体" w:cs="宋体" w:eastAsia="宋体" w:hint="default"/>
          <w:b/>
          <w:bCs/>
          <w:spacing w:val="-69"/>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spacing w:val="-32"/>
          <w:w w:val="99"/>
          <w:sz w:val="28"/>
          <w:szCs w:val="28"/>
        </w:rPr>
        <w:t>股</w:t>
      </w:r>
      <w:r>
        <w:rPr>
          <w:rFonts w:ascii="宋体" w:hAnsi="宋体" w:cs="宋体" w:eastAsia="宋体" w:hint="default"/>
          <w:b/>
          <w:bCs/>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32"/>
          <w:w w:val="99"/>
          <w:sz w:val="28"/>
          <w:szCs w:val="28"/>
        </w:rPr>
        <w:t>，</w:t>
      </w:r>
      <w:r>
        <w:rPr>
          <w:rFonts w:ascii="宋体" w:hAnsi="宋体" w:cs="宋体" w:eastAsia="宋体" w:hint="default"/>
          <w:b/>
          <w:bCs/>
          <w:w w:val="99"/>
          <w:sz w:val="28"/>
          <w:szCs w:val="28"/>
        </w:rPr>
        <w:t>以资本公</w:t>
      </w:r>
      <w:r>
        <w:rPr>
          <w:rFonts w:ascii="宋体" w:hAnsi="宋体" w:cs="宋体" w:eastAsia="宋体" w:hint="default"/>
          <w:sz w:val="28"/>
          <w:szCs w:val="28"/>
        </w:rPr>
      </w:r>
    </w:p>
    <w:p>
      <w:pPr>
        <w:spacing w:before="237"/>
        <w:ind w:left="152" w:right="0" w:firstLine="0"/>
        <w:jc w:val="both"/>
        <w:rPr>
          <w:rFonts w:ascii="宋体" w:hAnsi="宋体" w:cs="宋体" w:eastAsia="宋体" w:hint="default"/>
          <w:sz w:val="28"/>
          <w:szCs w:val="28"/>
        </w:rPr>
      </w:pPr>
      <w:r>
        <w:rPr>
          <w:rFonts w:ascii="宋体" w:hAnsi="宋体" w:cs="宋体" w:eastAsia="宋体" w:hint="default"/>
          <w:b/>
          <w:bCs/>
          <w:sz w:val="28"/>
          <w:szCs w:val="28"/>
        </w:rPr>
        <w:t>积金向全体股东每</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股转增</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both"/>
        <w:rPr>
          <w:rFonts w:ascii="宋体" w:hAnsi="宋体" w:cs="宋体" w:eastAsia="宋体" w:hint="default"/>
          <w:sz w:val="28"/>
          <w:szCs w:val="28"/>
        </w:rPr>
        <w:sectPr>
          <w:pgSz w:w="11910" w:h="16840"/>
          <w:pgMar w:header="745" w:footer="979" w:top="1060" w:bottom="1160" w:left="980" w:right="9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5"/>
        <w:ind w:left="2421" w:right="2421"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83" w:val="right" w:leader="dot"/>
            </w:tabs>
            <w:spacing w:line="240" w:lineRule="auto" w:before="0"/>
            <w:ind w:right="0"/>
            <w:jc w:val="left"/>
            <w:rPr>
              <w:rFonts w:ascii="宋体" w:hAnsi="宋体" w:cs="宋体" w:eastAsia="宋体" w:hint="default"/>
              <w:b w:val="0"/>
              <w:bCs w:val="0"/>
            </w:rPr>
          </w:pPr>
          <w:r>
            <w:fldChar w:fldCharType="begin"/>
          </w:r>
          <w:r>
            <w:instrText>TOC \o "1-1" \h \z \u </w:instrText>
          </w:r>
          <w:r>
            <w:fldChar w:fldCharType="separate"/>
          </w:r>
          <w:hyperlink w:history="true" w:anchor="_bookmark0">
            <w:r>
              <w:rPr/>
              <w:t>第一节</w:t>
            </w:r>
            <w:r>
              <w:rPr>
                <w:spacing w:val="1"/>
              </w:rPr>
              <w:t> </w:t>
            </w:r>
            <w:r>
              <w:rPr/>
              <w:t>重要提示、目录和释义</w:t>
            </w:r>
            <w:r>
              <w:rPr>
                <w:rFonts w:ascii="宋体" w:hAnsi="宋体" w:cs="宋体" w:eastAsia="宋体" w:hint="default"/>
              </w:rPr>
              <w:tab/>
              <w:t>2</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1">
            <w:r>
              <w:rPr/>
              <w:t>第二节</w:t>
            </w:r>
            <w:r>
              <w:rPr>
                <w:spacing w:val="1"/>
              </w:rPr>
              <w:t> </w:t>
            </w:r>
            <w:r>
              <w:rPr/>
              <w:t>公司简介和主要财务指标</w:t>
            </w:r>
            <w:r>
              <w:rPr>
                <w:rFonts w:ascii="宋体" w:hAnsi="宋体" w:cs="宋体" w:eastAsia="宋体" w:hint="default"/>
              </w:rPr>
              <w:tab/>
              <w:t>6</w:t>
            </w:r>
            <w:r>
              <w:rPr>
                <w:rFonts w:ascii="宋体" w:hAnsi="宋体" w:cs="宋体" w:eastAsia="宋体" w:hint="default"/>
                <w:b w:val="0"/>
                <w:bCs w:val="0"/>
              </w:rPr>
            </w:r>
          </w:hyperlink>
        </w:p>
        <w:p>
          <w:pPr>
            <w:pStyle w:val="TOC1"/>
            <w:tabs>
              <w:tab w:pos="9783" w:val="right" w:leader="dot"/>
            </w:tabs>
            <w:spacing w:line="240" w:lineRule="auto" w:before="192"/>
            <w:ind w:right="0"/>
            <w:jc w:val="left"/>
            <w:rPr>
              <w:rFonts w:ascii="宋体" w:hAnsi="宋体" w:cs="宋体" w:eastAsia="宋体" w:hint="default"/>
              <w:b w:val="0"/>
              <w:bCs w:val="0"/>
            </w:rPr>
          </w:pPr>
          <w:hyperlink w:history="true" w:anchor="_bookmark2">
            <w:r>
              <w:rPr/>
              <w:t>第三节</w:t>
            </w:r>
            <w:r>
              <w:rPr>
                <w:spacing w:val="1"/>
              </w:rPr>
              <w:t> </w:t>
            </w:r>
            <w:r>
              <w:rPr/>
              <w:t>公司业务概要</w:t>
            </w:r>
            <w:r>
              <w:rPr>
                <w:rFonts w:ascii="宋体" w:hAnsi="宋体" w:cs="宋体" w:eastAsia="宋体" w:hint="default"/>
              </w:rPr>
              <w:tab/>
              <w:t>9</w:t>
            </w:r>
            <w:r>
              <w:rPr>
                <w:rFonts w:ascii="宋体" w:hAnsi="宋体" w:cs="宋体" w:eastAsia="宋体" w:hint="default"/>
                <w:b w:val="0"/>
                <w:bCs w:val="0"/>
              </w:rPr>
            </w:r>
          </w:hyperlink>
        </w:p>
        <w:p>
          <w:pPr>
            <w:pStyle w:val="TOC1"/>
            <w:tabs>
              <w:tab w:pos="9785" w:val="right" w:leader="dot"/>
            </w:tabs>
            <w:spacing w:line="240" w:lineRule="auto"/>
            <w:ind w:right="0"/>
            <w:jc w:val="left"/>
            <w:rPr>
              <w:rFonts w:ascii="宋体" w:hAnsi="宋体" w:cs="宋体" w:eastAsia="宋体" w:hint="default"/>
              <w:b w:val="0"/>
              <w:bCs w:val="0"/>
            </w:rPr>
          </w:pPr>
          <w:hyperlink w:history="true" w:anchor="_bookmark3">
            <w:r>
              <w:rPr/>
              <w:t>第四节</w:t>
            </w:r>
            <w:r>
              <w:rPr>
                <w:spacing w:val="1"/>
              </w:rPr>
              <w:t> </w:t>
            </w:r>
            <w:r>
              <w:rPr/>
              <w:t>经营情况讨论与分析</w:t>
            </w:r>
            <w:r>
              <w:rPr>
                <w:rFonts w:ascii="宋体" w:hAnsi="宋体" w:cs="宋体" w:eastAsia="宋体" w:hint="default"/>
              </w:rPr>
              <w:tab/>
              <w:t>14</w:t>
            </w:r>
            <w:r>
              <w:rPr>
                <w:rFonts w:ascii="宋体" w:hAnsi="宋体" w:cs="宋体" w:eastAsia="宋体" w:hint="default"/>
                <w:b w:val="0"/>
                <w:bCs w:val="0"/>
              </w:rPr>
            </w:r>
          </w:hyperlink>
        </w:p>
        <w:p>
          <w:pPr>
            <w:pStyle w:val="TOC1"/>
            <w:tabs>
              <w:tab w:pos="9785" w:val="right" w:leader="dot"/>
            </w:tabs>
            <w:spacing w:line="240" w:lineRule="auto"/>
            <w:ind w:right="0"/>
            <w:jc w:val="left"/>
            <w:rPr>
              <w:rFonts w:ascii="宋体" w:hAnsi="宋体" w:cs="宋体" w:eastAsia="宋体" w:hint="default"/>
              <w:b w:val="0"/>
              <w:bCs w:val="0"/>
            </w:rPr>
          </w:pPr>
          <w:hyperlink w:history="true" w:anchor="_bookmark4">
            <w:r>
              <w:rPr/>
              <w:t>第五节</w:t>
            </w:r>
            <w:r>
              <w:rPr>
                <w:spacing w:val="2"/>
              </w:rPr>
              <w:t> </w:t>
            </w:r>
            <w:r>
              <w:rPr/>
              <w:t>重要事项</w:t>
            </w:r>
            <w:r>
              <w:rPr>
                <w:rFonts w:ascii="宋体" w:hAnsi="宋体" w:cs="宋体" w:eastAsia="宋体" w:hint="default"/>
              </w:rPr>
              <w:tab/>
              <w:t>46</w:t>
            </w:r>
            <w:r>
              <w:rPr>
                <w:rFonts w:ascii="宋体" w:hAnsi="宋体" w:cs="宋体" w:eastAsia="宋体" w:hint="default"/>
                <w:b w:val="0"/>
                <w:bCs w:val="0"/>
              </w:rPr>
            </w:r>
          </w:hyperlink>
        </w:p>
        <w:p>
          <w:pPr>
            <w:pStyle w:val="TOC1"/>
            <w:tabs>
              <w:tab w:pos="9785" w:val="right" w:leader="dot"/>
            </w:tabs>
            <w:spacing w:line="240" w:lineRule="auto" w:before="192"/>
            <w:ind w:right="0"/>
            <w:jc w:val="left"/>
            <w:rPr>
              <w:rFonts w:ascii="宋体" w:hAnsi="宋体" w:cs="宋体" w:eastAsia="宋体" w:hint="default"/>
              <w:b w:val="0"/>
              <w:bCs w:val="0"/>
            </w:rPr>
          </w:pPr>
          <w:hyperlink w:history="true" w:anchor="_bookmark5">
            <w:r>
              <w:rPr/>
              <w:t>第六节</w:t>
            </w:r>
            <w:r>
              <w:rPr>
                <w:spacing w:val="1"/>
              </w:rPr>
              <w:t> </w:t>
            </w:r>
            <w:r>
              <w:rPr/>
              <w:t>股份变动及股东情况</w:t>
            </w:r>
            <w:r>
              <w:rPr>
                <w:rFonts w:ascii="宋体" w:hAnsi="宋体" w:cs="宋体" w:eastAsia="宋体" w:hint="default"/>
              </w:rPr>
              <w:tab/>
              <w:t>60</w:t>
            </w:r>
            <w:r>
              <w:rPr>
                <w:rFonts w:ascii="宋体" w:hAnsi="宋体" w:cs="宋体" w:eastAsia="宋体" w:hint="default"/>
                <w:b w:val="0"/>
                <w:bCs w:val="0"/>
              </w:rPr>
            </w:r>
          </w:hyperlink>
        </w:p>
        <w:p>
          <w:pPr>
            <w:pStyle w:val="TOC1"/>
            <w:tabs>
              <w:tab w:pos="9785" w:val="right" w:leader="dot"/>
            </w:tabs>
            <w:spacing w:line="240" w:lineRule="auto"/>
            <w:ind w:right="0"/>
            <w:jc w:val="left"/>
            <w:rPr>
              <w:rFonts w:ascii="宋体" w:hAnsi="宋体" w:cs="宋体" w:eastAsia="宋体" w:hint="default"/>
              <w:b w:val="0"/>
              <w:bCs w:val="0"/>
            </w:rPr>
          </w:pPr>
          <w:hyperlink w:history="true" w:anchor="_bookmark6">
            <w:r>
              <w:rPr/>
              <w:t>第七节</w:t>
            </w:r>
            <w:r>
              <w:rPr>
                <w:spacing w:val="1"/>
              </w:rPr>
              <w:t> </w:t>
            </w:r>
            <w:r>
              <w:rPr/>
              <w:t>优先股相关情况</w:t>
            </w:r>
            <w:r>
              <w:rPr>
                <w:rFonts w:ascii="宋体" w:hAnsi="宋体" w:cs="宋体" w:eastAsia="宋体" w:hint="default"/>
              </w:rPr>
              <w:tab/>
              <w:t>68</w:t>
            </w:r>
            <w:r>
              <w:rPr>
                <w:rFonts w:ascii="宋体" w:hAnsi="宋体" w:cs="宋体" w:eastAsia="宋体" w:hint="default"/>
                <w:b w:val="0"/>
                <w:bCs w:val="0"/>
              </w:rPr>
            </w:r>
          </w:hyperlink>
        </w:p>
        <w:p>
          <w:pPr>
            <w:pStyle w:val="TOC1"/>
            <w:tabs>
              <w:tab w:pos="9785" w:val="right" w:leader="dot"/>
            </w:tabs>
            <w:spacing w:line="240" w:lineRule="auto" w:before="195"/>
            <w:ind w:right="0"/>
            <w:jc w:val="left"/>
            <w:rPr>
              <w:rFonts w:ascii="宋体" w:hAnsi="宋体" w:cs="宋体" w:eastAsia="宋体" w:hint="default"/>
              <w:b w:val="0"/>
              <w:bCs w:val="0"/>
            </w:rPr>
          </w:pPr>
          <w:hyperlink w:history="true" w:anchor="_bookmark7">
            <w:r>
              <w:rPr/>
              <w:t>第八节</w:t>
            </w:r>
            <w:r>
              <w:rPr>
                <w:spacing w:val="1"/>
              </w:rPr>
              <w:t> </w:t>
            </w:r>
            <w:r>
              <w:rPr/>
              <w:t>董事、监事、高级管理人员和员工情况</w:t>
            </w:r>
            <w:r>
              <w:rPr>
                <w:rFonts w:ascii="宋体" w:hAnsi="宋体" w:cs="宋体" w:eastAsia="宋体" w:hint="default"/>
              </w:rPr>
              <w:tab/>
              <w:t>69</w:t>
            </w:r>
            <w:r>
              <w:rPr>
                <w:rFonts w:ascii="宋体" w:hAnsi="宋体" w:cs="宋体" w:eastAsia="宋体" w:hint="default"/>
                <w:b w:val="0"/>
                <w:bCs w:val="0"/>
              </w:rPr>
            </w:r>
          </w:hyperlink>
        </w:p>
        <w:p>
          <w:pPr>
            <w:pStyle w:val="TOC1"/>
            <w:tabs>
              <w:tab w:pos="9785" w:val="right" w:leader="dot"/>
            </w:tabs>
            <w:spacing w:line="240" w:lineRule="auto" w:before="192"/>
            <w:ind w:right="0"/>
            <w:jc w:val="left"/>
            <w:rPr>
              <w:rFonts w:ascii="宋体" w:hAnsi="宋体" w:cs="宋体" w:eastAsia="宋体" w:hint="default"/>
              <w:b w:val="0"/>
              <w:bCs w:val="0"/>
            </w:rPr>
          </w:pPr>
          <w:hyperlink w:history="true" w:anchor="_bookmark8">
            <w:r>
              <w:rPr/>
              <w:t>第九节</w:t>
            </w:r>
            <w:r>
              <w:rPr>
                <w:spacing w:val="2"/>
              </w:rPr>
              <w:t> </w:t>
            </w:r>
            <w:r>
              <w:rPr/>
              <w:t>公司治理</w:t>
            </w:r>
            <w:r>
              <w:rPr>
                <w:rFonts w:ascii="宋体" w:hAnsi="宋体" w:cs="宋体" w:eastAsia="宋体" w:hint="default"/>
              </w:rPr>
              <w:tab/>
              <w:t>76</w:t>
            </w:r>
            <w:r>
              <w:rPr>
                <w:rFonts w:ascii="宋体" w:hAnsi="宋体" w:cs="宋体" w:eastAsia="宋体" w:hint="default"/>
                <w:b w:val="0"/>
                <w:bCs w:val="0"/>
              </w:rPr>
            </w:r>
          </w:hyperlink>
        </w:p>
        <w:p>
          <w:pPr>
            <w:pStyle w:val="TOC1"/>
            <w:tabs>
              <w:tab w:pos="9785" w:val="right" w:leader="dot"/>
            </w:tabs>
            <w:spacing w:line="240" w:lineRule="auto"/>
            <w:ind w:right="0"/>
            <w:jc w:val="left"/>
            <w:rPr>
              <w:rFonts w:ascii="宋体" w:hAnsi="宋体" w:cs="宋体" w:eastAsia="宋体" w:hint="default"/>
              <w:b w:val="0"/>
              <w:bCs w:val="0"/>
            </w:rPr>
          </w:pPr>
          <w:hyperlink w:history="true" w:anchor="_bookmark9">
            <w:r>
              <w:rPr/>
              <w:t>第十节</w:t>
            </w:r>
            <w:r>
              <w:rPr>
                <w:spacing w:val="2"/>
              </w:rPr>
              <w:t> </w:t>
            </w:r>
            <w:r>
              <w:rPr/>
              <w:t>公司债券相关情况</w:t>
            </w:r>
            <w:r>
              <w:rPr>
                <w:rFonts w:ascii="宋体" w:hAnsi="宋体" w:cs="宋体" w:eastAsia="宋体" w:hint="default"/>
              </w:rPr>
              <w:tab/>
              <w:t>82</w:t>
            </w:r>
            <w:r>
              <w:rPr>
                <w:rFonts w:ascii="宋体" w:hAnsi="宋体" w:cs="宋体" w:eastAsia="宋体" w:hint="default"/>
                <w:b w:val="0"/>
                <w:bCs w:val="0"/>
              </w:rPr>
            </w:r>
          </w:hyperlink>
        </w:p>
        <w:p>
          <w:pPr>
            <w:pStyle w:val="TOC1"/>
            <w:tabs>
              <w:tab w:pos="9785" w:val="right" w:leader="dot"/>
            </w:tabs>
            <w:spacing w:line="240" w:lineRule="auto"/>
            <w:ind w:right="0"/>
            <w:jc w:val="left"/>
            <w:rPr>
              <w:rFonts w:ascii="宋体" w:hAnsi="宋体" w:cs="宋体" w:eastAsia="宋体" w:hint="default"/>
              <w:b w:val="0"/>
              <w:bCs w:val="0"/>
            </w:rPr>
          </w:pPr>
          <w:hyperlink w:history="true" w:anchor="_bookmark10">
            <w:r>
              <w:rPr/>
              <w:t>第十一节</w:t>
            </w:r>
            <w:r>
              <w:rPr>
                <w:spacing w:val="-1"/>
              </w:rPr>
              <w:t> </w:t>
            </w:r>
            <w:r>
              <w:rPr/>
              <w:t>财务报告</w:t>
            </w:r>
            <w:r>
              <w:rPr>
                <w:rFonts w:ascii="宋体" w:hAnsi="宋体" w:cs="宋体" w:eastAsia="宋体" w:hint="default"/>
              </w:rPr>
              <w:tab/>
              <w:t>83</w:t>
            </w:r>
            <w:r>
              <w:rPr>
                <w:rFonts w:ascii="宋体" w:hAnsi="宋体" w:cs="宋体" w:eastAsia="宋体" w:hint="default"/>
                <w:b w:val="0"/>
                <w:bCs w:val="0"/>
              </w:rPr>
            </w:r>
          </w:hyperlink>
        </w:p>
        <w:p>
          <w:pPr>
            <w:pStyle w:val="TOC1"/>
            <w:tabs>
              <w:tab w:pos="9783" w:val="right" w:leader="dot"/>
            </w:tabs>
            <w:spacing w:line="240" w:lineRule="auto" w:before="192"/>
            <w:ind w:right="0"/>
            <w:jc w:val="left"/>
            <w:rPr>
              <w:rFonts w:ascii="宋体" w:hAnsi="宋体" w:cs="宋体" w:eastAsia="宋体" w:hint="default"/>
              <w:b w:val="0"/>
              <w:bCs w:val="0"/>
            </w:rPr>
          </w:pPr>
          <w:hyperlink w:history="true" w:anchor="_bookmark11">
            <w:r>
              <w:rPr/>
              <w:t>第十二节</w:t>
            </w:r>
            <w:r>
              <w:rPr>
                <w:spacing w:val="-2"/>
              </w:rPr>
              <w:t> </w:t>
            </w:r>
            <w:r>
              <w:rPr/>
              <w:t>备查文件目录</w:t>
            </w:r>
            <w:r>
              <w:rPr>
                <w:rFonts w:ascii="宋体" w:hAnsi="宋体" w:cs="宋体" w:eastAsia="宋体" w:hint="default"/>
              </w:rPr>
              <w:tab/>
              <w:t>188</w:t>
            </w:r>
            <w:r>
              <w:rPr>
                <w:rFonts w:ascii="宋体" w:hAnsi="宋体" w:cs="宋体" w:eastAsia="宋体" w:hint="default"/>
                <w:b w:val="0"/>
                <w:bCs w:val="0"/>
              </w:rPr>
            </w:r>
          </w:hyperlink>
        </w:p>
        <w:p>
          <w:pPr/>
          <w:r>
            <w:fldChar w:fldCharType="end"/>
          </w:r>
        </w:p>
      </w:sdtContent>
    </w:sdt>
    <w:p>
      <w:pPr>
        <w:spacing w:after="0"/>
        <w:sectPr>
          <w:pgSz w:w="11910" w:h="16840"/>
          <w:pgMar w:header="745" w:footer="979" w:top="1060" w:bottom="1160" w:left="980" w:right="980"/>
        </w:sectPr>
      </w:pPr>
    </w:p>
    <w:p>
      <w:pPr>
        <w:spacing w:before="945"/>
        <w:ind w:left="2421" w:right="2421"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536"/>
        <w:gridCol w:w="599"/>
        <w:gridCol w:w="5436"/>
      </w:tblGrid>
      <w:tr>
        <w:trPr>
          <w:trHeight w:val="403"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公司、本公司、数字政通、发行人</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人民币元</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中华人民共和国证券监督管理委员会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上市规则</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深圳证券交易所创业板股票上市规则</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北京数字政通科技股份有限公司章程</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北京数字政通科技股份有限公司董事会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北京数字政通科技股份有限公司监事会</w:t>
            </w:r>
          </w:p>
        </w:tc>
      </w:tr>
      <w:tr>
        <w:trPr>
          <w:trHeight w:val="404"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北京数字政通科技股份有限公司股东大会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数字智通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北京数字智通科技有限公司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北京数字政通智能泊车技术有限公司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上海政通信息科技有限公司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武汉智慧政通科技有限公司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安徽数字政通科技有限责任公司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克拉玛依子公司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克拉玛依数字政通信息科技有限责任公司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小爱科技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重庆小爱科技有限公司</w:t>
            </w:r>
          </w:p>
        </w:tc>
      </w:tr>
      <w:tr>
        <w:trPr>
          <w:trHeight w:val="404"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金迪管线</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保定金迪地下管线探测工程有限公司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金迪科仪</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保定金迪科学仪器有限公司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金迪科技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保定市金迪科技开发有限公司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政通智慧城市运营</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政通智慧城市运营科技有限公司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天健源达</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北京天健源达科技有限公司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通通停车</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1"/>
        <w:spacing w:line="240" w:lineRule="auto"/>
        <w:ind w:left="2642" w:right="153"/>
        <w:jc w:val="left"/>
        <w:rPr>
          <w:b w:val="0"/>
          <w:bCs w:val="0"/>
        </w:rPr>
      </w:pPr>
      <w:bookmarkStart w:name="_bookmark1" w:id="2"/>
      <w:bookmarkEnd w:id="2"/>
      <w:r>
        <w:rPr>
          <w:b w:val="0"/>
          <w:bCs w:val="0"/>
        </w:rPr>
      </w:r>
      <w:r>
        <w:rPr/>
        <w:t>第二节</w:t>
      </w:r>
      <w:r>
        <w:rPr>
          <w:spacing w:val="-5"/>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53"/>
        <w:jc w:val="left"/>
        <w:rPr>
          <w:b w:val="0"/>
          <w:bCs w:val="0"/>
        </w:rPr>
      </w:pPr>
      <w:r>
        <w:rPr/>
        <w:pict>
          <v:group style="position:absolute;margin-left:172.339996pt;margin-top:114.705597pt;width:361.55pt;height:19.7pt;mso-position-horizontal-relative:page;mso-position-vertical-relative:paragraph;z-index:-869008" coordorigin="3447,2294" coordsize="7231,394">
            <v:shape style="position:absolute;left:3447;top:2294;width:7231;height:394" coordorigin="3447,2294" coordsize="7231,394" path="m3447,2688l10677,2688,10677,2294,3447,2294,3447,2688xe" filled="true" fillcolor="#ffffff" stroked="false">
              <v:path arrowok="t"/>
              <v:fill type="solid"/>
            </v:shape>
            <w10:wrap type="none"/>
          </v:group>
        </w:pict>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2"/>
        <w:gridCol w:w="2966"/>
        <w:gridCol w:w="2154"/>
        <w:gridCol w:w="2177"/>
      </w:tblGrid>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300075</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Beijing </w:t>
            </w:r>
            <w:r>
              <w:rPr>
                <w:rFonts w:ascii="Times New Roman"/>
                <w:spacing w:val="-5"/>
                <w:sz w:val="18"/>
              </w:rPr>
              <w:t>eGOVA </w:t>
            </w:r>
            <w:r>
              <w:rPr>
                <w:rFonts w:ascii="Times New Roman"/>
                <w:sz w:val="18"/>
              </w:rPr>
              <w:t>Co,.</w:t>
            </w:r>
            <w:r>
              <w:rPr>
                <w:rFonts w:ascii="Times New Roman"/>
                <w:spacing w:val="-11"/>
                <w:sz w:val="18"/>
              </w:rPr>
              <w:t> </w:t>
            </w:r>
            <w:r>
              <w:rPr>
                <w:rFonts w:ascii="Times New Roman"/>
                <w:sz w:val="18"/>
              </w:rPr>
              <w:t>Ltd</w:t>
            </w:r>
          </w:p>
        </w:tc>
      </w:tr>
      <w:tr>
        <w:trPr>
          <w:trHeight w:val="403" w:hRule="exact"/>
        </w:trPr>
        <w:tc>
          <w:tcPr>
            <w:tcW w:w="2272"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8"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pacing w:val="-5"/>
                <w:sz w:val="18"/>
              </w:rPr>
              <w:t>eGOVA</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吴强华</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北京市海淀区西直门北大街</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号枫蓝国际中心</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层</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100082</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 </w:t>
            </w:r>
            <w:r>
              <w:rPr>
                <w:rFonts w:ascii="宋体" w:hAnsi="宋体" w:cs="宋体" w:eastAsia="宋体" w:hint="default"/>
                <w:sz w:val="18"/>
                <w:szCs w:val="18"/>
              </w:rPr>
              <w:t>号楼国际软件大厦三区 </w:t>
            </w:r>
            <w:r>
              <w:rPr>
                <w:rFonts w:ascii="Times New Roman" w:hAnsi="Times New Roman" w:cs="Times New Roman" w:eastAsia="Times New Roman" w:hint="default"/>
                <w:sz w:val="18"/>
                <w:szCs w:val="18"/>
              </w:rPr>
              <w:t>101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室</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100193</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9">
              <w:r>
                <w:rPr>
                  <w:rFonts w:ascii="Times New Roman"/>
                  <w:sz w:val="18"/>
                </w:rPr>
                <w:t>www.egova.com.cn</w:t>
              </w:r>
            </w:hyperlink>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153"/>
        <w:jc w:val="left"/>
        <w:rPr>
          <w:b w:val="0"/>
          <w:bCs w:val="0"/>
        </w:rPr>
      </w:pP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许菲</w:t>
            </w:r>
          </w:p>
        </w:tc>
      </w:tr>
      <w:tr>
        <w:trPr>
          <w:trHeight w:val="161" w:hRule="exact"/>
        </w:trPr>
        <w:tc>
          <w:tcPr>
            <w:tcW w:w="3168"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1" w:type="dxa"/>
            <w:vMerge w:val="restart"/>
            <w:tcBorders>
              <w:top w:val="single" w:sz="4" w:space="0" w:color="000000"/>
              <w:left w:val="single" w:sz="9" w:space="0" w:color="D2D2D2"/>
              <w:right w:val="single" w:sz="4" w:space="0" w:color="000000"/>
            </w:tcBorders>
          </w:tcPr>
          <w:p>
            <w:pPr>
              <w:pStyle w:val="TableParagraph"/>
              <w:spacing w:line="300" w:lineRule="auto" w:before="49"/>
              <w:ind w:left="28" w:right="182"/>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号楼国 际软件大厦</w:t>
            </w:r>
          </w:p>
        </w:tc>
        <w:tc>
          <w:tcPr>
            <w:tcW w:w="3190" w:type="dxa"/>
            <w:vMerge w:val="restart"/>
            <w:tcBorders>
              <w:top w:val="single" w:sz="4" w:space="0" w:color="000000"/>
              <w:left w:val="single" w:sz="4" w:space="0" w:color="000000"/>
              <w:right w:val="single" w:sz="4" w:space="0" w:color="000000"/>
            </w:tcBorders>
          </w:tcPr>
          <w:p>
            <w:pPr>
              <w:pStyle w:val="TableParagraph"/>
              <w:spacing w:line="300"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号楼国 际软件大厦</w:t>
            </w:r>
          </w:p>
        </w:tc>
      </w:tr>
      <w:tr>
        <w:trPr>
          <w:trHeight w:val="391" w:hRule="exact"/>
        </w:trPr>
        <w:tc>
          <w:tcPr>
            <w:tcW w:w="31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1"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68"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1"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010-56161618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010-56161688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153"/>
        <w:jc w:val="left"/>
        <w:rPr>
          <w:b w:val="0"/>
          <w:bCs w:val="0"/>
        </w:rPr>
      </w:pP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2"/>
                <w:sz w:val="18"/>
                <w:szCs w:val="18"/>
              </w:rPr>
              <w:t>》、</w:t>
            </w:r>
            <w:r>
              <w:rPr>
                <w:rFonts w:ascii="宋体" w:hAnsi="宋体" w:cs="宋体" w:eastAsia="宋体" w:hint="default"/>
                <w:sz w:val="18"/>
                <w:szCs w:val="18"/>
              </w:rPr>
              <w:t>《中国证券报</w:t>
            </w:r>
            <w:r>
              <w:rPr>
                <w:rFonts w:ascii="宋体" w:hAnsi="宋体" w:cs="宋体" w:eastAsia="宋体" w:hint="default"/>
                <w:spacing w:val="2"/>
                <w:sz w:val="18"/>
                <w:szCs w:val="18"/>
              </w:rPr>
              <w:t>》</w:t>
            </w:r>
            <w:r>
              <w:rPr>
                <w:rFonts w:ascii="宋体" w:hAnsi="宋体" w:cs="宋体" w:eastAsia="宋体" w:hint="default"/>
                <w:sz w:val="18"/>
                <w:szCs w:val="18"/>
              </w:rPr>
              <w:t>和《证券日报》</w:t>
            </w:r>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公司董事会秘书办公室</w:t>
            </w:r>
          </w:p>
        </w:tc>
      </w:tr>
    </w:tbl>
    <w:p>
      <w:pPr>
        <w:spacing w:line="240" w:lineRule="auto" w:before="1"/>
        <w:rPr>
          <w:rFonts w:ascii="宋体" w:hAnsi="宋体" w:cs="宋体" w:eastAsia="宋体" w:hint="default"/>
          <w:b/>
          <w:bCs/>
          <w:sz w:val="18"/>
          <w:szCs w:val="18"/>
        </w:rPr>
      </w:pPr>
    </w:p>
    <w:p>
      <w:pPr>
        <w:pStyle w:val="Heading2"/>
        <w:spacing w:line="240" w:lineRule="auto" w:before="26"/>
        <w:ind w:right="153"/>
        <w:jc w:val="left"/>
        <w:rPr>
          <w:b w:val="0"/>
          <w:bCs w:val="0"/>
        </w:rPr>
      </w:pPr>
      <w:r>
        <w:rPr/>
        <w:t>四、其他有关资料</w:t>
      </w:r>
      <w:r>
        <w:rPr>
          <w:b w:val="0"/>
          <w:bCs w:val="0"/>
        </w:rPr>
      </w:r>
    </w:p>
    <w:p>
      <w:pPr>
        <w:spacing w:line="240" w:lineRule="auto" w:before="7"/>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北京市东城区永定门西滨河路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号楼中海地产广场西塔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层</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苗策、薛东升</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1"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50"/>
              <w:jc w:val="righ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中泰证券股份有限公司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北京市西城区丰盛胡同</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太平洋保险大厦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马家烈、孙晓刚</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43"/>
              <w:jc w:val="righ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五、主要会计数据和财务指标</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8"/>
        <w:gridCol w:w="1738"/>
        <w:gridCol w:w="1735"/>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1,202,976,973.86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967,336,066.29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651,135,338.98</w:t>
            </w:r>
          </w:p>
        </w:tc>
      </w:tr>
      <w:tr>
        <w:trPr>
          <w:trHeight w:val="716"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169,594,871.96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131,364,945.12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29.10%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121,333,706.22</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153,051,229.89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135,292,879.50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13.13%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105,961,676.16</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-36,037,789.90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22,967,034.93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-256.91%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124,505,203.13</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0.34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23.53%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0.32</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23.53%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0.32</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0.75%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10.14%</w:t>
            </w:r>
          </w:p>
        </w:tc>
      </w:tr>
      <w:tr>
        <w:trPr>
          <w:trHeight w:val="40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3,062,153,257.73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2,352,231,921.95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1,860,828,293.33</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2,040,828,163.85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1,396,988,769.63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46.09%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1,255,393,113.08</w:t>
            </w:r>
          </w:p>
        </w:tc>
      </w:tr>
    </w:tbl>
    <w:p>
      <w:pPr>
        <w:spacing w:line="240" w:lineRule="auto" w:before="1"/>
        <w:rPr>
          <w:rFonts w:ascii="宋体" w:hAnsi="宋体" w:cs="宋体" w:eastAsia="宋体" w:hint="default"/>
          <w:sz w:val="18"/>
          <w:szCs w:val="18"/>
        </w:rPr>
      </w:pPr>
    </w:p>
    <w:p>
      <w:pPr>
        <w:pStyle w:val="Heading2"/>
        <w:spacing w:line="240" w:lineRule="auto" w:before="26"/>
        <w:ind w:right="153"/>
        <w:jc w:val="left"/>
        <w:rPr>
          <w:b w:val="0"/>
          <w:bCs w:val="0"/>
        </w:rPr>
      </w:pPr>
      <w:r>
        <w:rPr/>
        <w:t>六、分季度主要财务指标</w:t>
      </w:r>
      <w:r>
        <w:rPr>
          <w:b w:val="0"/>
          <w:bCs w:val="0"/>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40"/>
        <w:gridCol w:w="1738"/>
        <w:gridCol w:w="1730"/>
      </w:tblGrid>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7"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112,395,636.07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221,996,370.60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205,850,709.60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662,734,257.59</w:t>
            </w:r>
          </w:p>
        </w:tc>
      </w:tr>
      <w:tr>
        <w:trPr>
          <w:trHeight w:val="40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11,106,334.21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51,722,579.10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13,163,397.40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93,602,561.25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0"/>
        <w:gridCol w:w="1741"/>
        <w:gridCol w:w="1740"/>
        <w:gridCol w:w="1738"/>
        <w:gridCol w:w="1730"/>
      </w:tblGrid>
      <w:tr>
        <w:trPr>
          <w:trHeight w:val="713"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11,106,412.71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51,015,550.90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12,788,669.30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78,140,596.98</w:t>
            </w:r>
          </w:p>
        </w:tc>
      </w:tr>
      <w:tr>
        <w:trPr>
          <w:trHeight w:val="403"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-122,060,853.89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-79,302,134.70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-70,409,155.90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235,734,354.59</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38" w:lineRule="auto" w:before="0"/>
        <w:ind w:left="152" w:right="5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、同时按照境外会计准则与按照中国会计准则披露的财务报告中净利润和净资产差异情况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16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8"/>
        <w:rPr>
          <w:rFonts w:ascii="宋体" w:hAnsi="宋体" w:cs="宋体" w:eastAsia="宋体" w:hint="default"/>
          <w:sz w:val="19"/>
          <w:szCs w:val="19"/>
        </w:rPr>
      </w:pPr>
    </w:p>
    <w:p>
      <w:pPr>
        <w:pStyle w:val="Heading2"/>
        <w:spacing w:line="240" w:lineRule="auto"/>
        <w:ind w:right="153"/>
        <w:jc w:val="left"/>
        <w:rPr>
          <w:b w:val="0"/>
          <w:bCs w:val="0"/>
        </w:rPr>
      </w:pPr>
      <w:r>
        <w:rPr/>
        <w:t>八、非经常性损益项目及金额</w:t>
      </w:r>
      <w:r>
        <w:rPr>
          <w:b w:val="0"/>
          <w:bCs w:val="0"/>
        </w:rPr>
      </w:r>
    </w:p>
    <w:p>
      <w:pPr>
        <w:spacing w:line="240" w:lineRule="auto" w:before="1"/>
        <w:rPr>
          <w:rFonts w:ascii="宋体" w:hAnsi="宋体" w:cs="宋体" w:eastAsia="宋体" w:hint="default"/>
          <w:b/>
          <w:bCs/>
          <w:sz w:val="23"/>
          <w:szCs w:val="23"/>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1"/>
      </w:tblGrid>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14,778,935.44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107,765.90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-374,810.85</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5,131,850.87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4,086,899.22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18,636,807.12</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1,359.85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185,702.62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-4.98</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32" w:type="dxa"/>
            <w:tcBorders>
              <w:top w:val="single" w:sz="4" w:space="0" w:color="000000"/>
              <w:left w:val="single" w:sz="10"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-7,375,108.21</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3,076,490.71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743,602.90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2,784,357.91</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292,013.38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189,591.01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105,603.32</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16,543,642.07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-3,927,934.38</w:t>
            </w:r>
          </w:p>
        </w:tc>
        <w:tc>
          <w:tcPr>
            <w:tcW w:w="152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15,372,030.06</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0" w:lineRule="auto" w:before="63"/>
        <w:ind w:left="152" w:right="139"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2"/>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300" w:lineRule="auto" w:before="101"/>
        <w:ind w:left="152" w:right="137"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29" w:right="3510"/>
        <w:jc w:val="center"/>
        <w:rPr>
          <w:b w:val="0"/>
          <w:bCs w:val="0"/>
        </w:rPr>
      </w:pPr>
      <w:bookmarkStart w:name="_bookmark2" w:id="3"/>
      <w:bookmarkEnd w:id="3"/>
      <w:r>
        <w:rPr>
          <w:b w:val="0"/>
          <w:bCs w:val="0"/>
        </w:rPr>
      </w:r>
      <w:r>
        <w:rPr/>
        <w:t>第三节</w:t>
      </w:r>
      <w:r>
        <w:rPr>
          <w:spacing w:val="-6"/>
        </w:rPr>
        <w:t> </w:t>
      </w:r>
      <w:r>
        <w:rPr/>
        <w:t>公司业务概要</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6"/>
        <w:jc w:val="left"/>
        <w:rPr>
          <w:b w:val="0"/>
          <w:bCs w:val="0"/>
        </w:rPr>
      </w:pP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spacing w:line="360" w:lineRule="auto" w:before="0"/>
        <w:ind w:left="152" w:right="67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5"/>
        <w:ind w:right="235" w:firstLine="482"/>
        <w:jc w:val="both"/>
      </w:pPr>
      <w:r>
        <w:rPr/>
        <w:t>数字政通的主营业务是专业智慧城市应用软件的开发和销售，并提供技术支持和后续服 务，是国内知名度较高、市场份额领先的智慧城市应用软件开发商和全面解决方案提供商之</w:t>
      </w:r>
      <w:r>
        <w:rPr>
          <w:spacing w:val="-87"/>
        </w:rPr>
        <w:t> </w:t>
      </w:r>
      <w:r>
        <w:rPr>
          <w:spacing w:val="-87"/>
        </w:rPr>
      </w:r>
      <w:r>
        <w:rPr/>
        <w:t>一。</w:t>
      </w:r>
    </w:p>
    <w:p>
      <w:pPr>
        <w:pStyle w:val="BodyText"/>
        <w:spacing w:line="357" w:lineRule="auto"/>
        <w:ind w:right="238" w:firstLine="482"/>
        <w:jc w:val="both"/>
      </w:pPr>
      <w:r>
        <w:rPr/>
        <w:t>数字政通采用统一的时空信息管理技术，将二维地图、三维模型、三维实景、视频等各 类基础信息与城市部件、实有人口、法人、房屋等行业管理信息整合到一个时空体系中，在</w:t>
      </w:r>
      <w:r>
        <w:rPr>
          <w:spacing w:val="-91"/>
        </w:rPr>
        <w:t> </w:t>
      </w:r>
      <w:r>
        <w:rPr>
          <w:spacing w:val="-91"/>
        </w:rPr>
      </w:r>
      <w:r>
        <w:rPr/>
        <w:t>全时空体系中还原各类信息在空间、时间、权属等多个维度的关联关系，从而为数字城管、</w:t>
      </w:r>
      <w:r>
        <w:rPr>
          <w:spacing w:val="-91"/>
        </w:rPr>
        <w:t> </w:t>
      </w:r>
      <w:r>
        <w:rPr>
          <w:spacing w:val="-91"/>
        </w:rPr>
      </w:r>
      <w:r>
        <w:rPr/>
        <w:t>智慧社区、智能交通、智慧安防等智慧城市各类行业应用提供全时空一体化的城市综合公共</w:t>
      </w:r>
      <w:r>
        <w:rPr>
          <w:spacing w:val="-91"/>
        </w:rPr>
        <w:t> </w:t>
      </w:r>
      <w:r>
        <w:rPr>
          <w:spacing w:val="-91"/>
        </w:rPr>
      </w:r>
      <w:r>
        <w:rPr/>
        <w:t>信息。</w:t>
      </w:r>
    </w:p>
    <w:p>
      <w:pPr>
        <w:pStyle w:val="BodyText"/>
        <w:spacing w:line="357" w:lineRule="auto"/>
        <w:ind w:right="231" w:firstLine="482"/>
        <w:jc w:val="both"/>
      </w:pPr>
      <w:r>
        <w:rPr>
          <w:spacing w:val="-3"/>
        </w:rPr>
        <w:t>数字政通自主知识产权的智慧城市基础平台</w:t>
      </w:r>
      <w:r>
        <w:rPr>
          <w:rFonts w:ascii="宋体" w:hAnsi="宋体" w:cs="宋体" w:eastAsia="宋体" w:hint="default"/>
          <w:spacing w:val="-3"/>
        </w:rPr>
        <w:t>-</w:t>
      </w:r>
      <w:r>
        <w:rPr>
          <w:spacing w:val="-3"/>
        </w:rPr>
        <w:t>智信平台，采用“全移动”的先进理念，实</w:t>
      </w:r>
      <w:r>
        <w:rPr/>
        <w:t> 现全平台用户的移动互联，围绕各业务全过程各个环节，实现办公模式从传统</w:t>
      </w:r>
      <w:r>
        <w:rPr>
          <w:rFonts w:ascii="宋体" w:hAnsi="宋体" w:cs="宋体" w:eastAsia="宋体" w:hint="default"/>
        </w:rPr>
        <w:t>PC</w:t>
      </w:r>
      <w:r>
        <w:rPr/>
        <w:t>电脑向“全</w:t>
      </w:r>
      <w:r>
        <w:rPr>
          <w:spacing w:val="-86"/>
        </w:rPr>
        <w:t> </w:t>
      </w:r>
      <w:r>
        <w:rPr>
          <w:spacing w:val="-86"/>
        </w:rPr>
      </w:r>
      <w:r>
        <w:rPr/>
        <w:t>移动”手机终端转变，实现真正意义上的“扁平化”管理。</w:t>
      </w:r>
    </w:p>
    <w:p>
      <w:pPr>
        <w:pStyle w:val="BodyText"/>
        <w:spacing w:line="357" w:lineRule="auto"/>
        <w:ind w:right="96" w:firstLine="482"/>
        <w:jc w:val="left"/>
      </w:pPr>
      <w:r>
        <w:rPr>
          <w:spacing w:val="-3"/>
        </w:rPr>
        <w:t>数字政通研发的智云平台，在智慧城市大背景下，综合运用“互联网</w:t>
      </w:r>
      <w:r>
        <w:rPr>
          <w:rFonts w:ascii="宋体" w:hAnsi="宋体" w:cs="宋体" w:eastAsia="宋体" w:hint="default"/>
          <w:spacing w:val="-3"/>
        </w:rPr>
        <w:t>+</w:t>
      </w:r>
      <w:r>
        <w:rPr>
          <w:spacing w:val="-3"/>
        </w:rPr>
        <w:t>”先进技术和“网</w:t>
      </w:r>
      <w:r>
        <w:rPr/>
        <w:t> </w:t>
      </w:r>
      <w:r>
        <w:rPr>
          <w:spacing w:val="-3"/>
        </w:rPr>
        <w:t>格化</w:t>
      </w:r>
      <w:r>
        <w:rPr>
          <w:rFonts w:ascii="宋体" w:hAnsi="宋体" w:cs="宋体" w:eastAsia="宋体" w:hint="default"/>
          <w:spacing w:val="-3"/>
        </w:rPr>
        <w:t>+</w:t>
      </w:r>
      <w:r>
        <w:rPr>
          <w:spacing w:val="-3"/>
        </w:rPr>
        <w:t>”管理模式，研发基于云架构的智慧城市网格化综合管理平台，满足智慧城市管理用户</w:t>
      </w:r>
      <w:r>
        <w:rPr>
          <w:spacing w:val="-81"/>
        </w:rPr>
        <w:t> </w:t>
      </w:r>
      <w:r>
        <w:rPr>
          <w:spacing w:val="-81"/>
        </w:rPr>
      </w:r>
      <w:r>
        <w:rPr/>
        <w:t>量和数据量的逐年增加对系统的高并发访问请求，满足不同层级用户对系统服务模式的多样</w:t>
      </w:r>
      <w:r>
        <w:rPr>
          <w:spacing w:val="-91"/>
        </w:rPr>
        <w:t> </w:t>
      </w:r>
      <w:r>
        <w:rPr>
          <w:spacing w:val="-91"/>
        </w:rPr>
      </w:r>
      <w:r>
        <w:rPr>
          <w:spacing w:val="-2"/>
        </w:rPr>
        <w:t>化需求，避免软硬件落伍、存储不够、系统故障、安全漏洞等客观原因影响平台的快速推广、</w:t>
      </w:r>
      <w:r>
        <w:rPr/>
        <w:t> 系统的运行效率，助推网格化城市管理系统的升级换代和全国推广。</w:t>
      </w:r>
    </w:p>
    <w:p>
      <w:pPr>
        <w:pStyle w:val="BodyText"/>
        <w:spacing w:line="357" w:lineRule="auto"/>
        <w:ind w:right="96" w:firstLine="482"/>
        <w:jc w:val="left"/>
      </w:pPr>
      <w:r>
        <w:rPr/>
        <w:t>数字政通研发的网格化环保系统，综合运用物联网感知技术和移动物联网技术，将污染 </w:t>
      </w:r>
      <w:r>
        <w:rPr>
          <w:spacing w:val="-2"/>
        </w:rPr>
        <w:t>源分布、网格化环保监管信息纳入环保网格化管理系统，对辖区内所有排污企业、生态环境、</w:t>
      </w:r>
      <w:r>
        <w:rPr/>
        <w:t> </w:t>
      </w:r>
      <w:r>
        <w:rPr>
          <w:spacing w:val="-2"/>
        </w:rPr>
        <w:t>信访案件、污染纠纷、环境安全隐患、违法建设项目信息采集与上报；建设环保专题数据库，</w:t>
      </w:r>
      <w:r>
        <w:rPr/>
        <w:t> </w:t>
      </w:r>
      <w:r>
        <w:rPr>
          <w:spacing w:val="-2"/>
        </w:rPr>
        <w:t>形成网格化环保监管体系；对网格内所有监管单位按单位性质、规模、污染物排放种类及新、</w:t>
      </w:r>
      <w:r>
        <w:rPr/>
        <w:t> 改、扩建项目、减排工程、污染集中处置设施等进行分级分类管理。基于移动终端开展网格</w:t>
      </w:r>
      <w:r>
        <w:rPr>
          <w:spacing w:val="-91"/>
        </w:rPr>
        <w:t> </w:t>
      </w:r>
      <w:r>
        <w:rPr>
          <w:spacing w:val="-91"/>
        </w:rPr>
      </w:r>
      <w:r>
        <w:rPr>
          <w:spacing w:val="-3"/>
        </w:rPr>
        <w:t>内污染源上报、环境隐患排查，全面掌握水、气、声等环境状况，对工业企业开展环保监管，</w:t>
      </w:r>
      <w:r>
        <w:rPr>
          <w:spacing w:val="-82"/>
        </w:rPr>
        <w:t> </w:t>
      </w:r>
      <w:r>
        <w:rPr>
          <w:spacing w:val="-82"/>
        </w:rPr>
      </w:r>
      <w:r>
        <w:rPr/>
        <w:t>处理投诉举报和协助开展环境事故应急处置。</w:t>
      </w:r>
    </w:p>
    <w:p>
      <w:pPr>
        <w:pStyle w:val="BodyText"/>
        <w:spacing w:line="240" w:lineRule="auto"/>
        <w:ind w:left="635" w:right="96"/>
        <w:jc w:val="left"/>
      </w:pPr>
      <w:r>
        <w:rPr/>
        <w:t>数字政通研发了集管线数据普查、数据入库管理、数据维护更新、地下管线精细化管理</w:t>
      </w:r>
    </w:p>
    <w:p>
      <w:pPr>
        <w:spacing w:after="0" w:line="240"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239"/>
        <w:jc w:val="both"/>
      </w:pPr>
      <w:r>
        <w:rPr/>
        <w:t>以及为领导和专业部门提供服务等功能为一体的地下管线与空间综合管理平台。通过地下管</w:t>
      </w:r>
      <w:r>
        <w:rPr>
          <w:spacing w:val="-91"/>
        </w:rPr>
        <w:t> </w:t>
      </w:r>
      <w:r>
        <w:rPr>
          <w:spacing w:val="-91"/>
        </w:rPr>
      </w:r>
      <w:r>
        <w:rPr/>
        <w:t>网管理平台的建设，能够建立覆盖实施范围内地上地下全范围的城市管理模式。同时，依托</w:t>
      </w:r>
      <w:r>
        <w:rPr>
          <w:spacing w:val="-91"/>
        </w:rPr>
        <w:t> </w:t>
      </w:r>
      <w:r>
        <w:rPr>
          <w:spacing w:val="-91"/>
        </w:rPr>
      </w:r>
      <w:r>
        <w:rPr/>
        <w:t>地下管网数据能够建立一系列的统计分析工具，为各专业部门审批、应急突发状况调度以及</w:t>
      </w:r>
      <w:r>
        <w:rPr>
          <w:spacing w:val="-91"/>
        </w:rPr>
        <w:t> </w:t>
      </w:r>
      <w:r>
        <w:rPr>
          <w:spacing w:val="-91"/>
        </w:rPr>
      </w:r>
      <w:r>
        <w:rPr/>
        <w:t>领导的决策提供辅助支撑服务。管理内容将贯穿规划、建设、管理和服务的全过程，涵盖市</w:t>
      </w:r>
      <w:r>
        <w:rPr>
          <w:spacing w:val="-91"/>
        </w:rPr>
        <w:t> </w:t>
      </w:r>
      <w:r>
        <w:rPr>
          <w:spacing w:val="-91"/>
        </w:rPr>
      </w:r>
      <w:r>
        <w:rPr/>
        <w:t>政、自来水、燃气、电力、通信、供热等地下管网管理相关领域，实现具有本地化特色的地</w:t>
      </w:r>
      <w:r>
        <w:rPr>
          <w:spacing w:val="-91"/>
        </w:rPr>
        <w:t> </w:t>
      </w:r>
      <w:r>
        <w:rPr>
          <w:spacing w:val="-91"/>
        </w:rPr>
      </w:r>
      <w:r>
        <w:rPr/>
        <w:t>下管线与空间综合管理管理模式。</w:t>
      </w:r>
    </w:p>
    <w:p>
      <w:pPr>
        <w:pStyle w:val="BodyText"/>
        <w:spacing w:line="357" w:lineRule="auto"/>
        <w:ind w:right="96" w:firstLine="482"/>
        <w:jc w:val="left"/>
      </w:pPr>
      <w:r>
        <w:rPr/>
        <w:t>数字政通自主研发的网格化社会服务管理信息系统，是采用先进信息技术，借鉴网格化 </w:t>
      </w:r>
      <w:r>
        <w:rPr>
          <w:spacing w:val="-3"/>
        </w:rPr>
        <w:t>管理为理念，以社区为单元，将社区划分为若干工作网格，将一定范围内的人、地、物、事、</w:t>
      </w:r>
      <w:r>
        <w:rPr>
          <w:spacing w:val="-85"/>
        </w:rPr>
        <w:t> </w:t>
      </w:r>
      <w:r>
        <w:rPr>
          <w:spacing w:val="-85"/>
        </w:rPr>
      </w:r>
      <w:r>
        <w:rPr>
          <w:spacing w:val="-5"/>
        </w:rPr>
        <w:t>组织、服务资源、管理项目等纳入网格，明确责任主体、责任人，建立市、区、街和社区“四</w:t>
      </w:r>
      <w:r>
        <w:rPr>
          <w:spacing w:val="-116"/>
        </w:rPr>
        <w:t> </w:t>
      </w:r>
      <w:r>
        <w:rPr>
          <w:spacing w:val="-116"/>
        </w:rPr>
      </w:r>
      <w:r>
        <w:rPr>
          <w:spacing w:val="-3"/>
        </w:rPr>
        <w:t>级服务管理”平台，构建市、区、街、社区和社区工作网格“五级联动社会服务管理”模式，</w:t>
      </w:r>
      <w:r>
        <w:rPr>
          <w:spacing w:val="-80"/>
        </w:rPr>
        <w:t> </w:t>
      </w:r>
      <w:r>
        <w:rPr>
          <w:spacing w:val="-80"/>
        </w:rPr>
      </w:r>
      <w:r>
        <w:rPr/>
        <w:t>根据用户不同需求，开发设计应用系统，实现社会服务与管理目标。</w:t>
      </w:r>
    </w:p>
    <w:p>
      <w:pPr>
        <w:pStyle w:val="BodyText"/>
        <w:spacing w:line="357" w:lineRule="auto"/>
        <w:ind w:right="236" w:firstLine="482"/>
        <w:jc w:val="both"/>
      </w:pPr>
      <w:r>
        <w:rPr/>
        <w:t>数字政通充分响应和发挥相关政策优势，探索出一套完整的城市管理综合执法的项目实 施经验，辅助用户全力推进城市综合执法体制改革，着力构建权责统一、权威高效的权力运</w:t>
      </w:r>
      <w:r>
        <w:rPr>
          <w:spacing w:val="-91"/>
        </w:rPr>
        <w:t> </w:t>
      </w:r>
      <w:r>
        <w:rPr>
          <w:spacing w:val="-91"/>
        </w:rPr>
      </w:r>
      <w:r>
        <w:rPr/>
        <w:t>行和监督体系。促进政府职能转变和提高行政公信力，坚持问题导向，着力破解职责交叉、</w:t>
      </w:r>
      <w:r>
        <w:rPr>
          <w:spacing w:val="-89"/>
        </w:rPr>
        <w:t> </w:t>
      </w:r>
      <w:r>
        <w:rPr>
          <w:spacing w:val="-89"/>
        </w:rPr>
      </w:r>
      <w:r>
        <w:rPr/>
        <w:t>主体不清、监管不力、保障不足等突出问题。</w:t>
      </w:r>
    </w:p>
    <w:p>
      <w:pPr>
        <w:pStyle w:val="BodyText"/>
        <w:spacing w:line="357" w:lineRule="auto"/>
        <w:ind w:right="96" w:firstLine="482"/>
        <w:jc w:val="left"/>
      </w:pPr>
      <w:r>
        <w:rPr/>
        <w:t>各业务具体发展情况详见“第四节经营情况分析与讨论”中“一、概述”及“二、主营 业务分析”。</w:t>
      </w:r>
    </w:p>
    <w:p>
      <w:pPr>
        <w:spacing w:line="240" w:lineRule="auto" w:before="11"/>
        <w:rPr>
          <w:rFonts w:ascii="宋体" w:hAnsi="宋体" w:cs="宋体" w:eastAsia="宋体" w:hint="default"/>
          <w:sz w:val="19"/>
          <w:szCs w:val="19"/>
        </w:rPr>
      </w:pPr>
    </w:p>
    <w:p>
      <w:pPr>
        <w:pStyle w:val="Heading2"/>
        <w:spacing w:line="240" w:lineRule="auto"/>
        <w:ind w:right="0"/>
        <w:jc w:val="both"/>
        <w:rPr>
          <w:b w:val="0"/>
          <w:bCs w:val="0"/>
        </w:rPr>
      </w:pPr>
      <w:r>
        <w:rPr/>
        <w:t>二、主要资产重大变化情况</w:t>
      </w:r>
      <w:r>
        <w:rPr>
          <w:b w:val="0"/>
          <w:bCs w:val="0"/>
        </w:rPr>
      </w:r>
    </w:p>
    <w:p>
      <w:pPr>
        <w:spacing w:line="240" w:lineRule="auto" w:before="9"/>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、主要资产重大变化情况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051"/>
        <w:gridCol w:w="6519"/>
      </w:tblGrid>
      <w:tr>
        <w:trPr>
          <w:trHeight w:val="187" w:hRule="exact"/>
        </w:trPr>
        <w:tc>
          <w:tcPr>
            <w:tcW w:w="305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305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3" w:hRule="exact"/>
        </w:trPr>
        <w:tc>
          <w:tcPr>
            <w:tcW w:w="305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9" w:type="dxa"/>
            <w:vMerge w:val="restart"/>
            <w:tcBorders>
              <w:top w:val="single" w:sz="4" w:space="0" w:color="000000"/>
              <w:left w:val="single" w:sz="10" w:space="0" w:color="D2D2D2"/>
              <w:right w:val="single" w:sz="4" w:space="0" w:color="000000"/>
            </w:tcBorders>
          </w:tcPr>
          <w:p>
            <w:pPr>
              <w:pStyle w:val="TableParagraph"/>
              <w:spacing w:line="314" w:lineRule="auto" w:before="51"/>
              <w:ind w:left="16" w:right="23"/>
              <w:jc w:val="left"/>
              <w:rPr>
                <w:rFonts w:ascii="宋体" w:hAnsi="宋体" w:cs="宋体" w:eastAsia="宋体" w:hint="default"/>
                <w:sz w:val="18"/>
                <w:szCs w:val="18"/>
              </w:rPr>
            </w:pPr>
            <w:r>
              <w:rPr>
                <w:rFonts w:ascii="宋体" w:hAnsi="宋体" w:cs="宋体" w:eastAsia="宋体" w:hint="default"/>
                <w:spacing w:val="-1"/>
                <w:sz w:val="18"/>
                <w:szCs w:val="18"/>
              </w:rPr>
              <w:t>公司收购控股子公司保定金迪地下管线探测工程有限公司、保定市金迪科技开发有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限公司及保定金迪科学仪器有限公司少数股东股权。</w:t>
            </w:r>
          </w:p>
        </w:tc>
      </w:tr>
      <w:tr>
        <w:trPr>
          <w:trHeight w:val="391" w:hRule="exact"/>
        </w:trPr>
        <w:tc>
          <w:tcPr>
            <w:tcW w:w="3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9" w:type="dxa"/>
            <w:vMerge/>
            <w:tcBorders>
              <w:left w:val="single" w:sz="10" w:space="0" w:color="D2D2D2"/>
              <w:right w:val="single" w:sz="4" w:space="0" w:color="000000"/>
            </w:tcBorders>
          </w:tcPr>
          <w:p>
            <w:pPr/>
          </w:p>
        </w:tc>
      </w:tr>
      <w:tr>
        <w:trPr>
          <w:trHeight w:val="161" w:hRule="exact"/>
        </w:trPr>
        <w:tc>
          <w:tcPr>
            <w:tcW w:w="305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9" w:type="dxa"/>
            <w:vMerge/>
            <w:tcBorders>
              <w:left w:val="single" w:sz="10" w:space="0" w:color="D2D2D2"/>
              <w:bottom w:val="single" w:sz="4" w:space="0" w:color="000000"/>
              <w:right w:val="single" w:sz="4" w:space="0" w:color="000000"/>
            </w:tcBorders>
          </w:tcPr>
          <w:p>
            <w:pP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bl>
    <w:p>
      <w:pPr>
        <w:spacing w:line="240" w:lineRule="auto" w:before="3"/>
        <w:rPr>
          <w:rFonts w:ascii="宋体" w:hAnsi="宋体" w:cs="宋体" w:eastAsia="宋体" w:hint="default"/>
          <w:b/>
          <w:bCs/>
          <w:sz w:val="19"/>
          <w:szCs w:val="19"/>
        </w:rPr>
      </w:pPr>
    </w:p>
    <w:p>
      <w:pPr>
        <w:spacing w:before="36"/>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、主要境外资产情况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00"/>
        </w:sectPr>
      </w:pPr>
    </w:p>
    <w:p>
      <w:pPr>
        <w:spacing w:line="240" w:lineRule="auto" w:before="8"/>
        <w:rPr>
          <w:rFonts w:ascii="宋体" w:hAnsi="宋体" w:cs="宋体" w:eastAsia="宋体" w:hint="default"/>
          <w:sz w:val="23"/>
          <w:szCs w:val="23"/>
        </w:rPr>
      </w:pPr>
    </w:p>
    <w:p>
      <w:pPr>
        <w:pStyle w:val="Heading2"/>
        <w:spacing w:line="240" w:lineRule="auto" w:before="26"/>
        <w:ind w:right="96"/>
        <w:jc w:val="left"/>
        <w:rPr>
          <w:b w:val="0"/>
          <w:bCs w:val="0"/>
        </w:rPr>
      </w:pPr>
      <w:r>
        <w:rPr/>
        <w:t>三、核心竞争力分析</w:t>
      </w:r>
      <w:r>
        <w:rPr>
          <w:b w:val="0"/>
          <w:bCs w:val="0"/>
        </w:rPr>
      </w:r>
    </w:p>
    <w:p>
      <w:pPr>
        <w:spacing w:line="240" w:lineRule="auto" w:before="6"/>
        <w:rPr>
          <w:rFonts w:ascii="宋体" w:hAnsi="宋体" w:cs="宋体" w:eastAsia="宋体" w:hint="default"/>
          <w:b/>
          <w:bCs/>
          <w:sz w:val="26"/>
          <w:szCs w:val="26"/>
        </w:rPr>
      </w:pPr>
    </w:p>
    <w:p>
      <w:pPr>
        <w:spacing w:line="357" w:lineRule="auto" w:before="0"/>
        <w:ind w:left="152" w:right="67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9"/>
        <w:ind w:right="232" w:firstLine="480"/>
        <w:jc w:val="both"/>
      </w:pPr>
      <w:r>
        <w:rPr/>
        <w:t>公司新一代 </w:t>
      </w:r>
      <w:r>
        <w:rPr>
          <w:rFonts w:ascii="宋体" w:hAnsi="宋体" w:cs="宋体" w:eastAsia="宋体" w:hint="default"/>
        </w:rPr>
        <w:t>eGovaGIS </w:t>
      </w:r>
      <w:r>
        <w:rPr/>
        <w:t>平台是拥有自主知识产权的先进 </w:t>
      </w:r>
      <w:r>
        <w:rPr>
          <w:rFonts w:ascii="宋体" w:hAnsi="宋体" w:cs="宋体" w:eastAsia="宋体" w:hint="default"/>
        </w:rPr>
        <w:t>GIS</w:t>
      </w:r>
      <w:r>
        <w:rPr>
          <w:rFonts w:ascii="宋体" w:hAnsi="宋体" w:cs="宋体" w:eastAsia="宋体" w:hint="default"/>
          <w:spacing w:val="-83"/>
        </w:rPr>
        <w:t> </w:t>
      </w:r>
      <w:r>
        <w:rPr/>
        <w:t>平台，平台分别在桌面端和 </w:t>
      </w:r>
      <w:r>
        <w:rPr>
          <w:rFonts w:ascii="宋体" w:hAnsi="宋体" w:cs="宋体" w:eastAsia="宋体" w:hint="default"/>
        </w:rPr>
        <w:t>Web</w:t>
      </w:r>
      <w:r>
        <w:rPr>
          <w:rFonts w:ascii="宋体" w:hAnsi="宋体" w:cs="宋体" w:eastAsia="宋体" w:hint="default"/>
          <w:spacing w:val="26"/>
        </w:rPr>
        <w:t> </w:t>
      </w:r>
      <w:r>
        <w:rPr/>
        <w:t>端将二维、三维、实景一体化整合，支持各类时空数据快速接入，充分挖掘展示特效，</w:t>
      </w:r>
      <w:r>
        <w:rPr>
          <w:spacing w:val="-117"/>
        </w:rPr>
        <w:t> </w:t>
      </w:r>
      <w:r>
        <w:rPr>
          <w:spacing w:val="-117"/>
        </w:rPr>
      </w:r>
      <w:r>
        <w:rPr/>
        <w:t>为公司和合作伙伴提供全时空服务和二次开发平台。同时，平台不断丰富和优化底层算法核</w:t>
      </w:r>
      <w:r>
        <w:rPr>
          <w:spacing w:val="-91"/>
        </w:rPr>
        <w:t> </w:t>
      </w:r>
      <w:r>
        <w:rPr>
          <w:spacing w:val="-91"/>
        </w:rPr>
      </w:r>
      <w:r>
        <w:rPr/>
        <w:t>心库，在坐标转换、空间索引、电子围栏、线路预警、轨迹纠正、轨迹信息挖掘、空间插值</w:t>
      </w:r>
      <w:r>
        <w:rPr>
          <w:spacing w:val="-91"/>
        </w:rPr>
        <w:t> </w:t>
      </w:r>
      <w:r>
        <w:rPr>
          <w:spacing w:val="-91"/>
        </w:rPr>
      </w:r>
      <w:r>
        <w:rPr/>
        <w:t>等算法上持续发力，夯实平台的行业领先性。平台进一步优化了搭建效率以减少人力投入，</w:t>
      </w:r>
      <w:r>
        <w:rPr>
          <w:spacing w:val="-91"/>
        </w:rPr>
        <w:t> </w:t>
      </w:r>
      <w:r>
        <w:rPr>
          <w:spacing w:val="-91"/>
        </w:rPr>
      </w:r>
      <w:r>
        <w:rPr/>
        <w:t>提高了可配置性以适应多种生产环境，使平台的搭建、使用、运行成本大大降低。</w:t>
      </w:r>
    </w:p>
    <w:p>
      <w:pPr>
        <w:pStyle w:val="BodyText"/>
        <w:spacing w:line="357" w:lineRule="auto" w:before="77"/>
        <w:ind w:right="96" w:firstLine="480"/>
        <w:jc w:val="left"/>
      </w:pPr>
      <w:r>
        <w:rPr/>
        <w:t>公司智慧市政业务的快速发展，具备了市政设施数据普查、信息化系统建设、市政管网 </w:t>
      </w:r>
      <w:r>
        <w:rPr>
          <w:spacing w:val="-3"/>
        </w:rPr>
        <w:t>及附属设施运营维护等“鼠标</w:t>
      </w:r>
      <w:r>
        <w:rPr>
          <w:rFonts w:ascii="宋体" w:hAnsi="宋体" w:cs="宋体" w:eastAsia="宋体" w:hint="default"/>
          <w:spacing w:val="-3"/>
        </w:rPr>
        <w:t>+</w:t>
      </w:r>
      <w:r>
        <w:rPr>
          <w:spacing w:val="-3"/>
        </w:rPr>
        <w:t>水泥”三位一体的智慧市政解决方案提供能力。智慧市政产品</w:t>
      </w:r>
      <w:r>
        <w:rPr>
          <w:spacing w:val="-80"/>
        </w:rPr>
        <w:t> </w:t>
      </w:r>
      <w:r>
        <w:rPr>
          <w:spacing w:val="-80"/>
        </w:rPr>
      </w:r>
      <w:r>
        <w:rPr>
          <w:spacing w:val="-3"/>
        </w:rPr>
        <w:t>基于移动互联、物联网、云计算、大数据等新技术，产品总体框架包括“一库、一网、一端、</w:t>
      </w:r>
      <w:r>
        <w:rPr>
          <w:spacing w:val="-81"/>
        </w:rPr>
        <w:t> </w:t>
      </w:r>
      <w:r>
        <w:rPr>
          <w:spacing w:val="-81"/>
        </w:rPr>
      </w:r>
      <w:r>
        <w:rPr>
          <w:spacing w:val="-5"/>
        </w:rPr>
        <w:t>一平台、多业务”。通过市政设施全面普查摸底，建立市政设施综合数据库并提供可持续的数</w:t>
      </w:r>
      <w:r>
        <w:rPr/>
        <w:t> 据更新服务；基于网格化管理模式，实现市政设施的主动巡检管养，促进市政设施管养维修</w:t>
      </w:r>
      <w:r>
        <w:rPr>
          <w:spacing w:val="-91"/>
        </w:rPr>
        <w:t> </w:t>
      </w:r>
      <w:r>
        <w:rPr>
          <w:spacing w:val="-91"/>
        </w:rPr>
      </w:r>
      <w:r>
        <w:rPr/>
        <w:t>精细化，提升设施的管养水平和运行效率；借助物联网技术可以掌握市政设施的实时状态，</w:t>
      </w:r>
      <w:r>
        <w:rPr>
          <w:spacing w:val="-86"/>
        </w:rPr>
        <w:t> </w:t>
      </w:r>
      <w:r>
        <w:rPr>
          <w:spacing w:val="-86"/>
        </w:rPr>
      </w:r>
      <w:r>
        <w:rPr/>
        <w:t>通过监测预警及早发现问题隐患；借助大数据分析技术发现设施管养、维修、故障原因及内</w:t>
      </w:r>
      <w:r>
        <w:rPr>
          <w:spacing w:val="-91"/>
        </w:rPr>
        <w:t> </w:t>
      </w:r>
      <w:r>
        <w:rPr>
          <w:spacing w:val="-91"/>
        </w:rPr>
      </w:r>
      <w:r>
        <w:rPr/>
        <w:t>在规律，从而有效开展源头治理。智慧市政产品除综合监管平台外，还包含智慧排水、路灯</w:t>
      </w:r>
      <w:r>
        <w:rPr>
          <w:spacing w:val="-91"/>
        </w:rPr>
        <w:t> </w:t>
      </w:r>
      <w:r>
        <w:rPr>
          <w:spacing w:val="-91"/>
        </w:rPr>
      </w:r>
      <w:r>
        <w:rPr/>
        <w:t>照明、道路桥梁、园林绿化等专项系统。</w:t>
      </w:r>
    </w:p>
    <w:p>
      <w:pPr>
        <w:pStyle w:val="BodyText"/>
        <w:spacing w:line="357" w:lineRule="auto" w:before="77"/>
        <w:ind w:right="233" w:firstLine="480"/>
        <w:jc w:val="both"/>
      </w:pPr>
      <w:r>
        <w:rPr/>
        <w:t>智云产品深耕于智慧城管新领域，运用物联网、云计算、大数据、空间地理信息集成等 新一代信息技术，促进城市规划、建设、管理和服务智慧化的新模式和新理念。在传统网格</w:t>
      </w:r>
      <w:r>
        <w:rPr>
          <w:spacing w:val="-91"/>
        </w:rPr>
        <w:t> </w:t>
      </w:r>
      <w:r>
        <w:rPr>
          <w:spacing w:val="-91"/>
        </w:rPr>
      </w:r>
      <w:r>
        <w:rPr/>
        <w:t>化数字城管的基础上，整合了智慧执法、智慧市政、智慧园林、智慧环卫等领域，打造了基</w:t>
      </w:r>
      <w:r>
        <w:rPr>
          <w:spacing w:val="-91"/>
        </w:rPr>
        <w:t> </w:t>
      </w:r>
      <w:r>
        <w:rPr>
          <w:spacing w:val="-91"/>
        </w:rPr>
      </w:r>
      <w:r>
        <w:rPr>
          <w:spacing w:val="-2"/>
        </w:rPr>
        <w:t>于“</w:t>
      </w:r>
      <w:r>
        <w:rPr>
          <w:rFonts w:ascii="宋体" w:hAnsi="宋体" w:cs="宋体" w:eastAsia="宋体" w:hint="default"/>
          <w:spacing w:val="-2"/>
        </w:rPr>
        <w:t>3+1</w:t>
      </w:r>
      <w:r>
        <w:rPr>
          <w:spacing w:val="-2"/>
        </w:rPr>
        <w:t>”的智慧城管新平台，推出了面向“大城管”模式下的智慧城管解决方案。同时，我</w:t>
      </w:r>
      <w:r>
        <w:rPr/>
        <w:t> 们建设了城市管理大数据平台，形成包括行业范围内的人、地、物、事、组织等全方位数据</w:t>
      </w:r>
      <w:r>
        <w:rPr>
          <w:spacing w:val="-91"/>
        </w:rPr>
        <w:t> </w:t>
      </w:r>
      <w:r>
        <w:rPr>
          <w:spacing w:val="-91"/>
        </w:rPr>
      </w:r>
      <w:r>
        <w:rPr/>
        <w:t>中心；我们建设了城市运行中心，为决策者提供了全方位的城市运行分析；我们建设了城市</w:t>
      </w:r>
      <w:r>
        <w:rPr>
          <w:spacing w:val="-91"/>
        </w:rPr>
        <w:t> </w:t>
      </w:r>
      <w:r>
        <w:rPr>
          <w:spacing w:val="-91"/>
        </w:rPr>
      </w:r>
      <w:r>
        <w:rPr/>
        <w:t>管理应急指挥调度平台，实现应急管理可视化、资源调度多维化、管理协调统筹化；我们建</w:t>
      </w:r>
      <w:r>
        <w:rPr>
          <w:spacing w:val="-91"/>
        </w:rPr>
        <w:t> </w:t>
      </w:r>
      <w:r>
        <w:rPr>
          <w:spacing w:val="-91"/>
        </w:rPr>
      </w:r>
      <w:r>
        <w:rPr/>
        <w:t>设了智慧城管便民服务平台，让公众作为城市主人翁，更加方便的参与到城市管理中来。</w:t>
      </w:r>
    </w:p>
    <w:p>
      <w:pPr>
        <w:pStyle w:val="BodyText"/>
        <w:spacing w:line="357" w:lineRule="auto" w:before="77"/>
        <w:ind w:right="231" w:firstLine="480"/>
        <w:jc w:val="both"/>
      </w:pPr>
      <w:r>
        <w:rPr/>
        <w:t>公司运用大数据和人工智能技术，对智通云隼系统进一步升级完善</w:t>
      </w:r>
      <w:r>
        <w:rPr>
          <w:rFonts w:ascii="宋体" w:hAnsi="宋体" w:cs="宋体" w:eastAsia="宋体" w:hint="default"/>
        </w:rPr>
        <w:t>,</w:t>
      </w:r>
      <w:r>
        <w:rPr>
          <w:rFonts w:ascii="宋体" w:hAnsi="宋体" w:cs="宋体" w:eastAsia="宋体" w:hint="default"/>
          <w:spacing w:val="27"/>
        </w:rPr>
        <w:t> </w:t>
      </w:r>
      <w:r>
        <w:rPr/>
        <w:t>算法全面升级，全 面支持基于</w:t>
      </w:r>
      <w:r>
        <w:rPr>
          <w:spacing w:val="-50"/>
        </w:rPr>
        <w:t> </w:t>
      </w:r>
      <w:r>
        <w:rPr>
          <w:rFonts w:ascii="宋体" w:hAnsi="宋体" w:cs="宋体" w:eastAsia="宋体" w:hint="default"/>
        </w:rPr>
        <w:t>GPU</w:t>
      </w:r>
      <w:r>
        <w:rPr>
          <w:rFonts w:ascii="宋体" w:hAnsi="宋体" w:cs="宋体" w:eastAsia="宋体" w:hint="default"/>
          <w:spacing w:val="-51"/>
        </w:rPr>
        <w:t> </w:t>
      </w:r>
      <w:r>
        <w:rPr/>
        <w:t>的车辆图片二次识别及视频目标结构化分析，处理效率提高</w:t>
      </w:r>
      <w:r>
        <w:rPr>
          <w:spacing w:val="-49"/>
        </w:rPr>
        <w:t> </w:t>
      </w:r>
      <w:r>
        <w:rPr>
          <w:rFonts w:ascii="宋体" w:hAnsi="宋体" w:cs="宋体" w:eastAsia="宋体" w:hint="default"/>
        </w:rPr>
        <w:t>5-7</w:t>
      </w:r>
      <w:r>
        <w:rPr>
          <w:rFonts w:ascii="宋体" w:hAnsi="宋体" w:cs="宋体" w:eastAsia="宋体" w:hint="default"/>
          <w:spacing w:val="-51"/>
        </w:rPr>
        <w:t> </w:t>
      </w:r>
      <w:r>
        <w:rPr/>
        <w:t>倍，识别率 指标大幅提升，平台业务从车辆拓展至涵盖机动车、非机动车、行人及人脸的分析研判及专</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55"/>
        <w:jc w:val="both"/>
      </w:pPr>
      <w:r>
        <w:rPr/>
        <w:t>项应用，逐步形成一套面向公安行业的大情报分析研判平台。云隼系统在继推出面向公安省</w:t>
      </w:r>
      <w:r>
        <w:rPr>
          <w:spacing w:val="-91"/>
        </w:rPr>
        <w:t> </w:t>
      </w:r>
      <w:r>
        <w:rPr>
          <w:spacing w:val="-91"/>
        </w:rPr>
      </w:r>
      <w:r>
        <w:rPr/>
        <w:t>市县多层级行业专用版本后，在天津滨海新区管委再次推出面向政府针对专用车辆进行专项</w:t>
      </w:r>
      <w:r>
        <w:rPr>
          <w:spacing w:val="-91"/>
        </w:rPr>
        <w:t> </w:t>
      </w:r>
      <w:r>
        <w:rPr>
          <w:spacing w:val="-91"/>
        </w:rPr>
      </w:r>
      <w:r>
        <w:rPr/>
        <w:t>管理和大数据分析挖掘的视频大数据分析平台，产品以滨海新区行政管理部门对与危化品车</w:t>
      </w:r>
      <w:r>
        <w:rPr>
          <w:spacing w:val="-91"/>
        </w:rPr>
        <w:t> </w:t>
      </w:r>
      <w:r>
        <w:rPr>
          <w:spacing w:val="-91"/>
        </w:rPr>
      </w:r>
      <w:r>
        <w:rPr/>
        <w:t>辆、重型货车、特种环卫车辆、厂企客车及公务车辆管理需求为出发点，结合先进的图像分</w:t>
      </w:r>
      <w:r>
        <w:rPr>
          <w:spacing w:val="-91"/>
        </w:rPr>
        <w:t> </w:t>
      </w:r>
      <w:r>
        <w:rPr>
          <w:spacing w:val="-91"/>
        </w:rPr>
      </w:r>
      <w:r>
        <w:rPr/>
        <w:t>析及大数据分析模型系统，为滨海新区管委提供包括危化品车企关系分析、异常预警分析、</w:t>
      </w:r>
      <w:r>
        <w:rPr>
          <w:spacing w:val="-91"/>
        </w:rPr>
        <w:t> </w:t>
      </w:r>
      <w:r>
        <w:rPr>
          <w:spacing w:val="-91"/>
        </w:rPr>
      </w:r>
      <w:r>
        <w:rPr/>
        <w:t>货车异常活动、无资质班车执行客运任务、环卫车辆作业状态监控等多种研判分析及自动预</w:t>
      </w:r>
      <w:r>
        <w:rPr>
          <w:spacing w:val="-88"/>
        </w:rPr>
        <w:t> </w:t>
      </w:r>
      <w:r>
        <w:rPr>
          <w:spacing w:val="-88"/>
        </w:rPr>
      </w:r>
      <w:r>
        <w:rPr/>
        <w:t>警为一体的视频大数据综合应用平台，有效提升了滨海新区管委结合本地实际管理需求的综</w:t>
      </w:r>
      <w:r>
        <w:rPr>
          <w:spacing w:val="-91"/>
        </w:rPr>
        <w:t> </w:t>
      </w:r>
      <w:r>
        <w:rPr>
          <w:spacing w:val="-91"/>
        </w:rPr>
      </w:r>
      <w:r>
        <w:rPr/>
        <w:t>合业务管理能力。</w:t>
      </w:r>
    </w:p>
    <w:p>
      <w:pPr>
        <w:pStyle w:val="BodyText"/>
        <w:spacing w:line="240" w:lineRule="auto" w:before="77"/>
        <w:ind w:left="633" w:right="153"/>
        <w:jc w:val="left"/>
      </w:pPr>
      <w:r>
        <w:rPr/>
        <w:t>报告期内，公司取得多项软件著作权，具体如下：</w:t>
      </w:r>
    </w:p>
    <w:p>
      <w:pPr>
        <w:spacing w:line="240" w:lineRule="auto" w:before="10"/>
        <w:rPr>
          <w:rFonts w:ascii="宋体" w:hAnsi="宋体" w:cs="宋体" w:eastAsia="宋体" w:hint="default"/>
          <w:sz w:val="11"/>
          <w:szCs w:val="11"/>
        </w:rPr>
      </w:pPr>
    </w:p>
    <w:tbl>
      <w:tblPr>
        <w:tblW w:w="0" w:type="auto"/>
        <w:jc w:val="left"/>
        <w:tblInd w:w="133" w:type="dxa"/>
        <w:tblLayout w:type="fixed"/>
        <w:tblCellMar>
          <w:top w:w="0" w:type="dxa"/>
          <w:left w:w="0" w:type="dxa"/>
          <w:bottom w:w="0" w:type="dxa"/>
          <w:right w:w="0" w:type="dxa"/>
        </w:tblCellMar>
        <w:tblLook w:val="01E0"/>
      </w:tblPr>
      <w:tblGrid>
        <w:gridCol w:w="442"/>
        <w:gridCol w:w="4818"/>
        <w:gridCol w:w="1241"/>
        <w:gridCol w:w="2163"/>
      </w:tblGrid>
      <w:tr>
        <w:trPr>
          <w:trHeight w:val="715" w:hRule="exact"/>
        </w:trPr>
        <w:tc>
          <w:tcPr>
            <w:tcW w:w="442"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316" w:lineRule="auto" w:before="49"/>
              <w:ind w:left="124" w:right="125"/>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4818"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软件名称</w:t>
            </w:r>
            <w:r>
              <w:rPr>
                <w:rFonts w:ascii="宋体" w:hAnsi="宋体" w:cs="宋体" w:eastAsia="宋体" w:hint="default"/>
                <w:sz w:val="18"/>
                <w:szCs w:val="18"/>
              </w:rPr>
            </w:r>
          </w:p>
        </w:tc>
        <w:tc>
          <w:tcPr>
            <w:tcW w:w="1241"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发证日期</w:t>
            </w:r>
            <w:r>
              <w:rPr>
                <w:rFonts w:ascii="宋体" w:hAnsi="宋体" w:cs="宋体" w:eastAsia="宋体" w:hint="default"/>
                <w:sz w:val="18"/>
                <w:szCs w:val="18"/>
              </w:rPr>
            </w:r>
          </w:p>
        </w:tc>
        <w:tc>
          <w:tcPr>
            <w:tcW w:w="2163"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证书号</w:t>
            </w:r>
            <w:r>
              <w:rPr>
                <w:rFonts w:ascii="宋体" w:hAnsi="宋体" w:cs="宋体" w:eastAsia="宋体" w:hint="default"/>
                <w:sz w:val="18"/>
                <w:szCs w:val="18"/>
              </w:rPr>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1</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智慧社区管理服务平台</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2017.1.18</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2017SR017478</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2</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居家养老服务系统</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2017.1.18</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2017SR017475</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3</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智信数字城管移动办公软件【简称：智信】</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2017.3.9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2017SR072398</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4</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2"/>
                <w:sz w:val="18"/>
                <w:szCs w:val="18"/>
              </w:rPr>
              <w:t>国土资源管理信息系统【简称：国土关联</w:t>
            </w:r>
            <w:r>
              <w:rPr>
                <w:rFonts w:ascii="宋体" w:hAnsi="宋体" w:cs="宋体" w:eastAsia="宋体" w:hint="default"/>
                <w:spacing w:val="-17"/>
                <w:sz w:val="18"/>
                <w:szCs w:val="18"/>
              </w:rPr>
              <w:t> </w:t>
            </w:r>
            <w:r>
              <w:rPr>
                <w:rFonts w:ascii="宋体" w:hAnsi="宋体" w:cs="宋体" w:eastAsia="宋体" w:hint="default"/>
                <w:spacing w:val="-2"/>
                <w:sz w:val="18"/>
                <w:szCs w:val="18"/>
              </w:rPr>
              <w:t>eLand2016</w:t>
            </w:r>
            <w:r>
              <w:rPr>
                <w:rFonts w:ascii="宋体" w:hAnsi="宋体" w:cs="宋体" w:eastAsia="宋体" w:hint="default"/>
                <w:spacing w:val="-2"/>
                <w:sz w:val="18"/>
                <w:szCs w:val="18"/>
              </w:rPr>
              <w:t>】</w:t>
            </w:r>
            <w:r>
              <w:rPr>
                <w:rFonts w:ascii="宋体" w:hAnsi="宋体" w:cs="宋体" w:eastAsia="宋体" w:hint="default"/>
                <w:spacing w:val="-2"/>
                <w:sz w:val="18"/>
                <w:szCs w:val="18"/>
              </w:rPr>
              <w:t>V3.0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2017.2.21</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2017SR050173</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5</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数字环卫车辆管理系统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2017.4.22</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2017SR132493</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6</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数字环卫机械化作业车辆监管系统</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2017.4.22</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2017SR132484</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7</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数字环卫基础数据库系统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2017.4.22</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2017SR132304</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8</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数字环卫作业考核系统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2017.4.13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2017SR113022</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 w:right="0"/>
              <w:jc w:val="left"/>
              <w:rPr>
                <w:rFonts w:ascii="宋体" w:hAnsi="宋体" w:cs="宋体" w:eastAsia="宋体" w:hint="default"/>
                <w:sz w:val="18"/>
                <w:szCs w:val="18"/>
              </w:rPr>
            </w:pPr>
            <w:r>
              <w:rPr>
                <w:rFonts w:ascii="宋体"/>
                <w:sz w:val="18"/>
              </w:rPr>
              <w:t>9</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数据建库与管理系统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2017.5.9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2017SR1168794</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10</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移动调绘系统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2017.5.9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2017SR1168800</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11</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执法规范化数字平台【简称：</w:t>
            </w:r>
            <w:r>
              <w:rPr>
                <w:rFonts w:ascii="宋体" w:hAnsi="宋体" w:cs="宋体" w:eastAsia="宋体" w:hint="default"/>
                <w:sz w:val="18"/>
                <w:szCs w:val="18"/>
              </w:rPr>
              <w:t>eGovaStandardLaw</w:t>
            </w:r>
            <w:r>
              <w:rPr>
                <w:rFonts w:ascii="宋体" w:hAnsi="宋体" w:cs="宋体" w:eastAsia="宋体" w:hint="default"/>
                <w:sz w:val="18"/>
                <w:szCs w:val="18"/>
              </w:rPr>
              <w:t>】</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2017.6.20</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2017SR291281</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12</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河长制管理信息系统</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2017.10.11</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2017SR561486</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13</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JD</w:t>
            </w:r>
            <w:r>
              <w:rPr>
                <w:rFonts w:ascii="宋体" w:hAnsi="宋体" w:cs="宋体" w:eastAsia="宋体" w:hint="default"/>
                <w:spacing w:val="-46"/>
                <w:sz w:val="18"/>
                <w:szCs w:val="18"/>
              </w:rPr>
              <w:t> </w:t>
            </w:r>
            <w:r>
              <w:rPr>
                <w:rFonts w:ascii="宋体" w:hAnsi="宋体" w:cs="宋体" w:eastAsia="宋体" w:hint="default"/>
                <w:sz w:val="18"/>
                <w:szCs w:val="18"/>
              </w:rPr>
              <w:t>手持</w:t>
            </w:r>
            <w:r>
              <w:rPr>
                <w:rFonts w:ascii="宋体" w:hAnsi="宋体" w:cs="宋体" w:eastAsia="宋体" w:hint="default"/>
                <w:spacing w:val="-49"/>
                <w:sz w:val="18"/>
                <w:szCs w:val="18"/>
              </w:rPr>
              <w:t> </w:t>
            </w:r>
            <w:r>
              <w:rPr>
                <w:rFonts w:ascii="宋体" w:hAnsi="宋体" w:cs="宋体" w:eastAsia="宋体" w:hint="default"/>
                <w:sz w:val="18"/>
                <w:szCs w:val="18"/>
              </w:rPr>
              <w:t>CCTV</w:t>
            </w:r>
            <w:r>
              <w:rPr>
                <w:rFonts w:ascii="宋体" w:hAnsi="宋体" w:cs="宋体" w:eastAsia="宋体" w:hint="default"/>
                <w:spacing w:val="-45"/>
                <w:sz w:val="18"/>
                <w:szCs w:val="18"/>
              </w:rPr>
              <w:t> </w:t>
            </w:r>
            <w:r>
              <w:rPr>
                <w:rFonts w:ascii="宋体" w:hAnsi="宋体" w:cs="宋体" w:eastAsia="宋体" w:hint="default"/>
                <w:sz w:val="18"/>
                <w:szCs w:val="18"/>
              </w:rPr>
              <w:t>嵌入式软件</w:t>
            </w:r>
            <w:r>
              <w:rPr>
                <w:rFonts w:ascii="宋体" w:hAnsi="宋体" w:cs="宋体" w:eastAsia="宋体" w:hint="default"/>
                <w:spacing w:val="-47"/>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2017.03.03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1651074</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14</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JD</w:t>
            </w:r>
            <w:r>
              <w:rPr>
                <w:rFonts w:ascii="宋体" w:hAnsi="宋体" w:cs="宋体" w:eastAsia="宋体" w:hint="default"/>
                <w:spacing w:val="-45"/>
                <w:sz w:val="18"/>
                <w:szCs w:val="18"/>
              </w:rPr>
              <w:t> </w:t>
            </w:r>
            <w:r>
              <w:rPr>
                <w:rFonts w:ascii="宋体" w:hAnsi="宋体" w:cs="宋体" w:eastAsia="宋体" w:hint="default"/>
                <w:sz w:val="18"/>
                <w:szCs w:val="18"/>
              </w:rPr>
              <w:t>排水管道电视检测设备嵌入式软件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2017.03.03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1651067</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15</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JD </w:t>
            </w:r>
            <w:r>
              <w:rPr>
                <w:rFonts w:ascii="宋体" w:hAnsi="宋体" w:cs="宋体" w:eastAsia="宋体" w:hint="default"/>
                <w:sz w:val="18"/>
                <w:szCs w:val="18"/>
              </w:rPr>
              <w:t>排水管道综合检测系统</w:t>
            </w:r>
            <w:r>
              <w:rPr>
                <w:rFonts w:ascii="宋体" w:hAnsi="宋体" w:cs="宋体" w:eastAsia="宋体" w:hint="default"/>
                <w:spacing w:val="-48"/>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sz w:val="18"/>
              </w:rPr>
              <w:t>2017.11.6</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2191241</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16</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JD </w:t>
            </w:r>
            <w:r>
              <w:rPr>
                <w:rFonts w:ascii="宋体" w:hAnsi="宋体" w:cs="宋体" w:eastAsia="宋体" w:hint="default"/>
                <w:sz w:val="18"/>
                <w:szCs w:val="18"/>
              </w:rPr>
              <w:t>井室检测潜望镜嵌入式软件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sz w:val="18"/>
              </w:rPr>
              <w:t>2017.11.29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2241638</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17</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危化品车辆识别软件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1586083</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18</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数字智通全类型车牌识别软件</w:t>
            </w:r>
            <w:r>
              <w:rPr>
                <w:rFonts w:ascii="宋体" w:hAnsi="宋体" w:cs="宋体" w:eastAsia="宋体" w:hint="default"/>
                <w:spacing w:val="-44"/>
                <w:sz w:val="18"/>
                <w:szCs w:val="18"/>
              </w:rPr>
              <w:t> </w:t>
            </w:r>
            <w:r>
              <w:rPr>
                <w:rFonts w:ascii="宋体" w:hAnsi="宋体" w:cs="宋体" w:eastAsia="宋体" w:hint="default"/>
                <w:sz w:val="18"/>
                <w:szCs w:val="18"/>
              </w:rPr>
              <w:t>V2.0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2017.1.13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1597287</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19</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数字智通缅甸车牌识别软件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2017.1.13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1597223</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20</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移动卡口手机客户端软件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2017.1.20</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1605973</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1"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21</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嵌入式车辆多特征识别系统软件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2017.1.22</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1607945</w:t>
            </w:r>
            <w:r>
              <w:rPr>
                <w:rFonts w:ascii="宋体" w:hAnsi="宋体" w:cs="宋体" w:eastAsia="宋体" w:hint="default"/>
                <w:spacing w:val="-45"/>
                <w:sz w:val="18"/>
                <w:szCs w:val="18"/>
              </w:rPr>
              <w:t> </w:t>
            </w:r>
            <w:r>
              <w:rPr>
                <w:rFonts w:ascii="宋体" w:hAnsi="宋体" w:cs="宋体" w:eastAsia="宋体" w:hint="default"/>
                <w:sz w:val="18"/>
                <w:szCs w:val="18"/>
              </w:rPr>
              <w:t>号</w:t>
            </w:r>
          </w:p>
        </w:tc>
      </w:tr>
      <w:tr>
        <w:trPr>
          <w:trHeight w:val="403" w:hRule="exact"/>
        </w:trPr>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4" w:right="0"/>
              <w:jc w:val="left"/>
              <w:rPr>
                <w:rFonts w:ascii="宋体" w:hAnsi="宋体" w:cs="宋体" w:eastAsia="宋体" w:hint="default"/>
                <w:sz w:val="18"/>
                <w:szCs w:val="18"/>
              </w:rPr>
            </w:pPr>
            <w:r>
              <w:rPr>
                <w:rFonts w:ascii="宋体"/>
                <w:sz w:val="18"/>
              </w:rPr>
              <w:t>22</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人脸信息管理平台软件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sz w:val="18"/>
              </w:rPr>
              <w:t>2017.1.25</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软著登字第</w:t>
            </w:r>
            <w:r>
              <w:rPr>
                <w:rFonts w:ascii="宋体" w:hAnsi="宋体" w:cs="宋体" w:eastAsia="宋体" w:hint="default"/>
                <w:spacing w:val="-47"/>
                <w:sz w:val="18"/>
                <w:szCs w:val="18"/>
              </w:rPr>
              <w:t> </w:t>
            </w:r>
            <w:r>
              <w:rPr>
                <w:rFonts w:ascii="宋体" w:hAnsi="宋体" w:cs="宋体" w:eastAsia="宋体" w:hint="default"/>
                <w:sz w:val="18"/>
                <w:szCs w:val="18"/>
              </w:rPr>
              <w:t>1611042</w:t>
            </w:r>
            <w:r>
              <w:rPr>
                <w:rFonts w:ascii="宋体" w:hAnsi="宋体" w:cs="宋体" w:eastAsia="宋体" w:hint="default"/>
                <w:spacing w:val="-45"/>
                <w:sz w:val="18"/>
                <w:szCs w:val="18"/>
              </w:rPr>
              <w:t> </w:t>
            </w:r>
            <w:r>
              <w:rPr>
                <w:rFonts w:ascii="宋体" w:hAnsi="宋体" w:cs="宋体" w:eastAsia="宋体" w:hint="default"/>
                <w:sz w:val="18"/>
                <w:szCs w:val="18"/>
              </w:rPr>
              <w:t>号</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240" w:lineRule="auto" w:before="26"/>
        <w:ind w:left="633" w:right="153"/>
        <w:jc w:val="left"/>
      </w:pPr>
      <w:r>
        <w:rPr/>
        <w:t>报告期内，公司取得多项专利，具体如下：</w:t>
      </w:r>
    </w:p>
    <w:p>
      <w:pPr>
        <w:spacing w:line="240" w:lineRule="auto" w:before="12"/>
        <w:rPr>
          <w:rFonts w:ascii="宋体" w:hAnsi="宋体" w:cs="宋体" w:eastAsia="宋体" w:hint="default"/>
          <w:sz w:val="11"/>
          <w:szCs w:val="11"/>
        </w:rPr>
      </w:pPr>
    </w:p>
    <w:tbl>
      <w:tblPr>
        <w:tblW w:w="0" w:type="auto"/>
        <w:jc w:val="left"/>
        <w:tblInd w:w="133" w:type="dxa"/>
        <w:tblLayout w:type="fixed"/>
        <w:tblCellMar>
          <w:top w:w="0" w:type="dxa"/>
          <w:left w:w="0" w:type="dxa"/>
          <w:bottom w:w="0" w:type="dxa"/>
          <w:right w:w="0" w:type="dxa"/>
        </w:tblCellMar>
        <w:tblLook w:val="01E0"/>
      </w:tblPr>
      <w:tblGrid>
        <w:gridCol w:w="600"/>
        <w:gridCol w:w="4599"/>
        <w:gridCol w:w="1140"/>
        <w:gridCol w:w="2324"/>
      </w:tblGrid>
      <w:tr>
        <w:trPr>
          <w:trHeight w:val="401" w:hRule="exact"/>
        </w:trPr>
        <w:tc>
          <w:tcPr>
            <w:tcW w:w="600"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4599"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b/>
                <w:bCs/>
                <w:sz w:val="18"/>
                <w:szCs w:val="18"/>
              </w:rPr>
              <w:t>软件名称</w:t>
            </w:r>
            <w:r>
              <w:rPr>
                <w:rFonts w:ascii="宋体" w:hAnsi="宋体" w:cs="宋体" w:eastAsia="宋体" w:hint="default"/>
                <w:sz w:val="18"/>
                <w:szCs w:val="18"/>
              </w:rPr>
            </w:r>
          </w:p>
        </w:tc>
        <w:tc>
          <w:tcPr>
            <w:tcW w:w="1140"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b/>
                <w:bCs/>
                <w:sz w:val="18"/>
                <w:szCs w:val="18"/>
              </w:rPr>
              <w:t>授权日期</w:t>
            </w:r>
            <w:r>
              <w:rPr>
                <w:rFonts w:ascii="宋体" w:hAnsi="宋体" w:cs="宋体" w:eastAsia="宋体" w:hint="default"/>
                <w:sz w:val="18"/>
                <w:szCs w:val="18"/>
              </w:rPr>
            </w:r>
          </w:p>
        </w:tc>
        <w:tc>
          <w:tcPr>
            <w:tcW w:w="2324" w:type="dxa"/>
            <w:tcBorders>
              <w:top w:val="single" w:sz="4" w:space="0" w:color="000000"/>
              <w:left w:val="single" w:sz="4" w:space="0" w:color="000000"/>
              <w:bottom w:val="single" w:sz="4" w:space="0" w:color="000000"/>
              <w:right w:val="single" w:sz="4" w:space="0" w:color="000000"/>
            </w:tcBorders>
            <w:shd w:val="clear" w:color="auto" w:fill="DAEDF3"/>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b/>
                <w:bCs/>
                <w:sz w:val="18"/>
                <w:szCs w:val="18"/>
              </w:rPr>
              <w:t>专利号</w:t>
            </w:r>
            <w:r>
              <w:rPr>
                <w:rFonts w:ascii="宋体" w:hAnsi="宋体" w:cs="宋体" w:eastAsia="宋体" w:hint="default"/>
                <w:sz w:val="18"/>
                <w:szCs w:val="18"/>
              </w:rPr>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电缆架（箱式）</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2017/1/11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0182482.7</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2</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一种用于风力发电叶片内腔缺陷检测的巡检装置</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2017/2/1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44"/>
              <w:jc w:val="right"/>
              <w:rPr>
                <w:rFonts w:ascii="宋体" w:hAnsi="宋体" w:cs="宋体" w:eastAsia="宋体" w:hint="default"/>
                <w:sz w:val="18"/>
                <w:szCs w:val="18"/>
              </w:rPr>
            </w:pPr>
            <w:r>
              <w:rPr>
                <w:rFonts w:ascii="宋体"/>
                <w:sz w:val="18"/>
              </w:rPr>
              <w:t>ZL2014 1</w:t>
            </w:r>
            <w:r>
              <w:rPr>
                <w:rFonts w:ascii="宋体"/>
                <w:spacing w:val="-7"/>
                <w:sz w:val="18"/>
              </w:rPr>
              <w:t> </w:t>
            </w:r>
            <w:r>
              <w:rPr>
                <w:rFonts w:ascii="宋体"/>
                <w:sz w:val="18"/>
              </w:rPr>
              <w:t>0630286.1</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3</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爬行器</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2017/4/19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0582401.2</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4</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爬行器</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2017/4/19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0582402.7</w:t>
            </w:r>
          </w:p>
        </w:tc>
      </w:tr>
      <w:tr>
        <w:trPr>
          <w:trHeight w:val="512"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5</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摄像头控制器</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2017/4/19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0582832.9</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6</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一种氧化锌避雷器在线监测装置</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2017/4/19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ZL2016 2</w:t>
            </w:r>
            <w:r>
              <w:rPr>
                <w:rFonts w:ascii="宋体"/>
                <w:spacing w:val="-7"/>
                <w:sz w:val="18"/>
              </w:rPr>
              <w:t> </w:t>
            </w:r>
            <w:r>
              <w:rPr>
                <w:rFonts w:ascii="宋体"/>
                <w:sz w:val="18"/>
              </w:rPr>
              <w:t>0961760.3</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7</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电缆架</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2017/5/10</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0582833.3</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8</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轮组（机器人）</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2017/5/17</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ZL2016 3</w:t>
            </w:r>
            <w:r>
              <w:rPr>
                <w:rFonts w:ascii="宋体"/>
                <w:spacing w:val="-7"/>
                <w:sz w:val="18"/>
              </w:rPr>
              <w:t> </w:t>
            </w:r>
            <w:r>
              <w:rPr>
                <w:rFonts w:ascii="宋体"/>
                <w:sz w:val="18"/>
              </w:rPr>
              <w:t>0646099.2</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9</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一种用于排水管道的探地雷达机器人</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2017/8/4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ZL2016 2</w:t>
            </w:r>
            <w:r>
              <w:rPr>
                <w:rFonts w:ascii="宋体"/>
                <w:spacing w:val="-7"/>
                <w:sz w:val="18"/>
              </w:rPr>
              <w:t> </w:t>
            </w:r>
            <w:r>
              <w:rPr>
                <w:rFonts w:ascii="宋体"/>
                <w:sz w:val="18"/>
              </w:rPr>
              <w:t>1433778.2</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10</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一种用于管道检测机器人的新型车轮</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2017/8/4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ZL2016 2</w:t>
            </w:r>
            <w:r>
              <w:rPr>
                <w:rFonts w:ascii="宋体"/>
                <w:spacing w:val="-7"/>
                <w:sz w:val="18"/>
              </w:rPr>
              <w:t> </w:t>
            </w:r>
            <w:r>
              <w:rPr>
                <w:rFonts w:ascii="宋体"/>
                <w:sz w:val="18"/>
              </w:rPr>
              <w:t>1433764.0</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11</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一种传动的离合装置</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3" w:right="0"/>
              <w:jc w:val="center"/>
              <w:rPr>
                <w:rFonts w:ascii="宋体" w:hAnsi="宋体" w:cs="宋体" w:eastAsia="宋体" w:hint="default"/>
                <w:sz w:val="18"/>
                <w:szCs w:val="18"/>
              </w:rPr>
            </w:pPr>
            <w:r>
              <w:rPr>
                <w:rFonts w:ascii="宋体"/>
                <w:sz w:val="18"/>
              </w:rPr>
              <w:t>2017/11/7</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44"/>
              <w:jc w:val="right"/>
              <w:rPr>
                <w:rFonts w:ascii="宋体" w:hAnsi="宋体" w:cs="宋体" w:eastAsia="宋体" w:hint="default"/>
                <w:sz w:val="18"/>
                <w:szCs w:val="18"/>
              </w:rPr>
            </w:pPr>
            <w:r>
              <w:rPr>
                <w:rFonts w:ascii="宋体"/>
                <w:sz w:val="18"/>
              </w:rPr>
              <w:t>ZL2017 2</w:t>
            </w:r>
            <w:r>
              <w:rPr>
                <w:rFonts w:ascii="宋体"/>
                <w:spacing w:val="-7"/>
                <w:sz w:val="18"/>
              </w:rPr>
              <w:t> </w:t>
            </w:r>
            <w:r>
              <w:rPr>
                <w:rFonts w:ascii="宋体"/>
                <w:sz w:val="18"/>
              </w:rPr>
              <w:t>0177300.6</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12</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一种管道泄漏的检测设备及其检测方法</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2017/11/7</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27" w:right="0"/>
              <w:jc w:val="left"/>
              <w:rPr>
                <w:rFonts w:ascii="宋体" w:hAnsi="宋体" w:cs="宋体" w:eastAsia="宋体" w:hint="default"/>
                <w:sz w:val="18"/>
                <w:szCs w:val="18"/>
              </w:rPr>
            </w:pPr>
            <w:r>
              <w:rPr>
                <w:rFonts w:ascii="宋体"/>
                <w:sz w:val="18"/>
              </w:rPr>
              <w:t>201410529323.X</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13</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一种车位检测装置及检测系统</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2017/1/4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27" w:right="0"/>
              <w:jc w:val="left"/>
              <w:rPr>
                <w:rFonts w:ascii="宋体" w:hAnsi="宋体" w:cs="宋体" w:eastAsia="宋体" w:hint="default"/>
                <w:sz w:val="18"/>
                <w:szCs w:val="18"/>
              </w:rPr>
            </w:pPr>
            <w:r>
              <w:rPr>
                <w:rFonts w:ascii="宋体"/>
                <w:sz w:val="18"/>
              </w:rPr>
              <w:t>201620801650.0</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14</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停车位管理节点设备和停车位管理系统</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2017/4/26</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27" w:right="0"/>
              <w:jc w:val="left"/>
              <w:rPr>
                <w:rFonts w:ascii="宋体" w:hAnsi="宋体" w:cs="宋体" w:eastAsia="宋体" w:hint="default"/>
                <w:sz w:val="18"/>
                <w:szCs w:val="18"/>
              </w:rPr>
            </w:pPr>
            <w:r>
              <w:rPr>
                <w:rFonts w:ascii="宋体"/>
                <w:sz w:val="18"/>
              </w:rPr>
              <w:t>201621115291.X</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15</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收费显示屏</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2017/6/9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27" w:right="0"/>
              <w:jc w:val="left"/>
              <w:rPr>
                <w:rFonts w:ascii="宋体" w:hAnsi="宋体" w:cs="宋体" w:eastAsia="宋体" w:hint="default"/>
                <w:sz w:val="18"/>
                <w:szCs w:val="18"/>
              </w:rPr>
            </w:pPr>
            <w:r>
              <w:rPr>
                <w:rFonts w:ascii="宋体"/>
                <w:sz w:val="18"/>
              </w:rPr>
              <w:t>201630285963.0</w:t>
            </w:r>
          </w:p>
        </w:tc>
      </w:tr>
      <w:tr>
        <w:trPr>
          <w:trHeight w:val="509"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16</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一种灯控制装置及相机补光灯控制装置</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 w:right="0"/>
              <w:jc w:val="center"/>
              <w:rPr>
                <w:rFonts w:ascii="宋体" w:hAnsi="宋体" w:cs="宋体" w:eastAsia="宋体" w:hint="default"/>
                <w:sz w:val="18"/>
                <w:szCs w:val="18"/>
              </w:rPr>
            </w:pPr>
            <w:r>
              <w:rPr>
                <w:rFonts w:ascii="宋体"/>
                <w:sz w:val="18"/>
              </w:rPr>
              <w:t>2017/12/22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527" w:right="0"/>
              <w:jc w:val="left"/>
              <w:rPr>
                <w:rFonts w:ascii="宋体" w:hAnsi="宋体" w:cs="宋体" w:eastAsia="宋体" w:hint="default"/>
                <w:sz w:val="18"/>
                <w:szCs w:val="18"/>
              </w:rPr>
            </w:pPr>
            <w:r>
              <w:rPr>
                <w:rFonts w:ascii="宋体"/>
                <w:sz w:val="18"/>
              </w:rPr>
              <w:t>201720330213.X</w:t>
            </w:r>
          </w:p>
        </w:tc>
      </w:tr>
      <w:tr>
        <w:trPr>
          <w:trHeight w:val="511"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17</w:t>
            </w:r>
          </w:p>
        </w:tc>
        <w:tc>
          <w:tcPr>
            <w:tcW w:w="4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视频监控设备的防护罩</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3" w:right="0"/>
              <w:jc w:val="center"/>
              <w:rPr>
                <w:rFonts w:ascii="宋体" w:hAnsi="宋体" w:cs="宋体" w:eastAsia="宋体" w:hint="default"/>
                <w:sz w:val="18"/>
                <w:szCs w:val="18"/>
              </w:rPr>
            </w:pPr>
            <w:r>
              <w:rPr>
                <w:rFonts w:ascii="宋体"/>
                <w:sz w:val="18"/>
              </w:rPr>
              <w:t>2017/1/11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439" w:right="0"/>
              <w:jc w:val="left"/>
              <w:rPr>
                <w:rFonts w:ascii="宋体" w:hAnsi="宋体" w:cs="宋体" w:eastAsia="宋体" w:hint="default"/>
                <w:sz w:val="18"/>
                <w:szCs w:val="18"/>
              </w:rPr>
            </w:pPr>
            <w:r>
              <w:rPr>
                <w:rFonts w:ascii="宋体"/>
                <w:sz w:val="18"/>
              </w:rPr>
              <w:t>201630285563.X</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2964" w:right="96"/>
        <w:jc w:val="left"/>
        <w:rPr>
          <w:b w:val="0"/>
          <w:bCs w:val="0"/>
        </w:rPr>
      </w:pPr>
      <w:bookmarkStart w:name="_bookmark3" w:id="4"/>
      <w:bookmarkEnd w:id="4"/>
      <w:r>
        <w:rPr>
          <w:b w:val="0"/>
          <w:bCs w:val="0"/>
        </w:rPr>
      </w:r>
      <w:r>
        <w:rPr/>
        <w:t>第四节</w:t>
      </w:r>
      <w:r>
        <w:rPr>
          <w:spacing w:val="-6"/>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96"/>
        <w:jc w:val="left"/>
        <w:rPr>
          <w:b w:val="0"/>
          <w:bCs w:val="0"/>
        </w:rPr>
      </w:pPr>
      <w:r>
        <w:rPr/>
        <w:t>一、概述</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before="0"/>
        <w:ind w:right="108" w:firstLine="480"/>
        <w:jc w:val="both"/>
      </w:pPr>
      <w:r>
        <w:rPr/>
        <w:t>报告期内，公司作为中国领先的数字城市应用与信息提供商，继续加强市场拓展力度， 做好技术研发和精细管理等各项工作，经营业绩持续稳定增长。报告期内，公司实现营业收</w:t>
      </w:r>
      <w:r>
        <w:rPr>
          <w:spacing w:val="-91"/>
        </w:rPr>
        <w:t> </w:t>
      </w:r>
      <w:r>
        <w:rPr>
          <w:spacing w:val="-91"/>
        </w:rPr>
      </w:r>
      <w:r>
        <w:rPr/>
        <w:t>入</w:t>
      </w:r>
      <w:r>
        <w:rPr>
          <w:spacing w:val="16"/>
        </w:rPr>
        <w:t> </w:t>
      </w:r>
      <w:r>
        <w:rPr>
          <w:rFonts w:ascii="宋体" w:hAnsi="宋体" w:cs="宋体" w:eastAsia="宋体" w:hint="default"/>
        </w:rPr>
        <w:t>1,202,976,973.86</w:t>
      </w:r>
      <w:r>
        <w:rPr>
          <w:rFonts w:ascii="宋体" w:hAnsi="宋体" w:cs="宋体" w:eastAsia="宋体" w:hint="default"/>
          <w:spacing w:val="16"/>
        </w:rPr>
        <w:t> </w:t>
      </w:r>
      <w:r>
        <w:rPr>
          <w:spacing w:val="12"/>
        </w:rPr>
        <w:t>元，较上年同期增长</w:t>
      </w:r>
      <w:r>
        <w:rPr>
          <w:spacing w:val="19"/>
        </w:rPr>
        <w:t> </w:t>
      </w:r>
      <w:r>
        <w:rPr>
          <w:rFonts w:ascii="宋体" w:hAnsi="宋体" w:cs="宋体" w:eastAsia="宋体" w:hint="default"/>
          <w:spacing w:val="10"/>
        </w:rPr>
        <w:t>24.36%</w:t>
      </w:r>
      <w:r>
        <w:rPr>
          <w:spacing w:val="10"/>
        </w:rPr>
        <w:t>；实现归属于上市公司股东的净利润</w:t>
      </w:r>
      <w:r>
        <w:rPr>
          <w:spacing w:val="-117"/>
        </w:rPr>
        <w:t> </w:t>
      </w:r>
      <w:r>
        <w:rPr>
          <w:spacing w:val="-117"/>
        </w:rPr>
      </w:r>
      <w:r>
        <w:rPr>
          <w:rFonts w:ascii="宋体" w:hAnsi="宋体" w:cs="宋体" w:eastAsia="宋体" w:hint="default"/>
        </w:rPr>
        <w:t>169,594,871.96</w:t>
      </w:r>
      <w:r>
        <w:rPr>
          <w:rFonts w:ascii="宋体" w:hAnsi="宋体" w:cs="宋体" w:eastAsia="宋体" w:hint="default"/>
          <w:spacing w:val="-59"/>
        </w:rPr>
        <w:t> </w:t>
      </w:r>
      <w:r>
        <w:rPr>
          <w:spacing w:val="-11"/>
        </w:rPr>
        <w:t>元，较上年同期增</w:t>
      </w:r>
      <w:r>
        <w:rPr>
          <w:spacing w:val="-59"/>
        </w:rPr>
        <w:t> </w:t>
      </w:r>
      <w:r>
        <w:rPr>
          <w:rFonts w:ascii="宋体" w:hAnsi="宋体" w:cs="宋体" w:eastAsia="宋体" w:hint="default"/>
          <w:spacing w:val="-8"/>
        </w:rPr>
        <w:t>29.10%</w:t>
      </w:r>
      <w:r>
        <w:rPr>
          <w:spacing w:val="-8"/>
        </w:rPr>
        <w:t>，新签订单</w:t>
      </w:r>
      <w:r>
        <w:rPr>
          <w:spacing w:val="-59"/>
        </w:rPr>
        <w:t> </w:t>
      </w:r>
      <w:r>
        <w:rPr>
          <w:rFonts w:ascii="宋体" w:hAnsi="宋体" w:cs="宋体" w:eastAsia="宋体" w:hint="default"/>
        </w:rPr>
        <w:t>178,433</w:t>
      </w:r>
      <w:r>
        <w:rPr>
          <w:rFonts w:ascii="宋体" w:hAnsi="宋体" w:cs="宋体" w:eastAsia="宋体" w:hint="default"/>
          <w:spacing w:val="-59"/>
        </w:rPr>
        <w:t> </w:t>
      </w:r>
      <w:r>
        <w:rPr>
          <w:spacing w:val="-9"/>
        </w:rPr>
        <w:t>万元，较上年同期增长</w:t>
      </w:r>
      <w:r>
        <w:rPr>
          <w:spacing w:val="-59"/>
        </w:rPr>
        <w:t> </w:t>
      </w:r>
      <w:r>
        <w:rPr>
          <w:rFonts w:ascii="宋体" w:hAnsi="宋体" w:cs="宋体" w:eastAsia="宋体" w:hint="default"/>
        </w:rPr>
        <w:t>59.21%</w:t>
      </w:r>
      <w:r>
        <w:rPr/>
        <w:t>。</w:t>
      </w:r>
    </w:p>
    <w:p>
      <w:pPr>
        <w:pStyle w:val="BodyText"/>
        <w:spacing w:line="357" w:lineRule="auto" w:before="74"/>
        <w:ind w:right="110" w:firstLine="480"/>
        <w:jc w:val="left"/>
      </w:pPr>
      <w:r>
        <w:rPr/>
        <w:t>报告期内，公司根据中共中央、国务院颁发的《中共中央国务院关于深入推进城市执法 </w:t>
      </w:r>
      <w:r>
        <w:rPr>
          <w:spacing w:val="-8"/>
        </w:rPr>
        <w:t>体制改革改进城市管理工作的指导意见》，按照“积极推进城市管理数字化、精细化、智慧化，</w:t>
      </w:r>
      <w:r>
        <w:rPr>
          <w:spacing w:val="-108"/>
        </w:rPr>
        <w:t> </w:t>
      </w:r>
      <w:r>
        <w:rPr>
          <w:spacing w:val="-108"/>
        </w:rPr>
      </w:r>
      <w:r>
        <w:rPr/>
        <w:t>基于城市公共信息平台，综合运用物联网、云计算、大数据等现代信息技术，整合人口、交</w:t>
      </w:r>
      <w:r>
        <w:rPr>
          <w:spacing w:val="-91"/>
        </w:rPr>
        <w:t> </w:t>
      </w:r>
      <w:r>
        <w:rPr>
          <w:spacing w:val="-91"/>
        </w:rPr>
      </w:r>
      <w:r>
        <w:rPr/>
        <w:t>通、能源、建设等公共设施信息和公共基础服务，拓展数字化城市管理平台功能”的要求，</w:t>
      </w:r>
      <w:r>
        <w:rPr>
          <w:spacing w:val="-91"/>
        </w:rPr>
        <w:t> </w:t>
      </w:r>
      <w:r>
        <w:rPr>
          <w:spacing w:val="-91"/>
        </w:rPr>
      </w:r>
      <w:r>
        <w:rPr>
          <w:spacing w:val="-3"/>
        </w:rPr>
        <w:t>以具有数字政通特色的“网格化</w:t>
      </w:r>
      <w:r>
        <w:rPr>
          <w:rFonts w:ascii="宋体" w:hAnsi="宋体" w:cs="宋体" w:eastAsia="宋体" w:hint="default"/>
          <w:spacing w:val="-3"/>
        </w:rPr>
        <w:t>+</w:t>
      </w:r>
      <w:r>
        <w:rPr>
          <w:spacing w:val="-3"/>
        </w:rPr>
        <w:t>”智慧城市建设模式为核心，在智慧城市建设的各个领域取</w:t>
      </w:r>
      <w:r>
        <w:rPr>
          <w:spacing w:val="-80"/>
        </w:rPr>
        <w:t> </w:t>
      </w:r>
      <w:r>
        <w:rPr>
          <w:spacing w:val="-80"/>
        </w:rPr>
      </w:r>
      <w:r>
        <w:rPr/>
        <w:t>得了较好的成绩。</w:t>
      </w:r>
    </w:p>
    <w:p>
      <w:pPr>
        <w:tabs>
          <w:tab w:pos="1293" w:val="left" w:leader="none"/>
        </w:tabs>
        <w:spacing w:line="388" w:lineRule="auto" w:before="77"/>
        <w:ind w:left="633" w:right="112" w:hanging="60"/>
        <w:jc w:val="left"/>
        <w:rPr>
          <w:rFonts w:ascii="宋体" w:hAnsi="宋体" w:cs="宋体" w:eastAsia="宋体" w:hint="default"/>
          <w:sz w:val="24"/>
          <w:szCs w:val="24"/>
        </w:rPr>
      </w:pPr>
      <w:r>
        <w:rPr>
          <w:rFonts w:ascii="宋体" w:hAnsi="宋体" w:cs="宋体" w:eastAsia="宋体" w:hint="default"/>
          <w:b/>
          <w:bCs/>
          <w:sz w:val="24"/>
          <w:szCs w:val="24"/>
        </w:rPr>
        <w:t>一、</w:t>
        <w:tab/>
        <w:t>智慧城市管理</w:t>
      </w:r>
      <w:r>
        <w:rPr>
          <w:rFonts w:ascii="宋体" w:hAnsi="宋体" w:cs="宋体" w:eastAsia="宋体" w:hint="default"/>
          <w:b/>
          <w:bCs/>
          <w:w w:val="99"/>
          <w:sz w:val="24"/>
          <w:szCs w:val="24"/>
        </w:rPr>
        <w:t> </w:t>
      </w:r>
      <w:r>
        <w:rPr>
          <w:rFonts w:ascii="宋体" w:hAnsi="宋体" w:cs="宋体" w:eastAsia="宋体" w:hint="default"/>
          <w:spacing w:val="-3"/>
          <w:sz w:val="24"/>
          <w:szCs w:val="24"/>
        </w:rPr>
        <w:t>中国数字化城市管理系统发展十余年来，在各地城市的精细化管理方面发挥了重要作用，</w:t>
      </w:r>
    </w:p>
    <w:p>
      <w:pPr>
        <w:pStyle w:val="BodyText"/>
        <w:spacing w:line="357" w:lineRule="auto" w:before="5"/>
        <w:ind w:right="96"/>
        <w:jc w:val="left"/>
      </w:pPr>
      <w:r>
        <w:rPr>
          <w:spacing w:val="-2"/>
        </w:rPr>
        <w:t>促进了城市管理水平的显著提升，其核心的管理方法“网格化管理法”和“城市部件管理法”</w:t>
      </w:r>
      <w:r>
        <w:rPr/>
        <w:t> </w:t>
      </w:r>
      <w:r>
        <w:rPr>
          <w:spacing w:val="-5"/>
        </w:rPr>
        <w:t>极大地促进了城市管理问题的精细发现、闭环处置和精准监督。城市管理工作在横向上由“小</w:t>
      </w:r>
      <w:r>
        <w:rPr/>
        <w:t> 城管”向“大城管”发展的同时，纵向上从宏观的统筹管理工作逐步向重点领域的精细化管</w:t>
      </w:r>
      <w:r>
        <w:rPr>
          <w:spacing w:val="-91"/>
        </w:rPr>
        <w:t> </w:t>
      </w:r>
      <w:r>
        <w:rPr>
          <w:spacing w:val="-91"/>
        </w:rPr>
      </w:r>
      <w:r>
        <w:rPr/>
        <w:t>理发展。数字城管经过十多年的发展实践，已经得到各省、市、自治区的实践肯定和中央文</w:t>
      </w:r>
      <w:r>
        <w:rPr>
          <w:spacing w:val="-91"/>
        </w:rPr>
        <w:t> </w:t>
      </w:r>
      <w:r>
        <w:rPr>
          <w:spacing w:val="-91"/>
        </w:rPr>
      </w:r>
      <w:r>
        <w:rPr>
          <w:spacing w:val="-4"/>
        </w:rPr>
        <w:t>件的正式认可，《中共中央国务院关于深入推进城市执法体制改革</w:t>
      </w:r>
      <w:r>
        <w:rPr/>
        <w:t> 改进城市管理工作的指导</w:t>
      </w:r>
      <w:r>
        <w:rPr>
          <w:spacing w:val="-89"/>
        </w:rPr>
        <w:t> </w:t>
      </w:r>
      <w:r>
        <w:rPr>
          <w:spacing w:val="-89"/>
        </w:rPr>
      </w:r>
      <w:r>
        <w:rPr>
          <w:spacing w:val="-5"/>
        </w:rPr>
        <w:t>意见》中，不仅强调</w:t>
      </w:r>
      <w:r>
        <w:rPr>
          <w:spacing w:val="-51"/>
        </w:rPr>
        <w:t> </w:t>
      </w:r>
      <w:r>
        <w:rPr>
          <w:rFonts w:ascii="宋体" w:hAnsi="宋体" w:cs="宋体" w:eastAsia="宋体" w:hint="default"/>
        </w:rPr>
        <w:t>2017</w:t>
      </w:r>
      <w:r>
        <w:rPr>
          <w:rFonts w:ascii="宋体" w:hAnsi="宋体" w:cs="宋体" w:eastAsia="宋体" w:hint="default"/>
          <w:spacing w:val="-51"/>
        </w:rPr>
        <w:t> </w:t>
      </w:r>
      <w:r>
        <w:rPr>
          <w:spacing w:val="-6"/>
        </w:rPr>
        <w:t>年年底要实现全国所有市（含市辖区）、县数字化城市管理全覆盖，</w:t>
      </w:r>
      <w:r>
        <w:rPr/>
        <w:t> 还要求加快数字化城市管理向智慧化城市管理升级。</w:t>
      </w:r>
    </w:p>
    <w:p>
      <w:pPr>
        <w:pStyle w:val="BodyText"/>
        <w:spacing w:line="357" w:lineRule="auto" w:before="74"/>
        <w:ind w:right="232" w:firstLine="480"/>
        <w:jc w:val="both"/>
      </w:pPr>
      <w:r>
        <w:rPr/>
        <w:t>报告期内，在市场需求蓬勃发展的大背景下，公司积极推动数字城管的智慧化升级，响 应各地城市发展产生的管理新需求，强化与市政公用、市容环卫、园林绿化和城管执法等数</w:t>
      </w:r>
      <w:r>
        <w:rPr>
          <w:spacing w:val="-91"/>
        </w:rPr>
        <w:t> </w:t>
      </w:r>
      <w:r>
        <w:rPr>
          <w:spacing w:val="-91"/>
        </w:rPr>
      </w:r>
      <w:r>
        <w:rPr/>
        <w:t>字化平台的业务联动与信息共享，促进数字城管向“大城管</w:t>
      </w:r>
      <w:r>
        <w:rPr>
          <w:spacing w:val="30"/>
        </w:rPr>
        <w:t> </w:t>
      </w:r>
      <w:r>
        <w:rPr>
          <w:rFonts w:ascii="宋体" w:hAnsi="宋体" w:cs="宋体" w:eastAsia="宋体" w:hint="default"/>
        </w:rPr>
        <w:t>3+1</w:t>
      </w:r>
      <w:r>
        <w:rPr/>
        <w:t>”纵向延伸，推动数字城管</w:t>
      </w:r>
      <w:r>
        <w:rPr>
          <w:spacing w:val="-118"/>
        </w:rPr>
        <w:t> </w:t>
      </w:r>
      <w:r>
        <w:rPr>
          <w:spacing w:val="-118"/>
        </w:rPr>
      </w:r>
      <w:r>
        <w:rPr>
          <w:spacing w:val="-3"/>
        </w:rPr>
        <w:t>向城市管理、社会管理和公共服务等“网格化</w:t>
      </w:r>
      <w:r>
        <w:rPr>
          <w:rFonts w:ascii="宋体" w:hAnsi="宋体" w:cs="宋体" w:eastAsia="宋体" w:hint="default"/>
          <w:spacing w:val="-3"/>
        </w:rPr>
        <w:t>+</w:t>
      </w:r>
      <w:r>
        <w:rPr>
          <w:spacing w:val="-3"/>
        </w:rPr>
        <w:t>”横向延伸。通过移动互联网、物联网、大数</w:t>
      </w:r>
      <w:r>
        <w:rPr>
          <w:spacing w:val="-82"/>
        </w:rPr>
        <w:t> </w:t>
      </w:r>
      <w:r>
        <w:rPr>
          <w:spacing w:val="-82"/>
        </w:rPr>
      </w:r>
      <w:r>
        <w:rPr/>
        <w:t>据、云计算等现代信息技术与城市管理服务融合，加强城市管理和服务体系智能化建设，提</w:t>
      </w:r>
      <w:r>
        <w:rPr>
          <w:spacing w:val="-91"/>
        </w:rPr>
        <w:t> </w:t>
      </w:r>
      <w:r>
        <w:rPr>
          <w:spacing w:val="-91"/>
        </w:rPr>
      </w:r>
      <w:r>
        <w:rPr/>
        <w:t>高城市治理能力现代化水平，实现“小网格、大智慧”的管理模式。</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238" w:firstLine="480"/>
        <w:jc w:val="both"/>
      </w:pPr>
      <w:r>
        <w:rPr/>
        <w:t>市政公用数字化的主要任务是建立城市的市政公用管理系统，作为市政管理部门与所管 辖行业和企业之间的信息纽带，为其提供一个可快速安全传递信息的数字化平台，协助市政</w:t>
      </w:r>
      <w:r>
        <w:rPr>
          <w:spacing w:val="-91"/>
        </w:rPr>
        <w:t> </w:t>
      </w:r>
      <w:r>
        <w:rPr>
          <w:spacing w:val="-91"/>
        </w:rPr>
      </w:r>
      <w:r>
        <w:rPr/>
        <w:t>公用管理部门及时全面地了解各行业和企业的运作情况，并为市政公用管理决策者提供必要</w:t>
      </w:r>
      <w:r>
        <w:rPr>
          <w:spacing w:val="-91"/>
        </w:rPr>
        <w:t> </w:t>
      </w:r>
      <w:r>
        <w:rPr>
          <w:spacing w:val="-91"/>
        </w:rPr>
      </w:r>
      <w:r>
        <w:rPr/>
        <w:t>的辅助参考。报告期内，公司已在北京市顺义区运行试点项目，启动智慧市政建设工作，积</w:t>
      </w:r>
      <w:r>
        <w:rPr>
          <w:spacing w:val="-91"/>
        </w:rPr>
        <w:t> </w:t>
      </w:r>
      <w:r>
        <w:rPr>
          <w:spacing w:val="-91"/>
        </w:rPr>
      </w:r>
      <w:r>
        <w:rPr/>
        <w:t>极采用物联网、无线数据传输、工程过程实时在线检测等技术手段，实现对试点小区内部及</w:t>
      </w:r>
      <w:r>
        <w:rPr>
          <w:spacing w:val="-91"/>
        </w:rPr>
        <w:t> </w:t>
      </w:r>
      <w:r>
        <w:rPr>
          <w:spacing w:val="-91"/>
        </w:rPr>
      </w:r>
      <w:r>
        <w:rPr/>
        <w:t>周边道路供水、供气、供热及缴费收费等公用事业服务质量的统一监管，即时感知设施运行</w:t>
      </w:r>
      <w:r>
        <w:rPr>
          <w:spacing w:val="-91"/>
        </w:rPr>
        <w:t> </w:t>
      </w:r>
      <w:r>
        <w:rPr>
          <w:spacing w:val="-91"/>
        </w:rPr>
      </w:r>
      <w:r>
        <w:rPr/>
        <w:t>信息，全面保障城市运行安全。通过实时监测，加入监测阈值管理、自动响声报警等功能，</w:t>
      </w:r>
      <w:r>
        <w:rPr>
          <w:spacing w:val="-90"/>
        </w:rPr>
        <w:t> </w:t>
      </w:r>
      <w:r>
        <w:rPr>
          <w:spacing w:val="-90"/>
        </w:rPr>
      </w:r>
      <w:r>
        <w:rPr/>
        <w:t>第一时间发现问题，自动生成事件案卷。通过对小区及外围临街道路进行三维数据建模，包</w:t>
      </w:r>
      <w:r>
        <w:rPr>
          <w:spacing w:val="-91"/>
        </w:rPr>
        <w:t> </w:t>
      </w:r>
      <w:r>
        <w:rPr>
          <w:spacing w:val="-91"/>
        </w:rPr>
      </w:r>
      <w:r>
        <w:rPr/>
        <w:t>括地上建筑及市政设施、道路、座椅、广场等三维建模及地下停车场三维建模，将全区的管</w:t>
      </w:r>
      <w:r>
        <w:rPr>
          <w:spacing w:val="-91"/>
        </w:rPr>
        <w:t> </w:t>
      </w:r>
      <w:r>
        <w:rPr>
          <w:spacing w:val="-91"/>
        </w:rPr>
      </w:r>
      <w:r>
        <w:rPr/>
        <w:t>线数据水、气、热、雨污水、中水立体化和可视化，全面掌握市政公用设施的位置信息、分</w:t>
      </w:r>
      <w:r>
        <w:rPr>
          <w:spacing w:val="-91"/>
        </w:rPr>
        <w:t> </w:t>
      </w:r>
      <w:r>
        <w:rPr>
          <w:spacing w:val="-91"/>
        </w:rPr>
      </w:r>
      <w:r>
        <w:rPr/>
        <w:t>布情况。</w:t>
      </w:r>
    </w:p>
    <w:p>
      <w:pPr>
        <w:spacing w:line="240" w:lineRule="auto" w:before="3"/>
        <w:rPr>
          <w:rFonts w:ascii="宋体" w:hAnsi="宋体" w:cs="宋体" w:eastAsia="宋体" w:hint="default"/>
          <w:sz w:val="7"/>
          <w:szCs w:val="7"/>
        </w:rPr>
      </w:pPr>
    </w:p>
    <w:p>
      <w:pPr>
        <w:spacing w:line="4563" w:lineRule="exact"/>
        <w:ind w:left="513"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5183210" cy="2897695"/>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5183210" cy="2897695"/>
                    </a:xfrm>
                    <a:prstGeom prst="rect">
                      <a:avLst/>
                    </a:prstGeom>
                  </pic:spPr>
                </pic:pic>
              </a:graphicData>
            </a:graphic>
          </wp:inline>
        </w:drawing>
      </w:r>
      <w:r>
        <w:rPr>
          <w:rFonts w:ascii="宋体" w:hAnsi="宋体" w:cs="宋体" w:eastAsia="宋体" w:hint="default"/>
          <w:position w:val="-90"/>
          <w:sz w:val="20"/>
          <w:szCs w:val="20"/>
        </w:rPr>
      </w:r>
    </w:p>
    <w:p>
      <w:pPr>
        <w:pStyle w:val="BodyText"/>
        <w:spacing w:line="357" w:lineRule="auto" w:before="139"/>
        <w:ind w:right="96" w:firstLine="480"/>
        <w:jc w:val="left"/>
      </w:pPr>
      <w:r>
        <w:rPr/>
        <w:t>市容环卫数字化主要面向城市环卫管理部门，对环卫业务管理所涉及的设施、人员、车 </w:t>
      </w:r>
      <w:r>
        <w:rPr>
          <w:spacing w:val="-2"/>
        </w:rPr>
        <w:t>辆、事件等要素整合到信息管理平台内，充分发挥市容环卫数字化的快速、高效、便捷优势，</w:t>
      </w:r>
      <w:r>
        <w:rPr/>
        <w:t> 加大移动督查管理力度，确保作业质量进一步提升，同时也可以对一线环卫工作进行实时的</w:t>
      </w:r>
      <w:r>
        <w:rPr>
          <w:spacing w:val="-89"/>
        </w:rPr>
        <w:t> </w:t>
      </w:r>
      <w:r>
        <w:rPr>
          <w:spacing w:val="-89"/>
        </w:rPr>
      </w:r>
      <w:r>
        <w:rPr/>
        <w:t>考勤管理，形成长效化的管理机制。报告期内，公司在合肥市高新区基于合肥市数字城管平</w:t>
      </w:r>
      <w:r>
        <w:rPr>
          <w:spacing w:val="-91"/>
        </w:rPr>
        <w:t> </w:t>
      </w:r>
      <w:r>
        <w:rPr>
          <w:spacing w:val="-91"/>
        </w:rPr>
      </w:r>
      <w:r>
        <w:rPr/>
        <w:t>台试点拓展了智慧环卫监管子系统、餐厨垃圾管理子系统、市容环境卫生责任区管理子系统</w:t>
      </w:r>
      <w:r>
        <w:rPr>
          <w:spacing w:val="-91"/>
        </w:rPr>
        <w:t> </w:t>
      </w:r>
      <w:r>
        <w:rPr>
          <w:spacing w:val="-91"/>
        </w:rPr>
      </w:r>
      <w:r>
        <w:rPr/>
        <w:t>等智慧环卫综合监管平台。针对一些机械化作业车辆出现的不规范现象，建立了作业状态监</w:t>
      </w:r>
      <w:r>
        <w:rPr>
          <w:spacing w:val="-91"/>
        </w:rPr>
        <w:t> </w:t>
      </w:r>
      <w:r>
        <w:rPr>
          <w:spacing w:val="-91"/>
        </w:rPr>
      </w:r>
      <w:r>
        <w:rPr/>
        <w:t>管系统，使得分散在城市道路上的作业车辆，其作业次数、作业质量、司机、油耗等等基础</w:t>
      </w:r>
      <w:r>
        <w:rPr>
          <w:spacing w:val="-91"/>
        </w:rPr>
        <w:t> </w:t>
      </w:r>
      <w:r>
        <w:rPr>
          <w:spacing w:val="-91"/>
        </w:rPr>
      </w:r>
      <w:r>
        <w:rPr/>
        <w:t>信息通过数字化的手段直接呈现在管理人员的眼前。</w:t>
      </w:r>
    </w:p>
    <w:p>
      <w:pPr>
        <w:spacing w:after="0" w:line="357" w:lineRule="auto"/>
        <w:jc w:val="left"/>
        <w:sectPr>
          <w:pgSz w:w="11910" w:h="16840"/>
          <w:pgMar w:header="745" w:footer="979" w:top="1060" w:bottom="1160" w:left="980" w:right="9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line="3906" w:lineRule="exact"/>
        <w:ind w:left="513"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5193724" cy="2480309"/>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5193724" cy="2480309"/>
                    </a:xfrm>
                    <a:prstGeom prst="rect">
                      <a:avLst/>
                    </a:prstGeom>
                  </pic:spPr>
                </pic:pic>
              </a:graphicData>
            </a:graphic>
          </wp:inline>
        </w:drawing>
      </w:r>
      <w:r>
        <w:rPr>
          <w:rFonts w:ascii="宋体" w:hAnsi="宋体" w:cs="宋体" w:eastAsia="宋体" w:hint="default"/>
          <w:position w:val="-77"/>
          <w:sz w:val="20"/>
          <w:szCs w:val="20"/>
        </w:rPr>
      </w:r>
    </w:p>
    <w:p>
      <w:pPr>
        <w:spacing w:line="240" w:lineRule="auto" w:before="13"/>
        <w:rPr>
          <w:rFonts w:ascii="宋体" w:hAnsi="宋体" w:cs="宋体" w:eastAsia="宋体" w:hint="default"/>
          <w:sz w:val="9"/>
          <w:szCs w:val="9"/>
        </w:rPr>
      </w:pPr>
    </w:p>
    <w:p>
      <w:pPr>
        <w:pStyle w:val="BodyText"/>
        <w:spacing w:line="357" w:lineRule="auto" w:before="26"/>
        <w:ind w:right="157" w:firstLine="480"/>
        <w:jc w:val="both"/>
      </w:pPr>
      <w:r>
        <w:rPr/>
        <w:t>随着我国整体经济的发展，人们生活水平也在逐步提升，对生态环境也提出了更高的要 求，城市园林绿化行业也逐渐兴起。公司在合肥高新区初步建成智慧园林管理系统，通过地</w:t>
      </w:r>
      <w:r>
        <w:rPr>
          <w:spacing w:val="-90"/>
        </w:rPr>
        <w:t> </w:t>
      </w:r>
      <w:r>
        <w:rPr>
          <w:spacing w:val="-90"/>
        </w:rPr>
      </w:r>
      <w:r>
        <w:rPr/>
        <w:t>理信息系统、数据库、高速网络等技术实现了整体情况数字化展示。通过对全区园林绿地的</w:t>
      </w:r>
      <w:r>
        <w:rPr>
          <w:spacing w:val="-91"/>
        </w:rPr>
        <w:t> </w:t>
      </w:r>
      <w:r>
        <w:rPr>
          <w:spacing w:val="-91"/>
        </w:rPr>
      </w:r>
      <w:r>
        <w:rPr/>
        <w:t>资源进行整理，实现了对园林各项数据的查询、统计、量算、定位、浏览、图形输出、多媒</w:t>
      </w:r>
      <w:r>
        <w:rPr>
          <w:spacing w:val="-91"/>
        </w:rPr>
        <w:t> </w:t>
      </w:r>
      <w:r>
        <w:rPr>
          <w:spacing w:val="-91"/>
        </w:rPr>
      </w:r>
      <w:r>
        <w:rPr/>
        <w:t>体管理等方面的数字化管理。将园林绿化企业进行信息整合，对各管养单位负责区域的园林</w:t>
      </w:r>
      <w:r>
        <w:rPr>
          <w:spacing w:val="-91"/>
        </w:rPr>
        <w:t> </w:t>
      </w:r>
      <w:r>
        <w:rPr>
          <w:spacing w:val="-91"/>
        </w:rPr>
      </w:r>
      <w:r>
        <w:rPr/>
        <w:t>绿化工作情况予以考核，便于统一管理与维护，为养护管理提供数据支撑。</w:t>
      </w:r>
    </w:p>
    <w:p>
      <w:pPr>
        <w:spacing w:line="240" w:lineRule="auto" w:before="7"/>
        <w:rPr>
          <w:rFonts w:ascii="宋体" w:hAnsi="宋体" w:cs="宋体" w:eastAsia="宋体" w:hint="default"/>
          <w:sz w:val="9"/>
          <w:szCs w:val="9"/>
        </w:rPr>
      </w:pPr>
    </w:p>
    <w:p>
      <w:pPr>
        <w:spacing w:line="3560" w:lineRule="exact"/>
        <w:ind w:left="513" w:right="0" w:firstLine="0"/>
        <w:rPr>
          <w:rFonts w:ascii="宋体" w:hAnsi="宋体" w:cs="宋体" w:eastAsia="宋体" w:hint="default"/>
          <w:sz w:val="20"/>
          <w:szCs w:val="20"/>
        </w:rPr>
      </w:pPr>
      <w:r>
        <w:rPr>
          <w:rFonts w:ascii="宋体" w:hAnsi="宋体" w:cs="宋体" w:eastAsia="宋体" w:hint="default"/>
          <w:position w:val="-70"/>
          <w:sz w:val="20"/>
          <w:szCs w:val="20"/>
        </w:rPr>
        <w:drawing>
          <wp:inline distT="0" distB="0" distL="0" distR="0">
            <wp:extent cx="5178788" cy="2260758"/>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5178788" cy="2260758"/>
                    </a:xfrm>
                    <a:prstGeom prst="rect">
                      <a:avLst/>
                    </a:prstGeom>
                  </pic:spPr>
                </pic:pic>
              </a:graphicData>
            </a:graphic>
          </wp:inline>
        </w:drawing>
      </w:r>
      <w:r>
        <w:rPr>
          <w:rFonts w:ascii="宋体" w:hAnsi="宋体" w:cs="宋体" w:eastAsia="宋体" w:hint="default"/>
          <w:position w:val="-70"/>
          <w:sz w:val="20"/>
          <w:szCs w:val="20"/>
        </w:rPr>
      </w:r>
    </w:p>
    <w:p>
      <w:pPr>
        <w:pStyle w:val="BodyText"/>
        <w:spacing w:line="357" w:lineRule="auto" w:before="175"/>
        <w:ind w:right="150" w:firstLine="480"/>
        <w:jc w:val="both"/>
      </w:pPr>
      <w:r>
        <w:rPr>
          <w:spacing w:val="-3"/>
        </w:rPr>
        <w:t>报告期内，公司在智慧“大城管”的纵向深化改革中</w:t>
      </w:r>
      <w:r>
        <w:rPr>
          <w:rFonts w:ascii="宋体" w:hAnsi="宋体" w:cs="宋体" w:eastAsia="宋体" w:hint="default"/>
          <w:spacing w:val="-3"/>
        </w:rPr>
        <w:t>,</w:t>
      </w:r>
      <w:r>
        <w:rPr>
          <w:spacing w:val="-3"/>
        </w:rPr>
        <w:t>配合各地政府客户努力推进市县两</w:t>
      </w:r>
      <w:r>
        <w:rPr/>
        <w:t> 级政府城市管理领域大部门制监管，整合市政公用、市容环卫、园林绿化、城市管理执法等</w:t>
      </w:r>
      <w:r>
        <w:rPr>
          <w:spacing w:val="-87"/>
        </w:rPr>
        <w:t> </w:t>
      </w:r>
      <w:r>
        <w:rPr>
          <w:spacing w:val="-87"/>
        </w:rPr>
      </w:r>
      <w:r>
        <w:rPr>
          <w:spacing w:val="-2"/>
        </w:rPr>
        <w:t>公共服务管理部门相关职能，充分运用“网格化</w:t>
      </w:r>
      <w:r>
        <w:rPr>
          <w:rFonts w:ascii="宋体" w:hAnsi="宋体" w:cs="宋体" w:eastAsia="宋体" w:hint="default"/>
          <w:spacing w:val="-2"/>
        </w:rPr>
        <w:t>+</w:t>
      </w:r>
      <w:r>
        <w:rPr>
          <w:spacing w:val="-2"/>
        </w:rPr>
        <w:t>”的业务模式横向延伸，取得了良好的市场</w:t>
      </w:r>
      <w:r>
        <w:rPr/>
        <w:t> 效果。</w:t>
      </w:r>
    </w:p>
    <w:p>
      <w:pPr>
        <w:pStyle w:val="Heading2"/>
        <w:tabs>
          <w:tab w:pos="1293" w:val="left" w:leader="none"/>
        </w:tabs>
        <w:spacing w:line="240" w:lineRule="auto" w:before="77"/>
        <w:ind w:left="573" w:right="153"/>
        <w:jc w:val="left"/>
        <w:rPr>
          <w:b w:val="0"/>
          <w:bCs w:val="0"/>
        </w:rPr>
      </w:pPr>
      <w:r>
        <w:rPr/>
        <w:t>二、</w:t>
        <w:tab/>
        <w:t>智慧综合行政执法管理</w:t>
      </w:r>
      <w:r>
        <w:rPr>
          <w:b w:val="0"/>
          <w:bCs w:val="0"/>
        </w:rPr>
      </w:r>
    </w:p>
    <w:p>
      <w:pPr>
        <w:pStyle w:val="BodyText"/>
        <w:spacing w:line="240" w:lineRule="auto" w:before="195"/>
        <w:ind w:left="633" w:right="0"/>
        <w:jc w:val="left"/>
      </w:pPr>
      <w:r>
        <w:rPr>
          <w:rFonts w:ascii="宋体" w:hAnsi="宋体" w:cs="宋体" w:eastAsia="宋体" w:hint="default"/>
        </w:rPr>
        <w:t>2014</w:t>
      </w:r>
      <w:r>
        <w:rPr>
          <w:rFonts w:ascii="宋体" w:hAnsi="宋体" w:cs="宋体" w:eastAsia="宋体" w:hint="default"/>
          <w:spacing w:val="-85"/>
        </w:rPr>
        <w:t> </w:t>
      </w:r>
      <w:r>
        <w:rPr/>
        <w:t>年，中央十八届四中全会提出了《中共中央关于全面推进依法治国若干重大问题的</w:t>
      </w:r>
    </w:p>
    <w:p>
      <w:pPr>
        <w:spacing w:after="0" w:line="240"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96"/>
        <w:jc w:val="left"/>
      </w:pPr>
      <w:r>
        <w:rPr/>
        <w:t>决定》的总目标，要求“深化行政执法体制改革。</w:t>
      </w: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21</w:t>
      </w:r>
      <w:r>
        <w:rPr>
          <w:rFonts w:ascii="宋体" w:hAnsi="宋体" w:cs="宋体" w:eastAsia="宋体" w:hint="default"/>
          <w:spacing w:val="-41"/>
        </w:rPr>
        <w:t> </w:t>
      </w:r>
      <w:r>
        <w:rPr/>
        <w:t>日，中共中央印发《深化 党和国家机构改革方案》全文，其中第五部分对深化行政执法体制改革作出系统部署。方案</w:t>
      </w:r>
      <w:r>
        <w:rPr>
          <w:spacing w:val="-91"/>
        </w:rPr>
        <w:t> </w:t>
      </w:r>
      <w:r>
        <w:rPr>
          <w:spacing w:val="-91"/>
        </w:rPr>
      </w:r>
      <w:r>
        <w:rPr>
          <w:spacing w:val="-3"/>
        </w:rPr>
        <w:t>指出，大幅减少执法队伍种类，合理配置执法力量。改革后将形成大市场、大环保、大文化、</w:t>
      </w:r>
      <w:r>
        <w:rPr>
          <w:spacing w:val="-82"/>
        </w:rPr>
        <w:t> </w:t>
      </w:r>
      <w:r>
        <w:rPr>
          <w:spacing w:val="-82"/>
        </w:rPr>
      </w:r>
      <w:r>
        <w:rPr/>
        <w:t>大交通、大农业的综合执法格局，行政执法“多个大盖帽管不住一顶草帽”的怪圈有望被打</w:t>
      </w:r>
      <w:r>
        <w:rPr>
          <w:spacing w:val="-87"/>
        </w:rPr>
        <w:t> </w:t>
      </w:r>
      <w:r>
        <w:rPr>
          <w:spacing w:val="-87"/>
        </w:rPr>
      </w:r>
      <w:r>
        <w:rPr/>
        <w:t>破。在中共中央、国务院关于深入推进城市执法体制改革、改进城市管理工作的大背景下，</w:t>
      </w:r>
      <w:r>
        <w:rPr>
          <w:spacing w:val="-91"/>
        </w:rPr>
        <w:t> </w:t>
      </w:r>
      <w:r>
        <w:rPr>
          <w:spacing w:val="-91"/>
        </w:rPr>
      </w:r>
      <w:r>
        <w:rPr>
          <w:spacing w:val="-3"/>
        </w:rPr>
        <w:t>数字政通结合各地城市违法建设和违法经营等问题现状，创新管理体制，利用“网格化</w:t>
      </w:r>
      <w:r>
        <w:rPr>
          <w:rFonts w:ascii="宋体" w:hAnsi="宋体" w:cs="宋体" w:eastAsia="宋体" w:hint="default"/>
          <w:spacing w:val="-3"/>
        </w:rPr>
        <w:t>+</w:t>
      </w:r>
      <w:r>
        <w:rPr>
          <w:spacing w:val="-3"/>
        </w:rPr>
        <w:t>”管</w:t>
      </w:r>
      <w:r>
        <w:rPr>
          <w:spacing w:val="-99"/>
        </w:rPr>
        <w:t> </w:t>
      </w:r>
      <w:r>
        <w:rPr/>
        <w:t>理方法及移动互联技术，构建了“分工明确、责任到位、沟通便捷、反应快速、处置及时、</w:t>
      </w:r>
      <w:r>
        <w:rPr>
          <w:spacing w:val="-91"/>
        </w:rPr>
        <w:t> </w:t>
      </w:r>
      <w:r>
        <w:rPr>
          <w:spacing w:val="-91"/>
        </w:rPr>
      </w:r>
      <w:r>
        <w:rPr/>
        <w:t>运转高效”的城市综合执法监察管理信息平台，帮助各地政府最终实现处理城市管理违法事</w:t>
      </w:r>
      <w:r>
        <w:rPr>
          <w:spacing w:val="-91"/>
        </w:rPr>
        <w:t> </w:t>
      </w:r>
      <w:r>
        <w:rPr>
          <w:spacing w:val="-91"/>
        </w:rPr>
      </w:r>
      <w:r>
        <w:rPr/>
        <w:t>项“预防、发现、制止、报告、查处”的各个环节向规范化、制度化的良性轨道运行，提升</w:t>
      </w:r>
      <w:r>
        <w:rPr>
          <w:spacing w:val="-91"/>
        </w:rPr>
        <w:t> </w:t>
      </w:r>
      <w:r>
        <w:rPr>
          <w:spacing w:val="-91"/>
        </w:rPr>
      </w:r>
      <w:r>
        <w:rPr/>
        <w:t>和改善依法治理的水平和能力。</w:t>
      </w:r>
    </w:p>
    <w:p>
      <w:pPr>
        <w:pStyle w:val="BodyText"/>
        <w:spacing w:line="357" w:lineRule="auto" w:before="77"/>
        <w:ind w:right="231" w:firstLine="480"/>
        <w:jc w:val="both"/>
      </w:pPr>
      <w:r>
        <w:rPr/>
        <w:t>报告期内，公司凭借着在行政执法行业雄厚的技术实力和良好的业界口碑，中标全国首 </w:t>
      </w:r>
      <w:r>
        <w:rPr>
          <w:spacing w:val="-2"/>
        </w:rPr>
        <w:t>个省级“行政执法三项制度试点”项目</w:t>
      </w:r>
      <w:r>
        <w:rPr>
          <w:rFonts w:ascii="宋体" w:hAnsi="宋体" w:cs="宋体" w:eastAsia="宋体" w:hint="default"/>
          <w:spacing w:val="-2"/>
        </w:rPr>
        <w:t>--</w:t>
      </w:r>
      <w:r>
        <w:rPr>
          <w:spacing w:val="-2"/>
        </w:rPr>
        <w:t>河北省“互联网</w:t>
      </w:r>
      <w:r>
        <w:rPr>
          <w:rFonts w:ascii="宋体" w:hAnsi="宋体" w:cs="宋体" w:eastAsia="宋体" w:hint="default"/>
          <w:spacing w:val="-2"/>
        </w:rPr>
        <w:t>+</w:t>
      </w:r>
      <w:r>
        <w:rPr>
          <w:spacing w:val="-2"/>
        </w:rPr>
        <w:t>政务服务”项目，该项目充分运用</w:t>
      </w:r>
      <w:r>
        <w:rPr/>
        <w:t> </w:t>
      </w:r>
      <w:r>
        <w:rPr>
          <w:spacing w:val="-5"/>
        </w:rPr>
        <w:t>物联网、大数据、云计算等技术，在河北省的省、市、县三级行政执法单位及法制办推进“三</w:t>
      </w:r>
      <w:r>
        <w:rPr/>
        <w:t> 项制度试点工作”的建设。该项目建设是国务院办公厅《关于印发推行行政执法公示制度执</w:t>
      </w:r>
      <w:r>
        <w:rPr>
          <w:spacing w:val="-91"/>
        </w:rPr>
        <w:t> </w:t>
      </w:r>
      <w:r>
        <w:rPr>
          <w:spacing w:val="-91"/>
        </w:rPr>
      </w:r>
      <w:r>
        <w:rPr/>
        <w:t>法全过程记录制度重大执法决定法制审核制度试点工作方案的通知》</w:t>
      </w:r>
      <w:r>
        <w:rPr>
          <w:rFonts w:ascii="宋体" w:hAnsi="宋体" w:cs="宋体" w:eastAsia="宋体" w:hint="default"/>
        </w:rPr>
        <w:t>(</w:t>
      </w:r>
      <w:r>
        <w:rPr/>
        <w:t>国办发〔</w:t>
      </w:r>
      <w:r>
        <w:rPr>
          <w:rFonts w:ascii="宋体" w:hAnsi="宋体" w:cs="宋体" w:eastAsia="宋体" w:hint="default"/>
        </w:rPr>
        <w:t>2017</w:t>
      </w:r>
      <w:r>
        <w:rPr/>
        <w:t>〕</w:t>
      </w:r>
      <w:r>
        <w:rPr>
          <w:rFonts w:ascii="宋体" w:hAnsi="宋体" w:cs="宋体" w:eastAsia="宋体" w:hint="default"/>
        </w:rPr>
        <w:t>14</w:t>
      </w:r>
      <w:r>
        <w:rPr>
          <w:rFonts w:ascii="宋体" w:hAnsi="宋体" w:cs="宋体" w:eastAsia="宋体" w:hint="default"/>
          <w:spacing w:val="-80"/>
        </w:rPr>
        <w:t> </w:t>
      </w:r>
      <w:r>
        <w:rPr/>
        <w:t>号</w:t>
      </w:r>
      <w:r>
        <w:rPr>
          <w:rFonts w:ascii="宋体" w:hAnsi="宋体" w:cs="宋体" w:eastAsia="宋体" w:hint="default"/>
        </w:rPr>
        <w:t>) </w:t>
      </w:r>
      <w:r>
        <w:rPr/>
        <w:t>文件中的重要项目，作为全国唯一的一个“三项制度”省级试点，河北省行政执法信息服务</w:t>
      </w:r>
      <w:r>
        <w:rPr>
          <w:spacing w:val="-91"/>
        </w:rPr>
        <w:t> </w:t>
      </w:r>
      <w:r>
        <w:rPr>
          <w:spacing w:val="-91"/>
        </w:rPr>
      </w:r>
      <w:r>
        <w:rPr/>
        <w:t>平台的筹备与建设具有重要的代表性意义，对于下一步全国行政执法“三项制度”的全国推</w:t>
      </w:r>
      <w:r>
        <w:rPr>
          <w:spacing w:val="-86"/>
        </w:rPr>
        <w:t> </w:t>
      </w:r>
      <w:r>
        <w:rPr>
          <w:spacing w:val="-86"/>
        </w:rPr>
      </w:r>
      <w:r>
        <w:rPr/>
        <w:t>广具有积极作用。</w:t>
      </w:r>
    </w:p>
    <w:p>
      <w:pPr>
        <w:spacing w:line="240" w:lineRule="auto" w:before="10"/>
        <w:rPr>
          <w:rFonts w:ascii="宋体" w:hAnsi="宋体" w:cs="宋体" w:eastAsia="宋体" w:hint="default"/>
          <w:sz w:val="9"/>
          <w:szCs w:val="9"/>
        </w:rPr>
      </w:pPr>
    </w:p>
    <w:p>
      <w:pPr>
        <w:spacing w:line="4527" w:lineRule="exact"/>
        <w:ind w:left="633"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5105252" cy="2875026"/>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5105252" cy="2875026"/>
                    </a:xfrm>
                    <a:prstGeom prst="rect">
                      <a:avLst/>
                    </a:prstGeom>
                  </pic:spPr>
                </pic:pic>
              </a:graphicData>
            </a:graphic>
          </wp:inline>
        </w:drawing>
      </w:r>
      <w:r>
        <w:rPr>
          <w:rFonts w:ascii="宋体" w:hAnsi="宋体" w:cs="宋体" w:eastAsia="宋体" w:hint="default"/>
          <w:position w:val="-90"/>
          <w:sz w:val="20"/>
          <w:szCs w:val="20"/>
        </w:rPr>
      </w:r>
    </w:p>
    <w:p>
      <w:pPr>
        <w:pStyle w:val="Heading2"/>
        <w:tabs>
          <w:tab w:pos="1293" w:val="left" w:leader="none"/>
        </w:tabs>
        <w:spacing w:line="240" w:lineRule="auto" w:before="141"/>
        <w:ind w:left="573" w:right="96"/>
        <w:jc w:val="left"/>
        <w:rPr>
          <w:b w:val="0"/>
          <w:bCs w:val="0"/>
        </w:rPr>
      </w:pPr>
      <w:r>
        <w:rPr/>
        <w:t>三、</w:t>
        <w:tab/>
        <w:t>智慧社会综合治理</w:t>
      </w:r>
      <w:r>
        <w:rPr>
          <w:b w:val="0"/>
          <w:bCs w:val="0"/>
        </w:rPr>
      </w:r>
    </w:p>
    <w:p>
      <w:pPr>
        <w:spacing w:after="0" w:line="240" w:lineRule="auto"/>
        <w:jc w:val="left"/>
        <w:sectPr>
          <w:pgSz w:w="11910" w:h="16840"/>
          <w:pgMar w:header="745" w:footer="979" w:top="1060" w:bottom="1160" w:left="980" w:right="900"/>
        </w:sectPr>
      </w:pPr>
    </w:p>
    <w:p>
      <w:pPr>
        <w:spacing w:line="240" w:lineRule="auto" w:before="7"/>
        <w:rPr>
          <w:rFonts w:ascii="宋体" w:hAnsi="宋体" w:cs="宋体" w:eastAsia="宋体" w:hint="default"/>
          <w:b/>
          <w:bCs/>
          <w:sz w:val="29"/>
          <w:szCs w:val="29"/>
        </w:rPr>
      </w:pPr>
    </w:p>
    <w:p>
      <w:pPr>
        <w:pStyle w:val="BodyText"/>
        <w:spacing w:line="357" w:lineRule="auto" w:before="26"/>
        <w:ind w:right="96" w:firstLine="480"/>
        <w:jc w:val="left"/>
      </w:pPr>
      <w:r>
        <w:rPr/>
        <w:t>为贯彻落实党中央、中央政法委关于加强和创新社会治理的精神，公司以网格化管理为 </w:t>
      </w:r>
      <w:r>
        <w:rPr>
          <w:spacing w:val="-2"/>
        </w:rPr>
        <w:t>主要思路，建立面向社会综合治理领域政府各职能单位和业务部门，覆盖社区综合数据采集、</w:t>
      </w:r>
      <w:r>
        <w:rPr/>
        <w:t> 人口基础信息管理、社会矛盾联动化解、社区矫正、消防管理、重点青少年、综治维稳、安</w:t>
      </w:r>
      <w:r>
        <w:rPr>
          <w:spacing w:val="-91"/>
        </w:rPr>
        <w:t> </w:t>
      </w:r>
      <w:r>
        <w:rPr>
          <w:spacing w:val="-91"/>
        </w:rPr>
      </w:r>
      <w:r>
        <w:rPr>
          <w:spacing w:val="-3"/>
        </w:rPr>
        <w:t>全生产、社会党建等各方面的应用系统，实现网格化的社会治理，打造“互联网</w:t>
      </w:r>
      <w:r>
        <w:rPr>
          <w:rFonts w:ascii="宋体" w:hAnsi="宋体" w:cs="宋体" w:eastAsia="宋体" w:hint="default"/>
          <w:spacing w:val="-3"/>
        </w:rPr>
        <w:t>+</w:t>
      </w:r>
      <w:r>
        <w:rPr>
          <w:spacing w:val="-3"/>
        </w:rPr>
        <w:t>”网格化社</w:t>
      </w:r>
      <w:r>
        <w:rPr>
          <w:spacing w:val="-80"/>
        </w:rPr>
        <w:t> </w:t>
      </w:r>
      <w:r>
        <w:rPr>
          <w:spacing w:val="-80"/>
        </w:rPr>
      </w:r>
      <w:r>
        <w:rPr/>
        <w:t>会治理信息平台是实施社会治理现代化的手段和支撑，最终全面实现“身边事不出网格、小</w:t>
      </w:r>
      <w:r>
        <w:rPr>
          <w:spacing w:val="-91"/>
        </w:rPr>
        <w:t> </w:t>
      </w:r>
      <w:r>
        <w:rPr>
          <w:spacing w:val="-91"/>
        </w:rPr>
      </w:r>
      <w:r>
        <w:rPr/>
        <w:t>事不出社区、大事不出街道”的建设目标。</w:t>
      </w:r>
    </w:p>
    <w:p>
      <w:pPr>
        <w:spacing w:line="240" w:lineRule="auto" w:before="11"/>
        <w:rPr>
          <w:rFonts w:ascii="宋体" w:hAnsi="宋体" w:cs="宋体" w:eastAsia="宋体" w:hint="default"/>
          <w:sz w:val="5"/>
          <w:szCs w:val="5"/>
        </w:rPr>
      </w:pPr>
    </w:p>
    <w:p>
      <w:pPr>
        <w:spacing w:line="4288" w:lineRule="exact"/>
        <w:ind w:left="513"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602426" cy="2723483"/>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4602426" cy="2723483"/>
                    </a:xfrm>
                    <a:prstGeom prst="rect">
                      <a:avLst/>
                    </a:prstGeom>
                  </pic:spPr>
                </pic:pic>
              </a:graphicData>
            </a:graphic>
          </wp:inline>
        </w:drawing>
      </w:r>
      <w:r>
        <w:rPr>
          <w:rFonts w:ascii="宋体" w:hAnsi="宋体" w:cs="宋体" w:eastAsia="宋体" w:hint="default"/>
          <w:position w:val="-85"/>
          <w:sz w:val="20"/>
          <w:szCs w:val="20"/>
        </w:rPr>
      </w:r>
    </w:p>
    <w:p>
      <w:pPr>
        <w:pStyle w:val="BodyText"/>
        <w:spacing w:line="357" w:lineRule="auto" w:before="120"/>
        <w:ind w:right="96" w:firstLine="480"/>
        <w:jc w:val="left"/>
      </w:pPr>
      <w:r>
        <w:rPr/>
        <w:t>报告期内，公司在福建省莆田市建设的网格化社会服务管理信息平台成功落地，全市基 本上形成了以“格”为工作基础、以“网”为运行依托，覆盖全面、管理规范、流转畅通、</w:t>
      </w:r>
      <w:r>
        <w:rPr>
          <w:spacing w:val="-91"/>
        </w:rPr>
        <w:t> </w:t>
      </w:r>
      <w:r>
        <w:rPr>
          <w:spacing w:val="-91"/>
        </w:rPr>
      </w:r>
      <w:r>
        <w:rPr/>
        <w:t>保障有力的全市网格化服务管理体系，促进网格化城市管理体系与社会治理体系有机融合，</w:t>
      </w:r>
      <w:r>
        <w:rPr>
          <w:spacing w:val="-91"/>
        </w:rPr>
        <w:t> </w:t>
      </w:r>
      <w:r>
        <w:rPr>
          <w:spacing w:val="-91"/>
        </w:rPr>
      </w:r>
      <w:r>
        <w:rPr/>
        <w:t>实现服务管理的信息化、智能化、精细化，以党建统领、行政综合、法治综合、上下综合、</w:t>
      </w:r>
      <w:r>
        <w:rPr>
          <w:spacing w:val="-91"/>
        </w:rPr>
        <w:t> </w:t>
      </w:r>
      <w:r>
        <w:rPr>
          <w:spacing w:val="-91"/>
        </w:rPr>
      </w:r>
      <w:r>
        <w:rPr/>
        <w:t>社会综合为特点，建立主体清晰、权责明确、上下联动、协调有力、执法到位、运转高效的</w:t>
      </w:r>
      <w:r>
        <w:rPr>
          <w:spacing w:val="-91"/>
        </w:rPr>
        <w:t> </w:t>
      </w:r>
      <w:r>
        <w:rPr>
          <w:spacing w:val="-91"/>
        </w:rPr>
      </w:r>
      <w:r>
        <w:rPr>
          <w:spacing w:val="-3"/>
        </w:rPr>
        <w:t>综合服务管理格局。公司在社会治理领域，目前已承建包含北京、深圳、福州、西宁、贵阳、</w:t>
      </w:r>
      <w:r>
        <w:rPr>
          <w:spacing w:val="-85"/>
        </w:rPr>
        <w:t> </w:t>
      </w:r>
      <w:r>
        <w:rPr>
          <w:spacing w:val="-85"/>
        </w:rPr>
      </w:r>
      <w:r>
        <w:rPr/>
        <w:t>鞍山、宁德、三亚、铜陵、柳州、黄石、安阳等全国近百个城市的社会治理信息化项目，未</w:t>
      </w:r>
      <w:r>
        <w:rPr>
          <w:spacing w:val="-87"/>
        </w:rPr>
        <w:t> </w:t>
      </w:r>
      <w:r>
        <w:rPr>
          <w:spacing w:val="-87"/>
        </w:rPr>
      </w:r>
      <w:r>
        <w:rPr/>
        <w:t>来将继续向全国各地推广。</w:t>
      </w:r>
    </w:p>
    <w:p>
      <w:pPr>
        <w:pStyle w:val="Heading2"/>
        <w:tabs>
          <w:tab w:pos="1293" w:val="left" w:leader="none"/>
        </w:tabs>
        <w:spacing w:line="240" w:lineRule="auto" w:before="77"/>
        <w:ind w:left="573" w:right="96"/>
        <w:jc w:val="left"/>
        <w:rPr>
          <w:b w:val="0"/>
          <w:bCs w:val="0"/>
        </w:rPr>
      </w:pPr>
      <w:r>
        <w:rPr/>
        <w:t>四、</w:t>
        <w:tab/>
        <w:t>智慧水利管理</w:t>
      </w:r>
      <w:r>
        <w:rPr>
          <w:b w:val="0"/>
          <w:bCs w:val="0"/>
        </w:rPr>
      </w:r>
    </w:p>
    <w:p>
      <w:pPr>
        <w:pStyle w:val="BodyText"/>
        <w:spacing w:line="357" w:lineRule="auto" w:before="194"/>
        <w:ind w:right="232" w:firstLine="480"/>
        <w:jc w:val="both"/>
        <w:rPr>
          <w:rFonts w:ascii="宋体" w:hAnsi="宋体" w:cs="宋体" w:eastAsia="宋体" w:hint="default"/>
        </w:rPr>
      </w:pP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11</w:t>
      </w:r>
      <w:r>
        <w:rPr>
          <w:rFonts w:ascii="宋体" w:hAnsi="宋体" w:cs="宋体" w:eastAsia="宋体" w:hint="default"/>
          <w:spacing w:val="-65"/>
        </w:rPr>
        <w:t> </w:t>
      </w:r>
      <w:r>
        <w:rPr/>
        <w:t>日，中共中央办公厅、国务院办公厅印发了《关于全面推行河长制的意 </w:t>
      </w:r>
      <w:r>
        <w:rPr>
          <w:spacing w:val="-6"/>
        </w:rPr>
        <w:t>见》，数字政通以网格化管理模式为基础，打造“全移动、全监管、全感知”的河流综合管理</w:t>
      </w:r>
      <w:r>
        <w:rPr>
          <w:spacing w:val="-81"/>
        </w:rPr>
        <w:t> </w:t>
      </w:r>
      <w:r>
        <w:rPr>
          <w:spacing w:val="-81"/>
        </w:rPr>
      </w:r>
      <w:r>
        <w:rPr/>
        <w:t>平台</w:t>
      </w:r>
      <w:r>
        <w:rPr>
          <w:rFonts w:ascii="宋体" w:hAnsi="宋体" w:cs="宋体" w:eastAsia="宋体" w:hint="default"/>
        </w:rPr>
        <w:t>--</w:t>
      </w:r>
      <w:r>
        <w:rPr/>
        <w:t>河长制管理信息系统，对省市县乡分级管理，利用物联网、移动互联网、大数据、</w:t>
      </w:r>
      <w:r>
        <w:rPr>
          <w:rFonts w:ascii="宋体" w:hAnsi="宋体" w:cs="宋体" w:eastAsia="宋体" w:hint="default"/>
        </w:rPr>
        <w:t>RS</w:t>
      </w:r>
    </w:p>
    <w:p>
      <w:pPr>
        <w:pStyle w:val="BodyText"/>
        <w:spacing w:line="357" w:lineRule="auto"/>
        <w:ind w:right="219"/>
        <w:jc w:val="left"/>
      </w:pPr>
      <w:r>
        <w:rPr/>
        <w:t>（遥</w:t>
      </w:r>
      <w:r>
        <w:rPr>
          <w:spacing w:val="2"/>
        </w:rPr>
        <w:t>感</w:t>
      </w:r>
      <w:r>
        <w:rPr/>
        <w:t>技术</w:t>
      </w:r>
      <w:r>
        <w:rPr>
          <w:spacing w:val="-118"/>
        </w:rPr>
        <w:t>）</w:t>
      </w:r>
      <w:r>
        <w:rPr/>
        <w:t>、</w:t>
      </w:r>
      <w:r>
        <w:rPr>
          <w:rFonts w:ascii="宋体" w:hAnsi="宋体" w:cs="宋体" w:eastAsia="宋体" w:hint="default"/>
        </w:rPr>
        <w:t>GI</w:t>
      </w:r>
      <w:r>
        <w:rPr>
          <w:rFonts w:ascii="宋体" w:hAnsi="宋体" w:cs="宋体" w:eastAsia="宋体" w:hint="default"/>
          <w:spacing w:val="2"/>
        </w:rPr>
        <w:t>S</w:t>
      </w:r>
      <w:r>
        <w:rPr/>
        <w:t>（</w:t>
      </w:r>
      <w:r>
        <w:rPr>
          <w:spacing w:val="2"/>
        </w:rPr>
        <w:t>地</w:t>
      </w:r>
      <w:r>
        <w:rPr/>
        <w:t>理信</w:t>
      </w:r>
      <w:r>
        <w:rPr>
          <w:spacing w:val="2"/>
        </w:rPr>
        <w:t>息</w:t>
      </w:r>
      <w:r>
        <w:rPr/>
        <w:t>技术</w:t>
      </w:r>
      <w:r>
        <w:rPr>
          <w:spacing w:val="-118"/>
        </w:rPr>
        <w:t>）</w:t>
      </w:r>
      <w:r>
        <w:rPr>
          <w:spacing w:val="1"/>
        </w:rPr>
        <w:t>、</w:t>
      </w:r>
      <w:r>
        <w:rPr>
          <w:rFonts w:ascii="宋体" w:hAnsi="宋体" w:cs="宋体" w:eastAsia="宋体" w:hint="default"/>
        </w:rPr>
        <w:t>GP</w:t>
      </w:r>
      <w:r>
        <w:rPr>
          <w:rFonts w:ascii="宋体" w:hAnsi="宋体" w:cs="宋体" w:eastAsia="宋体" w:hint="default"/>
          <w:spacing w:val="2"/>
        </w:rPr>
        <w:t>S</w:t>
      </w:r>
      <w:r>
        <w:rPr/>
        <w:t>（</w:t>
      </w:r>
      <w:r>
        <w:rPr>
          <w:spacing w:val="2"/>
        </w:rPr>
        <w:t>全</w:t>
      </w:r>
      <w:r>
        <w:rPr/>
        <w:t>球定</w:t>
      </w:r>
      <w:r>
        <w:rPr>
          <w:spacing w:val="2"/>
        </w:rPr>
        <w:t>位</w:t>
      </w:r>
      <w:r>
        <w:rPr/>
        <w:t>系统</w:t>
      </w:r>
      <w:r>
        <w:rPr>
          <w:spacing w:val="2"/>
        </w:rPr>
        <w:t>）</w:t>
      </w:r>
      <w:r>
        <w:rPr/>
        <w:t>等</w:t>
      </w:r>
      <w:r>
        <w:rPr>
          <w:spacing w:val="2"/>
        </w:rPr>
        <w:t>信</w:t>
      </w:r>
      <w:r>
        <w:rPr/>
        <w:t>息</w:t>
      </w:r>
      <w:r>
        <w:rPr>
          <w:spacing w:val="2"/>
        </w:rPr>
        <w:t>技</w:t>
      </w:r>
      <w:r>
        <w:rPr/>
        <w:t>术，</w:t>
      </w:r>
      <w:r>
        <w:rPr>
          <w:spacing w:val="2"/>
        </w:rPr>
        <w:t>融</w:t>
      </w:r>
      <w:r>
        <w:rPr/>
        <w:t>合河</w:t>
      </w:r>
      <w:r>
        <w:rPr>
          <w:spacing w:val="2"/>
        </w:rPr>
        <w:t>长</w:t>
      </w:r>
      <w:r>
        <w:rPr/>
        <w:t>制</w:t>
      </w:r>
      <w:r>
        <w:rPr>
          <w:spacing w:val="2"/>
        </w:rPr>
        <w:t>考</w:t>
      </w:r>
      <w:r>
        <w:rPr/>
        <w:t>核评</w:t>
      </w:r>
      <w:r>
        <w:rPr/>
        <w:t> 估体系</w:t>
      </w:r>
      <w:r>
        <w:rPr>
          <w:spacing w:val="-17"/>
        </w:rPr>
        <w:t>，</w:t>
      </w:r>
      <w:r>
        <w:rPr/>
        <w:t>通过对河道水质实时监测数据</w:t>
      </w:r>
      <w:r>
        <w:rPr>
          <w:spacing w:val="-17"/>
        </w:rPr>
        <w:t>、</w:t>
      </w:r>
      <w:r>
        <w:rPr/>
        <w:t>视频监控数据</w:t>
      </w:r>
      <w:r>
        <w:rPr>
          <w:spacing w:val="-17"/>
        </w:rPr>
        <w:t>、</w:t>
      </w:r>
      <w:r>
        <w:rPr/>
        <w:t>一河一档数据</w:t>
      </w:r>
      <w:r>
        <w:rPr>
          <w:spacing w:val="-17"/>
        </w:rPr>
        <w:t>、</w:t>
      </w:r>
      <w:r>
        <w:rPr/>
        <w:t>一河一策数据</w:t>
      </w:r>
      <w:r>
        <w:rPr>
          <w:spacing w:val="-137"/>
        </w:rPr>
        <w:t>、</w:t>
      </w:r>
      <w:r>
        <w:rPr/>
        <w:t>“水</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6"/>
        <w:jc w:val="left"/>
      </w:pPr>
      <w:r>
        <w:rPr/>
        <w:t>利一张图”数据、巡河管理数据、考核评估数据、执法监督数据、日常管理数据等多源数据</w:t>
      </w:r>
      <w:r>
        <w:rPr>
          <w:spacing w:val="-89"/>
        </w:rPr>
        <w:t> </w:t>
      </w:r>
      <w:r>
        <w:rPr>
          <w:spacing w:val="-89"/>
        </w:rPr>
      </w:r>
      <w:r>
        <w:rPr/>
        <w:t>信息的汇聚和共享，面向各级河长、巡河员、社会公众，实现了包括信息管理、信息服务、</w:t>
      </w:r>
      <w:r>
        <w:rPr>
          <w:spacing w:val="-91"/>
        </w:rPr>
        <w:t> </w:t>
      </w:r>
      <w:r>
        <w:rPr>
          <w:spacing w:val="-91"/>
        </w:rPr>
      </w:r>
      <w:r>
        <w:rPr/>
        <w:t>巡河管理、事件处理、抽查督导、考核评估、展示发布、公众参与、移动服务等在内的河道</w:t>
      </w:r>
      <w:r>
        <w:rPr>
          <w:spacing w:val="-91"/>
        </w:rPr>
        <w:t> </w:t>
      </w:r>
      <w:r>
        <w:rPr>
          <w:spacing w:val="-91"/>
        </w:rPr>
      </w:r>
      <w:r>
        <w:rPr>
          <w:spacing w:val="-2"/>
        </w:rPr>
        <w:t>监管基本业务功能。同时数字政通河长制信息管理平台通过提供“全移动、全监管、全感知”</w:t>
      </w:r>
      <w:r>
        <w:rPr/>
        <w:t> 的信息支撑服务，实现部门数据共享、互联互通，发挥河流综合监管作用，支持各级河长履</w:t>
      </w:r>
      <w:r>
        <w:rPr>
          <w:spacing w:val="-91"/>
        </w:rPr>
        <w:t> </w:t>
      </w:r>
      <w:r>
        <w:rPr>
          <w:spacing w:val="-91"/>
        </w:rPr>
      </w:r>
      <w:r>
        <w:rPr/>
        <w:t>职尽责，为全面科学推行河长制提供管理决策依据。</w:t>
      </w:r>
    </w:p>
    <w:p>
      <w:pPr>
        <w:pStyle w:val="BodyText"/>
        <w:spacing w:line="357" w:lineRule="auto" w:before="77"/>
        <w:ind w:right="235" w:firstLine="480"/>
        <w:jc w:val="both"/>
      </w:pPr>
      <w:r>
        <w:rPr/>
        <w:t>实践证明数字政通河长制解决方案能全面支撑各级河长制湖长制管理工作，是保障河湖 “河畅、水清、岸绿、景美”的重要技术手段。党的十九大报告中提出，要坚持人与自然和</w:t>
      </w:r>
      <w:r>
        <w:rPr>
          <w:spacing w:val="-90"/>
        </w:rPr>
        <w:t> </w:t>
      </w:r>
      <w:r>
        <w:rPr>
          <w:spacing w:val="-90"/>
        </w:rPr>
      </w:r>
      <w:r>
        <w:rPr/>
        <w:t>谐共生，必须树立和践行绿水青山就是金山银山的理念。报告期内，数字政通积极践行党的</w:t>
      </w:r>
      <w:r>
        <w:rPr>
          <w:spacing w:val="-91"/>
        </w:rPr>
        <w:t> </w:t>
      </w:r>
      <w:r>
        <w:rPr>
          <w:spacing w:val="-91"/>
        </w:rPr>
      </w:r>
      <w:r>
        <w:rPr/>
        <w:t>十九大精神，助力福建省大田县打造的“河长制”管理信息系统取得了显著成效。大田河长</w:t>
      </w:r>
      <w:r>
        <w:rPr>
          <w:spacing w:val="-91"/>
        </w:rPr>
        <w:t> </w:t>
      </w:r>
      <w:r>
        <w:rPr>
          <w:spacing w:val="-91"/>
        </w:rPr>
      </w:r>
      <w:r>
        <w:rPr/>
        <w:t>制信息管理系统基于网格化管理模式，利用移动互联、</w:t>
      </w:r>
      <w:r>
        <w:rPr>
          <w:rFonts w:ascii="宋体" w:hAnsi="宋体" w:cs="宋体" w:eastAsia="宋体" w:hint="default"/>
        </w:rPr>
        <w:t>GIS</w:t>
      </w:r>
      <w:r>
        <w:rPr>
          <w:rFonts w:ascii="宋体" w:hAnsi="宋体" w:cs="宋体" w:eastAsia="宋体" w:hint="default"/>
          <w:spacing w:val="30"/>
        </w:rPr>
        <w:t> </w:t>
      </w:r>
      <w:r>
        <w:rPr/>
        <w:t>和可视化等信息技术，实现了基</w:t>
      </w:r>
      <w:r>
        <w:rPr>
          <w:spacing w:val="-118"/>
        </w:rPr>
        <w:t> </w:t>
      </w:r>
      <w:r>
        <w:rPr>
          <w:spacing w:val="-118"/>
        </w:rPr>
      </w:r>
      <w:r>
        <w:rPr/>
        <w:t>于河长制的河道信息动态监管功能，系统通过对实时监测信息、人工巡查信息、河道基础信</w:t>
      </w:r>
      <w:r>
        <w:rPr>
          <w:spacing w:val="-91"/>
        </w:rPr>
        <w:t> </w:t>
      </w:r>
      <w:r>
        <w:rPr>
          <w:spacing w:val="-91"/>
        </w:rPr>
      </w:r>
      <w:r>
        <w:rPr/>
        <w:t>息等多源信息的汇聚和共享，为实行基于河长制的河道监管提供了信息支撑。系统包括信息</w:t>
      </w:r>
      <w:r>
        <w:rPr>
          <w:spacing w:val="-91"/>
        </w:rPr>
        <w:t> </w:t>
      </w:r>
      <w:r>
        <w:rPr>
          <w:spacing w:val="-91"/>
        </w:rPr>
      </w:r>
      <w:r>
        <w:rPr/>
        <w:t>管理、信息服务、巡河管理、时间处理、考核评估、展示发布、移动服务、污染源管理等业</w:t>
      </w:r>
      <w:r>
        <w:rPr>
          <w:spacing w:val="-88"/>
        </w:rPr>
        <w:t> </w:t>
      </w:r>
      <w:r>
        <w:rPr>
          <w:spacing w:val="-88"/>
        </w:rPr>
      </w:r>
      <w:r>
        <w:rPr/>
        <w:t>务功能。</w:t>
      </w:r>
    </w:p>
    <w:p>
      <w:pPr>
        <w:spacing w:line="240" w:lineRule="auto" w:before="8"/>
        <w:rPr>
          <w:rFonts w:ascii="宋体" w:hAnsi="宋体" w:cs="宋体" w:eastAsia="宋体" w:hint="default"/>
          <w:sz w:val="7"/>
          <w:szCs w:val="7"/>
        </w:rPr>
      </w:pPr>
    </w:p>
    <w:p>
      <w:pPr>
        <w:spacing w:line="4852" w:lineRule="exact"/>
        <w:ind w:left="633"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5478272" cy="3081528"/>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5478272" cy="3081528"/>
                    </a:xfrm>
                    <a:prstGeom prst="rect">
                      <a:avLst/>
                    </a:prstGeom>
                  </pic:spPr>
                </pic:pic>
              </a:graphicData>
            </a:graphic>
          </wp:inline>
        </w:drawing>
      </w:r>
      <w:r>
        <w:rPr>
          <w:rFonts w:ascii="宋体" w:hAnsi="宋体" w:cs="宋体" w:eastAsia="宋体" w:hint="default"/>
          <w:position w:val="-96"/>
          <w:sz w:val="20"/>
          <w:szCs w:val="20"/>
        </w:rPr>
      </w:r>
    </w:p>
    <w:p>
      <w:pPr>
        <w:pStyle w:val="BodyText"/>
        <w:spacing w:line="357" w:lineRule="auto" w:before="157"/>
        <w:ind w:right="97" w:firstLine="480"/>
        <w:jc w:val="left"/>
      </w:pPr>
      <w:r>
        <w:rPr/>
        <w:t>河长制推广以来，大田县水土绿化治理面积</w:t>
      </w:r>
      <w:r>
        <w:rPr>
          <w:spacing w:val="-68"/>
        </w:rPr>
        <w:t> </w:t>
      </w:r>
      <w:r>
        <w:rPr>
          <w:rFonts w:ascii="宋体" w:hAnsi="宋体" w:cs="宋体" w:eastAsia="宋体" w:hint="default"/>
        </w:rPr>
        <w:t>29.32</w:t>
      </w:r>
      <w:r>
        <w:rPr>
          <w:rFonts w:ascii="宋体" w:hAnsi="宋体" w:cs="宋体" w:eastAsia="宋体" w:hint="default"/>
          <w:spacing w:val="-68"/>
        </w:rPr>
        <w:t> </w:t>
      </w:r>
      <w:r>
        <w:rPr/>
        <w:t>万亩，土壤侵蚀量比治理前减少</w:t>
      </w:r>
      <w:r>
        <w:rPr>
          <w:spacing w:val="-68"/>
        </w:rPr>
        <w:t> </w:t>
      </w:r>
      <w:r>
        <w:rPr>
          <w:rFonts w:ascii="宋体" w:hAnsi="宋体" w:cs="宋体" w:eastAsia="宋体" w:hint="default"/>
        </w:rPr>
        <w:t>91%</w:t>
      </w:r>
      <w:r>
        <w:rPr/>
        <w:t>， 森林覆盖率提高到</w:t>
      </w:r>
      <w:r>
        <w:rPr>
          <w:spacing w:val="-54"/>
        </w:rPr>
        <w:t> </w:t>
      </w:r>
      <w:r>
        <w:rPr>
          <w:rFonts w:ascii="宋体" w:hAnsi="宋体" w:cs="宋体" w:eastAsia="宋体" w:hint="default"/>
          <w:spacing w:val="-3"/>
        </w:rPr>
        <w:t>75.6%</w:t>
      </w:r>
      <w:r>
        <w:rPr>
          <w:spacing w:val="-3"/>
        </w:rPr>
        <w:t>，成为省级生态县，大田境内的两条主要流域水质达标率均为</w:t>
      </w:r>
      <w:r>
        <w:rPr>
          <w:spacing w:val="-53"/>
        </w:rPr>
        <w:t> </w:t>
      </w:r>
      <w:r>
        <w:rPr>
          <w:rFonts w:ascii="宋体" w:hAnsi="宋体" w:cs="宋体" w:eastAsia="宋体" w:hint="default"/>
        </w:rPr>
        <w:t>100%</w:t>
      </w:r>
      <w:r>
        <w:rPr/>
        <w:t>。 河长制改变了大田县的治水局面，使原来的黑河、臭河变为如今的“河畅、水清、岸绿、景</w:t>
      </w:r>
      <w:r>
        <w:rPr>
          <w:spacing w:val="-91"/>
        </w:rPr>
        <w:t> </w:t>
      </w:r>
      <w:r>
        <w:rPr>
          <w:spacing w:val="-91"/>
        </w:rPr>
      </w:r>
      <w:r>
        <w:rPr>
          <w:spacing w:val="-5"/>
        </w:rPr>
        <w:t>美”，更为中国生态治理提供了值得参考的范例和样本。</w:t>
      </w:r>
    </w:p>
    <w:p>
      <w:pPr>
        <w:spacing w:after="0" w:line="357" w:lineRule="auto"/>
        <w:jc w:val="left"/>
        <w:sectPr>
          <w:footerReference w:type="default" r:id="rId17"/>
          <w:pgSz w:w="11910" w:h="16840"/>
          <w:pgMar w:footer="979" w:header="745" w:top="1060" w:bottom="1160" w:left="980" w:right="900"/>
          <w:pgNumType w:start="19"/>
        </w:sectPr>
      </w:pPr>
    </w:p>
    <w:p>
      <w:pPr>
        <w:spacing w:line="240" w:lineRule="auto" w:before="7"/>
        <w:rPr>
          <w:rFonts w:ascii="宋体" w:hAnsi="宋体" w:cs="宋体" w:eastAsia="宋体" w:hint="default"/>
          <w:sz w:val="29"/>
          <w:szCs w:val="29"/>
        </w:rPr>
      </w:pPr>
    </w:p>
    <w:p>
      <w:pPr>
        <w:pStyle w:val="BodyText"/>
        <w:tabs>
          <w:tab w:pos="1293" w:val="left" w:leader="none"/>
        </w:tabs>
        <w:spacing w:line="388" w:lineRule="auto" w:before="26"/>
        <w:ind w:left="633" w:right="240" w:hanging="60"/>
        <w:jc w:val="left"/>
      </w:pPr>
      <w:r>
        <w:rPr>
          <w:rFonts w:ascii="宋体" w:hAnsi="宋体" w:cs="宋体" w:eastAsia="宋体" w:hint="default"/>
          <w:b/>
          <w:bCs/>
        </w:rPr>
        <w:t>五、</w:t>
        <w:tab/>
        <w:t>智慧环保</w:t>
      </w:r>
      <w:r>
        <w:rPr>
          <w:rFonts w:ascii="宋体" w:hAnsi="宋体" w:cs="宋体" w:eastAsia="宋体" w:hint="default"/>
          <w:b/>
          <w:bCs/>
          <w:w w:val="99"/>
        </w:rPr>
        <w:t> </w:t>
      </w:r>
      <w:r>
        <w:rPr/>
        <w:t>党的十九大报告指出，要“坚持全民共治、源头防治，持续实施大气污染防治行动，打</w:t>
      </w:r>
    </w:p>
    <w:p>
      <w:pPr>
        <w:pStyle w:val="BodyText"/>
        <w:spacing w:line="357" w:lineRule="auto" w:before="5"/>
        <w:ind w:right="96"/>
        <w:jc w:val="left"/>
      </w:pPr>
      <w:r>
        <w:rPr>
          <w:spacing w:val="-5"/>
        </w:rPr>
        <w:t>赢蓝天保卫战。”数字政通以建设绿色智慧城市、打造优美生态环境为目标，践行“网格化</w:t>
      </w:r>
      <w:r>
        <w:rPr>
          <w:rFonts w:ascii="宋体" w:hAnsi="宋体" w:cs="宋体" w:eastAsia="宋体" w:hint="default"/>
          <w:spacing w:val="-5"/>
        </w:rPr>
        <w:t>+</w:t>
      </w:r>
      <w:r>
        <w:rPr>
          <w:spacing w:val="-5"/>
        </w:rPr>
        <w:t>”</w:t>
      </w:r>
      <w:r>
        <w:rPr>
          <w:spacing w:val="-110"/>
        </w:rPr>
        <w:t> </w:t>
      </w:r>
      <w:r>
        <w:rPr/>
        <w:t>的智慧环保管理模式。报告期内，公司成功中标抚顺市大气环境质量（雾霾防控）网格精细</w:t>
      </w:r>
      <w:r>
        <w:rPr>
          <w:spacing w:val="-91"/>
        </w:rPr>
        <w:t> </w:t>
      </w:r>
      <w:r>
        <w:rPr>
          <w:spacing w:val="-91"/>
        </w:rPr>
      </w:r>
      <w:r>
        <w:rPr/>
        <w:t>化体系建设项目，将抚顺市市辖区细分为多个大气网格监控区域，部署体积小、功能全的小</w:t>
      </w:r>
      <w:r>
        <w:rPr>
          <w:spacing w:val="-91"/>
        </w:rPr>
        <w:t> </w:t>
      </w:r>
      <w:r>
        <w:rPr>
          <w:spacing w:val="-91"/>
        </w:rPr>
      </w:r>
      <w:r>
        <w:rPr/>
        <w:t>型空气监测仪器，实现大气污染的精准化监测，精准定位城市重污染区域和污染排放源头，</w:t>
      </w:r>
      <w:r>
        <w:rPr>
          <w:spacing w:val="-91"/>
        </w:rPr>
        <w:t> </w:t>
      </w:r>
      <w:r>
        <w:rPr>
          <w:spacing w:val="-91"/>
        </w:rPr>
      </w:r>
      <w:r>
        <w:rPr/>
        <w:t>及时准确的把握城市空气质量变化状况，及时进行污染预警和污染源头排查。实现集问题受</w:t>
      </w:r>
      <w:r>
        <w:rPr>
          <w:spacing w:val="-91"/>
        </w:rPr>
        <w:t> </w:t>
      </w:r>
      <w:r>
        <w:rPr>
          <w:spacing w:val="-91"/>
        </w:rPr>
      </w:r>
      <w:r>
        <w:rPr/>
        <w:t>理、立案派遣、处置反馈、核查结案、考核评价、大气监管等于一体的网格化环境监管。公</w:t>
      </w:r>
      <w:r>
        <w:rPr>
          <w:spacing w:val="-91"/>
        </w:rPr>
        <w:t> </w:t>
      </w:r>
      <w:r>
        <w:rPr>
          <w:spacing w:val="-91"/>
        </w:rPr>
      </w:r>
      <w:r>
        <w:rPr/>
        <w:t>司开发的环保通 </w:t>
      </w:r>
      <w:r>
        <w:rPr>
          <w:rFonts w:ascii="宋体" w:hAnsi="宋体" w:cs="宋体" w:eastAsia="宋体" w:hint="default"/>
        </w:rPr>
        <w:t>APP</w:t>
      </w:r>
      <w:r>
        <w:rPr>
          <w:rFonts w:ascii="宋体" w:hAnsi="宋体" w:cs="宋体" w:eastAsia="宋体" w:hint="default"/>
          <w:spacing w:val="-82"/>
        </w:rPr>
        <w:t> </w:t>
      </w:r>
      <w:r>
        <w:rPr/>
        <w:t>为环保工作人员提供便携式全移动办公平台，便于各级网格人员直观掌 </w:t>
      </w:r>
      <w:r>
        <w:rPr>
          <w:spacing w:val="-2"/>
        </w:rPr>
        <w:t>握辖区空气质量状况，巡查人员高效上报大气污染问题，处置人员快速进行问题的移动处置，</w:t>
      </w:r>
      <w:r>
        <w:rPr/>
        <w:t> 并支持后续专业化移动应用的扩展兼容，打造高度集成化的环境监管移动门户。抚顺项目作</w:t>
      </w:r>
      <w:r>
        <w:rPr>
          <w:spacing w:val="-91"/>
        </w:rPr>
        <w:t> </w:t>
      </w:r>
      <w:r>
        <w:rPr>
          <w:spacing w:val="-91"/>
        </w:rPr>
      </w:r>
      <w:r>
        <w:rPr/>
        <w:t>为东北区域乃至全国大气环境监管网格化标杆项目，有利于该模式向全国推广。报告期内，</w:t>
      </w:r>
      <w:r>
        <w:rPr>
          <w:spacing w:val="-91"/>
        </w:rPr>
        <w:t> </w:t>
      </w:r>
      <w:r>
        <w:rPr>
          <w:spacing w:val="-91"/>
        </w:rPr>
      </w:r>
      <w:r>
        <w:rPr/>
        <w:t>公司还成功中标包括莆田市、滨州市、天津市宝坻区等在内的十余个网格化智慧环境监管项</w:t>
      </w:r>
      <w:r>
        <w:rPr>
          <w:spacing w:val="-91"/>
        </w:rPr>
        <w:t> </w:t>
      </w:r>
      <w:r>
        <w:rPr>
          <w:spacing w:val="-91"/>
        </w:rPr>
      </w:r>
      <w:r>
        <w:rPr/>
        <w:t>目。</w:t>
      </w:r>
    </w:p>
    <w:p>
      <w:pPr>
        <w:spacing w:line="240" w:lineRule="auto" w:before="0"/>
        <w:rPr>
          <w:rFonts w:ascii="宋体" w:hAnsi="宋体" w:cs="宋体" w:eastAsia="宋体" w:hint="default"/>
          <w:sz w:val="5"/>
          <w:szCs w:val="5"/>
        </w:rPr>
      </w:pPr>
    </w:p>
    <w:p>
      <w:pPr>
        <w:spacing w:line="4617" w:lineRule="exact"/>
        <w:ind w:left="633" w:right="0" w:firstLine="0"/>
        <w:rPr>
          <w:rFonts w:ascii="宋体" w:hAnsi="宋体" w:cs="宋体" w:eastAsia="宋体" w:hint="default"/>
          <w:sz w:val="20"/>
          <w:szCs w:val="20"/>
        </w:rPr>
      </w:pPr>
      <w:r>
        <w:rPr>
          <w:rFonts w:ascii="宋体" w:hAnsi="宋体" w:cs="宋体" w:eastAsia="宋体" w:hint="default"/>
          <w:position w:val="-91"/>
          <w:sz w:val="20"/>
          <w:szCs w:val="20"/>
        </w:rPr>
        <w:drawing>
          <wp:inline distT="0" distB="0" distL="0" distR="0">
            <wp:extent cx="5210951" cy="2931795"/>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9" cstate="print"/>
                    <a:stretch>
                      <a:fillRect/>
                    </a:stretch>
                  </pic:blipFill>
                  <pic:spPr>
                    <a:xfrm>
                      <a:off x="0" y="0"/>
                      <a:ext cx="5210951" cy="2931795"/>
                    </a:xfrm>
                    <a:prstGeom prst="rect">
                      <a:avLst/>
                    </a:prstGeom>
                  </pic:spPr>
                </pic:pic>
              </a:graphicData>
            </a:graphic>
          </wp:inline>
        </w:drawing>
      </w:r>
      <w:r>
        <w:rPr>
          <w:rFonts w:ascii="宋体" w:hAnsi="宋体" w:cs="宋体" w:eastAsia="宋体" w:hint="default"/>
          <w:position w:val="-91"/>
          <w:sz w:val="20"/>
          <w:szCs w:val="20"/>
        </w:rPr>
      </w:r>
    </w:p>
    <w:p>
      <w:pPr>
        <w:tabs>
          <w:tab w:pos="1293" w:val="left" w:leader="none"/>
        </w:tabs>
        <w:spacing w:line="388" w:lineRule="auto" w:before="114"/>
        <w:ind w:left="633" w:right="240" w:hanging="60"/>
        <w:jc w:val="left"/>
        <w:rPr>
          <w:rFonts w:ascii="宋体" w:hAnsi="宋体" w:cs="宋体" w:eastAsia="宋体" w:hint="default"/>
          <w:sz w:val="24"/>
          <w:szCs w:val="24"/>
        </w:rPr>
      </w:pPr>
      <w:r>
        <w:rPr>
          <w:rFonts w:ascii="宋体" w:hAnsi="宋体" w:cs="宋体" w:eastAsia="宋体" w:hint="default"/>
          <w:b/>
          <w:bCs/>
          <w:sz w:val="24"/>
          <w:szCs w:val="24"/>
        </w:rPr>
        <w:t>六、</w:t>
        <w:tab/>
        <w:t>智慧城市管网</w:t>
      </w:r>
      <w:r>
        <w:rPr>
          <w:rFonts w:ascii="宋体" w:hAnsi="宋体" w:cs="宋体" w:eastAsia="宋体" w:hint="default"/>
          <w:b/>
          <w:bCs/>
          <w:w w:val="99"/>
          <w:sz w:val="24"/>
          <w:szCs w:val="24"/>
        </w:rPr>
        <w:t> </w:t>
      </w:r>
      <w:r>
        <w:rPr>
          <w:rFonts w:ascii="宋体" w:hAnsi="宋体" w:cs="宋体" w:eastAsia="宋体" w:hint="default"/>
          <w:sz w:val="24"/>
          <w:szCs w:val="24"/>
        </w:rPr>
        <w:t>报告期内，公司完成对控股子公司保定金迪地下管线探测工程有限公司、保定市金迪科</w:t>
      </w:r>
    </w:p>
    <w:p>
      <w:pPr>
        <w:pStyle w:val="BodyText"/>
        <w:spacing w:line="357" w:lineRule="auto" w:before="5"/>
        <w:ind w:right="231"/>
        <w:jc w:val="both"/>
      </w:pPr>
      <w:r>
        <w:rPr/>
        <w:t>技开发有限公司及保定金迪科学仪器有限公司少数股东股权的收购，保定金迪成为公司的全</w:t>
      </w:r>
      <w:r>
        <w:rPr>
          <w:spacing w:val="-91"/>
        </w:rPr>
        <w:t> </w:t>
      </w:r>
      <w:r>
        <w:rPr>
          <w:spacing w:val="-91"/>
        </w:rPr>
      </w:r>
      <w:r>
        <w:rPr>
          <w:spacing w:val="-8"/>
        </w:rPr>
        <w:t>资子公司。</w:t>
      </w:r>
      <w:r>
        <w:rPr>
          <w:rFonts w:ascii="宋体" w:hAnsi="宋体" w:cs="宋体" w:eastAsia="宋体" w:hint="default"/>
          <w:spacing w:val="-8"/>
        </w:rPr>
        <w:t>2017 </w:t>
      </w:r>
      <w:r>
        <w:rPr>
          <w:spacing w:val="-5"/>
        </w:rPr>
        <w:t>年，保定金迪取得市政公用工程施工总承包叁级资质行政许可证书，通过</w:t>
      </w:r>
      <w:r>
        <w:rPr>
          <w:spacing w:val="-84"/>
        </w:rPr>
        <w:t> </w:t>
      </w:r>
      <w:r>
        <w:rPr>
          <w:rFonts w:ascii="宋体" w:hAnsi="宋体" w:cs="宋体" w:eastAsia="宋体" w:hint="default"/>
        </w:rPr>
        <w:t>CMA </w:t>
      </w:r>
      <w:r>
        <w:rPr/>
        <w:t>计量检测资质认定，这些资质的取得，标志着金迪公司在市政管道非开挖修复领域所取得的</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6"/>
        <w:jc w:val="left"/>
      </w:pPr>
      <w:r>
        <w:rPr/>
        <w:t>业绩得到确认，为金迪公司在管道非开挖修复领域的大发展铺平了道路，也为公司业务持续</w:t>
      </w:r>
      <w:r>
        <w:rPr>
          <w:spacing w:val="-91"/>
        </w:rPr>
        <w:t> </w:t>
      </w:r>
      <w:r>
        <w:rPr>
          <w:spacing w:val="-91"/>
        </w:rPr>
      </w:r>
      <w:r>
        <w:rPr/>
        <w:t>快速增长提供了有力的保证。</w:t>
      </w:r>
    </w:p>
    <w:p>
      <w:pPr>
        <w:pStyle w:val="BodyText"/>
        <w:spacing w:line="357" w:lineRule="auto" w:before="77"/>
        <w:ind w:right="214" w:firstLine="480"/>
        <w:jc w:val="left"/>
      </w:pPr>
      <w:r>
        <w:rPr/>
        <w:t>报告期内，金迪公司进一步完善了项目的组织管理流程，优化了全国市场的项目管理模 式。全年共生产项目</w:t>
      </w:r>
      <w:r>
        <w:rPr>
          <w:spacing w:val="-46"/>
        </w:rPr>
        <w:t> </w:t>
      </w:r>
      <w:r>
        <w:rPr>
          <w:rFonts w:ascii="宋体" w:hAnsi="宋体" w:cs="宋体" w:eastAsia="宋体" w:hint="default"/>
        </w:rPr>
        <w:t>130</w:t>
      </w:r>
      <w:r>
        <w:rPr>
          <w:rFonts w:ascii="宋体" w:hAnsi="宋体" w:cs="宋体" w:eastAsia="宋体" w:hint="default"/>
          <w:spacing w:val="-46"/>
        </w:rPr>
        <w:t> </w:t>
      </w:r>
      <w:r>
        <w:rPr/>
        <w:t>个，其中新开工项目</w:t>
      </w:r>
      <w:r>
        <w:rPr>
          <w:spacing w:val="-45"/>
        </w:rPr>
        <w:t> </w:t>
      </w:r>
      <w:r>
        <w:rPr>
          <w:rFonts w:ascii="宋体" w:hAnsi="宋体" w:cs="宋体" w:eastAsia="宋体" w:hint="default"/>
        </w:rPr>
        <w:t>110</w:t>
      </w:r>
      <w:r>
        <w:rPr>
          <w:rFonts w:ascii="宋体" w:hAnsi="宋体" w:cs="宋体" w:eastAsia="宋体" w:hint="default"/>
          <w:spacing w:val="-46"/>
        </w:rPr>
        <w:t> </w:t>
      </w:r>
      <w:r>
        <w:rPr/>
        <w:t>个，延续项目</w:t>
      </w:r>
      <w:r>
        <w:rPr>
          <w:spacing w:val="-46"/>
        </w:rPr>
        <w:t> </w:t>
      </w:r>
      <w:r>
        <w:rPr>
          <w:rFonts w:ascii="宋体" w:hAnsi="宋体" w:cs="宋体" w:eastAsia="宋体" w:hint="default"/>
        </w:rPr>
        <w:t>20</w:t>
      </w:r>
      <w:r>
        <w:rPr>
          <w:rFonts w:ascii="宋体" w:hAnsi="宋体" w:cs="宋体" w:eastAsia="宋体" w:hint="default"/>
          <w:spacing w:val="-46"/>
        </w:rPr>
        <w:t> </w:t>
      </w:r>
      <w:r>
        <w:rPr/>
        <w:t>个，</w:t>
      </w:r>
      <w:r>
        <w:rPr>
          <w:rFonts w:ascii="宋体" w:hAnsi="宋体" w:cs="宋体" w:eastAsia="宋体" w:hint="default"/>
        </w:rPr>
        <w:t>2017</w:t>
      </w:r>
      <w:r>
        <w:rPr>
          <w:rFonts w:ascii="宋体" w:hAnsi="宋体" w:cs="宋体" w:eastAsia="宋体" w:hint="default"/>
          <w:spacing w:val="-45"/>
        </w:rPr>
        <w:t> </w:t>
      </w:r>
      <w:r>
        <w:rPr/>
        <w:t>年内完成项目</w:t>
      </w:r>
    </w:p>
    <w:p>
      <w:pPr>
        <w:pStyle w:val="BodyText"/>
        <w:spacing w:line="357" w:lineRule="auto"/>
        <w:ind w:right="215"/>
        <w:jc w:val="left"/>
      </w:pPr>
      <w:r>
        <w:rPr/>
        <w:t>共</w:t>
      </w:r>
      <w:r>
        <w:rPr>
          <w:spacing w:val="-63"/>
        </w:rPr>
        <w:t> </w:t>
      </w:r>
      <w:r>
        <w:rPr>
          <w:rFonts w:ascii="宋体" w:hAnsi="宋体" w:cs="宋体" w:eastAsia="宋体" w:hint="default"/>
        </w:rPr>
        <w:t>111</w:t>
      </w:r>
      <w:r>
        <w:rPr>
          <w:rFonts w:ascii="宋体" w:hAnsi="宋体" w:cs="宋体" w:eastAsia="宋体" w:hint="default"/>
          <w:spacing w:val="-63"/>
        </w:rPr>
        <w:t> </w:t>
      </w:r>
      <w:r>
        <w:rPr/>
        <w:t>个，已提交成果资料项目</w:t>
      </w:r>
      <w:r>
        <w:rPr>
          <w:spacing w:val="-63"/>
        </w:rPr>
        <w:t> </w:t>
      </w:r>
      <w:r>
        <w:rPr>
          <w:rFonts w:ascii="宋体" w:hAnsi="宋体" w:cs="宋体" w:eastAsia="宋体" w:hint="default"/>
        </w:rPr>
        <w:t>85</w:t>
      </w:r>
      <w:r>
        <w:rPr>
          <w:rFonts w:ascii="宋体" w:hAnsi="宋体" w:cs="宋体" w:eastAsia="宋体" w:hint="default"/>
          <w:spacing w:val="-63"/>
        </w:rPr>
        <w:t> </w:t>
      </w:r>
      <w:r>
        <w:rPr/>
        <w:t>个，成果提交合格率</w:t>
      </w:r>
      <w:r>
        <w:rPr>
          <w:spacing w:val="-63"/>
        </w:rPr>
        <w:t> </w:t>
      </w:r>
      <w:r>
        <w:rPr>
          <w:rFonts w:ascii="宋体" w:hAnsi="宋体" w:cs="宋体" w:eastAsia="宋体" w:hint="default"/>
        </w:rPr>
        <w:t>100%</w:t>
      </w:r>
      <w:r>
        <w:rPr/>
        <w:t>。其中，有</w:t>
      </w:r>
      <w:r>
        <w:rPr>
          <w:spacing w:val="-63"/>
        </w:rPr>
        <w:t> </w:t>
      </w:r>
      <w:r>
        <w:rPr>
          <w:rFonts w:ascii="宋体" w:hAnsi="宋体" w:cs="宋体" w:eastAsia="宋体" w:hint="default"/>
        </w:rPr>
        <w:t>15</w:t>
      </w:r>
      <w:r>
        <w:rPr>
          <w:rFonts w:ascii="宋体" w:hAnsi="宋体" w:cs="宋体" w:eastAsia="宋体" w:hint="default"/>
          <w:spacing w:val="-63"/>
        </w:rPr>
        <w:t> </w:t>
      </w:r>
      <w:r>
        <w:rPr/>
        <w:t>个项目通过了各 省级质监站的验收，</w:t>
      </w:r>
      <w:r>
        <w:rPr>
          <w:rFonts w:ascii="宋体" w:hAnsi="宋体" w:cs="宋体" w:eastAsia="宋体" w:hint="default"/>
        </w:rPr>
        <w:t>30</w:t>
      </w:r>
      <w:r>
        <w:rPr>
          <w:rFonts w:ascii="宋体" w:hAnsi="宋体" w:cs="宋体" w:eastAsia="宋体" w:hint="default"/>
          <w:spacing w:val="-60"/>
        </w:rPr>
        <w:t> </w:t>
      </w:r>
      <w:r>
        <w:rPr/>
        <w:t>个项目通过了专家验收。</w:t>
      </w:r>
    </w:p>
    <w:p>
      <w:pPr>
        <w:spacing w:line="240" w:lineRule="auto" w:before="4"/>
        <w:rPr>
          <w:rFonts w:ascii="宋体" w:hAnsi="宋体" w:cs="宋体" w:eastAsia="宋体" w:hint="default"/>
          <w:sz w:val="7"/>
          <w:szCs w:val="7"/>
        </w:rPr>
      </w:pPr>
    </w:p>
    <w:p>
      <w:pPr>
        <w:spacing w:line="5176" w:lineRule="exact"/>
        <w:ind w:left="633" w:right="0" w:firstLine="0"/>
        <w:rPr>
          <w:rFonts w:ascii="宋体" w:hAnsi="宋体" w:cs="宋体" w:eastAsia="宋体" w:hint="default"/>
          <w:sz w:val="20"/>
          <w:szCs w:val="20"/>
        </w:rPr>
      </w:pPr>
      <w:r>
        <w:rPr>
          <w:rFonts w:ascii="宋体" w:hAnsi="宋体" w:cs="宋体" w:eastAsia="宋体" w:hint="default"/>
          <w:position w:val="-103"/>
          <w:sz w:val="20"/>
          <w:szCs w:val="20"/>
        </w:rPr>
        <w:drawing>
          <wp:inline distT="0" distB="0" distL="0" distR="0">
            <wp:extent cx="5022215" cy="328726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0" cstate="print"/>
                    <a:stretch>
                      <a:fillRect/>
                    </a:stretch>
                  </pic:blipFill>
                  <pic:spPr>
                    <a:xfrm>
                      <a:off x="0" y="0"/>
                      <a:ext cx="5022215" cy="3287267"/>
                    </a:xfrm>
                    <a:prstGeom prst="rect">
                      <a:avLst/>
                    </a:prstGeom>
                  </pic:spPr>
                </pic:pic>
              </a:graphicData>
            </a:graphic>
          </wp:inline>
        </w:drawing>
      </w:r>
      <w:r>
        <w:rPr>
          <w:rFonts w:ascii="宋体" w:hAnsi="宋体" w:cs="宋体" w:eastAsia="宋体" w:hint="default"/>
          <w:position w:val="-103"/>
          <w:sz w:val="20"/>
          <w:szCs w:val="20"/>
        </w:rPr>
      </w:r>
    </w:p>
    <w:p>
      <w:pPr>
        <w:pStyle w:val="BodyText"/>
        <w:spacing w:line="357" w:lineRule="auto" w:before="149"/>
        <w:ind w:right="96" w:firstLine="480"/>
        <w:jc w:val="left"/>
      </w:pPr>
      <w:r>
        <w:rPr/>
        <w:t>报告期内，保定金迪继续发挥自身技术优势和管理优势，全力打造城市地下管线技术服 务的完整业务链，在管线智能检测和修复技术方面取得了新的突破。</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月，金迪公司 中标福州市“四城区排水管网（雨、污水）排查”项目，中标价格为 </w:t>
      </w:r>
      <w:r>
        <w:rPr>
          <w:rFonts w:ascii="宋体" w:hAnsi="宋体" w:cs="宋体" w:eastAsia="宋体" w:hint="default"/>
        </w:rPr>
        <w:t>24,396,469.50</w:t>
      </w:r>
      <w:r>
        <w:rPr>
          <w:rFonts w:ascii="宋体" w:hAnsi="宋体" w:cs="宋体" w:eastAsia="宋体" w:hint="default"/>
          <w:spacing w:val="-81"/>
        </w:rPr>
        <w:t> </w:t>
      </w:r>
      <w:r>
        <w:rPr/>
        <w:t>元。该 项目建设主要任务为城区雨污管线进行清淤疏通、城区雨污水管线测绘、城区雨污水管线检</w:t>
      </w:r>
      <w:r>
        <w:rPr>
          <w:spacing w:val="-91"/>
        </w:rPr>
        <w:t> </w:t>
      </w:r>
      <w:r>
        <w:rPr>
          <w:spacing w:val="-91"/>
        </w:rPr>
      </w:r>
      <w:r>
        <w:rPr/>
        <w:t>测、城区排水管线探测，本项目建成后将为福州排水设施建设更加完善的信息化管理系统提</w:t>
      </w:r>
      <w:r>
        <w:rPr>
          <w:spacing w:val="-91"/>
        </w:rPr>
        <w:t> </w:t>
      </w:r>
      <w:r>
        <w:rPr>
          <w:spacing w:val="-91"/>
        </w:rPr>
      </w:r>
      <w:r>
        <w:rPr/>
        <w:t>供详细的基础数据，对全面提升福州市城镇排水设施的综合运行水平具有重要的意义。项目</w:t>
      </w:r>
      <w:r>
        <w:rPr>
          <w:spacing w:val="-86"/>
        </w:rPr>
        <w:t> </w:t>
      </w:r>
      <w:r>
        <w:rPr>
          <w:spacing w:val="-86"/>
        </w:rPr>
      </w:r>
      <w:r>
        <w:rPr/>
        <w:t>契合国家大力倡导的海绵城市建设、智慧城市建设工作发展方向和要求，对于公司在城市防</w:t>
      </w:r>
      <w:r>
        <w:rPr>
          <w:spacing w:val="-91"/>
        </w:rPr>
        <w:t> </w:t>
      </w:r>
      <w:r>
        <w:rPr>
          <w:spacing w:val="-91"/>
        </w:rPr>
      </w:r>
      <w:r>
        <w:rPr>
          <w:spacing w:val="-2"/>
        </w:rPr>
        <w:t>洪排水方面的业务拓展将产生重大深远的影响，有利于公司增强在城市排水管网探查、检测、</w:t>
      </w:r>
      <w:r>
        <w:rPr/>
        <w:t> 清疏、管道非开挖修复以及黑臭水体、敏感区域治理等相关领域的市场竞争力，提升公司在</w:t>
      </w:r>
      <w:r>
        <w:rPr>
          <w:spacing w:val="-91"/>
        </w:rPr>
        <w:t> </w:t>
      </w:r>
      <w:r>
        <w:rPr>
          <w:spacing w:val="-91"/>
        </w:rPr>
      </w:r>
      <w:r>
        <w:rPr/>
        <w:t>该领域的综合实力。</w:t>
      </w:r>
    </w:p>
    <w:p>
      <w:pPr>
        <w:spacing w:after="0" w:line="357" w:lineRule="auto"/>
        <w:jc w:val="left"/>
        <w:sectPr>
          <w:pgSz w:w="11910" w:h="16840"/>
          <w:pgMar w:header="745" w:footer="979" w:top="1060" w:bottom="1160" w:left="980" w:right="9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5744" w:lineRule="exact"/>
        <w:ind w:left="633" w:right="0" w:firstLine="0"/>
        <w:rPr>
          <w:rFonts w:ascii="宋体" w:hAnsi="宋体" w:cs="宋体" w:eastAsia="宋体" w:hint="default"/>
          <w:sz w:val="20"/>
          <w:szCs w:val="20"/>
        </w:rPr>
      </w:pPr>
      <w:r>
        <w:rPr>
          <w:rFonts w:ascii="宋体" w:hAnsi="宋体" w:cs="宋体" w:eastAsia="宋体" w:hint="default"/>
          <w:position w:val="-114"/>
          <w:sz w:val="20"/>
          <w:szCs w:val="20"/>
        </w:rPr>
        <w:drawing>
          <wp:inline distT="0" distB="0" distL="0" distR="0">
            <wp:extent cx="4741941" cy="3647598"/>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1" cstate="print"/>
                    <a:stretch>
                      <a:fillRect/>
                    </a:stretch>
                  </pic:blipFill>
                  <pic:spPr>
                    <a:xfrm>
                      <a:off x="0" y="0"/>
                      <a:ext cx="4741941" cy="3647598"/>
                    </a:xfrm>
                    <a:prstGeom prst="rect">
                      <a:avLst/>
                    </a:prstGeom>
                  </pic:spPr>
                </pic:pic>
              </a:graphicData>
            </a:graphic>
          </wp:inline>
        </w:drawing>
      </w:r>
      <w:r>
        <w:rPr>
          <w:rFonts w:ascii="宋体" w:hAnsi="宋体" w:cs="宋体" w:eastAsia="宋体" w:hint="default"/>
          <w:position w:val="-114"/>
          <w:sz w:val="20"/>
          <w:szCs w:val="20"/>
        </w:rPr>
      </w:r>
    </w:p>
    <w:p>
      <w:pPr>
        <w:spacing w:line="240" w:lineRule="auto" w:before="4"/>
        <w:rPr>
          <w:rFonts w:ascii="宋体" w:hAnsi="宋体" w:cs="宋体" w:eastAsia="宋体" w:hint="default"/>
          <w:sz w:val="11"/>
          <w:szCs w:val="11"/>
        </w:rPr>
      </w:pPr>
    </w:p>
    <w:p>
      <w:pPr>
        <w:pStyle w:val="BodyText"/>
        <w:spacing w:line="357" w:lineRule="auto" w:before="26"/>
        <w:ind w:right="96" w:firstLine="480"/>
        <w:jc w:val="left"/>
      </w:pPr>
      <w:r>
        <w:rPr/>
        <w:t>报告期内，保定金迪抓住蓬勃发展的市场机会，在继续在全国市场开展全面营销的同时 在区域市场精耕细作。以京津冀地区为例，保定金迪承担了北京大兴区</w:t>
      </w:r>
      <w:r>
        <w:rPr>
          <w:rFonts w:ascii="宋体" w:hAnsi="宋体" w:cs="宋体" w:eastAsia="宋体" w:hint="default"/>
        </w:rPr>
        <w:t>/</w:t>
      </w:r>
      <w:r>
        <w:rPr/>
        <w:t>顺义区管线探测、河 北省安国市地下管线普查、河北省廊坊市城区排水户普查、河北省唐山市曹妃甸区地下管线</w:t>
      </w:r>
      <w:r>
        <w:rPr>
          <w:spacing w:val="-86"/>
        </w:rPr>
        <w:t> </w:t>
      </w:r>
      <w:r>
        <w:rPr>
          <w:spacing w:val="-86"/>
        </w:rPr>
      </w:r>
      <w:r>
        <w:rPr/>
        <w:t>管理信息系统项目、河北省邢台市地下管线信息系统建设项目、河北省乐亭县排水管道修复</w:t>
      </w:r>
      <w:r>
        <w:rPr>
          <w:spacing w:val="-91"/>
        </w:rPr>
        <w:t> </w:t>
      </w:r>
      <w:r>
        <w:rPr>
          <w:spacing w:val="-91"/>
        </w:rPr>
      </w:r>
      <w:r>
        <w:rPr>
          <w:spacing w:val="-2"/>
        </w:rPr>
        <w:t>工程、河北省沧州供排水公司漏水探测、天津市塘沽区中法供水漏水探测项目等十多项工程，</w:t>
      </w:r>
      <w:r>
        <w:rPr/>
        <w:t> 从而在京津冀区域市场形成更强的竞争优势。金迪公司立足管线服务，通过开展地下管线探</w:t>
      </w:r>
      <w:r>
        <w:rPr>
          <w:spacing w:val="-91"/>
        </w:rPr>
        <w:t> </w:t>
      </w:r>
      <w:r>
        <w:rPr>
          <w:spacing w:val="-91"/>
        </w:rPr>
      </w:r>
      <w:r>
        <w:rPr/>
        <w:t>测、管道检测、清淤修复等，通过管线信息的数据采集为城市管线管理提供数据基础、为解</w:t>
      </w:r>
      <w:r>
        <w:rPr>
          <w:spacing w:val="-91"/>
        </w:rPr>
        <w:t> </w:t>
      </w:r>
      <w:r>
        <w:rPr>
          <w:spacing w:val="-91"/>
        </w:rPr>
      </w:r>
      <w:r>
        <w:rPr>
          <w:spacing w:val="-2"/>
        </w:rPr>
        <w:t>决城市内涝复、保障城市安全运行提供保障，为京津冀地区城市的管线管理提供全方位服务。</w:t>
      </w:r>
    </w:p>
    <w:p>
      <w:pPr>
        <w:tabs>
          <w:tab w:pos="1293" w:val="left" w:leader="none"/>
        </w:tabs>
        <w:spacing w:line="388" w:lineRule="auto" w:before="75"/>
        <w:ind w:left="633" w:right="240" w:hanging="60"/>
        <w:jc w:val="left"/>
        <w:rPr>
          <w:rFonts w:ascii="宋体" w:hAnsi="宋体" w:cs="宋体" w:eastAsia="宋体" w:hint="default"/>
          <w:sz w:val="24"/>
          <w:szCs w:val="24"/>
        </w:rPr>
      </w:pPr>
      <w:r>
        <w:rPr>
          <w:rFonts w:ascii="宋体" w:hAnsi="宋体" w:cs="宋体" w:eastAsia="宋体" w:hint="default"/>
          <w:b/>
          <w:bCs/>
          <w:sz w:val="24"/>
          <w:szCs w:val="24"/>
        </w:rPr>
        <w:t>七、</w:t>
        <w:tab/>
        <w:t>智慧城市数据运营服务</w:t>
      </w:r>
      <w:r>
        <w:rPr>
          <w:rFonts w:ascii="宋体" w:hAnsi="宋体" w:cs="宋体" w:eastAsia="宋体" w:hint="default"/>
          <w:b/>
          <w:bCs/>
          <w:w w:val="99"/>
          <w:sz w:val="24"/>
          <w:szCs w:val="24"/>
        </w:rPr>
        <w:t> </w:t>
      </w:r>
      <w:r>
        <w:rPr>
          <w:rFonts w:ascii="宋体" w:hAnsi="宋体" w:cs="宋体" w:eastAsia="宋体" w:hint="default"/>
          <w:sz w:val="24"/>
          <w:szCs w:val="24"/>
        </w:rPr>
        <w:t>报告期内，公司在城市管理数据服务领域进一步拓展市场，整合各地城市先进的管理方</w:t>
      </w:r>
    </w:p>
    <w:p>
      <w:pPr>
        <w:pStyle w:val="BodyText"/>
        <w:spacing w:line="357" w:lineRule="auto" w:before="5"/>
        <w:ind w:right="96"/>
        <w:jc w:val="left"/>
      </w:pPr>
      <w:r>
        <w:rPr/>
        <w:t>式和方法，通过服务外包的模式为各地政府提供实时高效的城市管理数据服务，既提高了城</w:t>
      </w:r>
      <w:r>
        <w:rPr>
          <w:spacing w:val="-91"/>
        </w:rPr>
        <w:t> </w:t>
      </w:r>
      <w:r>
        <w:rPr>
          <w:spacing w:val="-91"/>
        </w:rPr>
      </w:r>
      <w:r>
        <w:rPr/>
        <w:t>市管理效率，又降低了城市管理成本，经抽样统计，城市客户满意度达到</w:t>
      </w:r>
      <w:r>
        <w:rPr>
          <w:spacing w:val="-58"/>
        </w:rPr>
        <w:t> </w:t>
      </w:r>
      <w:r>
        <w:rPr>
          <w:rFonts w:ascii="宋体" w:hAnsi="宋体" w:cs="宋体" w:eastAsia="宋体" w:hint="default"/>
        </w:rPr>
        <w:t>98%</w:t>
      </w:r>
      <w:r>
        <w:rPr/>
        <w:t>以上。</w:t>
      </w:r>
    </w:p>
    <w:p>
      <w:pPr>
        <w:pStyle w:val="BodyText"/>
        <w:spacing w:line="357" w:lineRule="auto" w:before="77"/>
        <w:ind w:right="96" w:firstLine="480"/>
        <w:jc w:val="left"/>
      </w:pPr>
      <w:r>
        <w:rPr>
          <w:spacing w:val="-3"/>
        </w:rPr>
        <w:t>报告期内，随着城市发展对精细化管理的需求，公司的数据采集业务不断创新采集方式、</w:t>
      </w:r>
      <w:r>
        <w:rPr/>
        <w:t> 手段，丰富采集内容，提升和完善了无人机采集技术、移动视频车辆采集技术、移动手机端</w:t>
      </w:r>
      <w:r>
        <w:rPr>
          <w:spacing w:val="-91"/>
        </w:rPr>
        <w:t> </w:t>
      </w:r>
      <w:r>
        <w:rPr>
          <w:spacing w:val="-91"/>
        </w:rPr>
      </w:r>
      <w:r>
        <w:rPr/>
        <w:t>采集技术，并建立了基于云计算和大数据技术的城市管理数据多维分析平台。</w:t>
      </w:r>
    </w:p>
    <w:p>
      <w:pPr>
        <w:spacing w:after="0" w:line="357" w:lineRule="auto"/>
        <w:jc w:val="left"/>
        <w:sectPr>
          <w:pgSz w:w="11910" w:h="16840"/>
          <w:pgMar w:header="745" w:footer="979" w:top="1060" w:bottom="1160" w:left="980" w:right="9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p>
      <w:pPr>
        <w:spacing w:line="5571" w:lineRule="exact"/>
        <w:ind w:left="633" w:right="0" w:firstLine="0"/>
        <w:rPr>
          <w:rFonts w:ascii="宋体" w:hAnsi="宋体" w:cs="宋体" w:eastAsia="宋体" w:hint="default"/>
          <w:sz w:val="20"/>
          <w:szCs w:val="20"/>
        </w:rPr>
      </w:pPr>
      <w:r>
        <w:rPr>
          <w:rFonts w:ascii="宋体" w:hAnsi="宋体" w:cs="宋体" w:eastAsia="宋体" w:hint="default"/>
          <w:position w:val="-110"/>
          <w:sz w:val="20"/>
          <w:szCs w:val="20"/>
        </w:rPr>
        <w:drawing>
          <wp:inline distT="0" distB="0" distL="0" distR="0">
            <wp:extent cx="5293025" cy="3537585"/>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2" cstate="print"/>
                    <a:stretch>
                      <a:fillRect/>
                    </a:stretch>
                  </pic:blipFill>
                  <pic:spPr>
                    <a:xfrm>
                      <a:off x="0" y="0"/>
                      <a:ext cx="5293025" cy="3537585"/>
                    </a:xfrm>
                    <a:prstGeom prst="rect">
                      <a:avLst/>
                    </a:prstGeom>
                  </pic:spPr>
                </pic:pic>
              </a:graphicData>
            </a:graphic>
          </wp:inline>
        </w:drawing>
      </w:r>
      <w:r>
        <w:rPr>
          <w:rFonts w:ascii="宋体" w:hAnsi="宋体" w:cs="宋体" w:eastAsia="宋体" w:hint="default"/>
          <w:position w:val="-110"/>
          <w:sz w:val="20"/>
          <w:szCs w:val="20"/>
        </w:rPr>
      </w:r>
    </w:p>
    <w:p>
      <w:pPr>
        <w:spacing w:line="240" w:lineRule="auto" w:before="8"/>
        <w:rPr>
          <w:rFonts w:ascii="宋体" w:hAnsi="宋体" w:cs="宋体" w:eastAsia="宋体" w:hint="default"/>
          <w:sz w:val="5"/>
          <w:szCs w:val="5"/>
        </w:rPr>
      </w:pPr>
    </w:p>
    <w:p>
      <w:pPr>
        <w:pStyle w:val="BodyText"/>
        <w:spacing w:line="240" w:lineRule="auto" w:before="26"/>
        <w:ind w:left="633" w:right="96"/>
        <w:jc w:val="left"/>
      </w:pPr>
      <w:r>
        <w:rPr/>
        <w:t>报告期内，公司实施城市基础数据测量项目</w:t>
      </w:r>
      <w:r>
        <w:rPr>
          <w:spacing w:val="-66"/>
        </w:rPr>
        <w:t> </w:t>
      </w:r>
      <w:r>
        <w:rPr>
          <w:rFonts w:ascii="宋体" w:hAnsi="宋体" w:cs="宋体" w:eastAsia="宋体" w:hint="default"/>
        </w:rPr>
        <w:t>100</w:t>
      </w:r>
      <w:r>
        <w:rPr>
          <w:rFonts w:ascii="宋体" w:hAnsi="宋体" w:cs="宋体" w:eastAsia="宋体" w:hint="default"/>
          <w:spacing w:val="-66"/>
        </w:rPr>
        <w:t> </w:t>
      </w:r>
      <w:r>
        <w:rPr>
          <w:spacing w:val="-4"/>
        </w:rPr>
        <w:t>多个，测量面积约</w:t>
      </w:r>
      <w:r>
        <w:rPr>
          <w:spacing w:val="-66"/>
        </w:rPr>
        <w:t> </w:t>
      </w:r>
      <w:r>
        <w:rPr>
          <w:rFonts w:ascii="宋体" w:hAnsi="宋体" w:cs="宋体" w:eastAsia="宋体" w:hint="default"/>
        </w:rPr>
        <w:t>5000</w:t>
      </w:r>
      <w:r>
        <w:rPr>
          <w:rFonts w:ascii="宋体" w:hAnsi="宋体" w:cs="宋体" w:eastAsia="宋体" w:hint="default"/>
          <w:spacing w:val="-66"/>
        </w:rPr>
        <w:t> </w:t>
      </w:r>
      <w:r>
        <w:rPr>
          <w:spacing w:val="-4"/>
        </w:rPr>
        <w:t>平方公里，承接</w:t>
      </w:r>
    </w:p>
    <w:p>
      <w:pPr>
        <w:pStyle w:val="BodyText"/>
        <w:tabs>
          <w:tab w:pos="1293" w:val="left" w:leader="none"/>
        </w:tabs>
        <w:spacing w:line="388" w:lineRule="auto" w:before="154"/>
        <w:ind w:left="573" w:right="111" w:hanging="421"/>
        <w:jc w:val="left"/>
      </w:pPr>
      <w:r>
        <w:rPr/>
        <w:t>数据服务外包城市</w:t>
      </w:r>
      <w:r>
        <w:rPr>
          <w:spacing w:val="-57"/>
        </w:rPr>
        <w:t> </w:t>
      </w:r>
      <w:r>
        <w:rPr>
          <w:rFonts w:ascii="宋体" w:hAnsi="宋体" w:cs="宋体" w:eastAsia="宋体" w:hint="default"/>
        </w:rPr>
        <w:t>120</w:t>
      </w:r>
      <w:r>
        <w:rPr>
          <w:rFonts w:ascii="宋体" w:hAnsi="宋体" w:cs="宋体" w:eastAsia="宋体" w:hint="default"/>
          <w:spacing w:val="-57"/>
        </w:rPr>
        <w:t> </w:t>
      </w:r>
      <w:r>
        <w:rPr>
          <w:spacing w:val="-8"/>
        </w:rPr>
        <w:t>多个，采集城市管理部事件数据</w:t>
      </w:r>
      <w:r>
        <w:rPr>
          <w:spacing w:val="-57"/>
        </w:rPr>
        <w:t> </w:t>
      </w:r>
      <w:r>
        <w:rPr>
          <w:rFonts w:ascii="宋体" w:hAnsi="宋体" w:cs="宋体" w:eastAsia="宋体" w:hint="default"/>
        </w:rPr>
        <w:t>4000</w:t>
      </w:r>
      <w:r>
        <w:rPr>
          <w:rFonts w:ascii="宋体" w:hAnsi="宋体" w:cs="宋体" w:eastAsia="宋体" w:hint="default"/>
          <w:spacing w:val="-57"/>
        </w:rPr>
        <w:t> </w:t>
      </w:r>
      <w:r>
        <w:rPr>
          <w:spacing w:val="-10"/>
        </w:rPr>
        <w:t>多万条，实现业务产值近</w:t>
      </w:r>
      <w:r>
        <w:rPr>
          <w:spacing w:val="-57"/>
        </w:rPr>
        <w:t> </w:t>
      </w:r>
      <w:r>
        <w:rPr>
          <w:rFonts w:ascii="宋体" w:hAnsi="宋体" w:cs="宋体" w:eastAsia="宋体" w:hint="default"/>
        </w:rPr>
        <w:t>3</w:t>
      </w:r>
      <w:r>
        <w:rPr>
          <w:rFonts w:ascii="宋体" w:hAnsi="宋体" w:cs="宋体" w:eastAsia="宋体" w:hint="default"/>
          <w:spacing w:val="-57"/>
        </w:rPr>
        <w:t> </w:t>
      </w:r>
      <w:r>
        <w:rPr/>
        <w:t>亿元。 </w:t>
      </w:r>
      <w:r>
        <w:rPr>
          <w:rFonts w:ascii="宋体" w:hAnsi="宋体" w:cs="宋体" w:eastAsia="宋体" w:hint="default"/>
          <w:b/>
          <w:bCs/>
        </w:rPr>
        <w:t>八、</w:t>
        <w:tab/>
        <w:t>智慧国土资源和城市规划管理</w:t>
      </w:r>
      <w:r>
        <w:rPr>
          <w:rFonts w:ascii="宋体" w:hAnsi="宋体" w:cs="宋体" w:eastAsia="宋体" w:hint="default"/>
          <w:b/>
          <w:bCs/>
          <w:w w:val="99"/>
        </w:rPr>
        <w:t> </w:t>
      </w:r>
      <w:r>
        <w:rPr/>
        <w:t>报告期内，公司在不动产登记、国土资源信息化、规划管理信息化等方面成果显著。公</w:t>
      </w:r>
    </w:p>
    <w:p>
      <w:pPr>
        <w:pStyle w:val="BodyText"/>
        <w:spacing w:line="357" w:lineRule="auto" w:before="5"/>
        <w:ind w:right="239"/>
        <w:jc w:val="both"/>
      </w:pPr>
      <w:r>
        <w:rPr/>
        <w:t>司成功中标和实施了西宁市、大理市、蒙自市、德宏市等近三十个不动产登记系统和数据整</w:t>
      </w:r>
      <w:r>
        <w:rPr>
          <w:spacing w:val="-91"/>
        </w:rPr>
        <w:t> </w:t>
      </w:r>
      <w:r>
        <w:rPr>
          <w:spacing w:val="-91"/>
        </w:rPr>
      </w:r>
      <w:r>
        <w:rPr/>
        <w:t>理建库项目。系统得到充分应用，项目进展顺利，有效保障了用户不动产登记发证、档案管</w:t>
      </w:r>
      <w:r>
        <w:rPr>
          <w:spacing w:val="-91"/>
        </w:rPr>
        <w:t> </w:t>
      </w:r>
      <w:r>
        <w:rPr>
          <w:spacing w:val="-91"/>
        </w:rPr>
      </w:r>
      <w:r>
        <w:rPr/>
        <w:t>理、数据整合、权籍数据管理和社会化服务等工作的需要。</w:t>
      </w:r>
    </w:p>
    <w:p>
      <w:pPr>
        <w:spacing w:line="240" w:lineRule="auto" w:before="3"/>
        <w:rPr>
          <w:rFonts w:ascii="宋体" w:hAnsi="宋体" w:cs="宋体" w:eastAsia="宋体" w:hint="default"/>
          <w:sz w:val="11"/>
          <w:szCs w:val="11"/>
        </w:rPr>
      </w:pPr>
    </w:p>
    <w:p>
      <w:pPr>
        <w:spacing w:line="4392" w:lineRule="exact"/>
        <w:ind w:left="818" w:right="0" w:firstLine="0"/>
        <w:rPr>
          <w:rFonts w:ascii="宋体" w:hAnsi="宋体" w:cs="宋体" w:eastAsia="宋体" w:hint="default"/>
          <w:sz w:val="20"/>
          <w:szCs w:val="20"/>
        </w:rPr>
      </w:pPr>
      <w:r>
        <w:rPr>
          <w:rFonts w:ascii="宋体" w:hAnsi="宋体" w:cs="宋体" w:eastAsia="宋体" w:hint="default"/>
          <w:position w:val="-87"/>
          <w:sz w:val="20"/>
          <w:szCs w:val="20"/>
        </w:rPr>
        <w:drawing>
          <wp:inline distT="0" distB="0" distL="0" distR="0">
            <wp:extent cx="5197923" cy="2789205"/>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3" cstate="print"/>
                    <a:stretch>
                      <a:fillRect/>
                    </a:stretch>
                  </pic:blipFill>
                  <pic:spPr>
                    <a:xfrm>
                      <a:off x="0" y="0"/>
                      <a:ext cx="5197923" cy="2789205"/>
                    </a:xfrm>
                    <a:prstGeom prst="rect">
                      <a:avLst/>
                    </a:prstGeom>
                  </pic:spPr>
                </pic:pic>
              </a:graphicData>
            </a:graphic>
          </wp:inline>
        </w:drawing>
      </w:r>
      <w:r>
        <w:rPr>
          <w:rFonts w:ascii="宋体" w:hAnsi="宋体" w:cs="宋体" w:eastAsia="宋体" w:hint="default"/>
          <w:position w:val="-87"/>
          <w:sz w:val="20"/>
          <w:szCs w:val="20"/>
        </w:rPr>
      </w:r>
    </w:p>
    <w:p>
      <w:pPr>
        <w:spacing w:after="0" w:line="4392" w:lineRule="exact"/>
        <w:rPr>
          <w:rFonts w:ascii="宋体" w:hAnsi="宋体" w:cs="宋体" w:eastAsia="宋体" w:hint="default"/>
          <w:sz w:val="20"/>
          <w:szCs w:val="20"/>
        </w:rPr>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6" w:firstLine="480"/>
        <w:jc w:val="left"/>
      </w:pPr>
      <w:r>
        <w:rPr>
          <w:spacing w:val="-5"/>
        </w:rPr>
        <w:t>基于国土资源整合管理工作的需要，公司</w:t>
      </w:r>
      <w:r>
        <w:rPr>
          <w:spacing w:val="-59"/>
        </w:rPr>
        <w:t> </w:t>
      </w:r>
      <w:r>
        <w:rPr>
          <w:rFonts w:ascii="宋体" w:hAnsi="宋体" w:cs="宋体" w:eastAsia="宋体" w:hint="default"/>
        </w:rPr>
        <w:t>2017</w:t>
      </w:r>
      <w:r>
        <w:rPr>
          <w:rFonts w:ascii="宋体" w:hAnsi="宋体" w:cs="宋体" w:eastAsia="宋体" w:hint="default"/>
          <w:spacing w:val="-59"/>
        </w:rPr>
        <w:t> </w:t>
      </w:r>
      <w:r>
        <w:rPr/>
        <w:t>年在产品上加大投入力度开发设计了一大 批实用高效的应用系统，主要包含三维辅助审批系统、移动办公系统、国土资源二级市场审</w:t>
      </w:r>
      <w:r>
        <w:rPr>
          <w:spacing w:val="-87"/>
        </w:rPr>
        <w:t> </w:t>
      </w:r>
      <w:r>
        <w:rPr>
          <w:spacing w:val="-87"/>
        </w:rPr>
      </w:r>
      <w:r>
        <w:rPr>
          <w:spacing w:val="-2"/>
        </w:rPr>
        <w:t>批系统、国土空间基础信息平台、数字城市地理空间框架软件产品、地质环境信息管理系统、</w:t>
      </w:r>
      <w:r>
        <w:rPr/>
        <w:t> 数据共享与服务系统、矿产资源监管系统等，在云南省国土资源厅、太原国土局、韶关国土</w:t>
      </w:r>
      <w:r>
        <w:rPr>
          <w:spacing w:val="-91"/>
        </w:rPr>
        <w:t> </w:t>
      </w:r>
      <w:r>
        <w:rPr>
          <w:spacing w:val="-91"/>
        </w:rPr>
      </w:r>
      <w:r>
        <w:rPr/>
        <w:t>局、兰州国土局、杭州国土局等用户单位的项目得到广泛应用，有力支撑了简政放权、便民</w:t>
      </w:r>
      <w:r>
        <w:rPr>
          <w:spacing w:val="-91"/>
        </w:rPr>
        <w:t> </w:t>
      </w:r>
      <w:r>
        <w:rPr>
          <w:spacing w:val="-91"/>
        </w:rPr>
      </w:r>
      <w:r>
        <w:rPr/>
        <w:t>服务。报告期内，公司承建的杭州国土局行政审批系统在支撑杭州市“最多跑一次”行政惠</w:t>
      </w:r>
      <w:r>
        <w:rPr>
          <w:spacing w:val="-86"/>
        </w:rPr>
        <w:t> </w:t>
      </w:r>
      <w:r>
        <w:rPr>
          <w:spacing w:val="-86"/>
        </w:rPr>
      </w:r>
      <w:r>
        <w:rPr/>
        <w:t>民工程方面发挥了重要的作用，产生了良好的社会价值。</w:t>
      </w:r>
    </w:p>
    <w:p>
      <w:pPr>
        <w:spacing w:line="240" w:lineRule="auto" w:before="10"/>
        <w:rPr>
          <w:rFonts w:ascii="宋体" w:hAnsi="宋体" w:cs="宋体" w:eastAsia="宋体" w:hint="default"/>
          <w:sz w:val="8"/>
          <w:szCs w:val="8"/>
        </w:rPr>
      </w:pPr>
    </w:p>
    <w:p>
      <w:pPr>
        <w:spacing w:line="5092" w:lineRule="exact"/>
        <w:ind w:left="153"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5171916" cy="3233547"/>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4" cstate="print"/>
                    <a:stretch>
                      <a:fillRect/>
                    </a:stretch>
                  </pic:blipFill>
                  <pic:spPr>
                    <a:xfrm>
                      <a:off x="0" y="0"/>
                      <a:ext cx="5171916" cy="3233547"/>
                    </a:xfrm>
                    <a:prstGeom prst="rect">
                      <a:avLst/>
                    </a:prstGeom>
                  </pic:spPr>
                </pic:pic>
              </a:graphicData>
            </a:graphic>
          </wp:inline>
        </w:drawing>
      </w:r>
      <w:r>
        <w:rPr>
          <w:rFonts w:ascii="宋体" w:hAnsi="宋体" w:cs="宋体" w:eastAsia="宋体" w:hint="default"/>
          <w:position w:val="-101"/>
          <w:sz w:val="20"/>
          <w:szCs w:val="20"/>
        </w:rPr>
      </w:r>
    </w:p>
    <w:p>
      <w:pPr>
        <w:pStyle w:val="BodyText"/>
        <w:spacing w:line="357" w:lineRule="auto" w:before="213"/>
        <w:ind w:right="236" w:firstLine="480"/>
        <w:jc w:val="both"/>
      </w:pPr>
      <w:r>
        <w:rPr/>
        <w:t>围绕城市规划编制成果管理、规划实施、规划监督和规划办公的业务拓展，报告期内公 司在城市规划行业的多规合一、规划执法监察、规划移动办公等方面有较大投入。先后中标</w:t>
      </w:r>
      <w:r>
        <w:rPr>
          <w:spacing w:val="-88"/>
        </w:rPr>
        <w:t> </w:t>
      </w:r>
      <w:r>
        <w:rPr>
          <w:spacing w:val="-88"/>
        </w:rPr>
      </w:r>
      <w:r>
        <w:rPr/>
        <w:t>并完成了长春市网格化规划执法监察平台项目、西安高新区规划综合管理信息平台等具有重</w:t>
      </w:r>
      <w:r>
        <w:rPr>
          <w:spacing w:val="-91"/>
        </w:rPr>
        <w:t> </w:t>
      </w:r>
      <w:r>
        <w:rPr>
          <w:spacing w:val="-91"/>
        </w:rPr>
      </w:r>
      <w:r>
        <w:rPr/>
        <w:t>要行业影响力的项目。</w:t>
      </w:r>
    </w:p>
    <w:p>
      <w:pPr>
        <w:spacing w:after="0" w:line="357" w:lineRule="auto"/>
        <w:jc w:val="both"/>
        <w:sectPr>
          <w:pgSz w:w="11910" w:h="16840"/>
          <w:pgMar w:header="745" w:footer="979" w:top="1060" w:bottom="1160" w:left="980" w:right="9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63" w:lineRule="exact"/>
        <w:ind w:left="854"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206157" cy="2580322"/>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5" cstate="print"/>
                    <a:stretch>
                      <a:fillRect/>
                    </a:stretch>
                  </pic:blipFill>
                  <pic:spPr>
                    <a:xfrm>
                      <a:off x="0" y="0"/>
                      <a:ext cx="5206157" cy="2580322"/>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8"/>
        <w:rPr>
          <w:rFonts w:ascii="宋体" w:hAnsi="宋体" w:cs="宋体" w:eastAsia="宋体" w:hint="default"/>
          <w:sz w:val="16"/>
          <w:szCs w:val="16"/>
        </w:rPr>
      </w:pPr>
    </w:p>
    <w:p>
      <w:pPr>
        <w:tabs>
          <w:tab w:pos="1293" w:val="left" w:leader="none"/>
        </w:tabs>
        <w:spacing w:line="388" w:lineRule="auto" w:before="26"/>
        <w:ind w:left="633" w:right="150" w:hanging="60"/>
        <w:jc w:val="left"/>
        <w:rPr>
          <w:rFonts w:ascii="宋体" w:hAnsi="宋体" w:cs="宋体" w:eastAsia="宋体" w:hint="default"/>
          <w:sz w:val="24"/>
          <w:szCs w:val="24"/>
        </w:rPr>
      </w:pPr>
      <w:r>
        <w:rPr>
          <w:rFonts w:ascii="宋体" w:hAnsi="宋体" w:cs="宋体" w:eastAsia="宋体" w:hint="default"/>
          <w:b/>
          <w:bCs/>
          <w:sz w:val="24"/>
          <w:szCs w:val="24"/>
        </w:rPr>
        <w:t>九、</w:t>
        <w:tab/>
        <w:t>新一代多网融合电子政务系统</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报告期内，公司秉承“网格化</w:t>
      </w:r>
      <w:r>
        <w:rPr>
          <w:rFonts w:ascii="宋体" w:hAnsi="宋体" w:cs="宋体" w:eastAsia="宋体" w:hint="default"/>
          <w:spacing w:val="-3"/>
          <w:sz w:val="24"/>
          <w:szCs w:val="24"/>
        </w:rPr>
        <w:t>+</w:t>
      </w:r>
      <w:r>
        <w:rPr>
          <w:rFonts w:ascii="宋体" w:hAnsi="宋体" w:cs="宋体" w:eastAsia="宋体" w:hint="default"/>
          <w:spacing w:val="-3"/>
          <w:sz w:val="24"/>
          <w:szCs w:val="24"/>
        </w:rPr>
        <w:t>”智慧城市的建设模式，探索发展出更符合各地行政管理</w:t>
      </w:r>
    </w:p>
    <w:p>
      <w:pPr>
        <w:pStyle w:val="BodyText"/>
        <w:spacing w:line="357" w:lineRule="auto" w:before="2"/>
        <w:ind w:right="148"/>
        <w:jc w:val="both"/>
      </w:pPr>
      <w:r>
        <w:rPr/>
        <w:t>新需求、新特点的新一代多网融合电子政务系统，将客户群体拓展至为市民提供普遍服务和</w:t>
      </w:r>
      <w:r>
        <w:rPr>
          <w:spacing w:val="-91"/>
        </w:rPr>
        <w:t> </w:t>
      </w:r>
      <w:r>
        <w:rPr>
          <w:spacing w:val="-91"/>
        </w:rPr>
      </w:r>
      <w:r>
        <w:rPr>
          <w:spacing w:val="-2"/>
        </w:rPr>
        <w:t>公共服务的众多政府管理部门。公司已通过多网融合的模式助力多地打造了“网格化</w:t>
      </w:r>
      <w:r>
        <w:rPr>
          <w:rFonts w:ascii="宋体" w:hAnsi="宋体" w:cs="宋体" w:eastAsia="宋体" w:hint="default"/>
          <w:spacing w:val="-2"/>
        </w:rPr>
        <w:t>+</w:t>
      </w:r>
      <w:r>
        <w:rPr>
          <w:spacing w:val="-2"/>
        </w:rPr>
        <w:t>”新型</w:t>
      </w:r>
      <w:r>
        <w:rPr/>
        <w:t> 智慧城市经典案例，通过实施“网格化</w:t>
      </w:r>
      <w:r>
        <w:rPr>
          <w:rFonts w:ascii="宋体" w:hAnsi="宋体" w:cs="宋体" w:eastAsia="宋体" w:hint="default"/>
        </w:rPr>
        <w:t>+</w:t>
      </w:r>
      <w:r>
        <w:rPr/>
        <w:t>”行动计划，将传统的城市管理朝着“网格化</w:t>
      </w:r>
      <w:r>
        <w:rPr>
          <w:rFonts w:ascii="宋体" w:hAnsi="宋体" w:cs="宋体" w:eastAsia="宋体" w:hint="default"/>
        </w:rPr>
        <w:t>+</w:t>
      </w:r>
      <w:r>
        <w:rPr/>
        <w:t>”智</w:t>
      </w:r>
      <w:r>
        <w:rPr>
          <w:spacing w:val="-82"/>
        </w:rPr>
        <w:t> </w:t>
      </w:r>
      <w:r>
        <w:rPr/>
        <w:t>慧城市综合服务管理演进发展，帮助客户加快建设网格基础平台，统一提供网格划分、要素</w:t>
      </w:r>
      <w:r>
        <w:rPr>
          <w:spacing w:val="-90"/>
        </w:rPr>
        <w:t> </w:t>
      </w:r>
      <w:r>
        <w:rPr>
          <w:spacing w:val="-90"/>
        </w:rPr>
      </w:r>
      <w:r>
        <w:rPr/>
        <w:t>标识、对象管理、数据采集、事件流转、评价考核等基础功能，支撑综治、卫计、公安、民</w:t>
      </w:r>
      <w:r>
        <w:rPr>
          <w:spacing w:val="-91"/>
        </w:rPr>
        <w:t> </w:t>
      </w:r>
      <w:r>
        <w:rPr>
          <w:spacing w:val="-91"/>
        </w:rPr>
      </w:r>
      <w:r>
        <w:rPr/>
        <w:t>政、司法行政、人社、环保、住建、食品药品监管、消防、残联等部门灵活定制、快速部署</w:t>
      </w:r>
      <w:r>
        <w:rPr>
          <w:spacing w:val="-91"/>
        </w:rPr>
        <w:t> </w:t>
      </w:r>
      <w:r>
        <w:rPr>
          <w:spacing w:val="-91"/>
        </w:rPr>
      </w:r>
      <w:r>
        <w:rPr/>
        <w:t>专业网格，并能快速与部门应用系统对接，满足部门网格应用需要。</w:t>
      </w:r>
    </w:p>
    <w:p>
      <w:pPr>
        <w:spacing w:line="240" w:lineRule="auto" w:before="6"/>
        <w:rPr>
          <w:rFonts w:ascii="宋体" w:hAnsi="宋体" w:cs="宋体" w:eastAsia="宋体" w:hint="default"/>
          <w:sz w:val="11"/>
          <w:szCs w:val="11"/>
        </w:rPr>
      </w:pPr>
    </w:p>
    <w:p>
      <w:pPr>
        <w:spacing w:line="4138" w:lineRule="exact"/>
        <w:ind w:left="294"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445931" cy="262775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6" cstate="print"/>
                    <a:stretch>
                      <a:fillRect/>
                    </a:stretch>
                  </pic:blipFill>
                  <pic:spPr>
                    <a:xfrm>
                      <a:off x="0" y="0"/>
                      <a:ext cx="5445931" cy="2627756"/>
                    </a:xfrm>
                    <a:prstGeom prst="rect">
                      <a:avLst/>
                    </a:prstGeom>
                  </pic:spPr>
                </pic:pic>
              </a:graphicData>
            </a:graphic>
          </wp:inline>
        </w:drawing>
      </w:r>
      <w:r>
        <w:rPr>
          <w:rFonts w:ascii="宋体" w:hAnsi="宋体" w:cs="宋体" w:eastAsia="宋体" w:hint="default"/>
          <w:position w:val="-82"/>
          <w:sz w:val="20"/>
          <w:szCs w:val="20"/>
        </w:rPr>
      </w:r>
    </w:p>
    <w:p>
      <w:pPr>
        <w:pStyle w:val="BodyText"/>
        <w:spacing w:line="240" w:lineRule="auto" w:before="199"/>
        <w:ind w:left="633" w:right="153"/>
        <w:jc w:val="left"/>
      </w:pPr>
      <w:r>
        <w:rPr/>
        <w:t>报告期内，公司与福州市政府密切配合，以鼓楼区为新一代多网融合电子政务系统示范</w:t>
      </w:r>
    </w:p>
    <w:p>
      <w:pPr>
        <w:spacing w:after="0" w:line="240"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51"/>
        <w:jc w:val="both"/>
      </w:pPr>
      <w:r>
        <w:rPr/>
        <w:t>区域，将网格化管理理念和工作模式进一步延伸、拓展到社会治理、环境监管、安全监管、</w:t>
      </w:r>
      <w:r>
        <w:rPr>
          <w:spacing w:val="-91"/>
        </w:rPr>
        <w:t> </w:t>
      </w:r>
      <w:r>
        <w:rPr>
          <w:spacing w:val="-91"/>
        </w:rPr>
      </w:r>
      <w:r>
        <w:rPr>
          <w:spacing w:val="-13"/>
        </w:rPr>
        <w:t>食药监管、消防、人社、卫计、司法、民政、残联等多个业务领域，建立了具有福州特色的</w:t>
      </w:r>
      <w:r>
        <w:rPr>
          <w:spacing w:val="-48"/>
        </w:rPr>
        <w:t> </w:t>
      </w:r>
      <w:r>
        <w:rPr/>
        <w:t>“多</w:t>
      </w:r>
      <w:r>
        <w:rPr>
          <w:spacing w:val="-116"/>
        </w:rPr>
        <w:t> </w:t>
      </w:r>
      <w:r>
        <w:rPr>
          <w:spacing w:val="-116"/>
        </w:rPr>
      </w:r>
      <w:r>
        <w:rPr/>
        <w:t>网融合、共用共治”的网格化管理与城市创新治理新模式。网格员按照“以人为本、服务为</w:t>
      </w:r>
      <w:r>
        <w:rPr>
          <w:spacing w:val="-91"/>
        </w:rPr>
        <w:t> </w:t>
      </w:r>
      <w:r>
        <w:rPr>
          <w:spacing w:val="-91"/>
        </w:rPr>
      </w:r>
      <w:r>
        <w:rPr/>
        <w:t>先、综合履职”的要求，主要承担信息采集、治安防控、劳动就业、社会救助、计划生育、</w:t>
      </w:r>
      <w:r>
        <w:rPr>
          <w:spacing w:val="-91"/>
        </w:rPr>
        <w:t> </w:t>
      </w:r>
      <w:r>
        <w:rPr>
          <w:spacing w:val="-91"/>
        </w:rPr>
      </w:r>
      <w:r>
        <w:rPr/>
        <w:t>城市管理、医疗卫生、食品安全等职能。既实现了各类信息全面收集、动态更新，又避免了</w:t>
      </w:r>
      <w:r>
        <w:rPr>
          <w:spacing w:val="-91"/>
        </w:rPr>
        <w:t> </w:t>
      </w:r>
      <w:r>
        <w:rPr>
          <w:spacing w:val="-91"/>
        </w:rPr>
      </w:r>
      <w:r>
        <w:rPr/>
        <w:t>信息频繁多头采集、入户扰民，也更好地服务居民。</w:t>
      </w:r>
    </w:p>
    <w:p>
      <w:pPr>
        <w:spacing w:line="240" w:lineRule="auto" w:before="5"/>
        <w:rPr>
          <w:rFonts w:ascii="宋体" w:hAnsi="宋体" w:cs="宋体" w:eastAsia="宋体" w:hint="default"/>
          <w:sz w:val="8"/>
          <w:szCs w:val="8"/>
        </w:rPr>
      </w:pPr>
    </w:p>
    <w:p>
      <w:pPr>
        <w:spacing w:line="3909" w:lineRule="exact"/>
        <w:ind w:left="633"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5185570" cy="2482596"/>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7" cstate="print"/>
                    <a:stretch>
                      <a:fillRect/>
                    </a:stretch>
                  </pic:blipFill>
                  <pic:spPr>
                    <a:xfrm>
                      <a:off x="0" y="0"/>
                      <a:ext cx="5185570" cy="2482596"/>
                    </a:xfrm>
                    <a:prstGeom prst="rect">
                      <a:avLst/>
                    </a:prstGeom>
                  </pic:spPr>
                </pic:pic>
              </a:graphicData>
            </a:graphic>
          </wp:inline>
        </w:drawing>
      </w:r>
      <w:r>
        <w:rPr>
          <w:rFonts w:ascii="宋体" w:hAnsi="宋体" w:cs="宋体" w:eastAsia="宋体" w:hint="default"/>
          <w:position w:val="-77"/>
          <w:sz w:val="20"/>
          <w:szCs w:val="20"/>
        </w:rPr>
      </w:r>
    </w:p>
    <w:p>
      <w:pPr>
        <w:pStyle w:val="BodyText"/>
        <w:spacing w:line="357" w:lineRule="auto" w:before="153"/>
        <w:ind w:right="135" w:firstLine="480"/>
        <w:jc w:val="left"/>
      </w:pPr>
      <w:r>
        <w:rPr/>
        <w:t>目前，公司多网融合业务新签订单金额累计已超过 </w:t>
      </w:r>
      <w:r>
        <w:rPr>
          <w:rFonts w:ascii="宋体" w:hAnsi="宋体" w:cs="宋体" w:eastAsia="宋体" w:hint="default"/>
        </w:rPr>
        <w:t>2</w:t>
      </w:r>
      <w:r>
        <w:rPr>
          <w:rFonts w:ascii="宋体" w:hAnsi="宋体" w:cs="宋体" w:eastAsia="宋体" w:hint="default"/>
          <w:spacing w:val="-81"/>
        </w:rPr>
        <w:t> </w:t>
      </w:r>
      <w:r>
        <w:rPr/>
        <w:t>亿元，未来各地新一代多网融合电 子政务项目建设有望持续加快，将为公司带来更大的市场空间。</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二、主营业务分析</w:t>
      </w:r>
      <w:r>
        <w:rPr>
          <w:b w:val="0"/>
          <w:bCs w:val="0"/>
        </w:rPr>
      </w:r>
    </w:p>
    <w:p>
      <w:pPr>
        <w:spacing w:line="240" w:lineRule="auto" w:before="12"/>
        <w:rPr>
          <w:rFonts w:ascii="宋体" w:hAnsi="宋体" w:cs="宋体" w:eastAsia="宋体" w:hint="default"/>
          <w:b/>
          <w:bCs/>
          <w:sz w:val="24"/>
          <w:szCs w:val="24"/>
        </w:rPr>
      </w:pPr>
    </w:p>
    <w:p>
      <w:pPr>
        <w:spacing w:line="547" w:lineRule="auto" w:before="0"/>
        <w:ind w:left="152" w:right="54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w w:val="10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spacing w:before="2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5994" w:firstLine="0"/>
        <w:jc w:val="left"/>
        <w:rPr>
          <w:rFonts w:ascii="宋体" w:hAnsi="宋体" w:cs="宋体" w:eastAsia="宋体" w:hint="default"/>
          <w:sz w:val="18"/>
          <w:szCs w:val="18"/>
        </w:rPr>
      </w:pPr>
      <w:r>
        <w:rPr>
          <w:rFonts w:ascii="宋体" w:hAnsi="宋体" w:cs="宋体" w:eastAsia="宋体" w:hint="default"/>
          <w:sz w:val="18"/>
          <w:szCs w:val="18"/>
        </w:rPr>
        <w:t>公司是否需要遵守光伏产业链相关业的披露要求 否</w:t>
      </w:r>
    </w:p>
    <w:p>
      <w:pPr>
        <w:spacing w:line="338" w:lineRule="auto" w:before="27"/>
        <w:ind w:left="152" w:right="41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40" w:lineRule="auto" w:before="43"/>
        <w:ind w:left="152" w:right="59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before="39"/>
        <w:ind w:left="152" w:right="0"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产业链相关业务》的披露要求：</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否</w:t>
      </w:r>
    </w:p>
    <w:p>
      <w:pPr>
        <w:spacing w:line="338" w:lineRule="auto" w:before="117"/>
        <w:ind w:left="152" w:right="68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上市公司从事医疗器械业务》的披露要求： 否</w:t>
      </w:r>
    </w:p>
    <w:p>
      <w:pPr>
        <w:spacing w:before="43"/>
        <w:ind w:left="152" w:right="153" w:firstLine="0"/>
        <w:jc w:val="left"/>
        <w:rPr>
          <w:rFonts w:ascii="宋体" w:hAnsi="宋体" w:cs="宋体" w:eastAsia="宋体" w:hint="default"/>
          <w:sz w:val="18"/>
          <w:szCs w:val="18"/>
        </w:rPr>
      </w:pPr>
      <w:r>
        <w:rPr>
          <w:rFonts w:ascii="宋体" w:hAnsi="宋体" w:cs="宋体" w:eastAsia="宋体" w:hint="default"/>
          <w:sz w:val="18"/>
          <w:szCs w:val="18"/>
        </w:rPr>
        <w:t>营业收入整体情况</w:t>
      </w:r>
    </w:p>
    <w:p>
      <w:pPr>
        <w:spacing w:before="117"/>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9"/>
        <w:gridCol w:w="1594"/>
        <w:gridCol w:w="1591"/>
        <w:gridCol w:w="1599"/>
        <w:gridCol w:w="1588"/>
        <w:gridCol w:w="1597"/>
      </w:tblGrid>
      <w:tr>
        <w:trPr>
          <w:trHeight w:val="206" w:hRule="exact"/>
        </w:trPr>
        <w:tc>
          <w:tcPr>
            <w:tcW w:w="159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8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599" w:type="dxa"/>
            <w:vMerge w:val="restart"/>
            <w:tcBorders>
              <w:top w:val="nil" w:sz="6" w:space="0" w:color="auto"/>
              <w:left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3187" w:type="dxa"/>
            <w:gridSpan w:val="2"/>
            <w:vMerge/>
            <w:tcBorders>
              <w:left w:val="single" w:sz="4" w:space="0" w:color="000000"/>
              <w:bottom w:val="single" w:sz="4" w:space="0" w:color="000000"/>
              <w:right w:val="single" w:sz="4" w:space="0" w:color="000000"/>
            </w:tcBorders>
            <w:shd w:val="clear" w:color="auto" w:fill="D2D2D2"/>
          </w:tcPr>
          <w:p>
            <w:pPr/>
          </w:p>
        </w:tc>
        <w:tc>
          <w:tcPr>
            <w:tcW w:w="15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5"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2" w:hRule="exact"/>
        </w:trPr>
        <w:tc>
          <w:tcPr>
            <w:tcW w:w="1599"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4"/>
              <w:jc w:val="center"/>
              <w:rPr>
                <w:rFonts w:ascii="宋体" w:hAnsi="宋体" w:cs="宋体" w:eastAsia="宋体" w:hint="default"/>
                <w:sz w:val="18"/>
                <w:szCs w:val="18"/>
              </w:rPr>
            </w:pPr>
            <w:r>
              <w:rPr>
                <w:rFonts w:ascii="宋体" w:hAnsi="宋体" w:cs="宋体" w:eastAsia="宋体" w:hint="default"/>
                <w:sz w:val="18"/>
                <w:szCs w:val="18"/>
              </w:rPr>
              <w:t>金额</w:t>
            </w:r>
          </w:p>
        </w:tc>
        <w:tc>
          <w:tcPr>
            <w:tcW w:w="15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tcBorders>
              <w:left w:val="single" w:sz="4" w:space="0" w:color="000000"/>
              <w:bottom w:val="nil" w:sz="6" w:space="0" w:color="auto"/>
              <w:right w:val="single" w:sz="4" w:space="0" w:color="000000"/>
            </w:tcBorders>
            <w:shd w:val="clear" w:color="auto" w:fill="D2D2D2"/>
          </w:tcPr>
          <w:p>
            <w:pPr/>
          </w:p>
        </w:tc>
      </w:tr>
      <w:tr>
        <w:trPr>
          <w:trHeight w:val="204" w:hRule="exact"/>
        </w:trPr>
        <w:tc>
          <w:tcPr>
            <w:tcW w:w="15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1" w:type="dxa"/>
            <w:vMerge/>
            <w:tcBorders>
              <w:left w:val="single" w:sz="4" w:space="0" w:color="000000"/>
              <w:bottom w:val="single" w:sz="4" w:space="0" w:color="000000"/>
              <w:right w:val="single" w:sz="4" w:space="0" w:color="000000"/>
            </w:tcBorders>
            <w:shd w:val="clear" w:color="auto" w:fill="D2D2D2"/>
          </w:tcPr>
          <w:p>
            <w:pPr/>
          </w:p>
        </w:tc>
        <w:tc>
          <w:tcPr>
            <w:tcW w:w="1599"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1,202,976,973.86</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100%</w:t>
            </w:r>
          </w:p>
        </w:tc>
        <w:tc>
          <w:tcPr>
            <w:tcW w:w="1599"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967,336,066.29</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z w:val="18"/>
              </w:rPr>
              <w:t>100%</w:t>
            </w:r>
          </w:p>
        </w:tc>
        <w:tc>
          <w:tcPr>
            <w:tcW w:w="15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24.36%</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智慧城市管理领域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1,176,063,389.98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97.76%</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952,260,527.18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98.44%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23.50%</w:t>
            </w:r>
          </w:p>
        </w:tc>
      </w:tr>
      <w:tr>
        <w:trPr>
          <w:trHeight w:val="71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3"/>
              <w:jc w:val="left"/>
              <w:rPr>
                <w:rFonts w:ascii="宋体" w:hAnsi="宋体" w:cs="宋体" w:eastAsia="宋体" w:hint="default"/>
                <w:sz w:val="18"/>
                <w:szCs w:val="18"/>
              </w:rPr>
            </w:pPr>
            <w:r>
              <w:rPr>
                <w:rFonts w:ascii="宋体" w:hAnsi="宋体" w:cs="宋体" w:eastAsia="宋体" w:hint="default"/>
                <w:sz w:val="18"/>
                <w:szCs w:val="18"/>
              </w:rPr>
              <w:t>国土资源管理与城 市规划领域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26,913,583.88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2.24%</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15,075,539.11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1.56%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78.52%</w:t>
            </w: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484,561,772.02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40.28%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393,596,559.61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40.69%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23.11%</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264,865,663.49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22.02%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246,711,507.42</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25.50%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453,549,538.35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37.70%</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327,027,999.26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33.81%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38.69%</w:t>
            </w: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1"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560,876,567.35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46.62%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485,230,007.78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50.16%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15.59%</w:t>
            </w:r>
          </w:p>
        </w:tc>
      </w:tr>
      <w:tr>
        <w:trPr>
          <w:trHeight w:val="40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南方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642,100,406.51</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53.38%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482,106,058.51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49.84%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33.19%</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）占公司营业收入或营业利润</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以上的行业、产品或地区情况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spacing w:line="348" w:lineRule="auto" w:before="44"/>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3213" w:space="5707"/>
            <w:col w:w="1030"/>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智慧城市管理领 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1,176,063,389.98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765,845,928.20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23.50%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26.25%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-1.42%</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国土资源管理与 城市规划领域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26,913,583.88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14,252,089.98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47.04%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78.52%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90.33%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-3.29%</w:t>
            </w:r>
          </w:p>
        </w:tc>
      </w:tr>
      <w:tr>
        <w:trPr>
          <w:trHeight w:val="40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484,561,772.02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231,117,549.33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23.11%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26.68%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264,865,663.49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229,554,866.91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16.56%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-6.85%</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453,549,538.35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319,425,601.94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29.57%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38.69%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36.08%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北方</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560,876,567.35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379,374,540.25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32.36%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15.59%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14.17%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0.84%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南方</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642,100,406.51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400,723,477.93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37.59%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42.19%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-3.95%</w:t>
            </w:r>
          </w:p>
        </w:tc>
      </w:tr>
    </w:tbl>
    <w:p>
      <w:pPr>
        <w:spacing w:before="49"/>
        <w:ind w:left="152" w:right="96"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年按报告期末口径调整后的主营业务数据</w:t>
      </w:r>
    </w:p>
    <w:p>
      <w:pPr>
        <w:spacing w:before="101"/>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）公司实物销售收入是否大于劳务收入</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6"/>
          <w:szCs w:val="26"/>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）公司已签订的重大销售合同截至本报告期的履行情况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6" w:firstLine="0"/>
        <w:jc w:val="left"/>
        <w:rPr>
          <w:rFonts w:ascii="宋体" w:hAnsi="宋体" w:cs="宋体" w:eastAsia="宋体" w:hint="default"/>
          <w:sz w:val="18"/>
          <w:szCs w:val="18"/>
        </w:rPr>
      </w:pPr>
      <w:r>
        <w:rPr>
          <w:rFonts w:ascii="宋体" w:hAnsi="宋体" w:cs="宋体" w:eastAsia="宋体" w:hint="default"/>
          <w:sz w:val="18"/>
          <w:szCs w:val="18"/>
        </w:rPr>
        <w:t>产品分类</w:t>
      </w:r>
    </w:p>
    <w:p>
      <w:pPr>
        <w:spacing w:before="115"/>
        <w:ind w:left="0" w:right="2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231,117,549.33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182,449,155.68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229,554,866.91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29.43%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196,934,762.47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32.07%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-2.64%</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319,425,601.94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40.95%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234,725,755.29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38.22%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2.73%</w:t>
            </w:r>
          </w:p>
        </w:tc>
      </w:tr>
    </w:tbl>
    <w:p>
      <w:pPr>
        <w:spacing w:before="49"/>
        <w:ind w:left="152" w:right="96"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0"/>
        <w:rPr>
          <w:rFonts w:ascii="宋体" w:hAnsi="宋体" w:cs="宋体" w:eastAsia="宋体" w:hint="default"/>
          <w:sz w:val="18"/>
          <w:szCs w:val="18"/>
        </w:rPr>
      </w:pPr>
    </w:p>
    <w:p>
      <w:pPr>
        <w:spacing w:before="118"/>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）报告期内合并范围是否发生变动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pStyle w:val="BodyText"/>
        <w:spacing w:line="350" w:lineRule="auto" w:before="132"/>
        <w:ind w:right="99" w:firstLine="480"/>
        <w:jc w:val="left"/>
      </w:pPr>
      <w:r>
        <w:rPr>
          <w:spacing w:val="-1"/>
        </w:rPr>
        <w:t>新设子公司江西政通城运科技有限公司，注册资本</w:t>
      </w:r>
      <w:r>
        <w:rPr>
          <w:rFonts w:ascii="Times New Roman" w:hAnsi="Times New Roman" w:cs="Times New Roman" w:eastAsia="Times New Roman" w:hint="default"/>
          <w:spacing w:val="-1"/>
        </w:rPr>
        <w:t>3,750.03</w:t>
      </w:r>
      <w:r>
        <w:rPr>
          <w:spacing w:val="-1"/>
        </w:rPr>
        <w:t>万元，本公司持股比例</w:t>
      </w:r>
      <w:r>
        <w:rPr>
          <w:rFonts w:ascii="Times New Roman" w:hAnsi="Times New Roman" w:cs="Times New Roman" w:eastAsia="Times New Roman" w:hint="default"/>
          <w:spacing w:val="-1"/>
        </w:rPr>
        <w:t>100%</w:t>
      </w:r>
      <w:r>
        <w:rPr>
          <w:spacing w:val="-1"/>
        </w:rPr>
        <w:t>，</w:t>
      </w:r>
      <w:r>
        <w:rPr/>
        <w:t> </w:t>
      </w:r>
      <w:r>
        <w:rPr>
          <w:spacing w:val="-5"/>
        </w:rPr>
        <w:t>已认缴出资额</w:t>
      </w:r>
      <w:r>
        <w:rPr>
          <w:rFonts w:ascii="Times New Roman" w:hAnsi="Times New Roman" w:cs="Times New Roman" w:eastAsia="Times New Roman" w:hint="default"/>
          <w:spacing w:val="-5"/>
        </w:rPr>
        <w:t>3,750.03</w:t>
      </w:r>
      <w:r>
        <w:rPr>
          <w:spacing w:val="-5"/>
        </w:rPr>
        <w:t>万元。统一社会信用代码：</w:t>
      </w:r>
      <w:r>
        <w:rPr>
          <w:rFonts w:ascii="Times New Roman" w:hAnsi="Times New Roman" w:cs="Times New Roman" w:eastAsia="Times New Roman" w:hint="default"/>
          <w:spacing w:val="-5"/>
        </w:rPr>
        <w:t>91360723MA36W2BWXG</w:t>
      </w:r>
      <w:r>
        <w:rPr>
          <w:spacing w:val="-5"/>
        </w:rPr>
        <w:t>，注册地：赣州市；</w:t>
      </w:r>
      <w:r>
        <w:rPr>
          <w:spacing w:val="-86"/>
        </w:rPr>
        <w:t> </w:t>
      </w:r>
      <w:r>
        <w:rPr>
          <w:spacing w:val="-86"/>
        </w:rPr>
      </w:r>
      <w:r>
        <w:rPr/>
        <w:t>业务范围：城市及道路照明亮化工程专业承包；市政公用工程施工总承包；基础软件服务、</w:t>
      </w:r>
      <w:r>
        <w:rPr>
          <w:spacing w:val="-91"/>
        </w:rPr>
        <w:t> </w:t>
      </w:r>
      <w:r>
        <w:rPr>
          <w:spacing w:val="-91"/>
        </w:rPr>
      </w:r>
      <w:r>
        <w:rPr/>
        <w:t>应用软件服务、技术开发、技术转让、技术服务、技术咨询、技术推广；产品设计；计算机</w:t>
      </w:r>
      <w:r>
        <w:rPr>
          <w:spacing w:val="-91"/>
        </w:rPr>
        <w:t> </w:t>
      </w:r>
      <w:r>
        <w:rPr>
          <w:spacing w:val="-91"/>
        </w:rPr>
      </w:r>
      <w:r>
        <w:rPr/>
        <w:t>系统服务；数据处理服务；机械设备租赁；销售通讯设备、电子产品、计算机、软件及辅助</w:t>
      </w:r>
      <w:r>
        <w:rPr>
          <w:spacing w:val="-91"/>
        </w:rPr>
        <w:t> </w:t>
      </w:r>
      <w:r>
        <w:rPr>
          <w:spacing w:val="-91"/>
        </w:rPr>
      </w:r>
      <w:r>
        <w:rPr/>
        <w:t>设备。（依法须经批准的项目，经相关部门批准后方可开展经营活动）。</w:t>
      </w:r>
    </w:p>
    <w:p>
      <w:pPr>
        <w:spacing w:line="240" w:lineRule="auto" w:before="4"/>
        <w:rPr>
          <w:rFonts w:ascii="宋体" w:hAnsi="宋体" w:cs="宋体" w:eastAsia="宋体" w:hint="default"/>
          <w:sz w:val="22"/>
          <w:szCs w:val="22"/>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）公司报告期内业务、产品或服务发生重大变化或调整有关情况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0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）主要销售客户和主要供应商情况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153,714,543.16</w:t>
            </w:r>
          </w:p>
        </w:tc>
      </w:tr>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12.78%</w:t>
            </w:r>
          </w:p>
        </w:tc>
      </w:tr>
      <w:tr>
        <w:trPr>
          <w:trHeight w:val="715"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791"/>
        <w:gridCol w:w="3314"/>
        <w:gridCol w:w="2321"/>
        <w:gridCol w:w="3145"/>
      </w:tblGrid>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1"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联通系统集成有限公司河南省分公司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40,182,562.48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3.34%</w:t>
            </w: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赣州市城市管理监督指挥中心</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38,603,841.57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3.21%</w:t>
            </w:r>
          </w:p>
        </w:tc>
      </w:tr>
      <w:tr>
        <w:trPr>
          <w:trHeight w:val="161" w:hRule="exact"/>
        </w:trPr>
        <w:tc>
          <w:tcPr>
            <w:tcW w:w="7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314" w:type="dxa"/>
            <w:vMerge w:val="restart"/>
            <w:tcBorders>
              <w:top w:val="single" w:sz="4" w:space="0" w:color="000000"/>
              <w:left w:val="single" w:sz="10" w:space="0" w:color="D2D2D2"/>
              <w:right w:val="single" w:sz="4" w:space="0" w:color="000000"/>
            </w:tcBorders>
          </w:tcPr>
          <w:p>
            <w:pPr>
              <w:pStyle w:val="TableParagraph"/>
              <w:spacing w:line="316" w:lineRule="auto" w:before="49"/>
              <w:ind w:left="27" w:right="27"/>
              <w:jc w:val="left"/>
              <w:rPr>
                <w:rFonts w:ascii="宋体" w:hAnsi="宋体" w:cs="宋体" w:eastAsia="宋体" w:hint="default"/>
                <w:sz w:val="18"/>
                <w:szCs w:val="18"/>
              </w:rPr>
            </w:pPr>
            <w:r>
              <w:rPr>
                <w:rFonts w:ascii="宋体" w:hAnsi="宋体" w:cs="宋体" w:eastAsia="宋体" w:hint="default"/>
                <w:sz w:val="18"/>
                <w:szCs w:val="18"/>
              </w:rPr>
              <w:t>烟台市公安局经济技术开发区分局交通警 察大队</w:t>
            </w:r>
          </w:p>
        </w:tc>
        <w:tc>
          <w:tcPr>
            <w:tcW w:w="23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5" w:right="0"/>
              <w:jc w:val="left"/>
              <w:rPr>
                <w:rFonts w:ascii="Times New Roman" w:hAnsi="Times New Roman" w:cs="Times New Roman" w:eastAsia="Times New Roman" w:hint="default"/>
                <w:sz w:val="18"/>
                <w:szCs w:val="18"/>
              </w:rPr>
            </w:pPr>
            <w:r>
              <w:rPr>
                <w:rFonts w:ascii="Times New Roman"/>
                <w:sz w:val="18"/>
              </w:rPr>
              <w:t>26,894,271.79</w:t>
            </w:r>
          </w:p>
        </w:tc>
        <w:tc>
          <w:tcPr>
            <w:tcW w:w="314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2.24%</w:t>
            </w:r>
          </w:p>
        </w:tc>
      </w:tr>
      <w:tr>
        <w:trPr>
          <w:trHeight w:val="391" w:hRule="exact"/>
        </w:trPr>
        <w:tc>
          <w:tcPr>
            <w:tcW w:w="7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w:t>
            </w:r>
          </w:p>
        </w:tc>
        <w:tc>
          <w:tcPr>
            <w:tcW w:w="3314" w:type="dxa"/>
            <w:vMerge/>
            <w:tcBorders>
              <w:left w:val="single" w:sz="10" w:space="0" w:color="D2D2D2"/>
              <w:right w:val="single" w:sz="4" w:space="0" w:color="000000"/>
            </w:tcBorders>
          </w:tcPr>
          <w:p>
            <w:pPr/>
          </w:p>
        </w:tc>
        <w:tc>
          <w:tcPr>
            <w:tcW w:w="2321" w:type="dxa"/>
            <w:vMerge/>
            <w:tcBorders>
              <w:left w:val="single" w:sz="4" w:space="0" w:color="000000"/>
              <w:right w:val="single" w:sz="4" w:space="0" w:color="000000"/>
            </w:tcBorders>
          </w:tcPr>
          <w:p>
            <w:pPr/>
          </w:p>
        </w:tc>
        <w:tc>
          <w:tcPr>
            <w:tcW w:w="3145" w:type="dxa"/>
            <w:vMerge/>
            <w:tcBorders>
              <w:left w:val="single" w:sz="4" w:space="0" w:color="000000"/>
              <w:right w:val="single" w:sz="4" w:space="0" w:color="000000"/>
            </w:tcBorders>
          </w:tcPr>
          <w:p>
            <w:pPr/>
          </w:p>
        </w:tc>
      </w:tr>
      <w:tr>
        <w:trPr>
          <w:trHeight w:val="161" w:hRule="exact"/>
        </w:trPr>
        <w:tc>
          <w:tcPr>
            <w:tcW w:w="7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314" w:type="dxa"/>
            <w:vMerge/>
            <w:tcBorders>
              <w:left w:val="single" w:sz="10" w:space="0" w:color="D2D2D2"/>
              <w:bottom w:val="single" w:sz="4" w:space="0" w:color="000000"/>
              <w:right w:val="single" w:sz="4" w:space="0" w:color="000000"/>
            </w:tcBorders>
          </w:tcPr>
          <w:p>
            <w:pPr/>
          </w:p>
        </w:tc>
        <w:tc>
          <w:tcPr>
            <w:tcW w:w="2321" w:type="dxa"/>
            <w:vMerge/>
            <w:tcBorders>
              <w:left w:val="single" w:sz="4" w:space="0" w:color="000000"/>
              <w:bottom w:val="single" w:sz="4" w:space="0" w:color="000000"/>
              <w:right w:val="single" w:sz="4" w:space="0" w:color="000000"/>
            </w:tcBorders>
          </w:tcPr>
          <w:p>
            <w:pPr/>
          </w:p>
        </w:tc>
        <w:tc>
          <w:tcPr>
            <w:tcW w:w="3145" w:type="dxa"/>
            <w:vMerge/>
            <w:tcBorders>
              <w:left w:val="single" w:sz="4" w:space="0" w:color="000000"/>
              <w:bottom w:val="single" w:sz="4" w:space="0" w:color="000000"/>
              <w:right w:val="single" w:sz="4" w:space="0" w:color="000000"/>
            </w:tcBorders>
          </w:tcPr>
          <w:p>
            <w:pP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4</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中国电信股份有限公司普洱分公司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24,984,787.91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2.08%</w:t>
            </w:r>
          </w:p>
        </w:tc>
      </w:tr>
      <w:tr>
        <w:trPr>
          <w:trHeight w:val="401"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沈阳市数字化城市管理监督指挥中心</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23,049,079.41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1.92%</w:t>
            </w: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153,714,543.16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12.78%</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40" w:lineRule="auto" w:before="115"/>
        <w:ind w:left="152" w:right="81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公司主要供应商情况</w:t>
      </w:r>
    </w:p>
    <w:p>
      <w:pPr>
        <w:spacing w:line="240" w:lineRule="auto" w:before="7"/>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43,164,285.45</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5.53%</w:t>
            </w:r>
          </w:p>
        </w:tc>
      </w:tr>
      <w:tr>
        <w:trPr>
          <w:trHeight w:val="71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1"/>
        <w:gridCol w:w="2321"/>
        <w:gridCol w:w="3145"/>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河南晨马科技有限公司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19,461,779.60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2.49%</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陕西韦达电子有限公司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8,187,623.08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1.05%</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北京绘通方圆信息技术有限公司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5,825,132.66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0.75%</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杭州海康威视科技有限公司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5,096,598.00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0.65%</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5</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东营市科瑞思创电子科技有限公司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4,593,152.11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0.59%</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43,164,285.45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5.53%</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893"/>
        <w:gridCol w:w="1648"/>
        <w:gridCol w:w="1637"/>
        <w:gridCol w:w="1462"/>
        <w:gridCol w:w="2919"/>
      </w:tblGrid>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3"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79,342,969.25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1" w:right="0"/>
              <w:jc w:val="left"/>
              <w:rPr>
                <w:rFonts w:ascii="Times New Roman" w:hAnsi="Times New Roman" w:cs="Times New Roman" w:eastAsia="Times New Roman" w:hint="default"/>
                <w:sz w:val="18"/>
                <w:szCs w:val="18"/>
              </w:rPr>
            </w:pPr>
            <w:r>
              <w:rPr>
                <w:rFonts w:ascii="Times New Roman"/>
                <w:sz w:val="18"/>
              </w:rPr>
              <w:t>67,999,509.92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16.68%</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140,184,432.08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130,675,585.67</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7.28%</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893"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8"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04" w:right="0"/>
              <w:jc w:val="left"/>
              <w:rPr>
                <w:rFonts w:ascii="Times New Roman" w:hAnsi="Times New Roman" w:cs="Times New Roman" w:eastAsia="Times New Roman" w:hint="default"/>
                <w:sz w:val="18"/>
                <w:szCs w:val="18"/>
              </w:rPr>
            </w:pPr>
            <w:r>
              <w:rPr>
                <w:rFonts w:ascii="Times New Roman"/>
                <w:sz w:val="18"/>
              </w:rPr>
              <w:t>-6,050,159.05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99" w:right="0"/>
              <w:jc w:val="left"/>
              <w:rPr>
                <w:rFonts w:ascii="Times New Roman" w:hAnsi="Times New Roman" w:cs="Times New Roman" w:eastAsia="Times New Roman" w:hint="default"/>
                <w:sz w:val="18"/>
                <w:szCs w:val="18"/>
              </w:rPr>
            </w:pPr>
            <w:r>
              <w:rPr>
                <w:rFonts w:ascii="Times New Roman"/>
                <w:sz w:val="18"/>
              </w:rPr>
              <w:t>-1,385,276.06</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82" w:right="0"/>
              <w:jc w:val="left"/>
              <w:rPr>
                <w:rFonts w:ascii="Times New Roman" w:hAnsi="Times New Roman" w:cs="Times New Roman" w:eastAsia="Times New Roman" w:hint="default"/>
                <w:sz w:val="18"/>
                <w:szCs w:val="18"/>
              </w:rPr>
            </w:pPr>
            <w:r>
              <w:rPr>
                <w:rFonts w:ascii="Times New Roman"/>
                <w:sz w:val="18"/>
              </w:rPr>
              <w:t>336.75%</w:t>
            </w:r>
          </w:p>
        </w:tc>
        <w:tc>
          <w:tcPr>
            <w:tcW w:w="2919" w:type="dxa"/>
            <w:vMerge w:val="restart"/>
            <w:tcBorders>
              <w:top w:val="single" w:sz="4" w:space="0" w:color="000000"/>
              <w:left w:val="single" w:sz="4" w:space="0" w:color="000000"/>
              <w:right w:val="single" w:sz="4" w:space="0" w:color="000000"/>
            </w:tcBorders>
          </w:tcPr>
          <w:p>
            <w:pPr>
              <w:pStyle w:val="TableParagraph"/>
              <w:spacing w:line="314" w:lineRule="auto" w:before="51"/>
              <w:ind w:left="23" w:right="20"/>
              <w:jc w:val="left"/>
              <w:rPr>
                <w:rFonts w:ascii="宋体" w:hAnsi="宋体" w:cs="宋体" w:eastAsia="宋体" w:hint="default"/>
                <w:sz w:val="18"/>
                <w:szCs w:val="18"/>
              </w:rPr>
            </w:pPr>
            <w:r>
              <w:rPr>
                <w:rFonts w:ascii="宋体" w:hAnsi="宋体" w:cs="宋体" w:eastAsia="宋体" w:hint="default"/>
                <w:spacing w:val="-2"/>
                <w:sz w:val="18"/>
                <w:szCs w:val="18"/>
              </w:rPr>
              <w:t>本年银行存款增加，利息收入增加所</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致</w:t>
            </w:r>
          </w:p>
        </w:tc>
      </w:tr>
      <w:tr>
        <w:trPr>
          <w:trHeight w:val="391" w:hRule="exact"/>
        </w:trPr>
        <w:tc>
          <w:tcPr>
            <w:tcW w:w="18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8" w:type="dxa"/>
            <w:vMerge/>
            <w:tcBorders>
              <w:left w:val="single" w:sz="9"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893"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8" w:type="dxa"/>
            <w:vMerge/>
            <w:tcBorders>
              <w:left w:val="single" w:sz="9"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、研发投入</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151" w:firstLine="480"/>
        <w:jc w:val="both"/>
      </w:pPr>
      <w:r>
        <w:rPr>
          <w:rFonts w:ascii="宋体" w:hAnsi="宋体" w:cs="宋体" w:eastAsia="宋体" w:hint="default"/>
        </w:rPr>
        <w:t>2017</w:t>
      </w:r>
      <w:r>
        <w:rPr/>
        <w:t>年，公司为了进一步增强核心技术与产品的竞争能力，继续加强了研发投入，</w:t>
      </w:r>
      <w:r>
        <w:rPr>
          <w:rFonts w:ascii="宋体" w:hAnsi="宋体" w:cs="宋体" w:eastAsia="宋体" w:hint="default"/>
        </w:rPr>
        <w:t>2017 </w:t>
      </w:r>
      <w:r>
        <w:rPr>
          <w:spacing w:val="-9"/>
        </w:rPr>
        <w:t>年研发人员</w:t>
      </w:r>
      <w:r>
        <w:rPr>
          <w:rFonts w:ascii="宋体" w:hAnsi="宋体" w:cs="宋体" w:eastAsia="宋体" w:hint="default"/>
          <w:spacing w:val="-9"/>
        </w:rPr>
        <w:t>324</w:t>
      </w:r>
      <w:r>
        <w:rPr>
          <w:spacing w:val="-9"/>
        </w:rPr>
        <w:t>人，研发人数占比</w:t>
      </w:r>
      <w:r>
        <w:rPr>
          <w:rFonts w:ascii="宋体" w:hAnsi="宋体" w:cs="宋体" w:eastAsia="宋体" w:hint="default"/>
          <w:spacing w:val="-9"/>
        </w:rPr>
        <w:t>20.68%</w:t>
      </w:r>
      <w:r>
        <w:rPr>
          <w:spacing w:val="-9"/>
        </w:rPr>
        <w:t>（扣除信息采集人员），研发费用总额为</w:t>
      </w:r>
      <w:r>
        <w:rPr>
          <w:rFonts w:ascii="宋体" w:hAnsi="宋体" w:cs="宋体" w:eastAsia="宋体" w:hint="default"/>
          <w:spacing w:val="-9"/>
        </w:rPr>
        <w:t>89,807,052.71</w:t>
      </w:r>
      <w:r>
        <w:rPr>
          <w:rFonts w:ascii="宋体" w:hAnsi="宋体" w:cs="宋体" w:eastAsia="宋体" w:hint="default"/>
          <w:spacing w:val="-86"/>
        </w:rPr>
        <w:t> </w:t>
      </w:r>
      <w:r>
        <w:rPr>
          <w:spacing w:val="-2"/>
        </w:rPr>
        <w:t>元，其中研发费用资本化金额合计为</w:t>
      </w:r>
      <w:r>
        <w:rPr>
          <w:rFonts w:ascii="宋体" w:hAnsi="宋体" w:cs="宋体" w:eastAsia="宋体" w:hint="default"/>
          <w:spacing w:val="-2"/>
        </w:rPr>
        <w:t>34,732,589.81</w:t>
      </w:r>
      <w:r>
        <w:rPr>
          <w:spacing w:val="-2"/>
        </w:rPr>
        <w:t>元，资本化研发支出占当期净利润的比重</w:t>
      </w:r>
      <w:r>
        <w:rPr>
          <w:spacing w:val="-107"/>
        </w:rPr>
        <w:t> </w:t>
      </w:r>
      <w:r>
        <w:rPr>
          <w:spacing w:val="-107"/>
        </w:rPr>
      </w:r>
      <w:r>
        <w:rPr/>
        <w:t>为</w:t>
      </w:r>
      <w:r>
        <w:rPr>
          <w:rFonts w:ascii="宋体" w:hAnsi="宋体" w:cs="宋体" w:eastAsia="宋体" w:hint="default"/>
        </w:rPr>
        <w:t>20.48%</w:t>
      </w:r>
      <w:r>
        <w:rPr/>
        <w:t>。</w:t>
      </w:r>
    </w:p>
    <w:p>
      <w:pPr>
        <w:spacing w:before="46"/>
        <w:ind w:left="152" w:right="153"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20.68%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17.75%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20.12%</w:t>
            </w:r>
          </w:p>
        </w:tc>
      </w:tr>
      <w:tr>
        <w:trPr>
          <w:trHeight w:val="40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89,807,052.71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86,492,705.92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57,268,941.05</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8.80%</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34,732,589.81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33,027,687.10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24,716,985.56</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38.67%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43.16%</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20.48%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25.14%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20.49%</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40" w:lineRule="auto" w:before="115"/>
        <w:ind w:left="152" w:right="58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研发投入资本化率大幅变动的原因及其合理性说明</w:t>
      </w:r>
    </w:p>
    <w:p>
      <w:pPr>
        <w:spacing w:before="41"/>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、现金流</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1,128,889,048.95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974,487,250.00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15.84%</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1,164,926,838.85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951,520,215.07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22.43%</w:t>
            </w:r>
          </w:p>
        </w:tc>
      </w:tr>
      <w:tr>
        <w:trPr>
          <w:trHeight w:val="716"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-36,037,789.90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22,967,034.93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-256.91%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2"/>
        <w:gridCol w:w="2391"/>
        <w:gridCol w:w="2393"/>
        <w:gridCol w:w="2393"/>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15,683,200.00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16,546,497.91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-5.22%</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70,132,938.52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64,799,612.94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8.23%</w:t>
            </w:r>
          </w:p>
        </w:tc>
      </w:tr>
      <w:tr>
        <w:trPr>
          <w:trHeight w:val="71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9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-54,449,738.52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-48,253,115.03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-12.84%</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619,850,126.53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232,195,183.20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166.95%</w:t>
            </w:r>
          </w:p>
        </w:tc>
      </w:tr>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247,573,783.25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384,053,050.45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-35.54%</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372,276,343.28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-151,857,867.25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345.15%</w:t>
            </w:r>
          </w:p>
        </w:tc>
      </w:tr>
      <w:tr>
        <w:trPr>
          <w:trHeight w:val="40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281,788,814.86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-177,143,947.35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259.07%</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51" w:firstLine="480"/>
        <w:jc w:val="both"/>
        <w:rPr>
          <w:rFonts w:ascii="宋体" w:hAnsi="宋体" w:cs="宋体" w:eastAsia="宋体" w:hint="default"/>
        </w:rPr>
      </w:pPr>
      <w:r>
        <w:rPr>
          <w:spacing w:val="-2"/>
        </w:rPr>
        <w:t>经营活动产生的现金流量净额同比下降</w:t>
      </w:r>
      <w:r>
        <w:rPr>
          <w:rFonts w:ascii="宋体" w:hAnsi="宋体" w:cs="宋体" w:eastAsia="宋体" w:hint="default"/>
          <w:spacing w:val="-2"/>
        </w:rPr>
        <w:t>256.91%</w:t>
      </w:r>
      <w:r>
        <w:rPr>
          <w:spacing w:val="-2"/>
        </w:rPr>
        <w:t>，主要是报告期内公司新签订单大幅增加</w:t>
      </w:r>
      <w:r>
        <w:rPr/>
        <w:t> </w:t>
      </w:r>
      <w:r>
        <w:rPr>
          <w:rFonts w:ascii="宋体" w:hAnsi="宋体" w:cs="宋体" w:eastAsia="宋体" w:hint="default"/>
        </w:rPr>
        <w:t>59.21%</w:t>
      </w:r>
      <w:r>
        <w:rPr/>
        <w:t>，其中部分政府采购项目在当年已投入资金完成或部分完成建设，但因合同回款周期</w:t>
      </w:r>
      <w:r>
        <w:rPr>
          <w:spacing w:val="-91"/>
        </w:rPr>
        <w:t> </w:t>
      </w:r>
      <w:r>
        <w:rPr>
          <w:spacing w:val="-91"/>
        </w:rPr>
      </w:r>
      <w:r>
        <w:rPr/>
        <w:t>较长导致当年回款比例较低，需要公司垫付的建设资金较多，使得购买商品或支付劳务现金</w:t>
      </w:r>
      <w:r>
        <w:rPr>
          <w:spacing w:val="-91"/>
        </w:rPr>
        <w:t> </w:t>
      </w:r>
      <w:r>
        <w:rPr>
          <w:spacing w:val="-91"/>
        </w:rPr>
      </w:r>
      <w:r>
        <w:rPr/>
        <w:t>支出同比增长约</w:t>
      </w:r>
      <w:r>
        <w:rPr>
          <w:rFonts w:ascii="宋体" w:hAnsi="宋体" w:cs="宋体" w:eastAsia="宋体" w:hint="default"/>
        </w:rPr>
        <w:t>5900</w:t>
      </w:r>
      <w:r>
        <w:rPr/>
        <w:t>万元，同时，由于实施项目数量同比也增长较多，使得项目的投标保证</w:t>
      </w:r>
      <w:r>
        <w:rPr>
          <w:spacing w:val="-91"/>
        </w:rPr>
        <w:t> </w:t>
      </w:r>
      <w:r>
        <w:rPr>
          <w:spacing w:val="-91"/>
        </w:rPr>
      </w:r>
      <w:r>
        <w:rPr/>
        <w:t>金、履约保证金及业务周转金借款同比增长约</w:t>
      </w:r>
      <w:r>
        <w:rPr>
          <w:rFonts w:ascii="宋体" w:hAnsi="宋体" w:cs="宋体" w:eastAsia="宋体" w:hint="default"/>
        </w:rPr>
        <w:t>6000</w:t>
      </w:r>
      <w:r>
        <w:rPr/>
        <w:t>万，以上因素使得经营净现金流净额下降</w:t>
      </w:r>
      <w:r>
        <w:rPr>
          <w:spacing w:val="-89"/>
        </w:rPr>
        <w:t> </w:t>
      </w:r>
      <w:r>
        <w:rPr>
          <w:spacing w:val="-89"/>
        </w:rPr>
      </w:r>
      <w:r>
        <w:rPr/>
        <w:t>较多</w:t>
      </w:r>
      <w:r>
        <w:rPr>
          <w:rFonts w:ascii="宋体" w:hAnsi="宋体" w:cs="宋体" w:eastAsia="宋体" w:hint="default"/>
        </w:rPr>
        <w:t>;</w:t>
      </w:r>
    </w:p>
    <w:p>
      <w:pPr>
        <w:pStyle w:val="BodyText"/>
        <w:spacing w:line="357" w:lineRule="auto"/>
        <w:ind w:right="152" w:firstLine="480"/>
        <w:jc w:val="both"/>
      </w:pPr>
      <w:r>
        <w:rPr>
          <w:spacing w:val="-2"/>
        </w:rPr>
        <w:t>筹资活动现金流入小计同比增加</w:t>
      </w:r>
      <w:r>
        <w:rPr>
          <w:rFonts w:ascii="宋体" w:hAnsi="宋体" w:cs="宋体" w:eastAsia="宋体" w:hint="default"/>
          <w:spacing w:val="-2"/>
        </w:rPr>
        <w:t>166.95%</w:t>
      </w:r>
      <w:r>
        <w:rPr>
          <w:spacing w:val="-2"/>
        </w:rPr>
        <w:t>，主要是因为本期公司定向增发股票收到募集资</w:t>
      </w:r>
      <w:r>
        <w:rPr/>
        <w:t> 金所致；</w:t>
      </w:r>
    </w:p>
    <w:p>
      <w:pPr>
        <w:pStyle w:val="BodyText"/>
        <w:spacing w:line="240" w:lineRule="auto"/>
        <w:ind w:left="633" w:right="153"/>
        <w:jc w:val="left"/>
      </w:pPr>
      <w:r>
        <w:rPr/>
        <w:t>筹资活动现金流出小计同比下降</w:t>
      </w:r>
      <w:r>
        <w:rPr>
          <w:rFonts w:ascii="宋体" w:hAnsi="宋体" w:cs="宋体" w:eastAsia="宋体" w:hint="default"/>
        </w:rPr>
        <w:t>35.54%</w:t>
      </w:r>
      <w:r>
        <w:rPr/>
        <w:t>，主要是因为偿还债务支出减少所致。</w:t>
      </w:r>
    </w:p>
    <w:p>
      <w:pPr>
        <w:spacing w:before="164"/>
        <w:ind w:left="152" w:right="153"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三、非主营业务情况</w:t>
      </w:r>
      <w:r>
        <w:rPr>
          <w:b w:val="0"/>
          <w:bCs w:val="0"/>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00"/>
        <w:gridCol w:w="1928"/>
        <w:gridCol w:w="1622"/>
        <w:gridCol w:w="2168"/>
        <w:gridCol w:w="2341"/>
      </w:tblGrid>
      <w:tr>
        <w:trPr>
          <w:trHeight w:val="401"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8"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46"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03"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16,874,333.62</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8.20%</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处置合营公司股份所致</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43,789,146.50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21.29%</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计提应收账款减值准备</w:t>
            </w: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3,885,585.16</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w:t>
            </w:r>
          </w:p>
        </w:tc>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收到政府相关补贴</w:t>
            </w: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81,711.60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0.04%</w:t>
            </w:r>
          </w:p>
        </w:tc>
        <w:tc>
          <w:tcPr>
            <w:tcW w:w="2168"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2"/>
        <w:spacing w:line="240" w:lineRule="auto" w:before="26"/>
        <w:ind w:right="153"/>
        <w:jc w:val="left"/>
        <w:rPr>
          <w:b w:val="0"/>
          <w:bCs w:val="0"/>
        </w:rPr>
      </w:pPr>
      <w:r>
        <w:rPr/>
        <w:t>四、资产及负债状况</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、资产构成重大变动情况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164"/>
        <w:gridCol w:w="1064"/>
        <w:gridCol w:w="1195"/>
        <w:gridCol w:w="1064"/>
        <w:gridCol w:w="797"/>
        <w:gridCol w:w="2919"/>
      </w:tblGrid>
      <w:tr>
        <w:trPr>
          <w:trHeight w:val="379" w:hRule="exact"/>
        </w:trPr>
        <w:tc>
          <w:tcPr>
            <w:tcW w:w="1368" w:type="dxa"/>
            <w:tcBorders>
              <w:top w:val="single" w:sz="4" w:space="0" w:color="000000"/>
              <w:left w:val="single" w:sz="4" w:space="0" w:color="000000"/>
              <w:bottom w:val="single" w:sz="13" w:space="0" w:color="FFFFFF"/>
              <w:right w:val="single" w:sz="4" w:space="0" w:color="000000"/>
            </w:tcBorders>
            <w:shd w:val="clear" w:color="auto" w:fill="D2D2D2"/>
          </w:tcPr>
          <w:p>
            <w:pPr/>
          </w:p>
        </w:tc>
        <w:tc>
          <w:tcPr>
            <w:tcW w:w="2228" w:type="dxa"/>
            <w:gridSpan w:val="2"/>
            <w:tcBorders>
              <w:top w:val="single" w:sz="4" w:space="0" w:color="000000"/>
              <w:left w:val="single" w:sz="4" w:space="0" w:color="000000"/>
              <w:bottom w:val="single" w:sz="13" w:space="0" w:color="FFFFFF"/>
              <w:right w:val="single" w:sz="4" w:space="0" w:color="000000"/>
            </w:tcBorders>
            <w:shd w:val="clear" w:color="auto" w:fill="D2D2D2"/>
          </w:tcPr>
          <w:p>
            <w:pPr>
              <w:pStyle w:val="TableParagraph"/>
              <w:spacing w:line="240" w:lineRule="auto" w:before="49"/>
              <w:ind w:left="7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13" w:space="0" w:color="FFFFFF"/>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797" w:type="dxa"/>
            <w:tcBorders>
              <w:top w:val="single" w:sz="4" w:space="0" w:color="000000"/>
              <w:left w:val="single" w:sz="4" w:space="0" w:color="000000"/>
              <w:bottom w:val="single" w:sz="13" w:space="0" w:color="FFFFFF"/>
              <w:right w:val="single" w:sz="4" w:space="0" w:color="000000"/>
            </w:tcBorders>
            <w:shd w:val="clear" w:color="auto" w:fill="D2D2D2"/>
          </w:tcPr>
          <w:p>
            <w:pPr/>
          </w:p>
        </w:tc>
        <w:tc>
          <w:tcPr>
            <w:tcW w:w="2919" w:type="dxa"/>
            <w:tcBorders>
              <w:top w:val="single" w:sz="4" w:space="0" w:color="000000"/>
              <w:left w:val="single" w:sz="4" w:space="0" w:color="000000"/>
              <w:bottom w:val="single" w:sz="13" w:space="0" w:color="FFFFFF"/>
              <w:right w:val="single" w:sz="4" w:space="0" w:color="000000"/>
            </w:tcBorders>
            <w:shd w:val="clear" w:color="auto" w:fill="D2D2D2"/>
          </w:tcPr>
          <w:p>
            <w:pPr/>
          </w:p>
        </w:tc>
      </w:tr>
      <w:tr>
        <w:trPr>
          <w:trHeight w:val="182" w:hRule="exact"/>
        </w:trPr>
        <w:tc>
          <w:tcPr>
            <w:tcW w:w="1368" w:type="dxa"/>
            <w:vMerge w:val="restart"/>
            <w:tcBorders>
              <w:top w:val="single" w:sz="13" w:space="0" w:color="FFFFFF"/>
              <w:left w:val="single" w:sz="4" w:space="0" w:color="000000"/>
              <w:right w:val="single" w:sz="4" w:space="0" w:color="000000"/>
            </w:tcBorders>
            <w:shd w:val="clear" w:color="auto" w:fill="D2D2D2"/>
          </w:tcPr>
          <w:p>
            <w:pPr/>
          </w:p>
        </w:tc>
        <w:tc>
          <w:tcPr>
            <w:tcW w:w="1164" w:type="dxa"/>
            <w:tcBorders>
              <w:top w:val="single" w:sz="13"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3" w:space="0" w:color="FFFFFF"/>
              <w:left w:val="single" w:sz="4" w:space="0" w:color="000000"/>
              <w:right w:val="single" w:sz="4" w:space="0" w:color="000000"/>
            </w:tcBorders>
            <w:shd w:val="clear" w:color="auto" w:fill="D2D2D2"/>
          </w:tcPr>
          <w:p>
            <w:pPr>
              <w:pStyle w:val="TableParagraph"/>
              <w:spacing w:line="316" w:lineRule="auto" w:before="58"/>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5" w:type="dxa"/>
            <w:tcBorders>
              <w:top w:val="single" w:sz="13"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3" w:space="0" w:color="FFFFFF"/>
              <w:left w:val="single" w:sz="4" w:space="0" w:color="000000"/>
              <w:right w:val="single" w:sz="4" w:space="0" w:color="000000"/>
            </w:tcBorders>
            <w:shd w:val="clear" w:color="auto" w:fill="D2D2D2"/>
          </w:tcPr>
          <w:p>
            <w:pPr>
              <w:pStyle w:val="TableParagraph"/>
              <w:spacing w:line="316" w:lineRule="auto" w:before="58"/>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7" w:type="dxa"/>
            <w:vMerge w:val="restart"/>
            <w:tcBorders>
              <w:top w:val="single" w:sz="13" w:space="0" w:color="FFFFFF"/>
              <w:left w:val="single" w:sz="4" w:space="0" w:color="000000"/>
              <w:right w:val="single" w:sz="4" w:space="0" w:color="000000"/>
            </w:tcBorders>
            <w:shd w:val="clear" w:color="auto" w:fill="D2D2D2"/>
          </w:tcPr>
          <w:p>
            <w:pPr>
              <w:pStyle w:val="TableParagraph"/>
              <w:spacing w:line="240" w:lineRule="auto" w:before="15"/>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9" w:type="dxa"/>
            <w:vMerge w:val="restart"/>
            <w:tcBorders>
              <w:top w:val="single" w:sz="13" w:space="0" w:color="FFFFFF"/>
              <w:left w:val="single" w:sz="4" w:space="0" w:color="000000"/>
              <w:right w:val="single" w:sz="4" w:space="0" w:color="000000"/>
            </w:tcBorders>
            <w:shd w:val="clear" w:color="auto" w:fill="D2D2D2"/>
          </w:tcPr>
          <w:p>
            <w:pPr>
              <w:pStyle w:val="TableParagraph"/>
              <w:spacing w:line="240" w:lineRule="auto" w:before="15"/>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16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2919"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368" w:type="dxa"/>
            <w:vMerge w:val="restart"/>
            <w:tcBorders>
              <w:top w:val="nil" w:sz="6" w:space="0" w:color="auto"/>
              <w:left w:val="single" w:sz="4" w:space="0" w:color="000000"/>
              <w:right w:val="single" w:sz="4" w:space="0" w:color="000000"/>
            </w:tcBorders>
            <w:shd w:val="clear" w:color="auto" w:fill="D2D2D2"/>
          </w:tcPr>
          <w:p>
            <w:pPr/>
          </w:p>
        </w:tc>
        <w:tc>
          <w:tcPr>
            <w:tcW w:w="1164"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2919"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2919"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694,675,773.8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22.69%</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400,515,544.35</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17.03%</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5.66%</w:t>
            </w:r>
          </w:p>
        </w:tc>
        <w:tc>
          <w:tcPr>
            <w:tcW w:w="2919" w:type="dxa"/>
            <w:vMerge w:val="restart"/>
            <w:tcBorders>
              <w:top w:val="single" w:sz="4" w:space="0" w:color="000000"/>
              <w:left w:val="single" w:sz="4" w:space="0" w:color="000000"/>
              <w:right w:val="single" w:sz="4" w:space="0" w:color="000000"/>
            </w:tcBorders>
          </w:tcPr>
          <w:p>
            <w:pPr/>
          </w:p>
        </w:tc>
      </w:tr>
      <w:tr>
        <w:trPr>
          <w:trHeight w:val="391"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161"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1,024,697,948.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33.46%</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682,737,784.18</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29.03%</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4.43%</w:t>
            </w:r>
          </w:p>
        </w:tc>
        <w:tc>
          <w:tcPr>
            <w:tcW w:w="2919" w:type="dxa"/>
            <w:vMerge w:val="restart"/>
            <w:tcBorders>
              <w:top w:val="single" w:sz="4" w:space="0" w:color="000000"/>
              <w:left w:val="single" w:sz="4" w:space="0" w:color="000000"/>
              <w:right w:val="single" w:sz="4" w:space="0" w:color="000000"/>
            </w:tcBorders>
          </w:tcPr>
          <w:p>
            <w:pPr/>
          </w:p>
        </w:tc>
      </w:tr>
      <w:tr>
        <w:trPr>
          <w:trHeight w:val="394"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161"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185,730,598.7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6.07%</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168,630,732.61</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7.17%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-1.10%</w:t>
            </w:r>
          </w:p>
        </w:tc>
        <w:tc>
          <w:tcPr>
            <w:tcW w:w="2919" w:type="dxa"/>
            <w:vMerge w:val="restart"/>
            <w:tcBorders>
              <w:top w:val="single" w:sz="4" w:space="0" w:color="000000"/>
              <w:left w:val="single" w:sz="4" w:space="0" w:color="000000"/>
              <w:right w:val="single" w:sz="4" w:space="0" w:color="000000"/>
            </w:tcBorders>
          </w:tcPr>
          <w:p>
            <w:pPr/>
          </w:p>
        </w:tc>
      </w:tr>
      <w:tr>
        <w:trPr>
          <w:trHeight w:val="391"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4"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72,595,627.78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78,539,592.15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-0.97%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11,530,432.97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5,394,677.10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0.15%</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61,041,560.30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60,016,778.93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-0.56%</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89,790,217.00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-1.85%</w:t>
            </w: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69"/>
        <w:gridCol w:w="1167"/>
        <w:gridCol w:w="1149"/>
        <w:gridCol w:w="1154"/>
        <w:gridCol w:w="1149"/>
        <w:gridCol w:w="1160"/>
        <w:gridCol w:w="1155"/>
        <w:gridCol w:w="1152"/>
      </w:tblGrid>
      <w:tr>
        <w:trPr>
          <w:trHeight w:val="161" w:hRule="exact"/>
        </w:trPr>
        <w:tc>
          <w:tcPr>
            <w:tcW w:w="1469" w:type="dxa"/>
            <w:vMerge w:val="restart"/>
            <w:tcBorders>
              <w:top w:val="single" w:sz="4" w:space="0" w:color="000000"/>
              <w:left w:val="single" w:sz="4" w:space="0" w:color="000000"/>
              <w:right w:val="single" w:sz="4" w:space="0" w:color="000000"/>
            </w:tcBorders>
            <w:shd w:val="clear" w:color="auto" w:fill="D2D2D2"/>
          </w:tcPr>
          <w:p>
            <w:pPr/>
          </w:p>
        </w:tc>
        <w:tc>
          <w:tcPr>
            <w:tcW w:w="1167" w:type="dxa"/>
            <w:vMerge w:val="restart"/>
            <w:tcBorders>
              <w:top w:val="single" w:sz="4" w:space="0" w:color="000000"/>
              <w:left w:val="single" w:sz="4" w:space="0" w:color="000000"/>
              <w:right w:val="single" w:sz="4" w:space="0" w:color="000000"/>
            </w:tcBorders>
            <w:shd w:val="clear" w:color="auto" w:fill="D2D2D2"/>
          </w:tcPr>
          <w:p>
            <w:pPr/>
          </w:p>
        </w:tc>
        <w:tc>
          <w:tcPr>
            <w:tcW w:w="114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5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0" w:right="32"/>
              <w:jc w:val="center"/>
              <w:rPr>
                <w:rFonts w:ascii="宋体" w:hAnsi="宋体" w:cs="宋体" w:eastAsia="宋体" w:hint="default"/>
                <w:sz w:val="18"/>
                <w:szCs w:val="18"/>
              </w:rPr>
            </w:pPr>
            <w:r>
              <w:rPr>
                <w:rFonts w:ascii="宋体" w:hAnsi="宋体" w:cs="宋体" w:eastAsia="宋体" w:hint="default"/>
                <w:sz w:val="18"/>
                <w:szCs w:val="18"/>
              </w:rPr>
              <w:t>计入权益的累 计公允价值变 动</w:t>
            </w:r>
          </w:p>
        </w:tc>
        <w:tc>
          <w:tcPr>
            <w:tcW w:w="114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60" w:type="dxa"/>
            <w:vMerge w:val="restart"/>
            <w:tcBorders>
              <w:top w:val="single" w:sz="4" w:space="0" w:color="000000"/>
              <w:left w:val="single" w:sz="4" w:space="0" w:color="000000"/>
              <w:right w:val="single" w:sz="4" w:space="0" w:color="000000"/>
            </w:tcBorders>
            <w:shd w:val="clear" w:color="auto" w:fill="D2D2D2"/>
          </w:tcPr>
          <w:p>
            <w:pPr/>
          </w:p>
        </w:tc>
        <w:tc>
          <w:tcPr>
            <w:tcW w:w="1155" w:type="dxa"/>
            <w:vMerge w:val="restart"/>
            <w:tcBorders>
              <w:top w:val="single" w:sz="4" w:space="0" w:color="000000"/>
              <w:left w:val="single" w:sz="4" w:space="0" w:color="000000"/>
              <w:right w:val="single" w:sz="4" w:space="0" w:color="000000"/>
            </w:tcBorders>
            <w:shd w:val="clear" w:color="auto" w:fill="D2D2D2"/>
          </w:tcPr>
          <w:p>
            <w:pPr/>
          </w:p>
        </w:tc>
        <w:tc>
          <w:tcPr>
            <w:tcW w:w="1152" w:type="dxa"/>
            <w:vMerge w:val="restart"/>
            <w:tcBorders>
              <w:top w:val="single" w:sz="4" w:space="0" w:color="000000"/>
              <w:left w:val="single" w:sz="4" w:space="0" w:color="000000"/>
              <w:right w:val="single" w:sz="4" w:space="0" w:color="000000"/>
            </w:tcBorders>
            <w:shd w:val="clear" w:color="auto" w:fill="D2D2D2"/>
          </w:tcPr>
          <w:p>
            <w:pPr/>
          </w:p>
        </w:tc>
      </w:tr>
      <w:tr>
        <w:trPr>
          <w:trHeight w:val="156" w:hRule="exact"/>
        </w:trPr>
        <w:tc>
          <w:tcPr>
            <w:tcW w:w="1469" w:type="dxa"/>
            <w:vMerge/>
            <w:tcBorders>
              <w:left w:val="single" w:sz="4" w:space="0" w:color="000000"/>
              <w:bottom w:val="nil" w:sz="6" w:space="0" w:color="auto"/>
              <w:right w:val="single" w:sz="4" w:space="0" w:color="000000"/>
            </w:tcBorders>
            <w:shd w:val="clear" w:color="auto" w:fill="D2D2D2"/>
          </w:tcPr>
          <w:p>
            <w:pPr/>
          </w:p>
        </w:tc>
        <w:tc>
          <w:tcPr>
            <w:tcW w:w="1167" w:type="dxa"/>
            <w:vMerge/>
            <w:tcBorders>
              <w:left w:val="single" w:sz="4" w:space="0" w:color="000000"/>
              <w:bottom w:val="nil" w:sz="6" w:space="0" w:color="auto"/>
              <w:right w:val="single" w:sz="4" w:space="0" w:color="000000"/>
            </w:tcBorders>
            <w:shd w:val="clear" w:color="auto" w:fill="D2D2D2"/>
          </w:tcPr>
          <w:p>
            <w:pPr/>
          </w:p>
        </w:tc>
        <w:tc>
          <w:tcPr>
            <w:tcW w:w="114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07" w:right="29" w:hanging="180"/>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154" w:type="dxa"/>
            <w:vMerge/>
            <w:tcBorders>
              <w:left w:val="single" w:sz="4" w:space="0" w:color="000000"/>
              <w:right w:val="single" w:sz="4" w:space="0" w:color="000000"/>
            </w:tcBorders>
            <w:shd w:val="clear" w:color="auto" w:fill="D2D2D2"/>
          </w:tcPr>
          <w:p>
            <w:pPr/>
          </w:p>
        </w:tc>
        <w:tc>
          <w:tcPr>
            <w:tcW w:w="114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82" w:right="26" w:hanging="452"/>
              <w:jc w:val="left"/>
              <w:rPr>
                <w:rFonts w:ascii="宋体" w:hAnsi="宋体" w:cs="宋体" w:eastAsia="宋体" w:hint="default"/>
                <w:sz w:val="18"/>
                <w:szCs w:val="18"/>
              </w:rPr>
            </w:pPr>
            <w:r>
              <w:rPr>
                <w:rFonts w:ascii="宋体" w:hAnsi="宋体" w:cs="宋体" w:eastAsia="宋体" w:hint="default"/>
                <w:sz w:val="18"/>
                <w:szCs w:val="18"/>
              </w:rPr>
              <w:t>本期计提的减 值</w:t>
            </w:r>
          </w:p>
        </w:tc>
        <w:tc>
          <w:tcPr>
            <w:tcW w:w="1160" w:type="dxa"/>
            <w:vMerge/>
            <w:tcBorders>
              <w:left w:val="single" w:sz="4" w:space="0" w:color="000000"/>
              <w:bottom w:val="nil" w:sz="6" w:space="0" w:color="auto"/>
              <w:right w:val="single" w:sz="4" w:space="0" w:color="000000"/>
            </w:tcBorders>
            <w:shd w:val="clear" w:color="auto" w:fill="D2D2D2"/>
          </w:tcPr>
          <w:p>
            <w:pPr/>
          </w:p>
        </w:tc>
        <w:tc>
          <w:tcPr>
            <w:tcW w:w="1155" w:type="dxa"/>
            <w:vMerge/>
            <w:tcBorders>
              <w:left w:val="single" w:sz="4" w:space="0" w:color="000000"/>
              <w:bottom w:val="nil" w:sz="6" w:space="0" w:color="auto"/>
              <w:right w:val="single" w:sz="4" w:space="0" w:color="000000"/>
            </w:tcBorders>
            <w:shd w:val="clear" w:color="auto" w:fill="D2D2D2"/>
          </w:tcPr>
          <w:p>
            <w:pPr/>
          </w:p>
        </w:tc>
        <w:tc>
          <w:tcPr>
            <w:tcW w:w="1152" w:type="dxa"/>
            <w:vMerge/>
            <w:tcBorders>
              <w:left w:val="single" w:sz="4" w:space="0" w:color="000000"/>
              <w:bottom w:val="nil" w:sz="6" w:space="0" w:color="auto"/>
              <w:right w:val="single" w:sz="4" w:space="0" w:color="000000"/>
            </w:tcBorders>
            <w:shd w:val="clear" w:color="auto" w:fill="D2D2D2"/>
          </w:tcPr>
          <w:p>
            <w:pPr/>
          </w:p>
        </w:tc>
      </w:tr>
      <w:tr>
        <w:trPr>
          <w:trHeight w:val="394" w:hRule="exact"/>
        </w:trPr>
        <w:tc>
          <w:tcPr>
            <w:tcW w:w="14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149" w:type="dxa"/>
            <w:vMerge/>
            <w:tcBorders>
              <w:left w:val="single" w:sz="4" w:space="0" w:color="000000"/>
              <w:right w:val="single" w:sz="4" w:space="0" w:color="000000"/>
            </w:tcBorders>
            <w:shd w:val="clear" w:color="auto" w:fill="D2D2D2"/>
          </w:tcPr>
          <w:p>
            <w:pPr/>
          </w:p>
        </w:tc>
        <w:tc>
          <w:tcPr>
            <w:tcW w:w="1154" w:type="dxa"/>
            <w:vMerge/>
            <w:tcBorders>
              <w:left w:val="single" w:sz="4" w:space="0" w:color="000000"/>
              <w:right w:val="single" w:sz="4" w:space="0" w:color="000000"/>
            </w:tcBorders>
            <w:shd w:val="clear" w:color="auto" w:fill="D2D2D2"/>
          </w:tcPr>
          <w:p>
            <w:pPr/>
          </w:p>
        </w:tc>
        <w:tc>
          <w:tcPr>
            <w:tcW w:w="1149" w:type="dxa"/>
            <w:vMerge/>
            <w:tcBorders>
              <w:left w:val="single" w:sz="4" w:space="0" w:color="000000"/>
              <w:right w:val="single" w:sz="4" w:space="0" w:color="000000"/>
            </w:tcBorders>
            <w:shd w:val="clear" w:color="auto" w:fill="D2D2D2"/>
          </w:tcPr>
          <w:p>
            <w:pPr/>
          </w:p>
        </w:tc>
        <w:tc>
          <w:tcPr>
            <w:tcW w:w="116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本期购买金额</w:t>
            </w:r>
          </w:p>
        </w:tc>
        <w:tc>
          <w:tcPr>
            <w:tcW w:w="115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1" w:right="0"/>
              <w:jc w:val="left"/>
              <w:rPr>
                <w:rFonts w:ascii="宋体" w:hAnsi="宋体" w:cs="宋体" w:eastAsia="宋体" w:hint="default"/>
                <w:sz w:val="18"/>
                <w:szCs w:val="18"/>
              </w:rPr>
            </w:pPr>
            <w:r>
              <w:rPr>
                <w:rFonts w:ascii="宋体" w:hAnsi="宋体" w:cs="宋体" w:eastAsia="宋体" w:hint="default"/>
                <w:sz w:val="18"/>
                <w:szCs w:val="18"/>
              </w:rPr>
              <w:t>本期出售金额</w:t>
            </w:r>
          </w:p>
        </w:tc>
        <w:tc>
          <w:tcPr>
            <w:tcW w:w="11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56" w:hRule="exact"/>
        </w:trPr>
        <w:tc>
          <w:tcPr>
            <w:tcW w:w="1469" w:type="dxa"/>
            <w:vMerge w:val="restart"/>
            <w:tcBorders>
              <w:top w:val="nil" w:sz="6" w:space="0" w:color="auto"/>
              <w:left w:val="single" w:sz="4" w:space="0" w:color="000000"/>
              <w:right w:val="single" w:sz="4" w:space="0" w:color="000000"/>
            </w:tcBorders>
            <w:shd w:val="clear" w:color="auto" w:fill="D2D2D2"/>
          </w:tcPr>
          <w:p>
            <w:pPr/>
          </w:p>
        </w:tc>
        <w:tc>
          <w:tcPr>
            <w:tcW w:w="1167" w:type="dxa"/>
            <w:vMerge w:val="restart"/>
            <w:tcBorders>
              <w:top w:val="nil" w:sz="6" w:space="0" w:color="auto"/>
              <w:left w:val="single" w:sz="4" w:space="0" w:color="000000"/>
              <w:right w:val="single" w:sz="4" w:space="0" w:color="000000"/>
            </w:tcBorders>
            <w:shd w:val="clear" w:color="auto" w:fill="D2D2D2"/>
          </w:tcPr>
          <w:p>
            <w:pPr/>
          </w:p>
        </w:tc>
        <w:tc>
          <w:tcPr>
            <w:tcW w:w="1149" w:type="dxa"/>
            <w:vMerge/>
            <w:tcBorders>
              <w:left w:val="single" w:sz="4" w:space="0" w:color="000000"/>
              <w:bottom w:val="nil" w:sz="6" w:space="0" w:color="auto"/>
              <w:right w:val="single" w:sz="4" w:space="0" w:color="000000"/>
            </w:tcBorders>
            <w:shd w:val="clear" w:color="auto" w:fill="D2D2D2"/>
          </w:tcPr>
          <w:p>
            <w:pPr/>
          </w:p>
        </w:tc>
        <w:tc>
          <w:tcPr>
            <w:tcW w:w="1154" w:type="dxa"/>
            <w:vMerge/>
            <w:tcBorders>
              <w:left w:val="single" w:sz="4" w:space="0" w:color="000000"/>
              <w:right w:val="single" w:sz="4" w:space="0" w:color="000000"/>
            </w:tcBorders>
            <w:shd w:val="clear" w:color="auto" w:fill="D2D2D2"/>
          </w:tcPr>
          <w:p>
            <w:pPr/>
          </w:p>
        </w:tc>
        <w:tc>
          <w:tcPr>
            <w:tcW w:w="1149" w:type="dxa"/>
            <w:vMerge/>
            <w:tcBorders>
              <w:left w:val="single" w:sz="4" w:space="0" w:color="000000"/>
              <w:bottom w:val="nil" w:sz="6" w:space="0" w:color="auto"/>
              <w:right w:val="single" w:sz="4" w:space="0" w:color="000000"/>
            </w:tcBorders>
            <w:shd w:val="clear" w:color="auto" w:fill="D2D2D2"/>
          </w:tcPr>
          <w:p>
            <w:pPr/>
          </w:p>
        </w:tc>
        <w:tc>
          <w:tcPr>
            <w:tcW w:w="1160" w:type="dxa"/>
            <w:vMerge w:val="restart"/>
            <w:tcBorders>
              <w:top w:val="nil" w:sz="6" w:space="0" w:color="auto"/>
              <w:left w:val="single" w:sz="4" w:space="0" w:color="000000"/>
              <w:right w:val="single" w:sz="4" w:space="0" w:color="000000"/>
            </w:tcBorders>
            <w:shd w:val="clear" w:color="auto" w:fill="D2D2D2"/>
          </w:tcPr>
          <w:p>
            <w:pPr/>
          </w:p>
        </w:tc>
        <w:tc>
          <w:tcPr>
            <w:tcW w:w="1155" w:type="dxa"/>
            <w:vMerge w:val="restart"/>
            <w:tcBorders>
              <w:top w:val="nil" w:sz="6" w:space="0" w:color="auto"/>
              <w:left w:val="single" w:sz="4" w:space="0" w:color="000000"/>
              <w:right w:val="single" w:sz="4" w:space="0" w:color="000000"/>
            </w:tcBorders>
            <w:shd w:val="clear" w:color="auto" w:fill="D2D2D2"/>
          </w:tcPr>
          <w:p>
            <w:pPr/>
          </w:p>
        </w:tc>
        <w:tc>
          <w:tcPr>
            <w:tcW w:w="1152" w:type="dxa"/>
            <w:vMerge w:val="restart"/>
            <w:tcBorders>
              <w:top w:val="nil" w:sz="6" w:space="0" w:color="auto"/>
              <w:left w:val="single" w:sz="4" w:space="0" w:color="000000"/>
              <w:right w:val="single" w:sz="4" w:space="0" w:color="000000"/>
            </w:tcBorders>
            <w:shd w:val="clear" w:color="auto" w:fill="D2D2D2"/>
          </w:tcPr>
          <w:p>
            <w:pPr/>
          </w:p>
        </w:tc>
      </w:tr>
      <w:tr>
        <w:trPr>
          <w:trHeight w:val="166" w:hRule="exact"/>
        </w:trPr>
        <w:tc>
          <w:tcPr>
            <w:tcW w:w="1469" w:type="dxa"/>
            <w:vMerge/>
            <w:tcBorders>
              <w:left w:val="single" w:sz="4" w:space="0" w:color="000000"/>
              <w:bottom w:val="single" w:sz="4" w:space="0" w:color="000000"/>
              <w:right w:val="single" w:sz="4" w:space="0" w:color="000000"/>
            </w:tcBorders>
            <w:shd w:val="clear" w:color="auto" w:fill="D2D2D2"/>
          </w:tcPr>
          <w:p>
            <w:pPr/>
          </w:p>
        </w:tc>
        <w:tc>
          <w:tcPr>
            <w:tcW w:w="1167" w:type="dxa"/>
            <w:vMerge/>
            <w:tcBorders>
              <w:left w:val="single" w:sz="4" w:space="0" w:color="000000"/>
              <w:bottom w:val="single" w:sz="4" w:space="0" w:color="000000"/>
              <w:right w:val="single" w:sz="4" w:space="0" w:color="000000"/>
            </w:tcBorders>
            <w:shd w:val="clear" w:color="auto" w:fill="D2D2D2"/>
          </w:tcPr>
          <w:p>
            <w:pPr/>
          </w:p>
        </w:tc>
        <w:tc>
          <w:tcPr>
            <w:tcW w:w="114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54" w:type="dxa"/>
            <w:vMerge/>
            <w:tcBorders>
              <w:left w:val="single" w:sz="4" w:space="0" w:color="000000"/>
              <w:bottom w:val="single" w:sz="4" w:space="0" w:color="000000"/>
              <w:right w:val="single" w:sz="4" w:space="0" w:color="000000"/>
            </w:tcBorders>
            <w:shd w:val="clear" w:color="auto" w:fill="D2D2D2"/>
          </w:tcPr>
          <w:p>
            <w:pPr/>
          </w:p>
        </w:tc>
        <w:tc>
          <w:tcPr>
            <w:tcW w:w="114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0" w:type="dxa"/>
            <w:vMerge/>
            <w:tcBorders>
              <w:left w:val="single" w:sz="4" w:space="0" w:color="000000"/>
              <w:bottom w:val="single" w:sz="4" w:space="0" w:color="000000"/>
              <w:right w:val="single" w:sz="4" w:space="0" w:color="000000"/>
            </w:tcBorders>
            <w:shd w:val="clear" w:color="auto" w:fill="D2D2D2"/>
          </w:tcPr>
          <w:p>
            <w:pPr/>
          </w:p>
        </w:tc>
        <w:tc>
          <w:tcPr>
            <w:tcW w:w="115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716" w:hRule="exact"/>
        </w:trPr>
        <w:tc>
          <w:tcPr>
            <w:tcW w:w="14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 产</w:t>
            </w:r>
          </w:p>
        </w:tc>
        <w:tc>
          <w:tcPr>
            <w:tcW w:w="116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15,020,000.00</w:t>
            </w:r>
          </w:p>
        </w:tc>
        <w:tc>
          <w:tcPr>
            <w:tcW w:w="1149"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49"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28,000,000.00</w:t>
            </w:r>
          </w:p>
        </w:tc>
        <w:tc>
          <w:tcPr>
            <w:tcW w:w="1155"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43,020,000.00</w:t>
            </w:r>
          </w:p>
        </w:tc>
      </w:tr>
      <w:tr>
        <w:trPr>
          <w:trHeight w:val="401" w:hRule="exact"/>
        </w:trPr>
        <w:tc>
          <w:tcPr>
            <w:tcW w:w="14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16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15,020,000.00</w:t>
            </w:r>
          </w:p>
        </w:tc>
        <w:tc>
          <w:tcPr>
            <w:tcW w:w="1149"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49"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 w:right="0"/>
              <w:jc w:val="center"/>
              <w:rPr>
                <w:rFonts w:ascii="Times New Roman" w:hAnsi="Times New Roman" w:cs="Times New Roman" w:eastAsia="Times New Roman" w:hint="default"/>
                <w:sz w:val="18"/>
                <w:szCs w:val="18"/>
              </w:rPr>
            </w:pPr>
            <w:r>
              <w:rPr>
                <w:rFonts w:ascii="Times New Roman"/>
                <w:sz w:val="18"/>
              </w:rPr>
              <w:t>28,000,000.00</w:t>
            </w:r>
          </w:p>
        </w:tc>
        <w:tc>
          <w:tcPr>
            <w:tcW w:w="1155"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r>
      <w:tr>
        <w:trPr>
          <w:trHeight w:val="403" w:hRule="exact"/>
        </w:trPr>
        <w:tc>
          <w:tcPr>
            <w:tcW w:w="14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16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0.00</w:t>
            </w:r>
          </w:p>
        </w:tc>
        <w:tc>
          <w:tcPr>
            <w:tcW w:w="1149"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49"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报告期内公司主要资产计量属性是否发生重大变化</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335" w:type="dxa"/>
        <w:tblLayout w:type="fixed"/>
        <w:tblCellMar>
          <w:top w:w="0" w:type="dxa"/>
          <w:left w:w="0" w:type="dxa"/>
          <w:bottom w:w="0" w:type="dxa"/>
          <w:right w:w="0" w:type="dxa"/>
        </w:tblCellMar>
        <w:tblLook w:val="01E0"/>
      </w:tblPr>
      <w:tblGrid>
        <w:gridCol w:w="2881"/>
        <w:gridCol w:w="1819"/>
        <w:gridCol w:w="4532"/>
      </w:tblGrid>
      <w:tr>
        <w:trPr>
          <w:trHeight w:val="499" w:hRule="exact"/>
        </w:trPr>
        <w:tc>
          <w:tcPr>
            <w:tcW w:w="2881" w:type="dxa"/>
            <w:tcBorders>
              <w:top w:val="single" w:sz="12" w:space="0" w:color="000000"/>
              <w:left w:val="nil" w:sz="6" w:space="0" w:color="auto"/>
              <w:bottom w:val="dotted" w:sz="4" w:space="0" w:color="000000"/>
              <w:right w:val="dotted" w:sz="4" w:space="0" w:color="000000"/>
            </w:tcBorders>
          </w:tcPr>
          <w:p>
            <w:pPr>
              <w:pStyle w:val="TableParagraph"/>
              <w:tabs>
                <w:tab w:pos="472" w:val="left" w:leader="none"/>
              </w:tabs>
              <w:spacing w:line="240" w:lineRule="auto" w:before="149"/>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19" w:type="dxa"/>
            <w:tcBorders>
              <w:top w:val="single" w:sz="12" w:space="0" w:color="000000"/>
              <w:left w:val="dotted" w:sz="4" w:space="0" w:color="000000"/>
              <w:bottom w:val="dotted" w:sz="4" w:space="0" w:color="000000"/>
              <w:right w:val="dotted" w:sz="4" w:space="0" w:color="000000"/>
            </w:tcBorders>
          </w:tcPr>
          <w:p>
            <w:pPr>
              <w:pStyle w:val="TableParagraph"/>
              <w:spacing w:line="240" w:lineRule="auto" w:before="149"/>
              <w:ind w:left="364" w:right="0"/>
              <w:jc w:val="left"/>
              <w:rPr>
                <w:rFonts w:ascii="宋体" w:hAnsi="宋体" w:cs="宋体" w:eastAsia="宋体" w:hint="default"/>
                <w:sz w:val="18"/>
                <w:szCs w:val="18"/>
              </w:rPr>
            </w:pPr>
            <w:r>
              <w:rPr>
                <w:rFonts w:ascii="宋体" w:hAnsi="宋体" w:cs="宋体" w:eastAsia="宋体" w:hint="default"/>
                <w:sz w:val="18"/>
                <w:szCs w:val="18"/>
              </w:rPr>
              <w:t>年末账面价值</w:t>
            </w:r>
          </w:p>
        </w:tc>
        <w:tc>
          <w:tcPr>
            <w:tcW w:w="4532" w:type="dxa"/>
            <w:tcBorders>
              <w:top w:val="single" w:sz="12" w:space="0" w:color="000000"/>
              <w:left w:val="dotted" w:sz="4" w:space="0" w:color="000000"/>
              <w:bottom w:val="dotted" w:sz="4" w:space="0" w:color="000000"/>
              <w:right w:val="nil" w:sz="6" w:space="0" w:color="auto"/>
            </w:tcBorders>
          </w:tcPr>
          <w:p>
            <w:pPr>
              <w:pStyle w:val="TableParagraph"/>
              <w:spacing w:line="240" w:lineRule="auto" w:before="149"/>
              <w:ind w:right="4"/>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502" w:hRule="exact"/>
        </w:trPr>
        <w:tc>
          <w:tcPr>
            <w:tcW w:w="2881" w:type="dxa"/>
            <w:tcBorders>
              <w:top w:val="dotted" w:sz="4" w:space="0" w:color="000000"/>
              <w:left w:val="nil" w:sz="6" w:space="0" w:color="auto"/>
              <w:bottom w:val="single" w:sz="12" w:space="0" w:color="000000"/>
              <w:right w:val="dotted" w:sz="4" w:space="0" w:color="000000"/>
            </w:tcBorders>
          </w:tcPr>
          <w:p>
            <w:pPr>
              <w:pStyle w:val="TableParagraph"/>
              <w:spacing w:line="240" w:lineRule="auto" w:before="150"/>
              <w:ind w:left="4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19" w:type="dxa"/>
            <w:tcBorders>
              <w:top w:val="dotted" w:sz="4" w:space="0" w:color="000000"/>
              <w:left w:val="dotted" w:sz="4" w:space="0" w:color="000000"/>
              <w:bottom w:val="single" w:sz="12" w:space="0" w:color="000000"/>
              <w:right w:val="dotted"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842" w:right="0"/>
              <w:jc w:val="left"/>
              <w:rPr>
                <w:rFonts w:ascii="Arial Narrow" w:hAnsi="Arial Narrow" w:cs="Arial Narrow" w:eastAsia="Arial Narrow" w:hint="default"/>
                <w:sz w:val="18"/>
                <w:szCs w:val="18"/>
              </w:rPr>
            </w:pPr>
            <w:r>
              <w:rPr>
                <w:rFonts w:ascii="Arial Narrow"/>
                <w:sz w:val="18"/>
              </w:rPr>
              <w:t>14,693,817.41</w:t>
            </w:r>
          </w:p>
        </w:tc>
        <w:tc>
          <w:tcPr>
            <w:tcW w:w="4532" w:type="dxa"/>
            <w:tcBorders>
              <w:top w:val="dotted" w:sz="4" w:space="0" w:color="000000"/>
              <w:left w:val="dotted" w:sz="4" w:space="0" w:color="000000"/>
              <w:bottom w:val="single" w:sz="12" w:space="0" w:color="000000"/>
              <w:right w:val="nil" w:sz="6" w:space="0" w:color="auto"/>
            </w:tcBorders>
          </w:tcPr>
          <w:p>
            <w:pPr>
              <w:pStyle w:val="TableParagraph"/>
              <w:spacing w:line="240" w:lineRule="auto" w:before="150"/>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335" w:type="dxa"/>
        <w:tblLayout w:type="fixed"/>
        <w:tblCellMar>
          <w:top w:w="0" w:type="dxa"/>
          <w:left w:w="0" w:type="dxa"/>
          <w:bottom w:w="0" w:type="dxa"/>
          <w:right w:w="0" w:type="dxa"/>
        </w:tblCellMar>
        <w:tblLook w:val="01E0"/>
      </w:tblPr>
      <w:tblGrid>
        <w:gridCol w:w="2881"/>
        <w:gridCol w:w="1819"/>
        <w:gridCol w:w="4532"/>
      </w:tblGrid>
      <w:tr>
        <w:trPr>
          <w:trHeight w:val="502" w:hRule="exact"/>
        </w:trPr>
        <w:tc>
          <w:tcPr>
            <w:tcW w:w="2881" w:type="dxa"/>
            <w:tcBorders>
              <w:top w:val="single" w:sz="12" w:space="0" w:color="000000"/>
              <w:left w:val="nil" w:sz="6" w:space="0" w:color="auto"/>
              <w:bottom w:val="dotted" w:sz="4" w:space="0" w:color="000000"/>
              <w:right w:val="dotted" w:sz="4" w:space="0" w:color="000000"/>
            </w:tcBorders>
          </w:tcPr>
          <w:p>
            <w:pPr>
              <w:pStyle w:val="TableParagraph"/>
              <w:tabs>
                <w:tab w:pos="472" w:val="left" w:leader="none"/>
              </w:tabs>
              <w:spacing w:line="240" w:lineRule="auto" w:before="152"/>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19" w:type="dxa"/>
            <w:tcBorders>
              <w:top w:val="single" w:sz="12" w:space="0" w:color="000000"/>
              <w:left w:val="dotted" w:sz="4" w:space="0" w:color="000000"/>
              <w:bottom w:val="dotted" w:sz="4" w:space="0" w:color="000000"/>
              <w:right w:val="dotted" w:sz="4" w:space="0" w:color="000000"/>
            </w:tcBorders>
          </w:tcPr>
          <w:p>
            <w:pPr>
              <w:pStyle w:val="TableParagraph"/>
              <w:spacing w:line="240" w:lineRule="auto" w:before="152"/>
              <w:ind w:left="364" w:right="0"/>
              <w:jc w:val="left"/>
              <w:rPr>
                <w:rFonts w:ascii="宋体" w:hAnsi="宋体" w:cs="宋体" w:eastAsia="宋体" w:hint="default"/>
                <w:sz w:val="18"/>
                <w:szCs w:val="18"/>
              </w:rPr>
            </w:pPr>
            <w:r>
              <w:rPr>
                <w:rFonts w:ascii="宋体" w:hAnsi="宋体" w:cs="宋体" w:eastAsia="宋体" w:hint="default"/>
                <w:sz w:val="18"/>
                <w:szCs w:val="18"/>
              </w:rPr>
              <w:t>年末账面价值</w:t>
            </w:r>
          </w:p>
        </w:tc>
        <w:tc>
          <w:tcPr>
            <w:tcW w:w="4532" w:type="dxa"/>
            <w:tcBorders>
              <w:top w:val="single" w:sz="12" w:space="0" w:color="000000"/>
              <w:left w:val="dotted" w:sz="4" w:space="0" w:color="000000"/>
              <w:bottom w:val="dotted" w:sz="4" w:space="0" w:color="000000"/>
              <w:right w:val="nil" w:sz="6" w:space="0" w:color="auto"/>
            </w:tcBorders>
          </w:tcPr>
          <w:p>
            <w:pPr>
              <w:pStyle w:val="TableParagraph"/>
              <w:spacing w:line="240" w:lineRule="auto" w:before="152"/>
              <w:ind w:right="4"/>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90" w:hRule="exact"/>
        </w:trPr>
        <w:tc>
          <w:tcPr>
            <w:tcW w:w="2881" w:type="dxa"/>
            <w:tcBorders>
              <w:top w:val="dotted" w:sz="4" w:space="0" w:color="000000"/>
              <w:left w:val="nil" w:sz="6" w:space="0" w:color="auto"/>
              <w:bottom w:val="dotted" w:sz="4" w:space="0" w:color="000000"/>
              <w:right w:val="dotted"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19" w:type="dxa"/>
            <w:tcBorders>
              <w:top w:val="dotted" w:sz="4" w:space="0" w:color="000000"/>
              <w:left w:val="dotted" w:sz="4" w:space="0" w:color="000000"/>
              <w:bottom w:val="dotted" w:sz="4" w:space="0" w:color="000000"/>
              <w:right w:val="dotted"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17,492,399.60</w:t>
            </w:r>
          </w:p>
        </w:tc>
        <w:tc>
          <w:tcPr>
            <w:tcW w:w="4532" w:type="dxa"/>
            <w:tcBorders>
              <w:top w:val="dotted" w:sz="4" w:space="0" w:color="000000"/>
              <w:left w:val="dotted" w:sz="4" w:space="0" w:color="000000"/>
              <w:bottom w:val="dotted"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90" w:hRule="exact"/>
        </w:trPr>
        <w:tc>
          <w:tcPr>
            <w:tcW w:w="2881" w:type="dxa"/>
            <w:tcBorders>
              <w:top w:val="dotted" w:sz="4" w:space="0" w:color="000000"/>
              <w:left w:val="nil" w:sz="6" w:space="0" w:color="auto"/>
              <w:bottom w:val="dotted" w:sz="4" w:space="0" w:color="000000"/>
              <w:right w:val="dotted"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19" w:type="dxa"/>
            <w:tcBorders>
              <w:top w:val="dotted" w:sz="4" w:space="0" w:color="000000"/>
              <w:left w:val="dotted" w:sz="4" w:space="0" w:color="000000"/>
              <w:bottom w:val="dotted" w:sz="4" w:space="0" w:color="000000"/>
              <w:right w:val="dotted"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5,212,098.67</w:t>
            </w:r>
          </w:p>
        </w:tc>
        <w:tc>
          <w:tcPr>
            <w:tcW w:w="4532" w:type="dxa"/>
            <w:tcBorders>
              <w:top w:val="dotted" w:sz="4" w:space="0" w:color="000000"/>
              <w:left w:val="dotted" w:sz="4" w:space="0" w:color="000000"/>
              <w:bottom w:val="dotted"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90" w:hRule="exact"/>
        </w:trPr>
        <w:tc>
          <w:tcPr>
            <w:tcW w:w="2881" w:type="dxa"/>
            <w:tcBorders>
              <w:top w:val="dotted" w:sz="4" w:space="0" w:color="000000"/>
              <w:left w:val="nil" w:sz="6" w:space="0" w:color="auto"/>
              <w:bottom w:val="dotted" w:sz="4" w:space="0" w:color="000000"/>
              <w:right w:val="dotted"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19" w:type="dxa"/>
            <w:tcBorders>
              <w:top w:val="dotted" w:sz="4" w:space="0" w:color="000000"/>
              <w:left w:val="dotted" w:sz="4" w:space="0" w:color="000000"/>
              <w:bottom w:val="dotted" w:sz="4" w:space="0" w:color="000000"/>
              <w:right w:val="dotted"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8,357,370.74</w:t>
            </w:r>
          </w:p>
        </w:tc>
        <w:tc>
          <w:tcPr>
            <w:tcW w:w="4532" w:type="dxa"/>
            <w:tcBorders>
              <w:top w:val="dotted" w:sz="4" w:space="0" w:color="000000"/>
              <w:left w:val="dotted" w:sz="4" w:space="0" w:color="000000"/>
              <w:bottom w:val="dotted"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502" w:hRule="exact"/>
        </w:trPr>
        <w:tc>
          <w:tcPr>
            <w:tcW w:w="2881" w:type="dxa"/>
            <w:tcBorders>
              <w:top w:val="dotted" w:sz="4" w:space="0" w:color="000000"/>
              <w:left w:val="nil" w:sz="6" w:space="0" w:color="auto"/>
              <w:bottom w:val="single" w:sz="12" w:space="0" w:color="000000"/>
              <w:right w:val="dotted" w:sz="4" w:space="0" w:color="000000"/>
            </w:tcBorders>
          </w:tcPr>
          <w:p>
            <w:pPr>
              <w:pStyle w:val="TableParagraph"/>
              <w:tabs>
                <w:tab w:pos="654" w:val="left" w:leader="none"/>
              </w:tabs>
              <w:spacing w:line="240" w:lineRule="auto" w:before="149"/>
              <w:ind w:left="20"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819" w:type="dxa"/>
            <w:tcBorders>
              <w:top w:val="dotted" w:sz="4" w:space="0" w:color="000000"/>
              <w:left w:val="dotted" w:sz="4" w:space="0" w:color="000000"/>
              <w:bottom w:val="single" w:sz="12" w:space="0" w:color="000000"/>
              <w:right w:val="dotted"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45,755,686.42</w:t>
            </w:r>
          </w:p>
        </w:tc>
        <w:tc>
          <w:tcPr>
            <w:tcW w:w="4532" w:type="dxa"/>
            <w:tcBorders>
              <w:top w:val="dotted" w:sz="4" w:space="0" w:color="000000"/>
              <w:left w:val="dotted"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18"/>
          <w:szCs w:val="18"/>
        </w:rPr>
      </w:pPr>
    </w:p>
    <w:p>
      <w:pPr>
        <w:pStyle w:val="Heading2"/>
        <w:spacing w:line="240" w:lineRule="auto" w:before="26"/>
        <w:ind w:right="153"/>
        <w:jc w:val="left"/>
        <w:rPr>
          <w:b w:val="0"/>
          <w:bCs w:val="0"/>
        </w:rPr>
      </w:pPr>
      <w:r>
        <w:rPr/>
        <w:t>五、投资状况分析</w:t>
      </w:r>
      <w:r>
        <w:rPr>
          <w:b w:val="0"/>
          <w:bCs w:val="0"/>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64,725,000.00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3.56%</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、报告期内获取的重大的股权投资情况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、报告期内正在进行的重大的非股权投资情况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、以公允价值计量的金融资产</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、募集资金使用情况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）募集资金总体使用情况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3"/>
        <w:gridCol w:w="871"/>
        <w:gridCol w:w="869"/>
        <w:gridCol w:w="872"/>
        <w:gridCol w:w="869"/>
        <w:gridCol w:w="872"/>
        <w:gridCol w:w="869"/>
        <w:gridCol w:w="871"/>
        <w:gridCol w:w="869"/>
        <w:gridCol w:w="871"/>
        <w:gridCol w:w="869"/>
      </w:tblGrid>
      <w:tr>
        <w:trPr>
          <w:trHeight w:val="1337"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6"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71" w:right="0"/>
              <w:jc w:val="left"/>
              <w:rPr>
                <w:rFonts w:ascii="宋体" w:hAnsi="宋体" w:cs="宋体" w:eastAsia="宋体" w:hint="default"/>
                <w:sz w:val="18"/>
                <w:szCs w:val="18"/>
              </w:rPr>
            </w:pPr>
            <w:r>
              <w:rPr>
                <w:rFonts w:ascii="宋体" w:hAnsi="宋体" w:cs="宋体" w:eastAsia="宋体" w:hint="default"/>
                <w:sz w:val="18"/>
                <w:szCs w:val="18"/>
              </w:rPr>
              <w:t>募集方式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5"/>
              <w:ind w:left="249" w:right="67"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2" w:right="67"/>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69"/>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67"/>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71"/>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71"/>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71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13"/>
              <w:jc w:val="left"/>
              <w:rPr>
                <w:rFonts w:ascii="宋体" w:hAnsi="宋体" w:cs="宋体" w:eastAsia="宋体" w:hint="default"/>
                <w:sz w:val="18"/>
                <w:szCs w:val="18"/>
              </w:rPr>
            </w:pPr>
            <w:r>
              <w:rPr>
                <w:rFonts w:ascii="宋体" w:hAnsi="宋体" w:cs="宋体" w:eastAsia="宋体" w:hint="default"/>
                <w:sz w:val="18"/>
                <w:szCs w:val="18"/>
              </w:rPr>
              <w:t>首次公开 发行</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3" w:right="0"/>
              <w:jc w:val="left"/>
              <w:rPr>
                <w:rFonts w:ascii="Times New Roman" w:hAnsi="Times New Roman" w:cs="Times New Roman" w:eastAsia="Times New Roman" w:hint="default"/>
                <w:sz w:val="18"/>
                <w:szCs w:val="18"/>
              </w:rPr>
            </w:pPr>
            <w:r>
              <w:rPr>
                <w:rFonts w:ascii="Times New Roman"/>
                <w:sz w:val="18"/>
              </w:rPr>
              <w:t>75,600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9" w:right="0"/>
              <w:jc w:val="left"/>
              <w:rPr>
                <w:rFonts w:ascii="Times New Roman" w:hAnsi="Times New Roman" w:cs="Times New Roman" w:eastAsia="Times New Roman" w:hint="default"/>
                <w:sz w:val="18"/>
                <w:szCs w:val="18"/>
              </w:rPr>
            </w:pPr>
            <w:r>
              <w:rPr>
                <w:rFonts w:ascii="Times New Roman"/>
                <w:sz w:val="18"/>
              </w:rPr>
              <w:t>2,492.88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78,207.75</w:t>
            </w: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1"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8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spacing w:before="44"/>
        <w:ind w:left="0" w:right="160" w:firstLine="0"/>
        <w:jc w:val="right"/>
        <w:rPr>
          <w:rFonts w:ascii="宋体" w:hAnsi="宋体" w:cs="宋体" w:eastAsia="宋体" w:hint="default"/>
          <w:sz w:val="18"/>
          <w:szCs w:val="18"/>
        </w:rPr>
      </w:pPr>
      <w:r>
        <w:rPr/>
        <w:pict>
          <v:shape style="position:absolute;margin-left:56.400002pt;margin-top:-76.708282pt;width:479.05pt;height:239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4"/>
                    <w:gridCol w:w="871"/>
                    <w:gridCol w:w="869"/>
                    <w:gridCol w:w="872"/>
                    <w:gridCol w:w="869"/>
                    <w:gridCol w:w="872"/>
                    <w:gridCol w:w="869"/>
                    <w:gridCol w:w="871"/>
                    <w:gridCol w:w="869"/>
                    <w:gridCol w:w="871"/>
                    <w:gridCol w:w="869"/>
                  </w:tblGrid>
                  <w:tr>
                    <w:trPr>
                      <w:trHeight w:val="71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113"/>
                          <w:jc w:val="left"/>
                          <w:rPr>
                            <w:rFonts w:ascii="宋体" w:hAnsi="宋体" w:cs="宋体" w:eastAsia="宋体" w:hint="default"/>
                            <w:sz w:val="18"/>
                            <w:szCs w:val="18"/>
                          </w:rPr>
                        </w:pPr>
                        <w:r>
                          <w:rPr>
                            <w:rFonts w:ascii="宋体" w:hAnsi="宋体" w:cs="宋体" w:eastAsia="宋体" w:hint="default"/>
                            <w:sz w:val="18"/>
                            <w:szCs w:val="18"/>
                          </w:rPr>
                          <w:t>非公开发 行</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53,810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23,460.64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23,460.64</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28.81%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30,349.36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募集资金 专户存储</w:t>
                        </w: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129,410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9" w:right="0"/>
                          <w:jc w:val="center"/>
                          <w:rPr>
                            <w:rFonts w:ascii="Times New Roman" w:hAnsi="Times New Roman" w:cs="Times New Roman" w:eastAsia="Times New Roman" w:hint="default"/>
                            <w:sz w:val="18"/>
                            <w:szCs w:val="18"/>
                          </w:rPr>
                        </w:pPr>
                        <w:r>
                          <w:rPr>
                            <w:rFonts w:ascii="Times New Roman"/>
                            <w:sz w:val="18"/>
                          </w:rPr>
                          <w:t>25,953.52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101,668.39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15,500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11.98%</w:t>
                        </w:r>
                      </w:p>
                    </w:tc>
                    <w:tc>
                      <w:tcPr>
                        <w:tcW w:w="86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7"/>
                          <w:jc w:val="right"/>
                          <w:rPr>
                            <w:rFonts w:ascii="Times New Roman" w:hAnsi="Times New Roman" w:cs="Times New Roman" w:eastAsia="Times New Roman" w:hint="default"/>
                            <w:sz w:val="18"/>
                            <w:szCs w:val="18"/>
                          </w:rPr>
                        </w:pPr>
                        <w:r>
                          <w:rPr>
                            <w:rFonts w:ascii="Times New Roman"/>
                            <w:spacing w:val="-1"/>
                            <w:sz w:val="18"/>
                          </w:rPr>
                          <w:t>30,349.36</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956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3253" w:hRule="exact"/>
                    </w:trPr>
                    <w:tc>
                      <w:tcPr>
                        <w:tcW w:w="956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、公司上市募集资金总额</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75,600</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万元，根据中瑞岳华会计师事务所出具的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中瑞岳华验字【</w:t>
                        </w:r>
                        <w:r>
                          <w:rPr>
                            <w:rFonts w:ascii="Times New Roman" w:hAnsi="Times New Roman" w:cs="Times New Roman" w:eastAsia="Times New Roman" w:hint="default"/>
                            <w:spacing w:val="-3"/>
                            <w:sz w:val="18"/>
                            <w:szCs w:val="18"/>
                          </w:rPr>
                          <w:t>2010</w:t>
                        </w:r>
                        <w:r>
                          <w:rPr>
                            <w:rFonts w:ascii="宋体" w:hAnsi="宋体" w:cs="宋体" w:eastAsia="宋体" w:hint="default"/>
                            <w:spacing w:val="-3"/>
                            <w:sz w:val="18"/>
                            <w:szCs w:val="18"/>
                          </w:rPr>
                          <w:t>】第</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093 </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的验资报告</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在扣除全部承销及保荐等费用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4,452.00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万元和其他发行费用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892.70 </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万元后，实际募集资金净额为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70,255.30</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万元，超募资</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 </w:t>
                        </w:r>
                        <w:r>
                          <w:rPr>
                            <w:rFonts w:ascii="Times New Roman" w:hAnsi="Times New Roman" w:cs="Times New Roman" w:eastAsia="Times New Roman" w:hint="default"/>
                            <w:sz w:val="18"/>
                            <w:szCs w:val="18"/>
                          </w:rPr>
                          <w:t>566,973,000.00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pStyle w:val="TableParagraph"/>
                          <w:spacing w:line="240" w:lineRule="auto" w:before="103"/>
                          <w:ind w:left="2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、根据公司</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年度股东大会决议及中国证券监督管理委员会《关于核准北京数字政通科技股份有限公司非公开发行股</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票的批复</w:t>
                        </w:r>
                        <w:r>
                          <w:rPr>
                            <w:rFonts w:ascii="宋体" w:hAnsi="宋体" w:cs="宋体" w:eastAsia="宋体" w:hint="default"/>
                            <w:spacing w:val="-92"/>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28</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号）核准，公司于</w:t>
                        </w:r>
                        <w:r>
                          <w:rPr>
                            <w:rFonts w:ascii="宋体" w:hAnsi="宋体" w:cs="宋体" w:eastAsia="宋体" w:hint="default"/>
                            <w:spacing w:val="-44"/>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日采用非公开发行方式</w:t>
                        </w:r>
                        <w:r>
                          <w:rPr>
                            <w:rFonts w:ascii="宋体" w:hAnsi="宋体" w:cs="宋体" w:eastAsia="宋体" w:hint="default"/>
                            <w:spacing w:val="-3"/>
                            <w:sz w:val="18"/>
                            <w:szCs w:val="18"/>
                          </w:rPr>
                          <w:t>向</w:t>
                        </w:r>
                        <w:r>
                          <w:rPr>
                            <w:rFonts w:ascii="宋体" w:hAnsi="宋体" w:cs="宋体" w:eastAsia="宋体" w:hint="default"/>
                            <w:sz w:val="18"/>
                            <w:szCs w:val="18"/>
                          </w:rPr>
                          <w:t>特定投资者发行股票数量为</w:t>
                        </w:r>
                      </w:p>
                      <w:p>
                        <w:pPr>
                          <w:pStyle w:val="TableParagraph"/>
                          <w:spacing w:line="304" w:lineRule="auto" w:before="63"/>
                          <w:ind w:left="24" w:right="2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29,039,395</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股（发行价每股</w:t>
                        </w:r>
                        <w:r>
                          <w:rPr>
                            <w:rFonts w:ascii="宋体" w:hAnsi="宋体" w:cs="宋体" w:eastAsia="宋体" w:hint="default"/>
                            <w:spacing w:val="-43"/>
                            <w:sz w:val="18"/>
                            <w:szCs w:val="18"/>
                          </w:rPr>
                          <w:t> </w:t>
                        </w:r>
                        <w:r>
                          <w:rPr>
                            <w:rFonts w:ascii="Times New Roman" w:hAnsi="Times New Roman" w:cs="Times New Roman" w:eastAsia="Times New Roman" w:hint="default"/>
                            <w:spacing w:val="-1"/>
                            <w:sz w:val="18"/>
                            <w:szCs w:val="18"/>
                          </w:rPr>
                          <w:t>18.53</w:t>
                        </w:r>
                        <w:r>
                          <w:rPr>
                            <w:rFonts w:ascii="Times New Roman" w:hAnsi="Times New Roman" w:cs="Times New Roman" w:eastAsia="Times New Roman" w:hint="default"/>
                            <w:spacing w:val="6"/>
                            <w:sz w:val="18"/>
                            <w:szCs w:val="18"/>
                          </w:rPr>
                          <w:t> </w:t>
                        </w:r>
                        <w:r>
                          <w:rPr>
                            <w:rFonts w:ascii="宋体" w:hAnsi="宋体" w:cs="宋体" w:eastAsia="宋体" w:hint="default"/>
                            <w:spacing w:val="-8"/>
                            <w:sz w:val="18"/>
                            <w:szCs w:val="18"/>
                          </w:rPr>
                          <w:t>元），并申请增加注册资本人民币</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29,039,395.00</w:t>
                        </w:r>
                        <w:r>
                          <w:rPr>
                            <w:rFonts w:ascii="Times New Roman" w:hAnsi="Times New Roman" w:cs="Times New Roman" w:eastAsia="Times New Roman" w:hint="default"/>
                            <w:spacing w:val="6"/>
                            <w:sz w:val="18"/>
                            <w:szCs w:val="18"/>
                          </w:rPr>
                          <w:t> </w:t>
                        </w:r>
                        <w:r>
                          <w:rPr>
                            <w:rFonts w:ascii="宋体" w:hAnsi="宋体" w:cs="宋体" w:eastAsia="宋体" w:hint="default"/>
                            <w:spacing w:val="-8"/>
                            <w:sz w:val="18"/>
                            <w:szCs w:val="18"/>
                          </w:rPr>
                          <w:t>元，由</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pacing w:val="-2"/>
                            <w:sz w:val="18"/>
                            <w:szCs w:val="18"/>
                          </w:rPr>
                          <w:t>个发行对象投入，出资方式为货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币。瑞华会计师事务所（特殊普通合伙）出具了</w:t>
                        </w:r>
                        <w:r>
                          <w:rPr>
                            <w:rFonts w:ascii="Times New Roman" w:hAnsi="Times New Roman" w:cs="Times New Roman" w:eastAsia="Times New Roman" w:hint="default"/>
                            <w:sz w:val="18"/>
                            <w:szCs w:val="18"/>
                          </w:rPr>
                          <w:t>“</w:t>
                        </w:r>
                        <w:r>
                          <w:rPr>
                            <w:rFonts w:ascii="宋体" w:hAnsi="宋体" w:cs="宋体" w:eastAsia="宋体" w:hint="default"/>
                            <w:sz w:val="18"/>
                            <w:szCs w:val="18"/>
                          </w:rPr>
                          <w:t>瑞华验字</w:t>
                        </w:r>
                        <w:r>
                          <w:rPr>
                            <w:rFonts w:ascii="Times New Roman" w:hAnsi="Times New Roman" w:cs="Times New Roman" w:eastAsia="Times New Roman" w:hint="default"/>
                            <w:sz w:val="18"/>
                            <w:szCs w:val="18"/>
                          </w:rPr>
                          <w:t>[2017]01310007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的验资报告予以验证，根据该验资报告，截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日止，公司已收到主承销商转付的最终配售对象缴付的募集资金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538,099,989.35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元，扣除中泰证券股份 </w:t>
                        </w:r>
                        <w:r>
                          <w:rPr>
                            <w:rFonts w:ascii="宋体" w:hAnsi="宋体" w:cs="宋体" w:eastAsia="宋体" w:hint="default"/>
                            <w:spacing w:val="-2"/>
                            <w:sz w:val="18"/>
                            <w:szCs w:val="18"/>
                          </w:rPr>
                          <w:t>有限公司、瑞华会计师事务所（特殊普通合伙）、北京市康达律师事务所等中介机构的发行费用后实际募集资金净额人民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526,459,909.53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其中新增注册资本人民币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29,039,395.00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元，余额人民币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497,420,514.53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元转入资本公积。</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）募集资金承诺项目情况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72"/>
        <w:gridCol w:w="778"/>
        <w:gridCol w:w="781"/>
        <w:gridCol w:w="780"/>
        <w:gridCol w:w="780"/>
        <w:gridCol w:w="780"/>
        <w:gridCol w:w="780"/>
        <w:gridCol w:w="780"/>
        <w:gridCol w:w="781"/>
        <w:gridCol w:w="780"/>
        <w:gridCol w:w="780"/>
      </w:tblGrid>
      <w:tr>
        <w:trPr>
          <w:trHeight w:val="1337"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521" w:right="70"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24"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6" w:right="22"/>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38" w:lineRule="auto"/>
              <w:ind w:left="26"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 </w:t>
            </w:r>
            <w:r>
              <w:rPr>
                <w:rFonts w:ascii="Times New Roman" w:hAnsi="Times New Roman" w:cs="Times New Roman" w:eastAsia="Times New Roman" w:hint="default"/>
                <w:sz w:val="18"/>
                <w:szCs w:val="18"/>
              </w:rPr>
              <w:t>(1)</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3" w:right="24"/>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6" w:right="22"/>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6" w:lineRule="auto" w:before="49"/>
              <w:ind w:left="26"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6" w:right="23"/>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6" w:right="2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6" w:right="23"/>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6" w:right="23"/>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403"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4"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数字城管系 统项目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3,980.59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3,980.59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2,422.15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8"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7"/>
              <w:jc w:val="left"/>
              <w:rPr>
                <w:rFonts w:ascii="宋体" w:hAnsi="宋体" w:cs="宋体" w:eastAsia="宋体" w:hint="default"/>
                <w:sz w:val="18"/>
                <w:szCs w:val="18"/>
              </w:rPr>
            </w:pPr>
            <w:r>
              <w:rPr>
                <w:rFonts w:ascii="宋体" w:hAnsi="宋体" w:cs="宋体" w:eastAsia="宋体" w:hint="default"/>
                <w:sz w:val="18"/>
                <w:szCs w:val="18"/>
              </w:rPr>
              <w:t>数字社区管理与服务 系统项目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2,828.01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2,828.01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1,856.52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专业网格化系统项目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2,228.74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2,228.74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1,589.29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4" w:right="137"/>
              <w:jc w:val="left"/>
              <w:rPr>
                <w:rFonts w:ascii="宋体" w:hAnsi="宋体" w:cs="宋体" w:eastAsia="宋体" w:hint="default"/>
                <w:sz w:val="18"/>
                <w:szCs w:val="18"/>
              </w:rPr>
            </w:pPr>
            <w:r>
              <w:rPr>
                <w:rFonts w:ascii="宋体" w:hAnsi="宋体" w:cs="宋体" w:eastAsia="宋体" w:hint="default"/>
                <w:sz w:val="18"/>
                <w:szCs w:val="18"/>
              </w:rPr>
              <w:t>金土工程</w:t>
            </w:r>
            <w:r>
              <w:rPr>
                <w:rFonts w:ascii="Times New Roman" w:hAnsi="Times New Roman" w:cs="Times New Roman" w:eastAsia="Times New Roman" w:hint="default"/>
                <w:sz w:val="18"/>
                <w:szCs w:val="18"/>
              </w:rPr>
              <w:t>“</w:t>
            </w:r>
            <w:r>
              <w:rPr>
                <w:rFonts w:ascii="宋体" w:hAnsi="宋体" w:cs="宋体" w:eastAsia="宋体" w:hint="default"/>
                <w:sz w:val="18"/>
                <w:szCs w:val="18"/>
              </w:rPr>
              <w:t>一张图</w:t>
            </w:r>
            <w:r>
              <w:rPr>
                <w:rFonts w:ascii="Times New Roman" w:hAnsi="Times New Roman" w:cs="Times New Roman" w:eastAsia="Times New Roman" w:hint="default"/>
                <w:sz w:val="18"/>
                <w:szCs w:val="18"/>
              </w:rPr>
              <w:t>”</w:t>
            </w:r>
            <w:r>
              <w:rPr>
                <w:rFonts w:ascii="宋体" w:hAnsi="宋体" w:cs="宋体" w:eastAsia="宋体" w:hint="default"/>
                <w:sz w:val="18"/>
                <w:szCs w:val="18"/>
              </w:rPr>
              <w:t>监 管系统研发项目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3,090.44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3,090.44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827.23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17"/>
              <w:jc w:val="left"/>
              <w:rPr>
                <w:rFonts w:ascii="宋体" w:hAnsi="宋体" w:cs="宋体" w:eastAsia="宋体" w:hint="default"/>
                <w:sz w:val="18"/>
                <w:szCs w:val="18"/>
              </w:rPr>
            </w:pPr>
            <w:r>
              <w:rPr>
                <w:rFonts w:ascii="宋体" w:hAnsi="宋体" w:cs="宋体" w:eastAsia="宋体" w:hint="default"/>
                <w:sz w:val="18"/>
                <w:szCs w:val="18"/>
              </w:rPr>
              <w:t>结余募投项目资金补 充流动资金</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3,221.15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3,221.15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4"/>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 城市综合信</w:t>
            </w:r>
            <w:r>
              <w:rPr>
                <w:rFonts w:ascii="宋体" w:hAnsi="宋体" w:cs="宋体" w:eastAsia="宋体" w:hint="default"/>
                <w:spacing w:val="1"/>
                <w:sz w:val="18"/>
                <w:szCs w:val="18"/>
              </w:rPr>
              <w:t> </w:t>
            </w:r>
            <w:r>
              <w:rPr>
                <w:rFonts w:ascii="宋体" w:hAnsi="宋体" w:cs="宋体" w:eastAsia="宋体" w:hint="default"/>
                <w:sz w:val="18"/>
                <w:szCs w:val="18"/>
              </w:rPr>
              <w:t>息服务及</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37,810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37,810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7,460.64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7,460.64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19.73%</w:t>
            </w: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315.2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72"/>
        <w:gridCol w:w="778"/>
        <w:gridCol w:w="781"/>
        <w:gridCol w:w="780"/>
        <w:gridCol w:w="780"/>
        <w:gridCol w:w="780"/>
        <w:gridCol w:w="780"/>
        <w:gridCol w:w="780"/>
        <w:gridCol w:w="781"/>
        <w:gridCol w:w="780"/>
        <w:gridCol w:w="780"/>
      </w:tblGrid>
      <w:tr>
        <w:trPr>
          <w:trHeight w:val="363"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运营项目</w:t>
            </w:r>
          </w:p>
        </w:tc>
        <w:tc>
          <w:tcPr>
            <w:tcW w:w="778"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68,810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69,158.93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23,460.64</w:t>
            </w:r>
          </w:p>
        </w:tc>
        <w:tc>
          <w:tcPr>
            <w:tcW w:w="78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38,809.57</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26" w:right="0"/>
              <w:jc w:val="left"/>
              <w:rPr>
                <w:rFonts w:ascii="Times New Roman" w:hAnsi="Times New Roman" w:cs="Times New Roman" w:eastAsia="Times New Roman" w:hint="default"/>
                <w:sz w:val="18"/>
                <w:szCs w:val="18"/>
              </w:rPr>
            </w:pPr>
            <w:r>
              <w:rPr>
                <w:rFonts w:ascii="Times New Roman"/>
                <w:sz w:val="18"/>
              </w:rPr>
              <w:t>--</w:t>
            </w:r>
          </w:p>
        </w:tc>
        <w:tc>
          <w:tcPr>
            <w:tcW w:w="781"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w w:val="95"/>
                <w:sz w:val="18"/>
              </w:rPr>
              <w:t>7,010.39</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396"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1027"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19"/>
              <w:jc w:val="both"/>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Ladybug3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的车载 </w:t>
            </w:r>
            <w:r>
              <w:rPr>
                <w:rFonts w:ascii="宋体" w:hAnsi="宋体" w:cs="宋体" w:eastAsia="宋体" w:hint="default"/>
                <w:spacing w:val="-9"/>
                <w:sz w:val="18"/>
                <w:szCs w:val="18"/>
              </w:rPr>
              <w:t>激光扫描系统研制、集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成和应用项目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4,627.72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4,398.44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4,398.44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1,772.86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武汉研发中心项目</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4,464.69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4,077.5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4,077.5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117"/>
              <w:jc w:val="left"/>
              <w:rPr>
                <w:rFonts w:ascii="宋体" w:hAnsi="宋体" w:cs="宋体" w:eastAsia="宋体" w:hint="default"/>
                <w:sz w:val="18"/>
                <w:szCs w:val="18"/>
              </w:rPr>
            </w:pPr>
            <w:r>
              <w:rPr>
                <w:rFonts w:ascii="宋体" w:hAnsi="宋体" w:cs="宋体" w:eastAsia="宋体" w:hint="default"/>
                <w:sz w:val="18"/>
                <w:szCs w:val="18"/>
              </w:rPr>
              <w:t>收购北京汉王智通科 技有限公司</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10,440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10,690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10,690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425.33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设立全资子公司</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8"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117"/>
              <w:jc w:val="left"/>
              <w:rPr>
                <w:rFonts w:ascii="宋体" w:hAnsi="宋体" w:cs="宋体" w:eastAsia="宋体" w:hint="default"/>
                <w:sz w:val="18"/>
                <w:szCs w:val="18"/>
              </w:rPr>
            </w:pPr>
            <w:r>
              <w:rPr>
                <w:rFonts w:ascii="宋体" w:hAnsi="宋体" w:cs="宋体" w:eastAsia="宋体" w:hint="default"/>
                <w:sz w:val="18"/>
                <w:szCs w:val="18"/>
              </w:rPr>
              <w:t>增资北京天健源达科 技有限公司</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2,492.88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3,692.88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117"/>
              <w:jc w:val="left"/>
              <w:rPr>
                <w:rFonts w:ascii="宋体" w:hAnsi="宋体" w:cs="宋体" w:eastAsia="宋体" w:hint="default"/>
                <w:sz w:val="18"/>
                <w:szCs w:val="18"/>
              </w:rPr>
            </w:pPr>
            <w:r>
              <w:rPr>
                <w:rFonts w:ascii="宋体" w:hAnsi="宋体" w:cs="宋体" w:eastAsia="宋体" w:hint="default"/>
                <w:sz w:val="18"/>
                <w:szCs w:val="18"/>
              </w:rPr>
              <w:t>支付国有股权竞拍并 购款</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4,802.35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323" w:val="left" w:leader="none"/>
              </w:tabs>
              <w:spacing w:line="240" w:lineRule="auto" w:before="49"/>
              <w:ind w:left="-128" w:right="323"/>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w:t>
            </w:r>
          </w:p>
        </w:tc>
        <w:tc>
          <w:tcPr>
            <w:tcW w:w="78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w:t>
            </w:r>
          </w:p>
        </w:tc>
        <w:tc>
          <w:tcPr>
            <w:tcW w:w="78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94"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26" w:right="0"/>
              <w:jc w:val="left"/>
              <w:rPr>
                <w:rFonts w:ascii="Times New Roman" w:hAnsi="Times New Roman" w:cs="Times New Roman" w:eastAsia="Times New Roman" w:hint="default"/>
                <w:sz w:val="18"/>
                <w:szCs w:val="18"/>
              </w:rPr>
            </w:pPr>
            <w:r>
              <w:rPr>
                <w:rFonts w:ascii="Times New Roman"/>
                <w:sz w:val="18"/>
              </w:rPr>
              <w:t>--</w:t>
            </w:r>
          </w:p>
        </w:tc>
        <w:tc>
          <w:tcPr>
            <w:tcW w:w="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63,532.41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63,165.94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2,492.88</w:t>
            </w:r>
          </w:p>
        </w:tc>
        <w:tc>
          <w:tcPr>
            <w:tcW w:w="78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62,858.82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26" w:right="0"/>
              <w:jc w:val="left"/>
              <w:rPr>
                <w:rFonts w:ascii="Times New Roman" w:hAnsi="Times New Roman" w:cs="Times New Roman" w:eastAsia="Times New Roman" w:hint="default"/>
                <w:sz w:val="18"/>
                <w:szCs w:val="18"/>
              </w:rPr>
            </w:pPr>
            <w:r>
              <w:rPr>
                <w:rFonts w:ascii="Times New Roman"/>
                <w:sz w:val="18"/>
              </w:rPr>
              <w:t>--</w:t>
            </w:r>
          </w:p>
        </w:tc>
        <w:tc>
          <w:tcPr>
            <w:tcW w:w="781"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w w:val="95"/>
                <w:sz w:val="18"/>
              </w:rPr>
              <w:t>7,000.54</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7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8"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132,342.4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132,324.8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25,953.52</w:t>
            </w:r>
          </w:p>
        </w:tc>
        <w:tc>
          <w:tcPr>
            <w:tcW w:w="780" w:type="dxa"/>
            <w:vMerge w:val="restart"/>
            <w:tcBorders>
              <w:top w:val="single" w:sz="4" w:space="0" w:color="000000"/>
              <w:left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101,668.3</w:t>
            </w:r>
          </w:p>
          <w:p>
            <w:pPr>
              <w:pStyle w:val="TableParagraph"/>
              <w:spacing w:line="240" w:lineRule="auto" w:before="105"/>
              <w:ind w:right="13"/>
              <w:jc w:val="right"/>
              <w:rPr>
                <w:rFonts w:ascii="Times New Roman" w:hAnsi="Times New Roman" w:cs="Times New Roman" w:eastAsia="Times New Roman" w:hint="default"/>
                <w:sz w:val="18"/>
                <w:szCs w:val="18"/>
              </w:rPr>
            </w:pPr>
            <w:r>
              <w:rPr>
                <w:rFonts w:ascii="Times New Roman"/>
                <w:sz w:val="18"/>
              </w:rPr>
              <w:t>9</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1" w:type="dxa"/>
            <w:vMerge w:val="restart"/>
            <w:tcBorders>
              <w:top w:val="single" w:sz="4" w:space="0" w:color="000000"/>
              <w:left w:val="single" w:sz="10" w:space="0" w:color="D2D2D2"/>
              <w:right w:val="single" w:sz="10"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sz w:val="18"/>
              </w:rPr>
              <w:t>14,010.93</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4" w:hRule="exact"/>
        </w:trPr>
        <w:tc>
          <w:tcPr>
            <w:tcW w:w="17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1" w:type="dxa"/>
            <w:vMerge/>
            <w:tcBorders>
              <w:left w:val="single" w:sz="9" w:space="0" w:color="D2D2D2"/>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326" w:right="0"/>
              <w:jc w:val="left"/>
              <w:rPr>
                <w:rFonts w:ascii="Times New Roman" w:hAnsi="Times New Roman" w:cs="Times New Roman" w:eastAsia="Times New Roman" w:hint="default"/>
                <w:sz w:val="18"/>
                <w:szCs w:val="18"/>
              </w:rPr>
            </w:pPr>
            <w:r>
              <w:rPr>
                <w:rFonts w:ascii="Times New Roman"/>
                <w:sz w:val="18"/>
              </w:rPr>
              <w:t>--</w:t>
            </w:r>
          </w:p>
        </w:tc>
        <w:tc>
          <w:tcPr>
            <w:tcW w:w="781" w:type="dxa"/>
            <w:vMerge/>
            <w:tcBorders>
              <w:left w:val="single" w:sz="10" w:space="0" w:color="D2D2D2"/>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7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8"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 w:type="dxa"/>
            <w:vMerge/>
            <w:tcBorders>
              <w:left w:val="single" w:sz="9"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1" w:type="dxa"/>
            <w:vMerge/>
            <w:tcBorders>
              <w:left w:val="single" w:sz="10" w:space="0" w:color="D2D2D2"/>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5"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17"/>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799" w:type="dxa"/>
            <w:gridSpan w:val="10"/>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6"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7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1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799" w:type="dxa"/>
            <w:gridSpan w:val="10"/>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772" w:type="dxa"/>
            <w:vMerge w:val="restart"/>
            <w:tcBorders>
              <w:top w:val="single" w:sz="4" w:space="0" w:color="000000"/>
              <w:left w:val="single" w:sz="4" w:space="0" w:color="000000"/>
              <w:right w:val="single" w:sz="4" w:space="0" w:color="000000"/>
            </w:tcBorders>
            <w:shd w:val="clear" w:color="auto" w:fill="D2D2D2"/>
          </w:tcPr>
          <w:p>
            <w:pPr/>
          </w:p>
        </w:tc>
        <w:tc>
          <w:tcPr>
            <w:tcW w:w="7799"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05" w:hRule="exact"/>
        </w:trPr>
        <w:tc>
          <w:tcPr>
            <w:tcW w:w="1772" w:type="dxa"/>
            <w:vMerge/>
            <w:tcBorders>
              <w:left w:val="single" w:sz="4" w:space="0" w:color="000000"/>
              <w:bottom w:val="nil" w:sz="6" w:space="0" w:color="auto"/>
              <w:right w:val="single" w:sz="4" w:space="0" w:color="000000"/>
            </w:tcBorders>
            <w:shd w:val="clear" w:color="auto" w:fill="D2D2D2"/>
          </w:tcPr>
          <w:p>
            <w:pPr/>
          </w:p>
        </w:tc>
        <w:tc>
          <w:tcPr>
            <w:tcW w:w="7799" w:type="dxa"/>
            <w:gridSpan w:val="10"/>
            <w:vMerge w:val="restart"/>
            <w:tcBorders>
              <w:top w:val="single" w:sz="4" w:space="0" w:color="000000"/>
              <w:left w:val="single" w:sz="10" w:space="0" w:color="D2D2D2"/>
              <w:right w:val="single" w:sz="4" w:space="0" w:color="000000"/>
            </w:tcBorders>
          </w:tcPr>
          <w:p>
            <w:pPr>
              <w:pStyle w:val="TableParagraph"/>
              <w:spacing w:line="240" w:lineRule="auto" w:before="49"/>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、公司首次公开发行所募得超募资金为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566,973,000.00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元人民币。</w:t>
            </w:r>
          </w:p>
          <w:p>
            <w:pPr>
              <w:pStyle w:val="TableParagraph"/>
              <w:spacing w:line="300" w:lineRule="auto" w:before="103"/>
              <w:ind w:left="16" w:right="1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日，公司第一届董事会第十四次会议审议通过了《关于使用超募资金建设基于 </w:t>
            </w:r>
            <w:r>
              <w:rPr>
                <w:rFonts w:ascii="Times New Roman" w:hAnsi="Times New Roman" w:cs="Times New Roman" w:eastAsia="Times New Roman" w:hint="default"/>
                <w:spacing w:val="-1"/>
                <w:sz w:val="18"/>
                <w:szCs w:val="18"/>
              </w:rPr>
              <w:t>Ladybug3</w:t>
            </w:r>
            <w:r>
              <w:rPr>
                <w:rFonts w:ascii="Times New Roman" w:hAnsi="Times New Roman" w:cs="Times New Roman" w:eastAsia="Times New Roman" w:hint="default"/>
                <w:spacing w:val="15"/>
                <w:sz w:val="18"/>
                <w:szCs w:val="18"/>
              </w:rPr>
              <w:t> </w:t>
            </w:r>
            <w:r>
              <w:rPr>
                <w:rFonts w:ascii="宋体" w:hAnsi="宋体" w:cs="宋体" w:eastAsia="宋体" w:hint="default"/>
                <w:spacing w:val="-6"/>
                <w:sz w:val="18"/>
                <w:szCs w:val="18"/>
              </w:rPr>
              <w:t>的车载激光扫描系统研制、集成和应用项目的议案》，公司使用</w:t>
            </w:r>
            <w:r>
              <w:rPr>
                <w:rFonts w:ascii="宋体" w:hAnsi="宋体" w:cs="宋体" w:eastAsia="宋体" w:hint="default"/>
                <w:spacing w:val="-38"/>
                <w:sz w:val="18"/>
                <w:szCs w:val="18"/>
              </w:rPr>
              <w:t> </w:t>
            </w:r>
            <w:r>
              <w:rPr>
                <w:rFonts w:ascii="Times New Roman" w:hAnsi="Times New Roman" w:cs="Times New Roman" w:eastAsia="Times New Roman" w:hint="default"/>
                <w:spacing w:val="-1"/>
                <w:sz w:val="18"/>
                <w:szCs w:val="18"/>
              </w:rPr>
              <w:t>4,627.72</w:t>
            </w:r>
            <w:r>
              <w:rPr>
                <w:rFonts w:ascii="Times New Roman" w:hAnsi="Times New Roman" w:cs="Times New Roman" w:eastAsia="Times New Roman" w:hint="default"/>
                <w:spacing w:val="16"/>
                <w:sz w:val="18"/>
                <w:szCs w:val="18"/>
              </w:rPr>
              <w:t> </w:t>
            </w:r>
            <w:r>
              <w:rPr>
                <w:rFonts w:ascii="宋体" w:hAnsi="宋体" w:cs="宋体" w:eastAsia="宋体" w:hint="default"/>
                <w:spacing w:val="-1"/>
                <w:sz w:val="18"/>
                <w:szCs w:val="18"/>
              </w:rPr>
              <w:t>万元超募资金建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设基于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Ladybug3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的车载激光扫描系统研制、集成和应用项目，在未来两年内生产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台基于 </w:t>
            </w:r>
            <w:r>
              <w:rPr>
                <w:rFonts w:ascii="Times New Roman" w:hAnsi="Times New Roman" w:cs="Times New Roman" w:eastAsia="Times New Roman" w:hint="default"/>
                <w:sz w:val="18"/>
                <w:szCs w:val="18"/>
              </w:rPr>
              <w:t>Ladybug3  </w:t>
            </w:r>
            <w:r>
              <w:rPr>
                <w:rFonts w:ascii="宋体" w:hAnsi="宋体" w:cs="宋体" w:eastAsia="宋体" w:hint="default"/>
                <w:sz w:val="18"/>
                <w:szCs w:val="18"/>
              </w:rPr>
              <w:t>的车载激光扫描系统和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台便携式激光扫描系统。</w:t>
            </w:r>
          </w:p>
          <w:p>
            <w:pPr>
              <w:pStyle w:val="TableParagraph"/>
              <w:spacing w:line="240" w:lineRule="auto" w:before="51"/>
              <w:ind w:left="16"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2011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日，公司第一届董事会第二十一次会议审议通过《关于利用部分超募资金投资设</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立武汉研发中心的议案</w:t>
            </w:r>
            <w:r>
              <w:rPr>
                <w:rFonts w:ascii="宋体" w:hAnsi="宋体" w:cs="宋体" w:eastAsia="宋体" w:hint="default"/>
                <w:spacing w:val="-92"/>
                <w:sz w:val="18"/>
                <w:szCs w:val="18"/>
              </w:rPr>
              <w:t>》</w:t>
            </w:r>
            <w:r>
              <w:rPr>
                <w:rFonts w:ascii="宋体" w:hAnsi="宋体" w:cs="宋体" w:eastAsia="宋体" w:hint="default"/>
                <w:sz w:val="18"/>
                <w:szCs w:val="18"/>
              </w:rPr>
              <w:t>，公</w:t>
            </w:r>
            <w:r>
              <w:rPr>
                <w:rFonts w:ascii="宋体" w:hAnsi="宋体" w:cs="宋体" w:eastAsia="宋体" w:hint="default"/>
                <w:spacing w:val="2"/>
                <w:sz w:val="18"/>
                <w:szCs w:val="18"/>
              </w:rPr>
              <w:t>司</w:t>
            </w:r>
            <w:r>
              <w:rPr>
                <w:rFonts w:ascii="宋体" w:hAnsi="宋体" w:cs="宋体" w:eastAsia="宋体" w:hint="default"/>
                <w:sz w:val="18"/>
                <w:szCs w:val="18"/>
              </w:rPr>
              <w:t>拟使用</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4</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z w:val="18"/>
                <w:szCs w:val="18"/>
              </w:rPr>
              <w:t>9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万元超募资</w:t>
            </w:r>
            <w:r>
              <w:rPr>
                <w:rFonts w:ascii="宋体" w:hAnsi="宋体" w:cs="宋体" w:eastAsia="宋体" w:hint="default"/>
                <w:spacing w:val="-3"/>
                <w:sz w:val="18"/>
                <w:szCs w:val="18"/>
              </w:rPr>
              <w:t>金</w:t>
            </w:r>
            <w:r>
              <w:rPr>
                <w:rFonts w:ascii="宋体" w:hAnsi="宋体" w:cs="宋体" w:eastAsia="宋体" w:hint="default"/>
                <w:sz w:val="18"/>
                <w:szCs w:val="18"/>
              </w:rPr>
              <w:t>在湖北省武汉市东湖高新区光谷金融</w:t>
            </w:r>
          </w:p>
        </w:tc>
      </w:tr>
      <w:tr>
        <w:trPr>
          <w:trHeight w:val="703" w:hRule="exact"/>
        </w:trPr>
        <w:tc>
          <w:tcPr>
            <w:tcW w:w="17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7799" w:type="dxa"/>
            <w:gridSpan w:val="10"/>
            <w:vMerge/>
            <w:tcBorders>
              <w:left w:val="single" w:sz="10" w:space="0" w:color="D2D2D2"/>
              <w:right w:val="single" w:sz="4" w:space="0" w:color="000000"/>
            </w:tcBorders>
          </w:tcPr>
          <w:p>
            <w:pPr/>
          </w:p>
        </w:tc>
      </w:tr>
      <w:tr>
        <w:trPr>
          <w:trHeight w:val="1008" w:hRule="exact"/>
        </w:trPr>
        <w:tc>
          <w:tcPr>
            <w:tcW w:w="177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9" w:type="dxa"/>
            <w:gridSpan w:val="10"/>
            <w:vMerge/>
            <w:tcBorders>
              <w:left w:val="single" w:sz="10" w:space="0" w:color="D2D2D2"/>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56.459999pt;margin-top:71.999985pt;width:479.2pt;height:691.1pt;mso-position-horizontal-relative:page;mso-position-vertical-relative:page;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70"/>
                    <w:gridCol w:w="7799"/>
                  </w:tblGrid>
                  <w:tr>
                    <w:trPr>
                      <w:trHeight w:val="809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both"/>
                          <w:rPr>
                            <w:rFonts w:ascii="宋体" w:hAnsi="宋体" w:cs="宋体" w:eastAsia="宋体" w:hint="default"/>
                            <w:sz w:val="18"/>
                            <w:szCs w:val="18"/>
                          </w:rPr>
                        </w:pPr>
                        <w:r>
                          <w:rPr>
                            <w:rFonts w:ascii="宋体" w:hAnsi="宋体" w:cs="宋体" w:eastAsia="宋体" w:hint="default"/>
                            <w:sz w:val="18"/>
                            <w:szCs w:val="18"/>
                          </w:rPr>
                          <w:t>港内投资设立武汉研发中心。</w:t>
                        </w:r>
                      </w:p>
                      <w:p>
                        <w:pPr>
                          <w:pStyle w:val="TableParagraph"/>
                          <w:spacing w:line="240" w:lineRule="auto" w:before="117"/>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月审议通过了使用部分超募资金永久性补充流动资金的议案，使用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 </w:t>
                        </w:r>
                        <w:r>
                          <w:rPr>
                            <w:rFonts w:ascii="宋体" w:hAnsi="宋体" w:cs="宋体" w:eastAsia="宋体" w:hint="default"/>
                            <w:sz w:val="18"/>
                            <w:szCs w:val="18"/>
                          </w:rPr>
                          <w:t>万元超募资</w:t>
                        </w:r>
                      </w:p>
                      <w:p>
                        <w:pPr>
                          <w:pStyle w:val="TableParagraph"/>
                          <w:spacing w:line="240" w:lineRule="auto" w:before="63"/>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金永久补充流动资金，有利于缓解流动资金的需求压力，提升募集资金使用效率。公司已于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2012</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年完成该次超募资金补充流动资金。</w:t>
                        </w:r>
                      </w:p>
                      <w:p>
                        <w:pPr>
                          <w:pStyle w:val="TableParagraph"/>
                          <w:spacing w:line="300" w:lineRule="auto" w:before="115"/>
                          <w:ind w:left="24" w:right="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2012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日，公司第二届董事会第五次会议审议通过《关于使用部分超募资金设立全资子 </w:t>
                        </w:r>
                        <w:r>
                          <w:rPr>
                            <w:rFonts w:ascii="宋体" w:hAnsi="宋体" w:cs="宋体" w:eastAsia="宋体" w:hint="default"/>
                            <w:spacing w:val="-3"/>
                            <w:sz w:val="18"/>
                            <w:szCs w:val="18"/>
                          </w:rPr>
                          <w:t>公司的议案》。为了进一步充分利用公司的技术和市场优势，提高超募资金的使用效率</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及为了更好</w:t>
                        </w:r>
                        <w:r>
                          <w:rPr>
                            <w:rFonts w:ascii="宋体" w:hAnsi="宋体" w:cs="宋体" w:eastAsia="宋体" w:hint="default"/>
                            <w:spacing w:val="-47"/>
                            <w:sz w:val="18"/>
                            <w:szCs w:val="18"/>
                          </w:rPr>
                          <w:t> </w:t>
                        </w:r>
                        <w:r>
                          <w:rPr>
                            <w:rFonts w:ascii="宋体" w:hAnsi="宋体" w:cs="宋体" w:eastAsia="宋体" w:hint="default"/>
                            <w:sz w:val="18"/>
                            <w:szCs w:val="18"/>
                          </w:rPr>
                          <w:t>地开展公司各项业务和取得与之对应的业务资质，公司使用超募资金投资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万元设立北京数字 政通信息技术有限公司，公司已完成子公司的工商登记工作。</w:t>
                        </w:r>
                      </w:p>
                      <w:p>
                        <w:pPr>
                          <w:pStyle w:val="TableParagraph"/>
                          <w:spacing w:line="312" w:lineRule="auto" w:before="72"/>
                          <w:ind w:left="24" w:right="19"/>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 </w:t>
                        </w:r>
                        <w:r>
                          <w:rPr>
                            <w:rFonts w:ascii="宋体" w:hAnsi="宋体" w:cs="宋体" w:eastAsia="宋体" w:hint="default"/>
                            <w:spacing w:val="-5"/>
                            <w:sz w:val="18"/>
                            <w:szCs w:val="18"/>
                          </w:rPr>
                          <w:t>日，</w:t>
                        </w:r>
                        <w:r>
                          <w:rPr>
                            <w:rFonts w:ascii="Times New Roman" w:hAnsi="Times New Roman" w:cs="Times New Roman" w:eastAsia="Times New Roman" w:hint="default"/>
                            <w:spacing w:val="-5"/>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年第三次临时股东大会审议通过使用超募资金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10,440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万元收购汉王科 技股份有限公司全资子公司北京汉王智通科技有限公司</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的股权，此次收购是为了加强公司在智 慧城市顶层设计领域的技术实力，并在智能交通和平安城市领域内挖掘新的业务成长点，完善和增 加公司的产品线，提升专业技术服务能力。同时可以与公司现有数字化城市管理、创新社会管理等 业务有机结合，为公司已有的二百多家城市客户提供更多的产品和服务，在智慧城市的蓝海市场提 升公司的综合竞争实力，获得更大的市场价值，为股东奉献更多的回报。公司已完成对其收购。</w:t>
                        </w:r>
                      </w:p>
                      <w:p>
                        <w:pPr>
                          <w:pStyle w:val="TableParagraph"/>
                          <w:spacing w:line="240" w:lineRule="auto" w:before="63"/>
                          <w:ind w:left="24" w:right="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7</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日，公司召开第二届董事会第三十四次会议审议通过《关于使用部分超募资金永</w:t>
                        </w:r>
                      </w:p>
                      <w:p>
                        <w:pPr>
                          <w:pStyle w:val="TableParagraph"/>
                          <w:spacing w:line="240" w:lineRule="auto" w:before="63"/>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久性补充流动资金的议案</w:t>
                        </w:r>
                        <w:r>
                          <w:rPr>
                            <w:rFonts w:ascii="宋体" w:hAnsi="宋体" w:cs="宋体" w:eastAsia="宋体" w:hint="default"/>
                            <w:spacing w:val="-92"/>
                            <w:sz w:val="18"/>
                            <w:szCs w:val="18"/>
                          </w:rPr>
                          <w:t>》</w:t>
                        </w:r>
                        <w:r>
                          <w:rPr>
                            <w:rFonts w:ascii="宋体" w:hAnsi="宋体" w:cs="宋体" w:eastAsia="宋体" w:hint="default"/>
                            <w:spacing w:val="-44"/>
                            <w:sz w:val="18"/>
                            <w:szCs w:val="18"/>
                          </w:rPr>
                          <w:t>，</w:t>
                        </w:r>
                        <w:r>
                          <w:rPr>
                            <w:rFonts w:ascii="宋体" w:hAnsi="宋体" w:cs="宋体" w:eastAsia="宋体" w:hint="default"/>
                            <w:sz w:val="18"/>
                            <w:szCs w:val="18"/>
                          </w:rPr>
                          <w:t>使用超募资金人民币</w:t>
                        </w:r>
                        <w:r>
                          <w:rPr>
                            <w:rFonts w:ascii="宋体" w:hAnsi="宋体" w:cs="宋体" w:eastAsia="宋体" w:hint="default"/>
                            <w:spacing w:val="2"/>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0  </w:t>
                        </w:r>
                        <w:r>
                          <w:rPr>
                            <w:rFonts w:ascii="宋体" w:hAnsi="宋体" w:cs="宋体" w:eastAsia="宋体" w:hint="default"/>
                            <w:spacing w:val="-3"/>
                            <w:sz w:val="18"/>
                            <w:szCs w:val="18"/>
                          </w:rPr>
                          <w:t>万</w:t>
                        </w:r>
                        <w:r>
                          <w:rPr>
                            <w:rFonts w:ascii="宋体" w:hAnsi="宋体" w:cs="宋体" w:eastAsia="宋体" w:hint="default"/>
                            <w:sz w:val="18"/>
                            <w:szCs w:val="18"/>
                          </w:rPr>
                          <w:t>元永久性补充流动资金</w:t>
                        </w:r>
                        <w:r>
                          <w:rPr>
                            <w:rFonts w:ascii="宋体" w:hAnsi="宋体" w:cs="宋体" w:eastAsia="宋体" w:hint="default"/>
                            <w:spacing w:val="-44"/>
                            <w:sz w:val="18"/>
                            <w:szCs w:val="18"/>
                          </w:rPr>
                          <w:t>。</w:t>
                        </w:r>
                        <w:r>
                          <w:rPr>
                            <w:rFonts w:ascii="宋体" w:hAnsi="宋体" w:cs="宋体" w:eastAsia="宋体" w:hint="default"/>
                            <w:sz w:val="18"/>
                            <w:szCs w:val="18"/>
                          </w:rPr>
                          <w:t>公司已于</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5</w:t>
                        </w:r>
                      </w:p>
                      <w:p>
                        <w:pPr>
                          <w:pStyle w:val="TableParagraph"/>
                          <w:spacing w:line="240" w:lineRule="auto" w:before="63"/>
                          <w:ind w:left="24" w:right="0"/>
                          <w:jc w:val="both"/>
                          <w:rPr>
                            <w:rFonts w:ascii="宋体" w:hAnsi="宋体" w:cs="宋体" w:eastAsia="宋体" w:hint="default"/>
                            <w:sz w:val="18"/>
                            <w:szCs w:val="18"/>
                          </w:rPr>
                        </w:pPr>
                        <w:r>
                          <w:rPr>
                            <w:rFonts w:ascii="宋体" w:hAnsi="宋体" w:cs="宋体" w:eastAsia="宋体" w:hint="default"/>
                            <w:sz w:val="18"/>
                            <w:szCs w:val="18"/>
                          </w:rPr>
                          <w:t>年完成该次超募资金补充流动资金。</w:t>
                        </w:r>
                      </w:p>
                      <w:p>
                        <w:pPr>
                          <w:pStyle w:val="TableParagraph"/>
                          <w:spacing w:line="309" w:lineRule="auto" w:before="115"/>
                          <w:ind w:left="24" w:right="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8</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日，公司召开第二届董事会第三十五次会议审议通过了《关于使用节余募集资金 </w:t>
                        </w:r>
                        <w:r>
                          <w:rPr>
                            <w:rFonts w:ascii="宋体" w:hAnsi="宋体" w:cs="宋体" w:eastAsia="宋体" w:hint="default"/>
                            <w:spacing w:val="-5"/>
                            <w:sz w:val="18"/>
                            <w:szCs w:val="18"/>
                          </w:rPr>
                          <w:t>增资北京天健源达科技有限公司暨关联交易的议案》，北京天健源达科技有限公司拟从外商独资企业</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变更为内资企业或中外合资企业，变更完毕后，拟增资人民币 </w:t>
                        </w:r>
                        <w:r>
                          <w:rPr>
                            <w:rFonts w:ascii="Times New Roman" w:hAnsi="Times New Roman" w:cs="Times New Roman" w:eastAsia="Times New Roman" w:hint="default"/>
                            <w:sz w:val="18"/>
                            <w:szCs w:val="18"/>
                          </w:rPr>
                          <w:t>11,000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万元，由北京数字政通科技 股份有限公司及其他第三方以现金的方式进行认购，北京数字政通科技股份有限公司拟使用募集资 金认购其中</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4,000 </w:t>
                        </w:r>
                        <w:r>
                          <w:rPr>
                            <w:rFonts w:ascii="宋体" w:hAnsi="宋体" w:cs="宋体" w:eastAsia="宋体" w:hint="default"/>
                            <w:sz w:val="18"/>
                            <w:szCs w:val="18"/>
                          </w:rPr>
                          <w:t>万元，已于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年第三季度完成款项支付。</w:t>
                        </w:r>
                      </w:p>
                      <w:p>
                        <w:pPr>
                          <w:pStyle w:val="TableParagraph"/>
                          <w:spacing w:line="240" w:lineRule="auto" w:before="46"/>
                          <w:ind w:left="24" w:right="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9</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日，公司召开第三届董事会第六次会议审议通过了《关于使用节余超募资金支付</w:t>
                        </w:r>
                      </w:p>
                      <w:p>
                        <w:pPr>
                          <w:pStyle w:val="TableParagraph"/>
                          <w:spacing w:line="300" w:lineRule="auto" w:before="63"/>
                          <w:ind w:left="24" w:right="65"/>
                          <w:jc w:val="both"/>
                          <w:rPr>
                            <w:rFonts w:ascii="宋体" w:hAnsi="宋体" w:cs="宋体" w:eastAsia="宋体" w:hint="default"/>
                            <w:sz w:val="18"/>
                            <w:szCs w:val="18"/>
                          </w:rPr>
                        </w:pPr>
                        <w:r>
                          <w:rPr>
                            <w:rFonts w:ascii="宋体" w:hAnsi="宋体" w:cs="宋体" w:eastAsia="宋体" w:hint="default"/>
                            <w:spacing w:val="-5"/>
                            <w:sz w:val="18"/>
                            <w:szCs w:val="18"/>
                          </w:rPr>
                          <w:t>国有股权竞拍并购款》，公司拟使用超募资金</w:t>
                        </w:r>
                        <w:r>
                          <w:rPr>
                            <w:rFonts w:ascii="宋体" w:hAnsi="宋体" w:cs="宋体" w:eastAsia="宋体" w:hint="default"/>
                            <w:spacing w:val="-31"/>
                            <w:sz w:val="18"/>
                            <w:szCs w:val="18"/>
                          </w:rPr>
                          <w:t> </w:t>
                        </w:r>
                        <w:r>
                          <w:rPr>
                            <w:rFonts w:ascii="Times New Roman" w:hAnsi="Times New Roman" w:cs="Times New Roman" w:eastAsia="Times New Roman" w:hint="default"/>
                            <w:spacing w:val="-1"/>
                            <w:sz w:val="18"/>
                            <w:szCs w:val="18"/>
                          </w:rPr>
                          <w:t>18,000</w:t>
                        </w:r>
                        <w:r>
                          <w:rPr>
                            <w:rFonts w:ascii="Times New Roman" w:hAnsi="Times New Roman" w:cs="Times New Roman" w:eastAsia="Times New Roman" w:hint="default"/>
                            <w:spacing w:val="15"/>
                            <w:sz w:val="18"/>
                            <w:szCs w:val="18"/>
                          </w:rPr>
                          <w:t> </w:t>
                        </w:r>
                        <w:r>
                          <w:rPr>
                            <w:rFonts w:ascii="宋体" w:hAnsi="宋体" w:cs="宋体" w:eastAsia="宋体" w:hint="default"/>
                            <w:spacing w:val="-1"/>
                            <w:sz w:val="18"/>
                            <w:szCs w:val="18"/>
                          </w:rPr>
                          <w:t>万元支付竞拍保定金迪地下管线探测工程有限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公司和保定市金迪科技开发有限公司各</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股权产生的部分并购款。并购款已于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年完成支付</w:t>
                        </w:r>
                      </w:p>
                    </w:tc>
                  </w:tr>
                  <w:tr>
                    <w:trPr>
                      <w:trHeight w:val="401"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2"/>
                            <w:szCs w:val="22"/>
                          </w:rPr>
                        </w:pPr>
                      </w:p>
                      <w:p>
                        <w:pPr>
                          <w:pStyle w:val="TableParagraph"/>
                          <w:spacing w:line="316" w:lineRule="auto"/>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70" w:type="dxa"/>
                        <w:vMerge/>
                        <w:tcBorders>
                          <w:left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2"/>
                            <w:szCs w:val="22"/>
                          </w:rPr>
                        </w:pPr>
                      </w:p>
                      <w:p>
                        <w:pPr>
                          <w:pStyle w:val="TableParagraph"/>
                          <w:spacing w:line="319" w:lineRule="auto"/>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770" w:type="dxa"/>
                        <w:vMerge/>
                        <w:tcBorders>
                          <w:left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70" w:type="dxa"/>
                        <w:vMerge/>
                        <w:tcBorders>
                          <w:left w:val="single" w:sz="4" w:space="0" w:color="000000"/>
                          <w:bottom w:val="single" w:sz="4" w:space="0" w:color="FFFFFF"/>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FFFFFF"/>
                          <w:right w:val="single" w:sz="4" w:space="0" w:color="000000"/>
                        </w:tcBorders>
                      </w:tcPr>
                      <w:p>
                        <w:pPr/>
                      </w:p>
                    </w:tc>
                  </w:tr>
                  <w:tr>
                    <w:trPr>
                      <w:trHeight w:val="401" w:hRule="exact"/>
                    </w:trPr>
                    <w:tc>
                      <w:tcPr>
                        <w:tcW w:w="1770" w:type="dxa"/>
                        <w:vMerge w:val="restart"/>
                        <w:tcBorders>
                          <w:top w:val="single" w:sz="4" w:space="0" w:color="FFFFFF"/>
                          <w:left w:val="single" w:sz="4" w:space="0" w:color="000000"/>
                          <w:right w:val="single" w:sz="4" w:space="0" w:color="000000"/>
                        </w:tcBorders>
                        <w:shd w:val="clear" w:color="auto" w:fill="D2D2D2"/>
                      </w:tcPr>
                      <w:p>
                        <w:pPr>
                          <w:pStyle w:val="TableParagraph"/>
                          <w:spacing w:line="314" w:lineRule="auto" w:before="94"/>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79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3" w:hRule="exact"/>
                    </w:trPr>
                    <w:tc>
                      <w:tcPr>
                        <w:tcW w:w="1770" w:type="dxa"/>
                        <w:vMerge/>
                        <w:tcBorders>
                          <w:left w:val="single" w:sz="4" w:space="0" w:color="000000"/>
                          <w:bottom w:val="single" w:sz="4" w:space="0" w:color="FFFFFF"/>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17</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
                            <w:sz w:val="18"/>
                            <w:szCs w:val="18"/>
                          </w:rPr>
                          <w:t>12</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
                            <w:sz w:val="18"/>
                            <w:szCs w:val="18"/>
                          </w:rPr>
                          <w:t>31</w:t>
                        </w:r>
                        <w:r>
                          <w:rPr>
                            <w:rFonts w:ascii="宋体" w:hAnsi="宋体" w:cs="宋体" w:eastAsia="宋体" w:hint="default"/>
                            <w:spacing w:val="-92"/>
                            <w:sz w:val="18"/>
                            <w:szCs w:val="18"/>
                          </w:rPr>
                          <w:t>，</w:t>
                        </w:r>
                        <w:r>
                          <w:rPr>
                            <w:rFonts w:ascii="宋体" w:hAnsi="宋体" w:cs="宋体" w:eastAsia="宋体" w:hint="default"/>
                            <w:sz w:val="18"/>
                            <w:szCs w:val="18"/>
                          </w:rPr>
                          <w:t>公司以募集</w:t>
                        </w:r>
                        <w:r>
                          <w:rPr>
                            <w:rFonts w:ascii="宋体" w:hAnsi="宋体" w:cs="宋体" w:eastAsia="宋体" w:hint="default"/>
                            <w:spacing w:val="-3"/>
                            <w:sz w:val="18"/>
                            <w:szCs w:val="18"/>
                          </w:rPr>
                          <w:t>资</w:t>
                        </w:r>
                        <w:r>
                          <w:rPr>
                            <w:rFonts w:ascii="宋体" w:hAnsi="宋体" w:cs="宋体" w:eastAsia="宋体" w:hint="default"/>
                            <w:sz w:val="18"/>
                            <w:szCs w:val="18"/>
                          </w:rPr>
                          <w:t>金置换预先已投入募集资金投资项目的自筹资金为</w:t>
                        </w:r>
                        <w:r>
                          <w:rPr>
                            <w:rFonts w:ascii="宋体" w:hAnsi="宋体" w:cs="宋体" w:eastAsia="宋体" w:hint="default"/>
                            <w:spacing w:val="-53"/>
                            <w:sz w:val="18"/>
                            <w:szCs w:val="18"/>
                          </w:rPr>
                          <w:t> </w:t>
                        </w:r>
                        <w:r>
                          <w:rPr>
                            <w:rFonts w:ascii="Times New Roman" w:hAnsi="Times New Roman" w:cs="Times New Roman" w:eastAsia="Times New Roman" w:hint="default"/>
                            <w:spacing w:val="1"/>
                            <w:sz w:val="18"/>
                            <w:szCs w:val="18"/>
                          </w:rPr>
                          <w:t>67</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w:t>
                        </w:r>
                      </w:p>
                    </w:tc>
                  </w:tr>
                  <w:tr>
                    <w:trPr>
                      <w:trHeight w:val="401" w:hRule="exact"/>
                    </w:trPr>
                    <w:tc>
                      <w:tcPr>
                        <w:tcW w:w="1770" w:type="dxa"/>
                        <w:vMerge w:val="restart"/>
                        <w:tcBorders>
                          <w:top w:val="single" w:sz="4" w:space="0" w:color="FFFFFF"/>
                          <w:left w:val="single" w:sz="4" w:space="0" w:color="000000"/>
                          <w:right w:val="single" w:sz="4" w:space="0" w:color="000000"/>
                        </w:tcBorders>
                        <w:shd w:val="clear" w:color="auto" w:fill="D2D2D2"/>
                      </w:tcPr>
                      <w:p>
                        <w:pPr>
                          <w:pStyle w:val="TableParagraph"/>
                          <w:spacing w:line="314" w:lineRule="auto" w:before="94"/>
                          <w:ind w:left="22" w:right="117"/>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79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316" w:lineRule="auto"/>
                          <w:ind w:left="22" w:right="117"/>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299"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日，公司四项承诺募投项目均已达到预定可使用状态。截止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p>
                      <w:p>
                        <w:pPr>
                          <w:pStyle w:val="TableParagraph"/>
                          <w:spacing w:line="309" w:lineRule="auto" w:before="63"/>
                          <w:ind w:left="24" w:right="22"/>
                          <w:jc w:val="both"/>
                          <w:rPr>
                            <w:rFonts w:ascii="宋体" w:hAnsi="宋体" w:cs="宋体" w:eastAsia="宋体" w:hint="default"/>
                            <w:sz w:val="18"/>
                            <w:szCs w:val="18"/>
                          </w:rPr>
                        </w:pPr>
                        <w:r>
                          <w:rPr>
                            <w:rFonts w:ascii="宋体" w:hAnsi="宋体" w:cs="宋体" w:eastAsia="宋体" w:hint="default"/>
                            <w:sz w:val="18"/>
                            <w:szCs w:val="18"/>
                          </w:rPr>
                          <w:t>日，募集资金结余（含募集资金专户利息）共计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3,176.69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万元。出现结余的主要原因是募投项目建 设过程中，公司充分结合现有的设备配置与自身的技术优势和经验，对募投项目的研发和生产环节 进行优化，使得研发测试和生产设备的固定资产投入较计划投入大幅减少，减少了项目总开支。同</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2"/>
          <w:szCs w:val="22"/>
        </w:rPr>
      </w:pPr>
    </w:p>
    <w:p>
      <w:pPr>
        <w:spacing w:before="44"/>
        <w:ind w:left="0" w:right="158"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90"/>
        <w:ind w:left="0" w:right="156"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70"/>
        <w:gridCol w:w="7799"/>
      </w:tblGrid>
      <w:tr>
        <w:trPr>
          <w:trHeight w:val="675"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22"/>
              <w:jc w:val="left"/>
              <w:rPr>
                <w:rFonts w:ascii="宋体" w:hAnsi="宋体" w:cs="宋体" w:eastAsia="宋体" w:hint="default"/>
                <w:sz w:val="18"/>
                <w:szCs w:val="18"/>
              </w:rPr>
            </w:pPr>
            <w:r>
              <w:rPr>
                <w:rFonts w:ascii="宋体" w:hAnsi="宋体" w:cs="宋体" w:eastAsia="宋体" w:hint="default"/>
                <w:sz w:val="18"/>
                <w:szCs w:val="18"/>
              </w:rPr>
              <w:t>时，在项目建设过程中，公司坚持谨慎、节约的原则，对市场进行充分调研，在保证项目质量的前 提下，对部分设备进行集中采购，降低设备采购成本。</w:t>
            </w:r>
          </w:p>
        </w:tc>
      </w:tr>
      <w:tr>
        <w:trPr>
          <w:trHeight w:val="713"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17"/>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存放于募集资金专户。</w:t>
            </w:r>
          </w:p>
        </w:tc>
      </w:tr>
      <w:tr>
        <w:trPr>
          <w:trHeight w:val="1027"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17"/>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）募集资金变更项目情况</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before="44"/>
        <w:ind w:left="0" w:right="153" w:firstLine="0"/>
        <w:jc w:val="right"/>
        <w:rPr>
          <w:rFonts w:ascii="宋体" w:hAnsi="宋体" w:cs="宋体" w:eastAsia="宋体" w:hint="default"/>
          <w:sz w:val="18"/>
          <w:szCs w:val="18"/>
        </w:rPr>
      </w:pPr>
      <w:r>
        <w:rPr/>
        <w:pict>
          <v:shape style="position:absolute;margin-left:56.459999pt;margin-top:-295.01828pt;width:479.35pt;height:448.7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57"/>
                    <w:gridCol w:w="958"/>
                    <w:gridCol w:w="958"/>
                    <w:gridCol w:w="958"/>
                    <w:gridCol w:w="958"/>
                    <w:gridCol w:w="956"/>
                    <w:gridCol w:w="958"/>
                    <w:gridCol w:w="955"/>
                    <w:gridCol w:w="958"/>
                    <w:gridCol w:w="958"/>
                  </w:tblGrid>
                  <w:tr>
                    <w:trPr>
                      <w:trHeight w:val="1337" w:hRule="exact"/>
                    </w:trPr>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383" w:right="22" w:hanging="361"/>
                          <w:jc w:val="left"/>
                          <w:rPr>
                            <w:rFonts w:ascii="宋体" w:hAnsi="宋体" w:cs="宋体" w:eastAsia="宋体" w:hint="default"/>
                            <w:sz w:val="18"/>
                            <w:szCs w:val="18"/>
                          </w:rPr>
                        </w:pPr>
                        <w:r>
                          <w:rPr>
                            <w:rFonts w:ascii="宋体" w:hAnsi="宋体" w:cs="宋体" w:eastAsia="宋体" w:hint="default"/>
                            <w:sz w:val="18"/>
                            <w:szCs w:val="18"/>
                          </w:rPr>
                          <w:t>变更后的项 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04" w:right="23" w:hanging="180"/>
                          <w:jc w:val="left"/>
                          <w:rPr>
                            <w:rFonts w:ascii="宋体" w:hAnsi="宋体" w:cs="宋体" w:eastAsia="宋体" w:hint="default"/>
                            <w:sz w:val="18"/>
                            <w:szCs w:val="18"/>
                          </w:rPr>
                        </w:pPr>
                        <w:r>
                          <w:rPr>
                            <w:rFonts w:ascii="宋体" w:hAnsi="宋体" w:cs="宋体" w:eastAsia="宋体" w:hint="default"/>
                            <w:sz w:val="18"/>
                            <w:szCs w:val="18"/>
                          </w:rPr>
                          <w:t>对应的原承 诺项目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exact" w:before="9"/>
                          <w:ind w:left="23" w:right="22"/>
                          <w:jc w:val="center"/>
                          <w:rPr>
                            <w:rFonts w:ascii="Times New Roman" w:hAnsi="Times New Roman" w:cs="Times New Roman" w:eastAsia="Times New Roman" w:hint="default"/>
                            <w:sz w:val="18"/>
                            <w:szCs w:val="18"/>
                          </w:rPr>
                        </w:pPr>
                        <w:r>
                          <w:rPr>
                            <w:rFonts w:ascii="宋体" w:hAnsi="宋体" w:cs="宋体" w:eastAsia="宋体" w:hint="default"/>
                            <w:sz w:val="18"/>
                            <w:szCs w:val="18"/>
                          </w:rPr>
                          <w:t>变更后项目 拟投入募集 资金总额 </w:t>
                        </w:r>
                        <w:r>
                          <w:rPr>
                            <w:rFonts w:ascii="Times New Roman" w:hAnsi="Times New Roman" w:cs="Times New Roman" w:eastAsia="Times New Roman" w:hint="default"/>
                            <w:sz w:val="18"/>
                            <w:szCs w:val="18"/>
                          </w:rPr>
                          <w:t>(1)</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23"/>
                          <w:jc w:val="left"/>
                          <w:rPr>
                            <w:rFonts w:ascii="宋体" w:hAnsi="宋体" w:cs="宋体" w:eastAsia="宋体" w:hint="default"/>
                            <w:sz w:val="18"/>
                            <w:szCs w:val="18"/>
                          </w:rPr>
                        </w:pPr>
                        <w:r>
                          <w:rPr>
                            <w:rFonts w:ascii="宋体" w:hAnsi="宋体" w:cs="宋体" w:eastAsia="宋体" w:hint="default"/>
                            <w:sz w:val="18"/>
                            <w:szCs w:val="18"/>
                          </w:rPr>
                          <w:t>本报告期实 际投入金额</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截至期末实 际累计投入 金额</w:t>
                        </w:r>
                        <w:r>
                          <w:rPr>
                            <w:rFonts w:ascii="Times New Roman" w:hAnsi="Times New Roman" w:cs="Times New Roman" w:eastAsia="Times New Roman" w:hint="default"/>
                            <w:sz w:val="18"/>
                            <w:szCs w:val="18"/>
                          </w:rPr>
                          <w:t>(2)</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38" w:lineRule="auto"/>
                          <w:ind w:left="23" w:right="21"/>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 </w:t>
                        </w:r>
                        <w:r>
                          <w:rPr>
                            <w:rFonts w:ascii="Times New Roman" w:hAnsi="Times New Roman" w:cs="Times New Roman" w:eastAsia="Times New Roman" w:hint="default"/>
                            <w:sz w:val="18"/>
                            <w:szCs w:val="18"/>
                          </w:rPr>
                          <w:t>(3)=(2)/(1)</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3"/>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12" w:right="19" w:hanging="89"/>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04" w:right="22" w:hanging="181"/>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 w:right="23"/>
                          <w:jc w:val="center"/>
                          <w:rPr>
                            <w:rFonts w:ascii="宋体" w:hAnsi="宋体" w:cs="宋体" w:eastAsia="宋体" w:hint="default"/>
                            <w:sz w:val="18"/>
                            <w:szCs w:val="18"/>
                          </w:rPr>
                        </w:pPr>
                        <w:r>
                          <w:rPr>
                            <w:rFonts w:ascii="宋体" w:hAnsi="宋体" w:cs="宋体" w:eastAsia="宋体" w:hint="default"/>
                            <w:sz w:val="18"/>
                            <w:szCs w:val="18"/>
                          </w:rPr>
                          <w:t>变更后的项 目可行性是 否发生重大 变化</w:t>
                        </w:r>
                      </w:p>
                    </w:tc>
                  </w:tr>
                  <w:tr>
                    <w:trPr>
                      <w:trHeight w:val="1652" w:hRule="exact"/>
                    </w:trPr>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 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 慧城市综合 信息服务及 运营项目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4" w:right="23"/>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 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 城市综合信 息服务及运 营项目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37,810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7,460.64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7,460.64</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19.73%</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315.2</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37,810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7,460.64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7,460.64</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13" w:right="0"/>
                          <w:jc w:val="left"/>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5"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315.2</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148" w:hRule="exact"/>
                    </w:trPr>
                    <w:tc>
                      <w:tcPr>
                        <w:tcW w:w="287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18"/>
                          <w:ind w:left="22" w:right="24"/>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变更原因、决策程序及信息披露情况</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说明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3"/>
                          <w:jc w:val="left"/>
                          <w:rPr>
                            <w:rFonts w:ascii="宋体" w:hAnsi="宋体" w:cs="宋体" w:eastAsia="宋体" w:hint="default"/>
                            <w:sz w:val="18"/>
                            <w:szCs w:val="18"/>
                          </w:rPr>
                        </w:pPr>
                        <w:r>
                          <w:rPr>
                            <w:rFonts w:ascii="宋体" w:hAnsi="宋体" w:cs="宋体" w:eastAsia="宋体" w:hint="default"/>
                            <w:sz w:val="18"/>
                            <w:szCs w:val="18"/>
                          </w:rPr>
                          <w:t>公司着力整合技术和市场资源、加强本地化运营和服务团队建设，并综合考虑项目实 施的优先次序对资金使用做出合理安排。根据项目的具体进展情况，鉴于公司与贵阳 市乌当区国有独资企业</w:t>
                        </w:r>
                        <w:r>
                          <w:rPr>
                            <w:rFonts w:ascii="Times New Roman" w:hAnsi="Times New Roman" w:cs="Times New Roman" w:eastAsia="Times New Roman" w:hint="default"/>
                            <w:sz w:val="18"/>
                            <w:szCs w:val="18"/>
                          </w:rPr>
                          <w:t>——</w:t>
                        </w:r>
                        <w:r>
                          <w:rPr>
                            <w:rFonts w:ascii="宋体" w:hAnsi="宋体" w:cs="宋体" w:eastAsia="宋体" w:hint="default"/>
                            <w:sz w:val="18"/>
                            <w:szCs w:val="18"/>
                          </w:rPr>
                          <w:t>贵州智源信息产业孵化基地有限公司所签订的</w:t>
                        </w:r>
                        <w:r>
                          <w:rPr>
                            <w:rFonts w:ascii="Times New Roman" w:hAnsi="Times New Roman" w:cs="Times New Roman" w:eastAsia="Times New Roman" w:hint="default"/>
                            <w:sz w:val="18"/>
                            <w:szCs w:val="18"/>
                          </w:rPr>
                          <w:t>“</w:t>
                        </w:r>
                        <w:r>
                          <w:rPr>
                            <w:rFonts w:ascii="宋体" w:hAnsi="宋体" w:cs="宋体" w:eastAsia="宋体" w:hint="default"/>
                            <w:sz w:val="18"/>
                            <w:szCs w:val="18"/>
                          </w:rPr>
                          <w:t>智慧乌当</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项目涉及部门众多，系统较为复杂，仍处于方案设计期间，尚未实际投入建设资金， 为提高资金使用效率和项目的投资收益率，于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日召开第三届董事会 </w:t>
                        </w:r>
                        <w:r>
                          <w:rPr>
                            <w:rFonts w:ascii="宋体" w:hAnsi="宋体" w:cs="宋体" w:eastAsia="宋体" w:hint="default"/>
                            <w:spacing w:val="-3"/>
                            <w:sz w:val="18"/>
                            <w:szCs w:val="18"/>
                          </w:rPr>
                          <w:t>第三十二次会议，审议通过了《关于变更部分募集资金用途的议案》。同意将</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新一代</w:t>
                        </w:r>
                      </w:p>
                      <w:p>
                        <w:pPr>
                          <w:pStyle w:val="TableParagraph"/>
                          <w:spacing w:line="300" w:lineRule="auto" w:before="5"/>
                          <w:ind w:left="23" w:right="3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智慧城市综合信息服务及运营项目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中原用于投入</w:t>
                        </w:r>
                        <w:r>
                          <w:rPr>
                            <w:rFonts w:ascii="Times New Roman" w:hAnsi="Times New Roman" w:cs="Times New Roman" w:eastAsia="Times New Roman" w:hint="default"/>
                            <w:sz w:val="18"/>
                            <w:szCs w:val="18"/>
                          </w:rPr>
                          <w:t>“</w:t>
                        </w:r>
                        <w:r>
                          <w:rPr>
                            <w:rFonts w:ascii="宋体" w:hAnsi="宋体" w:cs="宋体" w:eastAsia="宋体" w:hint="default"/>
                            <w:sz w:val="18"/>
                            <w:szCs w:val="18"/>
                          </w:rPr>
                          <w:t>智慧乌当</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15,500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万元 变更用途用于</w:t>
                        </w:r>
                        <w:r>
                          <w:rPr>
                            <w:rFonts w:ascii="Times New Roman" w:hAnsi="Times New Roman" w:cs="Times New Roman" w:eastAsia="Times New Roman" w:hint="default"/>
                            <w:sz w:val="18"/>
                            <w:szCs w:val="18"/>
                          </w:rPr>
                          <w:t>“</w:t>
                        </w:r>
                        <w:r>
                          <w:rPr>
                            <w:rFonts w:ascii="宋体" w:hAnsi="宋体" w:cs="宋体" w:eastAsia="宋体" w:hint="default"/>
                            <w:sz w:val="18"/>
                            <w:szCs w:val="18"/>
                          </w:rPr>
                          <w:t>江西省大余县智慧亮化路灯节能改造项目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宁德市网格化服务管理 信息平台和宁德市政务云计算中心项目</w:t>
                        </w:r>
                        <w:r>
                          <w:rPr>
                            <w:rFonts w:ascii="Times New Roman" w:hAnsi="Times New Roman" w:cs="Times New Roman" w:eastAsia="Times New Roman" w:hint="default"/>
                            <w:sz w:val="18"/>
                            <w:szCs w:val="18"/>
                          </w:rPr>
                          <w:t>”</w:t>
                        </w:r>
                        <w:r>
                          <w:rPr>
                            <w:rFonts w:ascii="宋体" w:hAnsi="宋体" w:cs="宋体" w:eastAsia="宋体" w:hint="default"/>
                            <w:sz w:val="18"/>
                            <w:szCs w:val="18"/>
                          </w:rPr>
                          <w:t>。本次变更项目涉及的总金额为</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15,500</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万元</w:t>
                        </w:r>
                      </w:p>
                      <w:p>
                        <w:pPr>
                          <w:pStyle w:val="TableParagraph"/>
                          <w:spacing w:line="307" w:lineRule="auto" w:before="13"/>
                          <w:ind w:left="23" w:right="29"/>
                          <w:jc w:val="left"/>
                          <w:rPr>
                            <w:rFonts w:ascii="宋体" w:hAnsi="宋体" w:cs="宋体" w:eastAsia="宋体" w:hint="default"/>
                            <w:sz w:val="18"/>
                            <w:szCs w:val="18"/>
                          </w:rPr>
                        </w:pPr>
                        <w:r>
                          <w:rPr>
                            <w:rFonts w:ascii="宋体" w:hAnsi="宋体" w:cs="宋体" w:eastAsia="宋体" w:hint="default"/>
                            <w:sz w:val="18"/>
                            <w:szCs w:val="18"/>
                          </w:rPr>
                          <w:t>占上述非公开发行募集资金总额的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28.81%</w:t>
                        </w:r>
                        <w:r>
                          <w:rPr>
                            <w:rFonts w:ascii="宋体" w:hAnsi="宋体" w:cs="宋体" w:eastAsia="宋体" w:hint="default"/>
                            <w:sz w:val="18"/>
                            <w:szCs w:val="18"/>
                          </w:rPr>
                          <w:t>，并于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日进行公告。公司 本次变更部分募集资金用途事宜已经第三届董事会第三十二次会议和第三届监事会 第二十六次会议审议通过，经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年第一次临时股东审议通过，公司独立董事发表 了明确同意的独立意见，履行了必要的审批程序。</w:t>
                        </w:r>
                      </w:p>
                    </w:tc>
                  </w:tr>
                  <w:tr>
                    <w:trPr>
                      <w:trHeight w:val="713" w:hRule="exact"/>
                    </w:trPr>
                    <w:tc>
                      <w:tcPr>
                        <w:tcW w:w="287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38"/>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未达到计划进度或预计收益的情况 和原因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287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38"/>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 的情况说明</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2"/>
        <w:spacing w:line="240" w:lineRule="auto" w:before="26"/>
        <w:ind w:right="153"/>
        <w:jc w:val="left"/>
        <w:rPr>
          <w:b w:val="0"/>
          <w:bCs w:val="0"/>
        </w:rPr>
      </w:pPr>
      <w:r>
        <w:rPr/>
        <w:t>六、重大资产和股权出售</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、出售重大资产情况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公司报告期未出售重大资产。</w:t>
      </w:r>
    </w:p>
    <w:p>
      <w:pPr>
        <w:spacing w:line="240" w:lineRule="auto" w:before="3"/>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、出售重大股权情况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79" w:top="1060" w:bottom="1160" w:left="980" w:right="980"/>
        </w:sectPr>
      </w:pPr>
    </w:p>
    <w:p>
      <w:pPr>
        <w:spacing w:before="44"/>
        <w:ind w:left="152"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152" w:right="-18"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851" w:space="4069"/>
            <w:col w:w="1030"/>
          </w:cols>
        </w:sectPr>
      </w:pPr>
    </w:p>
    <w:p>
      <w:pPr>
        <w:spacing w:line="240" w:lineRule="auto" w:before="4"/>
        <w:rPr>
          <w:rFonts w:ascii="宋体" w:hAnsi="宋体" w:cs="宋体" w:eastAsia="宋体" w:hint="default"/>
          <w:sz w:val="8"/>
          <w:szCs w:val="8"/>
        </w:rPr>
      </w:pPr>
      <w:r>
        <w:rPr/>
        <w:pict>
          <v:shape style="position:absolute;margin-left:170.660004pt;margin-top:585.459961pt;width:102.9pt;height:77.05pt;mso-position-horizontal-relative:page;mso-position-vertical-relative:page;z-index:-868888" type="#_x0000_t202" filled="false" stroked="false">
            <v:textbox inset="0,0,0,0">
              <w:txbxContent>
                <w:p>
                  <w:pPr>
                    <w:spacing w:line="240" w:lineRule="auto" w:before="0"/>
                    <w:rPr>
                      <w:rFonts w:ascii="宋体" w:hAnsi="宋体" w:cs="宋体" w:eastAsia="宋体" w:hint="default"/>
                      <w:sz w:val="18"/>
                      <w:szCs w:val="18"/>
                    </w:rPr>
                  </w:pP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研发、转让、</w:t>
                  </w:r>
                </w:p>
              </w:txbxContent>
            </v:textbox>
            <w10:wrap type="none"/>
          </v:shape>
        </w:pict>
      </w: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4772"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上海政通信 息科技有限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计算机软件 领域内的技 术开发、技 术咨询、技 术服务、技 术转让，图 文设计、制 作，商务信 息咨询（除 </w:t>
            </w:r>
            <w:r>
              <w:rPr>
                <w:rFonts w:ascii="宋体" w:hAnsi="宋体" w:cs="宋体" w:eastAsia="宋体" w:hint="default"/>
                <w:spacing w:val="-16"/>
                <w:sz w:val="18"/>
                <w:szCs w:val="18"/>
              </w:rPr>
              <w:t>经纪），计算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机软件销 售，从事货 物进出口及 技术的进出 口业务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left="47" w:right="0"/>
              <w:jc w:val="center"/>
              <w:rPr>
                <w:rFonts w:ascii="Times New Roman" w:hAnsi="Times New Roman" w:cs="Times New Roman" w:eastAsia="Times New Roman" w:hint="default"/>
                <w:sz w:val="18"/>
                <w:szCs w:val="18"/>
              </w:rPr>
            </w:pPr>
            <w:r>
              <w:rPr>
                <w:rFonts w:ascii="Times New Roman"/>
                <w:sz w:val="18"/>
              </w:rPr>
              <w:t>2,043,017.75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left="44" w:right="0"/>
              <w:jc w:val="center"/>
              <w:rPr>
                <w:rFonts w:ascii="Times New Roman" w:hAnsi="Times New Roman" w:cs="Times New Roman" w:eastAsia="Times New Roman" w:hint="default"/>
                <w:sz w:val="18"/>
                <w:szCs w:val="18"/>
              </w:rPr>
            </w:pPr>
            <w:r>
              <w:rPr>
                <w:rFonts w:ascii="Times New Roman"/>
                <w:sz w:val="18"/>
              </w:rPr>
              <w:t>2,046,691.57</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w w:val="95"/>
                <w:sz w:val="18"/>
              </w:rPr>
              <w:t>4,799.20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6"/>
              <w:jc w:val="right"/>
              <w:rPr>
                <w:rFonts w:ascii="Times New Roman" w:hAnsi="Times New Roman" w:cs="Times New Roman" w:eastAsia="Times New Roman" w:hint="default"/>
                <w:sz w:val="18"/>
                <w:szCs w:val="18"/>
              </w:rPr>
            </w:pPr>
            <w:r>
              <w:rPr>
                <w:rFonts w:ascii="Times New Roman"/>
                <w:w w:val="95"/>
                <w:sz w:val="18"/>
              </w:rPr>
              <w:t>3,599.40</w:t>
            </w:r>
          </w:p>
        </w:tc>
      </w:tr>
      <w:tr>
        <w:trPr>
          <w:trHeight w:val="3483"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武汉智慧政 通科技有限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both"/>
              <w:rPr>
                <w:rFonts w:ascii="宋体" w:hAnsi="宋体" w:cs="宋体" w:eastAsia="宋体" w:hint="default"/>
                <w:sz w:val="18"/>
                <w:szCs w:val="18"/>
              </w:rPr>
            </w:pPr>
            <w:r>
              <w:rPr>
                <w:rFonts w:ascii="宋体" w:hAnsi="宋体" w:cs="宋体" w:eastAsia="宋体" w:hint="default"/>
                <w:sz w:val="18"/>
                <w:szCs w:val="18"/>
              </w:rPr>
              <w:t>计算机软件</w:t>
            </w: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3"/>
              <w:ind w:left="24" w:right="110"/>
              <w:jc w:val="both"/>
              <w:rPr>
                <w:rFonts w:ascii="宋体" w:hAnsi="宋体" w:cs="宋体" w:eastAsia="宋体" w:hint="default"/>
                <w:sz w:val="18"/>
                <w:szCs w:val="18"/>
              </w:rPr>
            </w:pPr>
            <w:r>
              <w:rPr>
                <w:rFonts w:ascii="宋体" w:hAnsi="宋体" w:cs="宋体" w:eastAsia="宋体" w:hint="default"/>
                <w:sz w:val="18"/>
                <w:szCs w:val="18"/>
              </w:rPr>
              <w:t>技术咨询服 务；图文设 计、制作； 商务信息咨 询；货物及 技术进出口</w:t>
            </w:r>
          </w:p>
          <w:p>
            <w:pPr>
              <w:pStyle w:val="TableParagraph"/>
              <w:spacing w:line="319" w:lineRule="auto" w:before="19"/>
              <w:ind w:left="24" w:right="110"/>
              <w:jc w:val="both"/>
              <w:rPr>
                <w:rFonts w:ascii="宋体" w:hAnsi="宋体" w:cs="宋体" w:eastAsia="宋体" w:hint="default"/>
                <w:sz w:val="18"/>
                <w:szCs w:val="18"/>
              </w:rPr>
            </w:pPr>
            <w:r>
              <w:rPr>
                <w:rFonts w:ascii="宋体" w:hAnsi="宋体" w:cs="宋体" w:eastAsia="宋体" w:hint="default"/>
                <w:sz w:val="18"/>
                <w:szCs w:val="18"/>
              </w:rPr>
              <w:t>（不含国家 禁止或限制 进出口的货</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540" w:lineRule="exact"/>
              <w:ind w:right="-53"/>
              <w:jc w:val="left"/>
              <w:rPr>
                <w:rFonts w:ascii="宋体" w:hAnsi="宋体" w:cs="宋体" w:eastAsia="宋体" w:hint="default"/>
                <w:sz w:val="20"/>
                <w:szCs w:val="20"/>
              </w:rPr>
            </w:pPr>
            <w:r>
              <w:rPr>
                <w:rFonts w:ascii="宋体" w:hAnsi="宋体" w:cs="宋体" w:eastAsia="宋体" w:hint="default"/>
                <w:position w:val="-30"/>
                <w:sz w:val="20"/>
                <w:szCs w:val="20"/>
              </w:rPr>
              <w:pict>
                <v:group style="width:51.85pt;height:77.05pt;mso-position-horizontal-relative:char;mso-position-vertical-relative:line" coordorigin="0,0" coordsize="1037,1541">
                  <v:group style="position:absolute;left:0;top:0;width:1037;height:1541" coordorigin="0,0" coordsize="1037,1541">
                    <v:shape style="position:absolute;left:0;top:0;width:1037;height:1541" coordorigin="0,0" coordsize="1037,1541" path="m0,1541l1037,1541,1037,0,0,0,0,1541xe" filled="true" fillcolor="#ffffff" stroked="false">
                      <v:path arrowok="t"/>
                      <v:fill type="solid"/>
                    </v:shape>
                  </v:group>
                </v:group>
              </w:pict>
            </w:r>
            <w:r>
              <w:rPr>
                <w:rFonts w:ascii="宋体" w:hAnsi="宋体" w:cs="宋体" w:eastAsia="宋体" w:hint="default"/>
                <w:position w:val="-30"/>
                <w:sz w:val="20"/>
                <w:szCs w:val="20"/>
              </w:rPr>
            </w:r>
          </w:p>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5"/>
                <w:szCs w:val="25"/>
              </w:rPr>
            </w:pP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9,999,680.58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10,035,330.3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-407.89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-407.89</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170.660004pt;margin-top:672.096008pt;width:102.9pt;height:84.9pt;mso-position-horizontal-relative:page;mso-position-vertical-relative:page;z-index:-86884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品，计算机，</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987"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20"/>
              <w:jc w:val="left"/>
              <w:rPr>
                <w:rFonts w:ascii="宋体" w:hAnsi="宋体" w:cs="宋体" w:eastAsia="宋体" w:hint="default"/>
                <w:sz w:val="18"/>
                <w:szCs w:val="18"/>
              </w:rPr>
            </w:pPr>
            <w:r>
              <w:rPr>
                <w:rFonts w:ascii="宋体" w:hAnsi="宋体" w:cs="宋体" w:eastAsia="宋体" w:hint="default"/>
                <w:spacing w:val="-16"/>
                <w:sz w:val="18"/>
                <w:szCs w:val="18"/>
              </w:rPr>
              <w:t>物及技术）；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计算机软件 硬件销售。</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5393"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312" w:lineRule="auto"/>
              <w:ind w:left="24" w:right="4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北京数字 政通智能泊 车技术有限 公司</w:t>
            </w:r>
            <w:r>
              <w:rPr>
                <w:rFonts w:ascii="Times New Roman" w:hAnsi="Times New Roman" w:cs="Times New Roman" w:eastAsia="Times New Roman" w:hint="default"/>
                <w:sz w:val="18"/>
                <w:szCs w:val="18"/>
              </w:rPr>
              <w:t>"</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计算机软件 研发、技术 转让、技术 咨询、技术 服务；计算 机系统集 成；电脑图 文设计、制 作；经济信 息咨询（需 行政许可项 </w:t>
            </w:r>
            <w:r>
              <w:rPr>
                <w:rFonts w:ascii="宋体" w:hAnsi="宋体" w:cs="宋体" w:eastAsia="宋体" w:hint="default"/>
                <w:spacing w:val="-16"/>
                <w:sz w:val="18"/>
                <w:szCs w:val="18"/>
              </w:rPr>
              <w:t>目除外）；投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资及投资管 理；货物进 出口、技术 进出口、代 理进出口。</w:t>
            </w:r>
            <w:r>
              <w:rPr>
                <w:rFonts w:ascii="Times New Roman" w:hAnsi="Times New Roman" w:cs="Times New Roman" w:eastAsia="Times New Roman" w:hint="default"/>
                <w:sz w:val="18"/>
                <w:szCs w:val="18"/>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0"/>
              <w:jc w:val="right"/>
              <w:rPr>
                <w:rFonts w:ascii="Times New Roman" w:hAnsi="Times New Roman" w:cs="Times New Roman" w:eastAsia="Times New Roman" w:hint="default"/>
                <w:sz w:val="18"/>
                <w:szCs w:val="18"/>
              </w:rPr>
            </w:pPr>
            <w:r>
              <w:rPr>
                <w:rFonts w:ascii="Times New Roman"/>
                <w:spacing w:val="-1"/>
                <w:sz w:val="18"/>
              </w:rPr>
              <w:t>19,750,665.0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22"/>
              <w:jc w:val="right"/>
              <w:rPr>
                <w:rFonts w:ascii="Times New Roman" w:hAnsi="Times New Roman" w:cs="Times New Roman" w:eastAsia="Times New Roman" w:hint="default"/>
                <w:sz w:val="18"/>
                <w:szCs w:val="18"/>
              </w:rPr>
            </w:pPr>
            <w:r>
              <w:rPr>
                <w:rFonts w:ascii="Times New Roman"/>
                <w:spacing w:val="-1"/>
                <w:sz w:val="18"/>
              </w:rPr>
              <w:t>21,907,870.8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left="74" w:right="0"/>
              <w:jc w:val="left"/>
              <w:rPr>
                <w:rFonts w:ascii="Times New Roman" w:hAnsi="Times New Roman" w:cs="Times New Roman" w:eastAsia="Times New Roman" w:hint="default"/>
                <w:sz w:val="18"/>
                <w:szCs w:val="18"/>
              </w:rPr>
            </w:pPr>
            <w:r>
              <w:rPr>
                <w:rFonts w:ascii="Times New Roman"/>
                <w:sz w:val="18"/>
              </w:rPr>
              <w:t>1,865,110.19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right="19"/>
              <w:jc w:val="right"/>
              <w:rPr>
                <w:rFonts w:ascii="Times New Roman" w:hAnsi="Times New Roman" w:cs="Times New Roman" w:eastAsia="Times New Roman" w:hint="default"/>
                <w:sz w:val="18"/>
                <w:szCs w:val="18"/>
              </w:rPr>
            </w:pPr>
            <w:r>
              <w:rPr>
                <w:rFonts w:ascii="Times New Roman"/>
                <w:spacing w:val="-1"/>
                <w:sz w:val="18"/>
              </w:rPr>
              <w:t>-70,728.83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left="218" w:right="0"/>
              <w:jc w:val="center"/>
              <w:rPr>
                <w:rFonts w:ascii="Times New Roman" w:hAnsi="Times New Roman" w:cs="Times New Roman" w:eastAsia="Times New Roman" w:hint="default"/>
                <w:sz w:val="18"/>
                <w:szCs w:val="18"/>
              </w:rPr>
            </w:pPr>
            <w:r>
              <w:rPr>
                <w:rFonts w:ascii="Times New Roman"/>
                <w:sz w:val="18"/>
              </w:rPr>
              <w:t>-71,128.83</w:t>
            </w:r>
          </w:p>
        </w:tc>
      </w:tr>
      <w:tr>
        <w:trPr>
          <w:trHeight w:val="3524"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北京数字智 通科技有限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both"/>
              <w:rPr>
                <w:rFonts w:ascii="宋体" w:hAnsi="宋体" w:cs="宋体" w:eastAsia="宋体" w:hint="default"/>
                <w:sz w:val="18"/>
                <w:szCs w:val="18"/>
              </w:rPr>
            </w:pPr>
            <w:r>
              <w:rPr>
                <w:rFonts w:ascii="宋体" w:hAnsi="宋体" w:cs="宋体" w:eastAsia="宋体" w:hint="default"/>
                <w:sz w:val="18"/>
                <w:szCs w:val="18"/>
              </w:rPr>
              <w:t>高速公路领 域的收费系 统、称重系 统、超速布 控系统及安 防领域的城 市卡口监控 系统、电子 警察系统、 停车场车辆 管理系统。</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100,645,228.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469,086,532.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91</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151,458,657.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5,462,405.64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6,961,512.13</w:t>
            </w:r>
          </w:p>
        </w:tc>
      </w:tr>
      <w:tr>
        <w:trPr>
          <w:trHeight w:val="3795"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克拉玛依数 字政通科技 有限责任公 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信息技术服 务，技术推 广服务；社 会经济咨 询；计算机 系统服务； 货物与技术 的进出口业 务；通讯设 备，电子产</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4"/>
              <w:ind w:left="24" w:right="0"/>
              <w:jc w:val="left"/>
              <w:rPr>
                <w:rFonts w:ascii="宋体" w:hAnsi="宋体" w:cs="宋体" w:eastAsia="宋体" w:hint="default"/>
                <w:sz w:val="18"/>
                <w:szCs w:val="18"/>
              </w:rPr>
            </w:pPr>
            <w:r>
              <w:rPr>
                <w:rFonts w:ascii="宋体" w:hAnsi="宋体" w:cs="宋体" w:eastAsia="宋体" w:hint="default"/>
                <w:sz w:val="18"/>
                <w:szCs w:val="18"/>
              </w:rPr>
              <w:t>软件及辅助</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300 </w:t>
            </w:r>
            <w:r>
              <w:rPr>
                <w:rFonts w:ascii="宋体" w:hAnsi="宋体" w:cs="宋体" w:eastAsia="宋体" w:hint="default"/>
                <w:sz w:val="18"/>
                <w:szCs w:val="18"/>
              </w:rPr>
              <w:t>万</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1697" w:lineRule="exact"/>
              <w:ind w:right="-5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3"/>
                <w:sz w:val="20"/>
                <w:szCs w:val="20"/>
              </w:rPr>
              <w:pict>
                <v:group style="width:51.85pt;height:84.9pt;mso-position-horizontal-relative:char;mso-position-vertical-relative:line" coordorigin="0,0" coordsize="1037,1698">
                  <v:group style="position:absolute;left:0;top:0;width:1037;height:1698" coordorigin="0,0" coordsize="1037,1698">
                    <v:shape style="position:absolute;left:0;top:0;width:1037;height:1698" coordorigin="0,0" coordsize="1037,1698" path="m0,1697l1037,1697,1037,0,0,0,0,1697xe" filled="true" fillcolor="#ffffff" stroked="false">
                      <v:path arrowok="t"/>
                      <v:fill type="solid"/>
                    </v:shape>
                  </v:group>
                </v:group>
              </w:pict>
            </w:r>
            <w:r>
              <w:rPr>
                <w:rFonts w:ascii="Times New Roman" w:hAnsi="Times New Roman" w:cs="Times New Roman" w:eastAsia="Times New Roman" w:hint="default"/>
                <w:position w:val="-33"/>
                <w:sz w:val="20"/>
                <w:szCs w:val="20"/>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69" w:right="0"/>
              <w:jc w:val="left"/>
              <w:rPr>
                <w:rFonts w:ascii="Times New Roman" w:hAnsi="Times New Roman" w:cs="Times New Roman" w:eastAsia="Times New Roman" w:hint="default"/>
                <w:sz w:val="18"/>
                <w:szCs w:val="18"/>
              </w:rPr>
            </w:pPr>
            <w:r>
              <w:rPr>
                <w:rFonts w:ascii="Times New Roman"/>
                <w:sz w:val="18"/>
              </w:rPr>
              <w:t>3,074,613.83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67" w:right="0"/>
              <w:jc w:val="left"/>
              <w:rPr>
                <w:rFonts w:ascii="Times New Roman" w:hAnsi="Times New Roman" w:cs="Times New Roman" w:eastAsia="Times New Roman" w:hint="default"/>
                <w:sz w:val="18"/>
                <w:szCs w:val="18"/>
              </w:rPr>
            </w:pPr>
            <w:r>
              <w:rPr>
                <w:rFonts w:ascii="Times New Roman"/>
                <w:sz w:val="18"/>
              </w:rPr>
              <w:t>4,009,389.63</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67" w:right="0"/>
              <w:jc w:val="left"/>
              <w:rPr>
                <w:rFonts w:ascii="Times New Roman" w:hAnsi="Times New Roman" w:cs="Times New Roman" w:eastAsia="Times New Roman" w:hint="default"/>
                <w:sz w:val="18"/>
                <w:szCs w:val="18"/>
              </w:rPr>
            </w:pPr>
            <w:r>
              <w:rPr>
                <w:rFonts w:ascii="Times New Roman"/>
                <w:sz w:val="18"/>
              </w:rPr>
              <w:t>6,447,688.10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right="20"/>
              <w:jc w:val="right"/>
              <w:rPr>
                <w:rFonts w:ascii="Times New Roman" w:hAnsi="Times New Roman" w:cs="Times New Roman" w:eastAsia="Times New Roman" w:hint="default"/>
                <w:sz w:val="18"/>
                <w:szCs w:val="18"/>
              </w:rPr>
            </w:pPr>
            <w:r>
              <w:rPr>
                <w:rFonts w:ascii="Times New Roman"/>
                <w:spacing w:val="-1"/>
                <w:sz w:val="18"/>
              </w:rPr>
              <w:t>-236,050.97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2"/>
              <w:ind w:left="127" w:right="0"/>
              <w:jc w:val="center"/>
              <w:rPr>
                <w:rFonts w:ascii="Times New Roman" w:hAnsi="Times New Roman" w:cs="Times New Roman" w:eastAsia="Times New Roman" w:hint="default"/>
                <w:sz w:val="18"/>
                <w:szCs w:val="18"/>
              </w:rPr>
            </w:pPr>
            <w:r>
              <w:rPr>
                <w:rFonts w:ascii="Times New Roman"/>
                <w:sz w:val="18"/>
              </w:rPr>
              <w:t>-173,663.16</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363"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设备销售。</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789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政通智慧城 市运营科技 有限公司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基础软件服 务、应用软 件服务、技 术开发、技 术转让、技 术服务、技 术咨询、技 术推广；产 品设计；计 算机系统服 务；数据处 理；信息采 集服务、信 息处理服 务；服务外 包、管理外 包；呼叫中 心服务外 包；城市管 理咨询；数 据挖掘；人 员培训；委 托管理；地 理信息采集 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right="20"/>
              <w:jc w:val="right"/>
              <w:rPr>
                <w:rFonts w:ascii="Times New Roman" w:hAnsi="Times New Roman" w:cs="Times New Roman" w:eastAsia="Times New Roman" w:hint="default"/>
                <w:sz w:val="18"/>
                <w:szCs w:val="18"/>
              </w:rPr>
            </w:pPr>
            <w:r>
              <w:rPr>
                <w:rFonts w:ascii="Times New Roman"/>
                <w:spacing w:val="-1"/>
                <w:sz w:val="18"/>
              </w:rPr>
              <w:t>20,993,482.7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right="22"/>
              <w:jc w:val="right"/>
              <w:rPr>
                <w:rFonts w:ascii="Times New Roman" w:hAnsi="Times New Roman" w:cs="Times New Roman" w:eastAsia="Times New Roman" w:hint="default"/>
                <w:sz w:val="18"/>
                <w:szCs w:val="18"/>
              </w:rPr>
            </w:pPr>
            <w:r>
              <w:rPr>
                <w:rFonts w:ascii="Times New Roman"/>
                <w:spacing w:val="-1"/>
                <w:sz w:val="18"/>
              </w:rPr>
              <w:t>40,963,677.6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right="18"/>
              <w:jc w:val="right"/>
              <w:rPr>
                <w:rFonts w:ascii="Times New Roman" w:hAnsi="Times New Roman" w:cs="Times New Roman" w:eastAsia="Times New Roman" w:hint="default"/>
                <w:sz w:val="18"/>
                <w:szCs w:val="18"/>
              </w:rPr>
            </w:pPr>
            <w:r>
              <w:rPr>
                <w:rFonts w:ascii="Times New Roman"/>
                <w:spacing w:val="-1"/>
                <w:sz w:val="18"/>
              </w:rPr>
              <w:t>208,472,524.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right="20"/>
              <w:jc w:val="right"/>
              <w:rPr>
                <w:rFonts w:ascii="Times New Roman" w:hAnsi="Times New Roman" w:cs="Times New Roman" w:eastAsia="Times New Roman" w:hint="default"/>
                <w:sz w:val="18"/>
                <w:szCs w:val="18"/>
              </w:rPr>
            </w:pPr>
            <w:r>
              <w:rPr>
                <w:rFonts w:ascii="Times New Roman"/>
                <w:spacing w:val="-1"/>
                <w:sz w:val="18"/>
              </w:rPr>
              <w:t>-1,751,368.4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97" w:right="0"/>
              <w:jc w:val="left"/>
              <w:rPr>
                <w:rFonts w:ascii="Times New Roman" w:hAnsi="Times New Roman" w:cs="Times New Roman" w:eastAsia="Times New Roman" w:hint="default"/>
                <w:sz w:val="18"/>
                <w:szCs w:val="18"/>
              </w:rPr>
            </w:pPr>
            <w:r>
              <w:rPr>
                <w:rFonts w:ascii="Times New Roman"/>
                <w:sz w:val="18"/>
              </w:rPr>
              <w:t>94,775.69</w:t>
            </w:r>
          </w:p>
        </w:tc>
      </w:tr>
      <w:tr>
        <w:trPr>
          <w:trHeight w:val="5667"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4"/>
              <w:ind w:left="24" w:right="118"/>
              <w:jc w:val="both"/>
              <w:rPr>
                <w:rFonts w:ascii="宋体" w:hAnsi="宋体" w:cs="宋体" w:eastAsia="宋体" w:hint="default"/>
                <w:sz w:val="18"/>
                <w:szCs w:val="18"/>
              </w:rPr>
            </w:pPr>
            <w:r>
              <w:rPr>
                <w:rFonts w:ascii="宋体" w:hAnsi="宋体" w:cs="宋体" w:eastAsia="宋体" w:hint="default"/>
                <w:sz w:val="18"/>
                <w:szCs w:val="18"/>
              </w:rPr>
              <w:t>保定金迪地 下管线探测 工程有限公 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8"/>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生产地下管 线探测仪 器、开发软 件、销售本 公司生产的 产品；计算 机系统集 成；在国家 允许的范围 内对国内外 地下管线进 探测检测； 对地下管线 资料进行数 据处理和技 术咨询服务 及地形测 绘；城市排</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157,156,213.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349,678,339.</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182,928,136.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70,606,305.8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59,892,827.2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5355"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水设施管理 服务；经营 本企业自产 产品的出口 业务和本企 业所需的机 械设备、零 配件、原辅 材料的进口 业务（但国 家限定公司 经营或禁止 进出口的商 品技术除 </w:t>
            </w:r>
            <w:r>
              <w:rPr>
                <w:rFonts w:ascii="宋体" w:hAnsi="宋体" w:cs="宋体" w:eastAsia="宋体" w:hint="default"/>
                <w:spacing w:val="-16"/>
                <w:sz w:val="18"/>
                <w:szCs w:val="18"/>
              </w:rPr>
              <w:t>外）；自有商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业房屋租赁 服务</w:t>
            </w:r>
            <w:r>
              <w:rPr>
                <w:rFonts w:ascii="Times New Roman" w:hAnsi="Times New Roman" w:cs="Times New Roman" w:eastAsia="Times New Roman" w:hint="default"/>
                <w:sz w:val="18"/>
                <w:szCs w:val="18"/>
              </w:rPr>
              <w:t>"</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847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保定市金迪 科技开发有 限公司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38"/>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管网检测、 环境检测、 水文分析； 管道安全技 术服务；计 算机系统集 成、基础软 件服务、应 用软件服 务；电子仪 器仪表研 发、制造； 给排水自动 化控制技术 研发；仪器 仪表，电子 计算机、软 件及辅助设 备批发、零 售；自营和 代理各类商 品和技术的 进出口，但 国家限制公 司经营或禁 止进出口的 商品和技术</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7"/>
                <w:szCs w:val="17"/>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7,596,684.26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21,694,389.3</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2</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22,219,450.1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7"/>
                <w:szCs w:val="17"/>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2,698,596.35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7"/>
                <w:szCs w:val="17"/>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1,773,520.01</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170.660004pt;margin-top:473.599976pt;width:102.9pt;height:187.25pt;mso-position-horizontal-relative:page;mso-position-vertical-relative:page;z-index:-86879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24"/>
                      <w:szCs w:val="2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安装、调试、</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服务；销售：</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363"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除外</w:t>
            </w:r>
            <w:r>
              <w:rPr>
                <w:rFonts w:ascii="Times New Roman" w:hAnsi="Times New Roman" w:cs="Times New Roman" w:eastAsia="Times New Roman" w:hint="default"/>
                <w:sz w:val="18"/>
                <w:szCs w:val="18"/>
              </w:rPr>
              <w:t>"</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7"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3521"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保定金迪科 学仪器有限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电子产品、 仪器仪表、 电器机械及 器材研制、 计算机控制 工程和电子 系统工程的 安装与调 试；货物和 技术的进出 口业务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17,181,304.5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33,297,072.9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17,284,443.9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2,660,200.29</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2,049,562.61</w:t>
            </w:r>
          </w:p>
        </w:tc>
      </w:tr>
      <w:tr>
        <w:trPr>
          <w:trHeight w:val="7892"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焦作市市民 健康促进服 务有限责任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居民健康咨 询服务；互 联网信息服 务；软件开 发和信息技 术咨询服 务；数据处 理服务；信 息技术推 广、科技中 介服务；开 发计算机软 硬件；承接 计算机网络 工程；提供 自产产品的</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24"/>
              <w:ind w:left="24" w:right="110"/>
              <w:jc w:val="both"/>
              <w:rPr>
                <w:rFonts w:ascii="宋体" w:hAnsi="宋体" w:cs="宋体" w:eastAsia="宋体" w:hint="default"/>
                <w:sz w:val="18"/>
                <w:szCs w:val="18"/>
              </w:rPr>
            </w:pPr>
            <w:r>
              <w:rPr>
                <w:rFonts w:ascii="宋体" w:hAnsi="宋体" w:cs="宋体" w:eastAsia="宋体" w:hint="default"/>
                <w:sz w:val="18"/>
                <w:szCs w:val="18"/>
              </w:rPr>
              <w:t>维修、技术 培训、技术 转让、技术</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22"/>
              <w:ind w:left="24" w:right="110"/>
              <w:jc w:val="both"/>
              <w:rPr>
                <w:rFonts w:ascii="宋体" w:hAnsi="宋体" w:cs="宋体" w:eastAsia="宋体" w:hint="default"/>
                <w:sz w:val="18"/>
                <w:szCs w:val="18"/>
              </w:rPr>
            </w:pPr>
            <w:r>
              <w:rPr>
                <w:rFonts w:ascii="宋体" w:hAnsi="宋体" w:cs="宋体" w:eastAsia="宋体" w:hint="default"/>
                <w:sz w:val="18"/>
                <w:szCs w:val="18"/>
              </w:rPr>
              <w:t>计算机软硬 件、办公用 品；进出口 贸易</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3744" w:lineRule="exact"/>
              <w:ind w:right="-5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4"/>
                <w:sz w:val="20"/>
                <w:szCs w:val="20"/>
              </w:rPr>
              <w:pict>
                <v:group style="width:51.85pt;height:187.25pt;mso-position-horizontal-relative:char;mso-position-vertical-relative:line" coordorigin="0,0" coordsize="1037,3745">
                  <v:group style="position:absolute;left:0;top:0;width:1037;height:3745" coordorigin="0,0" coordsize="1037,3745">
                    <v:shape style="position:absolute;left:0;top:0;width:1037;height:3745" coordorigin="0,0" coordsize="1037,3745" path="m0,3744l1037,3744,1037,0,0,0,0,3744xe" filled="true" fillcolor="#ffffff" stroked="false">
                      <v:path arrowok="t"/>
                      <v:fill type="solid"/>
                    </v:shape>
                  </v:group>
                </v:group>
              </w:pict>
            </w:r>
            <w:r>
              <w:rPr>
                <w:rFonts w:ascii="Times New Roman" w:hAnsi="Times New Roman" w:cs="Times New Roman" w:eastAsia="Times New Roman" w:hint="default"/>
                <w:position w:val="-74"/>
                <w:sz w:val="20"/>
                <w:szCs w:val="20"/>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69" w:right="0"/>
              <w:jc w:val="left"/>
              <w:rPr>
                <w:rFonts w:ascii="Times New Roman" w:hAnsi="Times New Roman" w:cs="Times New Roman" w:eastAsia="Times New Roman" w:hint="default"/>
                <w:sz w:val="18"/>
                <w:szCs w:val="18"/>
              </w:rPr>
            </w:pPr>
            <w:r>
              <w:rPr>
                <w:rFonts w:ascii="Times New Roman"/>
                <w:sz w:val="18"/>
              </w:rPr>
              <w:t>9,160,057.45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67" w:right="0"/>
              <w:jc w:val="left"/>
              <w:rPr>
                <w:rFonts w:ascii="Times New Roman" w:hAnsi="Times New Roman" w:cs="Times New Roman" w:eastAsia="Times New Roman" w:hint="default"/>
                <w:sz w:val="18"/>
                <w:szCs w:val="18"/>
              </w:rPr>
            </w:pPr>
            <w:r>
              <w:rPr>
                <w:rFonts w:ascii="Times New Roman"/>
                <w:sz w:val="18"/>
              </w:rPr>
              <w:t>9,955,689.39</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01" w:right="0"/>
              <w:jc w:val="left"/>
              <w:rPr>
                <w:rFonts w:ascii="Times New Roman" w:hAnsi="Times New Roman" w:cs="Times New Roman" w:eastAsia="Times New Roman" w:hint="default"/>
                <w:sz w:val="18"/>
                <w:szCs w:val="18"/>
              </w:rPr>
            </w:pPr>
            <w:r>
              <w:rPr>
                <w:rFonts w:ascii="Times New Roman"/>
                <w:sz w:val="18"/>
              </w:rPr>
              <w:t>331,553.41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20"/>
              <w:jc w:val="right"/>
              <w:rPr>
                <w:rFonts w:ascii="Times New Roman" w:hAnsi="Times New Roman" w:cs="Times New Roman" w:eastAsia="Times New Roman" w:hint="default"/>
                <w:sz w:val="18"/>
                <w:szCs w:val="18"/>
              </w:rPr>
            </w:pPr>
            <w:r>
              <w:rPr>
                <w:rFonts w:ascii="Times New Roman"/>
                <w:spacing w:val="-1"/>
                <w:sz w:val="18"/>
              </w:rPr>
              <w:t>-424,424.85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17"/>
              <w:jc w:val="right"/>
              <w:rPr>
                <w:rFonts w:ascii="Times New Roman" w:hAnsi="Times New Roman" w:cs="Times New Roman" w:eastAsia="Times New Roman" w:hint="default"/>
                <w:sz w:val="18"/>
                <w:szCs w:val="18"/>
              </w:rPr>
            </w:pPr>
            <w:r>
              <w:rPr>
                <w:rFonts w:ascii="Times New Roman"/>
                <w:spacing w:val="-1"/>
                <w:sz w:val="18"/>
              </w:rPr>
              <w:t>-427,799.71</w:t>
            </w:r>
          </w:p>
        </w:tc>
      </w:tr>
      <w:tr>
        <w:trPr>
          <w:trHeight w:val="1923"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316" w:lineRule="auto"/>
              <w:ind w:left="24" w:right="118"/>
              <w:jc w:val="both"/>
              <w:rPr>
                <w:rFonts w:ascii="宋体" w:hAnsi="宋体" w:cs="宋体" w:eastAsia="宋体" w:hint="default"/>
                <w:sz w:val="18"/>
                <w:szCs w:val="18"/>
              </w:rPr>
            </w:pPr>
            <w:r>
              <w:rPr>
                <w:rFonts w:ascii="宋体" w:hAnsi="宋体" w:cs="宋体" w:eastAsia="宋体" w:hint="default"/>
                <w:sz w:val="18"/>
                <w:szCs w:val="18"/>
              </w:rPr>
              <w:t>江西政通城 运科技有限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left"/>
              <w:rPr>
                <w:rFonts w:ascii="宋体" w:hAnsi="宋体" w:cs="宋体" w:eastAsia="宋体" w:hint="default"/>
                <w:sz w:val="18"/>
                <w:szCs w:val="18"/>
              </w:rPr>
            </w:pPr>
            <w:r>
              <w:rPr>
                <w:rFonts w:ascii="宋体" w:hAnsi="宋体" w:cs="宋体" w:eastAsia="宋体" w:hint="default"/>
                <w:sz w:val="18"/>
                <w:szCs w:val="18"/>
              </w:rPr>
              <w:t>城市及道路 照明亮化工 程专业承 包；市政公 用工程施工 总承包；基</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3750.03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37,504,995.8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37,506,561.1</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7</w:t>
            </w:r>
          </w:p>
        </w:tc>
        <w:tc>
          <w:tcPr>
            <w:tcW w:w="1044"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6,261.17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w w:val="95"/>
                <w:sz w:val="18"/>
              </w:rPr>
              <w:t>4,695.88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315" w:hRule="exact"/>
        </w:trPr>
        <w:tc>
          <w:tcPr>
            <w:tcW w:w="1054" w:type="dxa"/>
            <w:vMerge w:val="restart"/>
            <w:tcBorders>
              <w:top w:val="single" w:sz="4" w:space="0" w:color="000000"/>
              <w:left w:val="single" w:sz="4" w:space="0" w:color="000000"/>
              <w:right w:val="single" w:sz="4" w:space="0" w:color="000000"/>
            </w:tcBorders>
          </w:tcPr>
          <w:p>
            <w:pPr/>
          </w:p>
        </w:tc>
        <w:tc>
          <w:tcPr>
            <w:tcW w:w="1198" w:type="dxa"/>
            <w:vMerge w:val="restart"/>
            <w:tcBorders>
              <w:top w:val="single" w:sz="4" w:space="0" w:color="000000"/>
              <w:left w:val="single" w:sz="4" w:space="0" w:color="000000"/>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础软件服</w:t>
            </w:r>
          </w:p>
        </w:tc>
        <w:tc>
          <w:tcPr>
            <w:tcW w:w="1044" w:type="dxa"/>
            <w:vMerge w:val="restart"/>
            <w:tcBorders>
              <w:top w:val="single" w:sz="4" w:space="0" w:color="000000"/>
              <w:left w:val="single" w:sz="4" w:space="0" w:color="000000"/>
              <w:right w:val="single" w:sz="4" w:space="0" w:color="000000"/>
            </w:tcBorders>
          </w:tcPr>
          <w:p>
            <w:pPr/>
          </w:p>
        </w:tc>
        <w:tc>
          <w:tcPr>
            <w:tcW w:w="1047" w:type="dxa"/>
            <w:vMerge w:val="restart"/>
            <w:tcBorders>
              <w:top w:val="single" w:sz="4" w:space="0" w:color="000000"/>
              <w:left w:val="single" w:sz="4" w:space="0" w:color="000000"/>
              <w:right w:val="single" w:sz="4" w:space="0" w:color="000000"/>
            </w:tcBorders>
          </w:tcPr>
          <w:p>
            <w:pPr/>
          </w:p>
        </w:tc>
        <w:tc>
          <w:tcPr>
            <w:tcW w:w="1046" w:type="dxa"/>
            <w:vMerge w:val="restart"/>
            <w:tcBorders>
              <w:top w:val="single" w:sz="4" w:space="0" w:color="000000"/>
              <w:left w:val="single" w:sz="4" w:space="0" w:color="000000"/>
              <w:right w:val="single" w:sz="4" w:space="0" w:color="000000"/>
            </w:tcBorders>
          </w:tcPr>
          <w:p>
            <w:pPr/>
          </w:p>
        </w:tc>
        <w:tc>
          <w:tcPr>
            <w:tcW w:w="1044" w:type="dxa"/>
            <w:vMerge w:val="restart"/>
            <w:tcBorders>
              <w:top w:val="single" w:sz="4" w:space="0" w:color="000000"/>
              <w:left w:val="single" w:sz="4" w:space="0" w:color="000000"/>
              <w:right w:val="single" w:sz="4" w:space="0" w:color="000000"/>
            </w:tcBorders>
          </w:tcPr>
          <w:p>
            <w:pPr/>
          </w:p>
        </w:tc>
        <w:tc>
          <w:tcPr>
            <w:tcW w:w="1045" w:type="dxa"/>
            <w:vMerge w:val="restart"/>
            <w:tcBorders>
              <w:top w:val="single" w:sz="4" w:space="0" w:color="000000"/>
              <w:left w:val="single" w:sz="4" w:space="0" w:color="000000"/>
              <w:right w:val="single" w:sz="4" w:space="0" w:color="000000"/>
            </w:tcBorders>
          </w:tcPr>
          <w:p>
            <w:pPr/>
          </w:p>
        </w:tc>
        <w:tc>
          <w:tcPr>
            <w:tcW w:w="1046" w:type="dxa"/>
            <w:vMerge w:val="restart"/>
            <w:tcBorders>
              <w:top w:val="single" w:sz="4" w:space="0" w:color="000000"/>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务、应用软</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件服务、技</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术开发、技</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术转让、技</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术服务、技</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术咨询、技</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术推广；产</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品设计；计</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算机系统服</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务；数据处</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理服务；机</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械设备租</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赁；销售通</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讯设备、电</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子产品、计</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算机、软件</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及辅助设</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备</w:t>
            </w:r>
            <w:r>
              <w:rPr>
                <w:rFonts w:ascii="宋体" w:hAnsi="宋体" w:cs="宋体" w:eastAsia="宋体" w:hint="default"/>
                <w:spacing w:val="-92"/>
                <w:sz w:val="18"/>
                <w:szCs w:val="18"/>
              </w:rPr>
              <w:t>。</w:t>
            </w:r>
            <w:r>
              <w:rPr>
                <w:rFonts w:ascii="宋体" w:hAnsi="宋体" w:cs="宋体" w:eastAsia="宋体" w:hint="default"/>
                <w:sz w:val="18"/>
                <w:szCs w:val="18"/>
              </w:rPr>
              <w:t>（依法须</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经批准的项</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目，经相关</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部门批准后</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8"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方可开展经</w:t>
            </w:r>
          </w:p>
        </w:tc>
        <w:tc>
          <w:tcPr>
            <w:tcW w:w="1044" w:type="dxa"/>
            <w:vMerge/>
            <w:tcBorders>
              <w:left w:val="single" w:sz="4" w:space="0" w:color="000000"/>
              <w:right w:val="single" w:sz="4" w:space="0" w:color="000000"/>
            </w:tcBorders>
          </w:tcPr>
          <w:p>
            <w:pPr/>
          </w:p>
        </w:tc>
        <w:tc>
          <w:tcPr>
            <w:tcW w:w="1047"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4"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60" w:hRule="exact"/>
        </w:trPr>
        <w:tc>
          <w:tcPr>
            <w:tcW w:w="1054" w:type="dxa"/>
            <w:vMerge/>
            <w:tcBorders>
              <w:left w:val="single" w:sz="4" w:space="0" w:color="000000"/>
              <w:bottom w:val="single" w:sz="4" w:space="0" w:color="000000"/>
              <w:right w:val="single" w:sz="4" w:space="0" w:color="000000"/>
            </w:tcBorders>
          </w:tcPr>
          <w:p>
            <w:pPr/>
          </w:p>
        </w:tc>
        <w:tc>
          <w:tcPr>
            <w:tcW w:w="1198" w:type="dxa"/>
            <w:vMerge/>
            <w:tcBorders>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营活动</w:t>
            </w:r>
            <w:r>
              <w:rPr>
                <w:rFonts w:ascii="Times New Roman" w:hAnsi="Times New Roman" w:cs="Times New Roman" w:eastAsia="Times New Roman" w:hint="default"/>
                <w:sz w:val="18"/>
                <w:szCs w:val="18"/>
              </w:rPr>
              <w:t>).</w:t>
            </w:r>
          </w:p>
        </w:tc>
        <w:tc>
          <w:tcPr>
            <w:tcW w:w="1044" w:type="dxa"/>
            <w:vMerge/>
            <w:tcBorders>
              <w:left w:val="single" w:sz="4" w:space="0" w:color="000000"/>
              <w:bottom w:val="single" w:sz="4" w:space="0" w:color="000000"/>
              <w:right w:val="single" w:sz="4" w:space="0" w:color="000000"/>
            </w:tcBorders>
          </w:tcPr>
          <w:p>
            <w:pPr/>
          </w:p>
        </w:tc>
        <w:tc>
          <w:tcPr>
            <w:tcW w:w="1047" w:type="dxa"/>
            <w:vMerge/>
            <w:tcBorders>
              <w:left w:val="single" w:sz="4" w:space="0" w:color="000000"/>
              <w:bottom w:val="single" w:sz="4" w:space="0" w:color="000000"/>
              <w:right w:val="single" w:sz="4" w:space="0" w:color="000000"/>
            </w:tcBorders>
          </w:tcPr>
          <w:p>
            <w:pPr/>
          </w:p>
        </w:tc>
        <w:tc>
          <w:tcPr>
            <w:tcW w:w="1046" w:type="dxa"/>
            <w:vMerge/>
            <w:tcBorders>
              <w:left w:val="single" w:sz="4" w:space="0" w:color="000000"/>
              <w:bottom w:val="single" w:sz="4" w:space="0" w:color="000000"/>
              <w:right w:val="single" w:sz="4" w:space="0" w:color="000000"/>
            </w:tcBorders>
          </w:tcPr>
          <w:p>
            <w:pPr/>
          </w:p>
        </w:tc>
        <w:tc>
          <w:tcPr>
            <w:tcW w:w="1044" w:type="dxa"/>
            <w:vMerge/>
            <w:tcBorders>
              <w:left w:val="single" w:sz="4" w:space="0" w:color="000000"/>
              <w:bottom w:val="single" w:sz="4" w:space="0" w:color="000000"/>
              <w:right w:val="single" w:sz="4" w:space="0" w:color="000000"/>
            </w:tcBorders>
          </w:tcPr>
          <w:p>
            <w:pPr/>
          </w:p>
        </w:tc>
        <w:tc>
          <w:tcPr>
            <w:tcW w:w="1045" w:type="dxa"/>
            <w:vMerge/>
            <w:tcBorders>
              <w:left w:val="single" w:sz="4" w:space="0" w:color="000000"/>
              <w:bottom w:val="single" w:sz="4" w:space="0" w:color="000000"/>
              <w:right w:val="single" w:sz="4" w:space="0" w:color="000000"/>
            </w:tcBorders>
          </w:tcPr>
          <w:p>
            <w:pPr/>
          </w:p>
        </w:tc>
        <w:tc>
          <w:tcPr>
            <w:tcW w:w="1046" w:type="dxa"/>
            <w:vMerge/>
            <w:tcBorders>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江西政通城运科技有限公司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新设立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开展江西智慧城市业务</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pStyle w:val="BodyText"/>
        <w:spacing w:line="357" w:lineRule="auto" w:before="145"/>
        <w:ind w:right="153" w:firstLine="482"/>
        <w:jc w:val="left"/>
      </w:pPr>
      <w:r>
        <w:rPr/>
        <w:t>报告期内，金迪管线、金迪科技、金迪科仪各项业务开展顺利，整体运营良好，实现了 其承诺的业绩，对公司合并报表有比较重要影响。</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八、公司控制的结构化主体情况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692" w:lineRule="exact" w:before="43"/>
        <w:ind w:left="635" w:right="6291" w:hanging="483"/>
        <w:jc w:val="left"/>
        <w:rPr>
          <w:rFonts w:ascii="宋体" w:hAnsi="宋体" w:cs="宋体" w:eastAsia="宋体" w:hint="default"/>
          <w:sz w:val="24"/>
          <w:szCs w:val="24"/>
        </w:rPr>
      </w:pPr>
      <w:r>
        <w:rPr>
          <w:rFonts w:ascii="宋体" w:hAnsi="宋体" w:cs="宋体" w:eastAsia="宋体" w:hint="default"/>
          <w:b/>
          <w:bCs/>
          <w:sz w:val="24"/>
          <w:szCs w:val="24"/>
        </w:rPr>
        <w:t>九、公司未来发展的展望</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、公司面临的行业发展趋势</w:t>
      </w:r>
    </w:p>
    <w:p>
      <w:pPr>
        <w:pStyle w:val="BodyText"/>
        <w:spacing w:line="357" w:lineRule="auto" w:before="49"/>
        <w:ind w:right="149" w:firstLine="482"/>
        <w:jc w:val="left"/>
      </w:pPr>
      <w:r>
        <w:rPr/>
        <w:t>近些年，我国不断出台相关文件，推进政府信息化发展。李克强总理在《</w:t>
      </w:r>
      <w:r>
        <w:rPr>
          <w:rFonts w:ascii="宋体" w:hAnsi="宋体" w:cs="宋体" w:eastAsia="宋体" w:hint="default"/>
        </w:rPr>
        <w:t>2016</w:t>
      </w:r>
      <w:r>
        <w:rPr/>
        <w:t>年政府工 作报告》首次提出“互联网＋政务服务”体系，实现部门间数据共享，方便人民群众，有利</w:t>
      </w:r>
    </w:p>
    <w:p>
      <w:pPr>
        <w:spacing w:after="0" w:line="357"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left="635" w:right="96" w:hanging="483"/>
        <w:jc w:val="left"/>
      </w:pPr>
      <w:r>
        <w:rPr/>
        <w:t>于建设服务型政府。 </w:t>
      </w:r>
      <w:r>
        <w:rPr>
          <w:spacing w:val="14"/>
        </w:rPr>
        <w:t>随着一系列促进智慧城管政策的出台，中国电子政务行业进入高速增长阶段。根据</w:t>
      </w:r>
      <w:r>
        <w:rPr/>
      </w:r>
    </w:p>
    <w:p>
      <w:pPr>
        <w:pStyle w:val="BodyText"/>
        <w:spacing w:line="357" w:lineRule="auto"/>
        <w:ind w:right="228"/>
        <w:jc w:val="both"/>
      </w:pPr>
      <w:r>
        <w:rPr>
          <w:spacing w:val="-2"/>
        </w:rPr>
        <w:t>《</w:t>
      </w:r>
      <w:r>
        <w:rPr>
          <w:rFonts w:ascii="宋体" w:hAnsi="宋体" w:cs="宋体" w:eastAsia="宋体" w:hint="default"/>
          <w:spacing w:val="-2"/>
        </w:rPr>
        <w:t>2017-2022</w:t>
      </w:r>
      <w:r>
        <w:rPr>
          <w:spacing w:val="-2"/>
        </w:rPr>
        <w:t>年中国电子政务产业竞争现状及十三五市场竞争态势报告》数据，</w:t>
      </w:r>
      <w:r>
        <w:rPr>
          <w:rFonts w:ascii="宋体" w:hAnsi="宋体" w:cs="宋体" w:eastAsia="宋体" w:hint="default"/>
          <w:spacing w:val="-2"/>
        </w:rPr>
        <w:t>2016</w:t>
      </w:r>
      <w:r>
        <w:rPr>
          <w:spacing w:val="-2"/>
        </w:rPr>
        <w:t>年，我国</w:t>
      </w:r>
      <w:r>
        <w:rPr>
          <w:spacing w:val="-109"/>
        </w:rPr>
        <w:t> </w:t>
      </w:r>
      <w:r>
        <w:rPr>
          <w:spacing w:val="-109"/>
        </w:rPr>
      </w:r>
      <w:r>
        <w:rPr>
          <w:spacing w:val="-5"/>
        </w:rPr>
        <w:t>电子政务规模约</w:t>
      </w:r>
      <w:r>
        <w:rPr>
          <w:rFonts w:ascii="宋体" w:hAnsi="宋体" w:cs="宋体" w:eastAsia="宋体" w:hint="default"/>
          <w:spacing w:val="-5"/>
        </w:rPr>
        <w:t>2568.8</w:t>
      </w:r>
      <w:r>
        <w:rPr>
          <w:spacing w:val="-5"/>
        </w:rPr>
        <w:t>亿元，同比增长</w:t>
      </w:r>
      <w:r>
        <w:rPr>
          <w:rFonts w:ascii="宋体" w:hAnsi="宋体" w:cs="宋体" w:eastAsia="宋体" w:hint="default"/>
          <w:spacing w:val="-5"/>
        </w:rPr>
        <w:t>15%</w:t>
      </w:r>
      <w:r>
        <w:rPr>
          <w:spacing w:val="-5"/>
        </w:rPr>
        <w:t>。</w:t>
      </w:r>
      <w:r>
        <w:rPr>
          <w:rFonts w:ascii="宋体" w:hAnsi="宋体" w:cs="宋体" w:eastAsia="宋体" w:hint="default"/>
          <w:spacing w:val="-5"/>
        </w:rPr>
        <w:t>2008</w:t>
      </w:r>
      <w:r>
        <w:rPr>
          <w:spacing w:val="-5"/>
        </w:rPr>
        <w:t>年以来，我国电子政务市场规模每年保持</w:t>
      </w:r>
      <w:r>
        <w:rPr>
          <w:rFonts w:ascii="宋体" w:hAnsi="宋体" w:cs="宋体" w:eastAsia="宋体" w:hint="default"/>
          <w:spacing w:val="-5"/>
        </w:rPr>
        <w:t>15%</w:t>
      </w:r>
      <w:r>
        <w:rPr>
          <w:rFonts w:ascii="宋体" w:hAnsi="宋体" w:cs="宋体" w:eastAsia="宋体" w:hint="default"/>
          <w:spacing w:val="-78"/>
        </w:rPr>
        <w:t> </w:t>
      </w:r>
      <w:r>
        <w:rPr>
          <w:spacing w:val="-2"/>
        </w:rPr>
        <w:t>以上的速度增长，远高于同期</w:t>
      </w:r>
      <w:r>
        <w:rPr>
          <w:rFonts w:ascii="宋体" w:hAnsi="宋体" w:cs="宋体" w:eastAsia="宋体" w:hint="default"/>
          <w:spacing w:val="-2"/>
        </w:rPr>
        <w:t>GDP</w:t>
      </w:r>
      <w:r>
        <w:rPr>
          <w:spacing w:val="-2"/>
        </w:rPr>
        <w:t>增速。到</w:t>
      </w:r>
      <w:r>
        <w:rPr>
          <w:rFonts w:ascii="宋体" w:hAnsi="宋体" w:cs="宋体" w:eastAsia="宋体" w:hint="default"/>
          <w:spacing w:val="-2"/>
        </w:rPr>
        <w:t>2018</w:t>
      </w:r>
      <w:r>
        <w:rPr>
          <w:spacing w:val="-2"/>
        </w:rPr>
        <w:t>年，电子政务预计将达到</w:t>
      </w:r>
      <w:r>
        <w:rPr>
          <w:rFonts w:ascii="宋体" w:hAnsi="宋体" w:cs="宋体" w:eastAsia="宋体" w:hint="default"/>
          <w:spacing w:val="-2"/>
        </w:rPr>
        <w:t>3400</w:t>
      </w:r>
      <w:r>
        <w:rPr>
          <w:spacing w:val="-2"/>
        </w:rPr>
        <w:t>亿元规模。随着</w:t>
      </w:r>
      <w:r>
        <w:rPr>
          <w:spacing w:val="-109"/>
        </w:rPr>
        <w:t> </w:t>
      </w:r>
      <w:r>
        <w:rPr>
          <w:spacing w:val="-109"/>
        </w:rPr>
      </w:r>
      <w:r>
        <w:rPr/>
        <w:t>我国政府向公共服务型政府的转型，政府对民生问题的重视不断加强，电子政务将成为重要</w:t>
      </w:r>
      <w:r>
        <w:rPr>
          <w:spacing w:val="-91"/>
        </w:rPr>
        <w:t> </w:t>
      </w:r>
      <w:r>
        <w:rPr>
          <w:spacing w:val="-91"/>
        </w:rPr>
      </w:r>
      <w:r>
        <w:rPr/>
        <w:t>抓手。</w:t>
      </w:r>
    </w:p>
    <w:p>
      <w:pPr>
        <w:pStyle w:val="BodyText"/>
        <w:spacing w:line="357" w:lineRule="auto" w:before="37"/>
        <w:ind w:right="231" w:firstLine="482"/>
        <w:jc w:val="both"/>
      </w:pPr>
      <w:r>
        <w:rPr/>
        <w:t>根据中国产业网信息，预计</w:t>
      </w:r>
      <w:r>
        <w:rPr>
          <w:rFonts w:ascii="宋体" w:hAnsi="宋体" w:cs="宋体" w:eastAsia="宋体" w:hint="default"/>
        </w:rPr>
        <w:t>2017</w:t>
      </w:r>
      <w:r>
        <w:rPr/>
        <w:t>年我国智慧城市</w:t>
      </w:r>
      <w:r>
        <w:rPr>
          <w:rFonts w:ascii="宋体" w:hAnsi="宋体" w:cs="宋体" w:eastAsia="宋体" w:hint="default"/>
        </w:rPr>
        <w:t>IT</w:t>
      </w:r>
      <w:r>
        <w:rPr/>
        <w:t>投资额将达到</w:t>
      </w:r>
      <w:r>
        <w:rPr>
          <w:rFonts w:ascii="宋体" w:hAnsi="宋体" w:cs="宋体" w:eastAsia="宋体" w:hint="default"/>
        </w:rPr>
        <w:t>3752</w:t>
      </w:r>
      <w:r>
        <w:rPr/>
        <w:t>亿元规模，未来五 </w:t>
      </w:r>
      <w:r>
        <w:rPr>
          <w:spacing w:val="-4"/>
        </w:rPr>
        <w:t>年（</w:t>
      </w:r>
      <w:r>
        <w:rPr>
          <w:rFonts w:ascii="宋体" w:hAnsi="宋体" w:cs="宋体" w:eastAsia="宋体" w:hint="default"/>
          <w:spacing w:val="-4"/>
        </w:rPr>
        <w:t>2017-2021</w:t>
      </w:r>
      <w:r>
        <w:rPr>
          <w:spacing w:val="-4"/>
        </w:rPr>
        <w:t>）年均复合增长率约为</w:t>
      </w:r>
      <w:r>
        <w:rPr>
          <w:rFonts w:ascii="宋体" w:hAnsi="宋体" w:cs="宋体" w:eastAsia="宋体" w:hint="default"/>
          <w:spacing w:val="-4"/>
        </w:rPr>
        <w:t>31.12%</w:t>
      </w:r>
      <w:r>
        <w:rPr>
          <w:spacing w:val="-4"/>
        </w:rPr>
        <w:t>，</w:t>
      </w:r>
      <w:r>
        <w:rPr>
          <w:rFonts w:ascii="宋体" w:hAnsi="宋体" w:cs="宋体" w:eastAsia="宋体" w:hint="default"/>
          <w:spacing w:val="-4"/>
        </w:rPr>
        <w:t>2021</w:t>
      </w:r>
      <w:r>
        <w:rPr>
          <w:spacing w:val="-4"/>
        </w:rPr>
        <w:t>年</w:t>
      </w:r>
      <w:r>
        <w:rPr>
          <w:rFonts w:ascii="宋体" w:hAnsi="宋体" w:cs="宋体" w:eastAsia="宋体" w:hint="default"/>
          <w:spacing w:val="-4"/>
        </w:rPr>
        <w:t>IT</w:t>
      </w:r>
      <w:r>
        <w:rPr>
          <w:spacing w:val="-4"/>
        </w:rPr>
        <w:t>投资规模将达到</w:t>
      </w:r>
      <w:r>
        <w:rPr>
          <w:rFonts w:ascii="宋体" w:hAnsi="宋体" w:cs="宋体" w:eastAsia="宋体" w:hint="default"/>
          <w:spacing w:val="-4"/>
        </w:rPr>
        <w:t>12341</w:t>
      </w:r>
      <w:r>
        <w:rPr>
          <w:spacing w:val="-4"/>
        </w:rPr>
        <w:t>亿元。预计</w:t>
      </w:r>
      <w:r>
        <w:rPr>
          <w:rFonts w:ascii="宋体" w:hAnsi="宋体" w:cs="宋体" w:eastAsia="宋体" w:hint="default"/>
          <w:spacing w:val="-4"/>
        </w:rPr>
        <w:t>2017</w:t>
      </w:r>
      <w:r>
        <w:rPr>
          <w:rFonts w:ascii="宋体" w:hAnsi="宋体" w:cs="宋体" w:eastAsia="宋体" w:hint="default"/>
          <w:spacing w:val="-101"/>
        </w:rPr>
        <w:t> </w:t>
      </w:r>
      <w:r>
        <w:rPr>
          <w:spacing w:val="5"/>
        </w:rPr>
        <w:t>年我国智慧城市市场规模将达到</w:t>
      </w:r>
      <w:r>
        <w:rPr>
          <w:rFonts w:ascii="宋体" w:hAnsi="宋体" w:cs="宋体" w:eastAsia="宋体" w:hint="default"/>
          <w:spacing w:val="5"/>
        </w:rPr>
        <w:t>6.0</w:t>
      </w:r>
      <w:r>
        <w:rPr>
          <w:spacing w:val="5"/>
        </w:rPr>
        <w:t>万亿元，未来五年（</w:t>
      </w:r>
      <w:r>
        <w:rPr>
          <w:rFonts w:ascii="宋体" w:hAnsi="宋体" w:cs="宋体" w:eastAsia="宋体" w:hint="default"/>
          <w:spacing w:val="5"/>
        </w:rPr>
        <w:t>2017-2021</w:t>
      </w:r>
      <w:r>
        <w:rPr>
          <w:spacing w:val="5"/>
        </w:rPr>
        <w:t>）年均复合增长率约为</w:t>
      </w:r>
      <w:r>
        <w:rPr>
          <w:spacing w:val="-90"/>
        </w:rPr>
        <w:t> </w:t>
      </w:r>
      <w:r>
        <w:rPr>
          <w:spacing w:val="-90"/>
        </w:rPr>
      </w:r>
      <w:r>
        <w:rPr>
          <w:rFonts w:ascii="宋体" w:hAnsi="宋体" w:cs="宋体" w:eastAsia="宋体" w:hint="default"/>
        </w:rPr>
        <w:t>32.64%</w:t>
      </w:r>
      <w:r>
        <w:rPr/>
        <w:t>，</w:t>
      </w:r>
      <w:r>
        <w:rPr>
          <w:rFonts w:ascii="宋体" w:hAnsi="宋体" w:cs="宋体" w:eastAsia="宋体" w:hint="default"/>
        </w:rPr>
        <w:t>2021</w:t>
      </w:r>
      <w:r>
        <w:rPr/>
        <w:t>年市场规模将达到</w:t>
      </w:r>
      <w:r>
        <w:rPr>
          <w:rFonts w:ascii="宋体" w:hAnsi="宋体" w:cs="宋体" w:eastAsia="宋体" w:hint="default"/>
        </w:rPr>
        <w:t>18.7</w:t>
      </w:r>
      <w:r>
        <w:rPr/>
        <w:t>万亿元。</w:t>
      </w:r>
    </w:p>
    <w:p>
      <w:pPr>
        <w:pStyle w:val="BodyText"/>
        <w:spacing w:line="357" w:lineRule="auto"/>
        <w:ind w:right="238" w:firstLine="482"/>
        <w:jc w:val="right"/>
      </w:pPr>
      <w:r>
        <w:rPr/>
        <w:t>国家“十三五”规划指出，城市道路病害、城市内涝、城市黑臭水体治理、城市双修等 以国家层面提出的城市公共服务对地下管线，集中力量加快灾后水利薄弱环节和涝灾严重城</w:t>
      </w:r>
      <w:r>
        <w:rPr>
          <w:spacing w:val="-101"/>
        </w:rPr>
        <w:t> </w:t>
      </w:r>
      <w:r>
        <w:rPr>
          <w:spacing w:val="-101"/>
        </w:rPr>
      </w:r>
      <w:r>
        <w:rPr/>
        <w:t>市排水防涝能力建设，是补上民生短板、保护生态的重要举措。管线服务已从管线探测保障</w:t>
      </w:r>
      <w:r>
        <w:rPr>
          <w:spacing w:val="-101"/>
        </w:rPr>
        <w:t> </w:t>
      </w:r>
      <w:r>
        <w:rPr>
          <w:spacing w:val="-101"/>
        </w:rPr>
      </w:r>
      <w:r>
        <w:rPr/>
        <w:t>城市的规划、建设、管理，进化到以安全、生态、环保、绿色、发展等为主题的城市治理。 </w:t>
      </w:r>
      <w:r>
        <w:rPr>
          <w:rFonts w:ascii="宋体" w:hAnsi="宋体" w:cs="宋体" w:eastAsia="宋体" w:hint="default"/>
        </w:rPr>
        <w:t>2014</w:t>
      </w:r>
      <w:r>
        <w:rPr/>
        <w:t>年以来，国务院连续发布了《关于加强城市地下管线建设管理的指导意见》、《关 于加强城市地下管线规划管理的通知》、《关于推进城市地下综合管廊建设的指导意见》、</w:t>
      </w:r>
    </w:p>
    <w:p>
      <w:pPr>
        <w:pStyle w:val="BodyText"/>
        <w:spacing w:line="357" w:lineRule="auto"/>
        <w:ind w:right="96"/>
        <w:jc w:val="left"/>
      </w:pPr>
      <w:r>
        <w:rPr/>
        <w:t>《关于进一步加强城市规划建设管理工作的若干意见》、《关于深入推进新型城镇化建设的</w:t>
      </w:r>
      <w:r>
        <w:rPr>
          <w:spacing w:val="-91"/>
        </w:rPr>
        <w:t> </w:t>
      </w:r>
      <w:r>
        <w:rPr>
          <w:spacing w:val="-91"/>
        </w:rPr>
      </w:r>
      <w:r>
        <w:rPr/>
        <w:t>若干意见》和《关于推进海绵城市建设的指导意见》等一系列重要的文件，为中国城市地下</w:t>
      </w:r>
      <w:r>
        <w:rPr>
          <w:spacing w:val="-91"/>
        </w:rPr>
        <w:t> </w:t>
      </w:r>
      <w:r>
        <w:rPr>
          <w:spacing w:val="-91"/>
        </w:rPr>
      </w:r>
      <w:r>
        <w:rPr/>
        <w:t>管线的建设、管理和运营指明了发展方向。随后住房城乡建设部等部门根据国务院要求，在</w:t>
      </w:r>
      <w:r>
        <w:rPr>
          <w:spacing w:val="-91"/>
        </w:rPr>
        <w:t> </w:t>
      </w:r>
      <w:r>
        <w:rPr>
          <w:spacing w:val="-91"/>
        </w:rPr>
      </w:r>
      <w:r>
        <w:rPr/>
        <w:t>全国各地广泛开展了城市地下管线普查、建立综合管理信息系统、编制完成地下管线综合规</w:t>
      </w:r>
      <w:r>
        <w:rPr>
          <w:spacing w:val="-91"/>
        </w:rPr>
        <w:t> </w:t>
      </w:r>
      <w:r>
        <w:rPr>
          <w:spacing w:val="-91"/>
        </w:rPr>
      </w:r>
      <w:r>
        <w:rPr>
          <w:spacing w:val="-5"/>
        </w:rPr>
        <w:t>划等工作。力争用</w:t>
      </w:r>
      <w:r>
        <w:rPr>
          <w:rFonts w:ascii="宋体" w:hAnsi="宋体" w:cs="宋体" w:eastAsia="宋体" w:hint="default"/>
          <w:spacing w:val="-5"/>
        </w:rPr>
        <w:t>5</w:t>
      </w:r>
      <w:r>
        <w:rPr>
          <w:spacing w:val="-5"/>
        </w:rPr>
        <w:t>年时间，完成城市地下老旧管网改造，将管网漏失率控制在国家标准以内，</w:t>
      </w:r>
      <w:r>
        <w:rPr>
          <w:spacing w:val="-114"/>
        </w:rPr>
        <w:t> </w:t>
      </w:r>
      <w:r>
        <w:rPr>
          <w:spacing w:val="-114"/>
        </w:rPr>
      </w:r>
      <w:r>
        <w:rPr/>
        <w:t>显著降低管网事故率，避免重大事故发生。用</w:t>
      </w:r>
      <w:r>
        <w:rPr>
          <w:rFonts w:ascii="宋体" w:hAnsi="宋体" w:cs="宋体" w:eastAsia="宋体" w:hint="default"/>
        </w:rPr>
        <w:t>10</w:t>
      </w:r>
      <w:r>
        <w:rPr/>
        <w:t>年左右时间，建成较为完善的城市地下管线</w:t>
      </w:r>
      <w:r>
        <w:rPr>
          <w:spacing w:val="-88"/>
        </w:rPr>
        <w:t> </w:t>
      </w:r>
      <w:r>
        <w:rPr>
          <w:spacing w:val="-88"/>
        </w:rPr>
      </w:r>
      <w:r>
        <w:rPr>
          <w:spacing w:val="-5"/>
        </w:rPr>
        <w:t>体系，使地下管线建设管理水平能够适应经济社会发展需要，应急防灾能力大幅提升。到</w:t>
      </w:r>
      <w:r>
        <w:rPr>
          <w:rFonts w:ascii="宋体" w:hAnsi="宋体" w:cs="宋体" w:eastAsia="宋体" w:hint="default"/>
          <w:spacing w:val="-5"/>
        </w:rPr>
        <w:t>2020</w:t>
      </w:r>
      <w:r>
        <w:rPr>
          <w:rFonts w:ascii="宋体" w:hAnsi="宋体" w:cs="宋体" w:eastAsia="宋体" w:hint="default"/>
          <w:spacing w:val="-107"/>
        </w:rPr>
        <w:t> </w:t>
      </w:r>
      <w:r>
        <w:rPr/>
        <w:t>年，建成一批具有国际先进水平的地下综合管廊并投入运营，反复开挖地面的“马路拉链”</w:t>
      </w:r>
      <w:r>
        <w:rPr>
          <w:spacing w:val="-86"/>
        </w:rPr>
        <w:t> </w:t>
      </w:r>
      <w:r>
        <w:rPr>
          <w:spacing w:val="-86"/>
        </w:rPr>
      </w:r>
      <w:r>
        <w:rPr>
          <w:spacing w:val="-2"/>
        </w:rPr>
        <w:t>问题明显改善，管线安全水平和防灾抗灾能力明显提升，逐步消除主要街道蜘蛛网式架空线，</w:t>
      </w:r>
      <w:r>
        <w:rPr/>
        <w:t> 城市地面景观明显好转。</w:t>
      </w:r>
    </w:p>
    <w:p>
      <w:pPr>
        <w:pStyle w:val="BodyText"/>
        <w:spacing w:line="357" w:lineRule="auto"/>
        <w:ind w:left="635" w:right="96"/>
        <w:jc w:val="left"/>
      </w:pPr>
      <w:r>
        <w:rPr>
          <w:rFonts w:ascii="宋体" w:hAnsi="宋体" w:cs="宋体" w:eastAsia="宋体" w:hint="default"/>
        </w:rPr>
        <w:t>2</w:t>
      </w:r>
      <w:r>
        <w:rPr/>
        <w:t>、发展计划 </w:t>
      </w:r>
      <w:r>
        <w:rPr>
          <w:spacing w:val="-3"/>
        </w:rPr>
        <w:t>新的一年，国家城市管理执法体制改革逐步落地，随着国家住建部城市管理监督局成立，</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49"/>
        <w:jc w:val="both"/>
      </w:pPr>
      <w:r>
        <w:rPr>
          <w:rFonts w:ascii="宋体" w:hAnsi="宋体" w:cs="宋体" w:eastAsia="宋体" w:hint="default"/>
          <w:spacing w:val="-2"/>
        </w:rPr>
        <w:t>25</w:t>
      </w:r>
      <w:r>
        <w:rPr>
          <w:spacing w:val="-2"/>
        </w:rPr>
        <w:t>个省发布改革文件，公司面对的智慧城市市场前景良好。新一代“网格化</w:t>
      </w:r>
      <w:r>
        <w:rPr>
          <w:rFonts w:ascii="宋体" w:hAnsi="宋体" w:cs="宋体" w:eastAsia="宋体" w:hint="default"/>
          <w:spacing w:val="-2"/>
        </w:rPr>
        <w:t>+</w:t>
      </w:r>
      <w:r>
        <w:rPr>
          <w:spacing w:val="-2"/>
        </w:rPr>
        <w:t>”智慧城市综合</w:t>
      </w:r>
      <w:r>
        <w:rPr>
          <w:spacing w:val="-118"/>
        </w:rPr>
        <w:t> </w:t>
      </w:r>
      <w:r>
        <w:rPr>
          <w:spacing w:val="-118"/>
        </w:rPr>
      </w:r>
      <w:r>
        <w:rPr/>
        <w:t>信息服务及运营项目是公司未来战略实施的技术基础，公司将充分发挥技术优势加快建立智</w:t>
      </w:r>
      <w:r>
        <w:rPr>
          <w:spacing w:val="-91"/>
        </w:rPr>
        <w:t> </w:t>
      </w:r>
      <w:r>
        <w:rPr>
          <w:spacing w:val="-91"/>
        </w:rPr>
      </w:r>
      <w:r>
        <w:rPr>
          <w:spacing w:val="-2"/>
        </w:rPr>
        <w:t>慧城市的多行业融合应用体系，整合各种优势资源，探索以“互联网</w:t>
      </w:r>
      <w:r>
        <w:rPr>
          <w:rFonts w:ascii="宋体" w:hAnsi="宋体" w:cs="宋体" w:eastAsia="宋体" w:hint="default"/>
          <w:spacing w:val="-2"/>
        </w:rPr>
        <w:t>+</w:t>
      </w:r>
      <w:r>
        <w:rPr>
          <w:spacing w:val="-2"/>
        </w:rPr>
        <w:t>”的模式推动智慧城市</w:t>
      </w:r>
      <w:r>
        <w:rPr>
          <w:spacing w:val="-118"/>
        </w:rPr>
        <w:t> </w:t>
      </w:r>
      <w:r>
        <w:rPr>
          <w:spacing w:val="-118"/>
        </w:rPr>
      </w:r>
      <w:r>
        <w:rPr/>
        <w:t>生态圈的发展，打通智慧城市建设过程中的信息孤岛，在为城市管理者和城市居民提供高质</w:t>
      </w:r>
      <w:r>
        <w:rPr>
          <w:spacing w:val="-91"/>
        </w:rPr>
        <w:t> </w:t>
      </w:r>
      <w:r>
        <w:rPr>
          <w:spacing w:val="-91"/>
        </w:rPr>
      </w:r>
      <w:r>
        <w:rPr/>
        <w:t>量的公共服务的同时积极探索提供增值服务的渠道和模式，形成产业共赢的格局，促进公司</w:t>
      </w:r>
      <w:r>
        <w:rPr>
          <w:spacing w:val="-91"/>
        </w:rPr>
        <w:t> </w:t>
      </w:r>
      <w:r>
        <w:rPr>
          <w:spacing w:val="-91"/>
        </w:rPr>
      </w:r>
      <w:r>
        <w:rPr/>
        <w:t>更好更快的发展。</w:t>
      </w:r>
    </w:p>
    <w:p>
      <w:pPr>
        <w:pStyle w:val="BodyText"/>
        <w:spacing w:line="357" w:lineRule="auto"/>
        <w:ind w:right="153" w:firstLine="482"/>
        <w:jc w:val="left"/>
      </w:pPr>
      <w:r>
        <w:rPr/>
        <w:t>外延式扩张一直是公司的发展战略，公司希望通过战略合作、资源整合和投资并购等方 式，完善现有产业链，实现智慧城市的多层次发展，打造智慧城市大平台。</w:t>
      </w:r>
    </w:p>
    <w:p>
      <w:pPr>
        <w:spacing w:line="240" w:lineRule="auto" w:before="11"/>
        <w:rPr>
          <w:rFonts w:ascii="宋体" w:hAnsi="宋体" w:cs="宋体" w:eastAsia="宋体" w:hint="default"/>
          <w:sz w:val="19"/>
          <w:szCs w:val="19"/>
        </w:rPr>
      </w:pPr>
    </w:p>
    <w:p>
      <w:pPr>
        <w:pStyle w:val="Heading2"/>
        <w:spacing w:line="240" w:lineRule="auto"/>
        <w:ind w:right="0"/>
        <w:jc w:val="both"/>
        <w:rPr>
          <w:b w:val="0"/>
          <w:bCs w:val="0"/>
        </w:rPr>
      </w:pPr>
      <w:r>
        <w:rPr/>
        <w:t>十、接待调研、沟通、采访等活动登记表</w:t>
      </w:r>
      <w:r>
        <w:rPr>
          <w:b w:val="0"/>
          <w:bCs w:val="0"/>
        </w:rPr>
      </w:r>
    </w:p>
    <w:p>
      <w:pPr>
        <w:spacing w:line="240" w:lineRule="auto" w:before="12"/>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、报告期内接待调研、沟通、采访等活动登记表</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56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公司报告期内未发生接待调研、沟通、采访等活动。</w:t>
      </w:r>
    </w:p>
    <w:p>
      <w:pPr>
        <w:spacing w:after="0" w:line="3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29" w:right="3505"/>
        <w:jc w:val="center"/>
        <w:rPr>
          <w:b w:val="0"/>
          <w:bCs w:val="0"/>
        </w:rPr>
      </w:pPr>
      <w:bookmarkStart w:name="_bookmark4" w:id="5"/>
      <w:bookmarkEnd w:id="5"/>
      <w:r>
        <w:rPr>
          <w:b w:val="0"/>
          <w:bCs w:val="0"/>
        </w:rPr>
      </w:r>
      <w:r>
        <w:rPr/>
        <w:t>第五节</w:t>
      </w:r>
      <w:r>
        <w:rPr>
          <w:spacing w:val="-2"/>
        </w:rPr>
        <w:t> </w:t>
      </w:r>
      <w:r>
        <w:rPr/>
        <w:t>重要事项</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6"/>
        <w:jc w:val="left"/>
        <w:rPr>
          <w:b w:val="0"/>
          <w:bCs w:val="0"/>
        </w:rPr>
      </w:pP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96" w:firstLine="480"/>
        <w:jc w:val="left"/>
      </w:pPr>
      <w:r>
        <w:rPr>
          <w:spacing w:val="-3"/>
        </w:rPr>
        <w:t>报告期内，公司严格按照《公司章程》相关利润分配政策和审议程序实施利润分配方案，</w:t>
      </w:r>
      <w:r>
        <w:rPr/>
        <w:t> </w:t>
      </w:r>
      <w:r>
        <w:rPr>
          <w:spacing w:val="-2"/>
        </w:rPr>
        <w:t>分红标准和分红比例明确清晰，相关的决策程序和机制完备。公司利润分配方案经由董事会、</w:t>
      </w:r>
      <w:r>
        <w:rPr/>
        <w:t> 监事会审议过后提交股东大会审议，并由独立董事发表独立意见，审议通过后在规定时间内</w:t>
      </w:r>
      <w:r>
        <w:rPr>
          <w:spacing w:val="-91"/>
        </w:rPr>
        <w:t> </w:t>
      </w:r>
      <w:r>
        <w:rPr>
          <w:spacing w:val="-91"/>
        </w:rPr>
      </w:r>
      <w:r>
        <w:rPr/>
        <w:t>进行实施，切实保证了全体股东的利益。</w:t>
      </w:r>
    </w:p>
    <w:p>
      <w:pPr>
        <w:pStyle w:val="BodyText"/>
        <w:spacing w:line="357" w:lineRule="auto"/>
        <w:ind w:right="231" w:firstLine="480"/>
        <w:jc w:val="both"/>
      </w:pPr>
      <w:r>
        <w:rPr>
          <w:rFonts w:ascii="宋体" w:hAnsi="宋体" w:cs="宋体" w:eastAsia="宋体" w:hint="default"/>
          <w:spacing w:val="-2"/>
        </w:rPr>
        <w:t>2017</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17</w:t>
      </w:r>
      <w:r>
        <w:rPr>
          <w:spacing w:val="-2"/>
        </w:rPr>
        <w:t>日，公司</w:t>
      </w:r>
      <w:r>
        <w:rPr>
          <w:rFonts w:ascii="宋体" w:hAnsi="宋体" w:cs="宋体" w:eastAsia="宋体" w:hint="default"/>
          <w:spacing w:val="-2"/>
        </w:rPr>
        <w:t>2016</w:t>
      </w:r>
      <w:r>
        <w:rPr>
          <w:spacing w:val="-2"/>
        </w:rPr>
        <w:t>年度股东大会审议通过了</w:t>
      </w:r>
      <w:r>
        <w:rPr>
          <w:rFonts w:ascii="宋体" w:hAnsi="宋体" w:cs="宋体" w:eastAsia="宋体" w:hint="default"/>
          <w:spacing w:val="-2"/>
        </w:rPr>
        <w:t>2016</w:t>
      </w:r>
      <w:r>
        <w:rPr>
          <w:spacing w:val="-2"/>
        </w:rPr>
        <w:t>年度利润分配方案，公司拟以总</w:t>
      </w:r>
      <w:r>
        <w:rPr/>
        <w:t> 股本</w:t>
      </w:r>
      <w:r>
        <w:rPr>
          <w:rFonts w:ascii="宋体" w:hAnsi="宋体" w:cs="宋体" w:eastAsia="宋体" w:hint="default"/>
        </w:rPr>
        <w:t>395,621,710</w:t>
      </w:r>
      <w:r>
        <w:rPr/>
        <w:t>股为基数，向全体股东每</w:t>
      </w:r>
      <w:r>
        <w:rPr>
          <w:rFonts w:ascii="宋体" w:hAnsi="宋体" w:cs="宋体" w:eastAsia="宋体" w:hint="default"/>
        </w:rPr>
        <w:t>10</w:t>
      </w:r>
      <w:r>
        <w:rPr/>
        <w:t>股派发现金红利</w:t>
      </w:r>
      <w:r>
        <w:rPr>
          <w:rFonts w:ascii="宋体" w:hAnsi="宋体" w:cs="宋体" w:eastAsia="宋体" w:hint="default"/>
        </w:rPr>
        <w:t>0.3</w:t>
      </w:r>
      <w:r>
        <w:rPr/>
        <w:t>元（含税），共计派发现金</w:t>
      </w:r>
      <w:r>
        <w:rPr>
          <w:spacing w:val="-88"/>
        </w:rPr>
        <w:t> </w:t>
      </w:r>
      <w:r>
        <w:rPr>
          <w:spacing w:val="-88"/>
        </w:rPr>
      </w:r>
      <w:r>
        <w:rPr>
          <w:spacing w:val="-2"/>
        </w:rPr>
        <w:t>红利</w:t>
      </w:r>
      <w:r>
        <w:rPr>
          <w:rFonts w:ascii="宋体" w:hAnsi="宋体" w:cs="宋体" w:eastAsia="宋体" w:hint="default"/>
          <w:spacing w:val="-2"/>
        </w:rPr>
        <w:t>11,868,651.30</w:t>
      </w:r>
      <w:r>
        <w:rPr>
          <w:spacing w:val="-2"/>
        </w:rPr>
        <w:t>元，剩余未分配利润结转以后年度分配。本年度不进行资本公积金转增股</w:t>
      </w:r>
      <w:r>
        <w:rPr>
          <w:spacing w:val="-109"/>
        </w:rPr>
        <w:t> </w:t>
      </w:r>
      <w:r>
        <w:rPr>
          <w:spacing w:val="-109"/>
        </w:rPr>
      </w:r>
      <w:r>
        <w:rPr/>
        <w:t>本。本次权益分派股权登记日为：</w:t>
      </w:r>
      <w:r>
        <w:rPr>
          <w:rFonts w:ascii="宋体" w:hAnsi="宋体" w:cs="宋体" w:eastAsia="宋体" w:hint="default"/>
        </w:rPr>
        <w:t>2017</w:t>
      </w:r>
      <w:r>
        <w:rPr/>
        <w:t>年</w:t>
      </w:r>
      <w:r>
        <w:rPr>
          <w:rFonts w:ascii="宋体" w:hAnsi="宋体" w:cs="宋体" w:eastAsia="宋体" w:hint="default"/>
        </w:rPr>
        <w:t>5</w:t>
      </w:r>
      <w:r>
        <w:rPr/>
        <w:t>月</w:t>
      </w:r>
      <w:r>
        <w:rPr>
          <w:rFonts w:ascii="宋体" w:hAnsi="宋体" w:cs="宋体" w:eastAsia="宋体" w:hint="default"/>
        </w:rPr>
        <w:t>31</w:t>
      </w:r>
      <w:r>
        <w:rPr/>
        <w:t>日，除权除息日为：</w:t>
      </w:r>
      <w:r>
        <w:rPr>
          <w:rFonts w:ascii="宋体" w:hAnsi="宋体" w:cs="宋体" w:eastAsia="宋体" w:hint="default"/>
        </w:rPr>
        <w:t>2017</w:t>
      </w:r>
      <w:r>
        <w:rPr/>
        <w:t>年</w:t>
      </w:r>
      <w:r>
        <w:rPr>
          <w:rFonts w:ascii="宋体" w:hAnsi="宋体" w:cs="宋体" w:eastAsia="宋体" w:hint="default"/>
        </w:rPr>
        <w:t>6</w:t>
      </w:r>
      <w:r>
        <w:rPr/>
        <w:t>月</w:t>
      </w:r>
      <w:r>
        <w:rPr>
          <w:rFonts w:ascii="宋体" w:hAnsi="宋体" w:cs="宋体" w:eastAsia="宋体" w:hint="default"/>
        </w:rPr>
        <w:t>1</w:t>
      </w:r>
      <w:r>
        <w:rPr/>
        <w:t>日。</w:t>
      </w: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398"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7"/>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2" w:right="57"/>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49"/>
        <w:ind w:left="152" w:right="96" w:firstLine="0"/>
        <w:jc w:val="left"/>
        <w:rPr>
          <w:rFonts w:ascii="宋体" w:hAnsi="宋体" w:cs="宋体" w:eastAsia="宋体" w:hint="default"/>
          <w:sz w:val="18"/>
          <w:szCs w:val="18"/>
        </w:rPr>
      </w:pPr>
      <w:r>
        <w:rPr>
          <w:rFonts w:ascii="宋体" w:hAnsi="宋体" w:cs="宋体" w:eastAsia="宋体" w:hint="default"/>
          <w:sz w:val="18"/>
          <w:szCs w:val="18"/>
        </w:rPr>
        <w:t>公司报告期利润分配预案及资本公积金转增股本预案与公司章程和分红管理办法等的相关规定一致</w:t>
      </w:r>
    </w:p>
    <w:p>
      <w:pPr>
        <w:spacing w:line="350" w:lineRule="auto" w:before="115"/>
        <w:ind w:left="152" w:right="33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 公司报告期利润分配预案及资本公积金转增股本预案符合公司章程等的相关规定。 本年度利润分配及资本公积金转增股本预案</w:t>
      </w:r>
    </w:p>
    <w:tbl>
      <w:tblPr>
        <w:tblW w:w="0" w:type="auto"/>
        <w:jc w:val="left"/>
        <w:tblInd w:w="149" w:type="dxa"/>
        <w:tblLayout w:type="fixed"/>
        <w:tblCellMar>
          <w:top w:w="0" w:type="dxa"/>
          <w:left w:w="0" w:type="dxa"/>
          <w:bottom w:w="0" w:type="dxa"/>
          <w:right w:w="0" w:type="dxa"/>
        </w:tblCellMar>
        <w:tblLook w:val="01E0"/>
      </w:tblPr>
      <w:tblGrid>
        <w:gridCol w:w="3717"/>
        <w:gridCol w:w="5852"/>
      </w:tblGrid>
      <w:tr>
        <w:trPr>
          <w:trHeight w:val="403"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424,626,905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12,738,807.15</w:t>
            </w:r>
          </w:p>
        </w:tc>
      </w:tr>
      <w:tr>
        <w:trPr>
          <w:trHeight w:val="403"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646,735,486.13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0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708"/>
        <w:gridCol w:w="5863"/>
      </w:tblGrid>
      <w:tr>
        <w:trPr>
          <w:trHeight w:val="402" w:hRule="exact"/>
        </w:trPr>
        <w:tc>
          <w:tcPr>
            <w:tcW w:w="3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86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11"/>
                <w:sz w:val="18"/>
                <w:szCs w:val="18"/>
              </w:rPr>
              <w:t>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90"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5"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公司拟以总股本</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90</w:t>
            </w:r>
            <w:r>
              <w:rPr>
                <w:rFonts w:ascii="Times New Roman" w:hAnsi="Times New Roman" w:cs="Times New Roman" w:eastAsia="Times New Roman" w:hint="default"/>
                <w:sz w:val="18"/>
                <w:szCs w:val="18"/>
              </w:rPr>
              <w:t>5 </w:t>
            </w:r>
            <w:r>
              <w:rPr>
                <w:rFonts w:ascii="宋体" w:hAnsi="宋体" w:cs="宋体" w:eastAsia="宋体" w:hint="default"/>
                <w:sz w:val="18"/>
                <w:szCs w:val="18"/>
              </w:rPr>
              <w:t>股为基数，向全体股东每</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股派发现金红利</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w:t>
            </w:r>
            <w:r>
              <w:rPr>
                <w:rFonts w:ascii="宋体" w:hAnsi="宋体" w:cs="宋体" w:eastAsia="宋体" w:hint="default"/>
                <w:spacing w:val="-3"/>
                <w:sz w:val="18"/>
                <w:szCs w:val="18"/>
              </w:rPr>
              <w:t>税</w:t>
            </w:r>
            <w:r>
              <w:rPr>
                <w:rFonts w:ascii="宋体" w:hAnsi="宋体" w:cs="宋体" w:eastAsia="宋体" w:hint="default"/>
                <w:spacing w:val="-92"/>
                <w:sz w:val="18"/>
                <w:szCs w:val="18"/>
              </w:rPr>
              <w:t>）</w:t>
            </w:r>
            <w:r>
              <w:rPr>
                <w:rFonts w:ascii="宋体" w:hAnsi="宋体" w:cs="宋体" w:eastAsia="宋体" w:hint="default"/>
                <w:sz w:val="18"/>
                <w:szCs w:val="18"/>
              </w:rPr>
              <w:t>，共计派发现金红利</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12,738,807.15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元，剩余未分配利润结转以后年度分配。本年度不进行资本公积金转增股本。</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年（包括本报告期</w:t>
      </w:r>
      <w:r>
        <w:rPr>
          <w:rFonts w:ascii="宋体" w:hAnsi="宋体" w:cs="宋体" w:eastAsia="宋体" w:hint="default"/>
          <w:spacing w:val="-3"/>
          <w:sz w:val="18"/>
          <w:szCs w:val="18"/>
        </w:rPr>
        <w:t>）</w:t>
      </w:r>
      <w:r>
        <w:rPr>
          <w:rFonts w:ascii="宋体" w:hAnsi="宋体" w:cs="宋体" w:eastAsia="宋体" w:hint="default"/>
          <w:sz w:val="18"/>
          <w:szCs w:val="18"/>
        </w:rPr>
        <w:t>的普通股股利分配方案（预案</w:t>
      </w:r>
      <w:r>
        <w:rPr>
          <w:rFonts w:ascii="宋体" w:hAnsi="宋体" w:cs="宋体" w:eastAsia="宋体" w:hint="default"/>
          <w:spacing w:val="-89"/>
          <w:sz w:val="18"/>
          <w:szCs w:val="18"/>
        </w:rPr>
        <w:t>）</w:t>
      </w:r>
      <w:r>
        <w:rPr>
          <w:rFonts w:ascii="宋体" w:hAnsi="宋体" w:cs="宋体" w:eastAsia="宋体" w:hint="default"/>
          <w:sz w:val="18"/>
          <w:szCs w:val="18"/>
        </w:rPr>
        <w:t>、资本公积金转增股本方案（预案）情况</w:t>
      </w:r>
    </w:p>
    <w:p>
      <w:pPr>
        <w:pStyle w:val="BodyText"/>
        <w:spacing w:line="357" w:lineRule="auto" w:before="132"/>
        <w:ind w:right="151" w:firstLine="480"/>
        <w:jc w:val="both"/>
      </w:pPr>
      <w:r>
        <w:rPr>
          <w:rFonts w:ascii="宋体" w:hAnsi="宋体" w:cs="宋体" w:eastAsia="宋体" w:hint="default"/>
          <w:spacing w:val="-2"/>
        </w:rPr>
        <w:t>1</w:t>
      </w:r>
      <w:r>
        <w:rPr>
          <w:spacing w:val="-2"/>
        </w:rPr>
        <w:t>、</w:t>
      </w:r>
      <w:r>
        <w:rPr>
          <w:rFonts w:ascii="宋体" w:hAnsi="宋体" w:cs="宋体" w:eastAsia="宋体" w:hint="default"/>
          <w:spacing w:val="-2"/>
        </w:rPr>
        <w:t>2016</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18</w:t>
      </w:r>
      <w:r>
        <w:rPr>
          <w:spacing w:val="-2"/>
        </w:rPr>
        <w:t>日，公司召开第三届董事会第十一次会议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2015</w:t>
      </w:r>
      <w:r>
        <w:rPr>
          <w:spacing w:val="-2"/>
        </w:rPr>
        <w:t>年度利润分配</w:t>
      </w:r>
      <w:r>
        <w:rPr/>
        <w:t> 方案</w:t>
      </w:r>
      <w:r>
        <w:rPr>
          <w:rFonts w:ascii="宋体" w:hAnsi="宋体" w:cs="宋体" w:eastAsia="宋体" w:hint="default"/>
        </w:rPr>
        <w:t>:</w:t>
      </w:r>
      <w:r>
        <w:rPr/>
        <w:t>以公司现有总股本</w:t>
      </w:r>
      <w:r>
        <w:rPr>
          <w:rFonts w:ascii="宋体" w:hAnsi="宋体" w:cs="宋体" w:eastAsia="宋体" w:hint="default"/>
        </w:rPr>
        <w:t>382,633,710</w:t>
      </w:r>
      <w:r>
        <w:rPr/>
        <w:t>股为基数，每</w:t>
      </w:r>
      <w:r>
        <w:rPr>
          <w:rFonts w:ascii="宋体" w:hAnsi="宋体" w:cs="宋体" w:eastAsia="宋体" w:hint="default"/>
        </w:rPr>
        <w:t>10</w:t>
      </w:r>
      <w:r>
        <w:rPr/>
        <w:t>股派</w:t>
      </w:r>
      <w:r>
        <w:rPr>
          <w:rFonts w:ascii="宋体" w:hAnsi="宋体" w:cs="宋体" w:eastAsia="宋体" w:hint="default"/>
        </w:rPr>
        <w:t>0.4</w:t>
      </w:r>
      <w:r>
        <w:rPr/>
        <w:t>元人民币现金（含税</w:t>
      </w:r>
      <w:r>
        <w:rPr>
          <w:rFonts w:ascii="宋体" w:hAnsi="宋体" w:cs="宋体" w:eastAsia="宋体" w:hint="default"/>
        </w:rPr>
        <w:t>)</w:t>
      </w:r>
      <w:r>
        <w:rPr/>
        <w:t>，共计派</w:t>
      </w:r>
      <w:r>
        <w:rPr>
          <w:spacing w:val="-88"/>
        </w:rPr>
        <w:t> </w:t>
      </w:r>
      <w:r>
        <w:rPr>
          <w:spacing w:val="-88"/>
        </w:rPr>
      </w:r>
      <w:r>
        <w:rPr/>
        <w:t>发现金红利</w:t>
      </w:r>
      <w:r>
        <w:rPr>
          <w:rFonts w:ascii="宋体" w:hAnsi="宋体" w:cs="宋体" w:eastAsia="宋体" w:hint="default"/>
        </w:rPr>
        <w:t>15,305,348.40</w:t>
      </w:r>
      <w:r>
        <w:rPr/>
        <w:t>元（含税</w:t>
      </w:r>
      <w:r>
        <w:rPr>
          <w:rFonts w:ascii="宋体" w:hAnsi="宋体" w:cs="宋体" w:eastAsia="宋体" w:hint="default"/>
        </w:rPr>
        <w:t>)</w:t>
      </w:r>
      <w:r>
        <w:rPr/>
        <w:t>。</w:t>
      </w:r>
    </w:p>
    <w:p>
      <w:pPr>
        <w:pStyle w:val="BodyText"/>
        <w:spacing w:line="357" w:lineRule="auto"/>
        <w:ind w:right="151" w:firstLine="480"/>
        <w:jc w:val="both"/>
      </w:pPr>
      <w:r>
        <w:rPr>
          <w:rFonts w:ascii="宋体" w:hAnsi="宋体" w:cs="宋体" w:eastAsia="宋体" w:hint="default"/>
          <w:spacing w:val="-2"/>
        </w:rPr>
        <w:t>2</w:t>
      </w:r>
      <w:r>
        <w:rPr>
          <w:spacing w:val="-2"/>
        </w:rPr>
        <w:t>、</w:t>
      </w:r>
      <w:r>
        <w:rPr>
          <w:rFonts w:ascii="宋体" w:hAnsi="宋体" w:cs="宋体" w:eastAsia="宋体" w:hint="default"/>
          <w:spacing w:val="-2"/>
        </w:rPr>
        <w:t>2017</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23</w:t>
      </w:r>
      <w:r>
        <w:rPr>
          <w:spacing w:val="-2"/>
        </w:rPr>
        <w:t>日，公司召开第三届董事会第二十二次会议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2016</w:t>
      </w:r>
      <w:r>
        <w:rPr>
          <w:spacing w:val="-2"/>
        </w:rPr>
        <w:t>年度利润分</w:t>
      </w:r>
      <w:r>
        <w:rPr/>
        <w:t> 配方案</w:t>
      </w:r>
      <w:r>
        <w:rPr>
          <w:rFonts w:ascii="宋体" w:hAnsi="宋体" w:cs="宋体" w:eastAsia="宋体" w:hint="default"/>
        </w:rPr>
        <w:t>:</w:t>
      </w:r>
      <w:r>
        <w:rPr/>
        <w:t>以公司现有总股本</w:t>
      </w:r>
      <w:r>
        <w:rPr>
          <w:rFonts w:ascii="宋体" w:hAnsi="宋体" w:cs="宋体" w:eastAsia="宋体" w:hint="default"/>
        </w:rPr>
        <w:t>395,621,710</w:t>
      </w:r>
      <w:r>
        <w:rPr/>
        <w:t>股为基数，每</w:t>
      </w:r>
      <w:r>
        <w:rPr>
          <w:rFonts w:ascii="宋体" w:hAnsi="宋体" w:cs="宋体" w:eastAsia="宋体" w:hint="default"/>
        </w:rPr>
        <w:t>10</w:t>
      </w:r>
      <w:r>
        <w:rPr/>
        <w:t>股派</w:t>
      </w:r>
      <w:r>
        <w:rPr>
          <w:rFonts w:ascii="宋体" w:hAnsi="宋体" w:cs="宋体" w:eastAsia="宋体" w:hint="default"/>
        </w:rPr>
        <w:t>0.3</w:t>
      </w:r>
      <w:r>
        <w:rPr/>
        <w:t>元人民币现金（含税</w:t>
      </w:r>
      <w:r>
        <w:rPr>
          <w:rFonts w:ascii="宋体" w:hAnsi="宋体" w:cs="宋体" w:eastAsia="宋体" w:hint="default"/>
        </w:rPr>
        <w:t>)</w:t>
      </w:r>
      <w:r>
        <w:rPr/>
        <w:t>，共计</w:t>
      </w:r>
      <w:r>
        <w:rPr>
          <w:spacing w:val="-87"/>
        </w:rPr>
        <w:t> </w:t>
      </w:r>
      <w:r>
        <w:rPr>
          <w:spacing w:val="-87"/>
        </w:rPr>
      </w:r>
      <w:r>
        <w:rPr/>
        <w:t>派发现金红利 </w:t>
      </w:r>
      <w:r>
        <w:rPr>
          <w:rFonts w:ascii="宋体" w:hAnsi="宋体" w:cs="宋体" w:eastAsia="宋体" w:hint="default"/>
        </w:rPr>
        <w:t>11,868,651.30</w:t>
      </w:r>
      <w:r>
        <w:rPr/>
        <w:t>元（含税</w:t>
      </w:r>
      <w:r>
        <w:rPr>
          <w:rFonts w:ascii="宋体" w:hAnsi="宋体" w:cs="宋体" w:eastAsia="宋体" w:hint="default"/>
        </w:rPr>
        <w:t>)</w:t>
      </w:r>
      <w:r>
        <w:rPr/>
        <w:t>。</w:t>
      </w:r>
    </w:p>
    <w:p>
      <w:pPr>
        <w:pStyle w:val="BodyText"/>
        <w:spacing w:line="357" w:lineRule="auto"/>
        <w:ind w:right="148" w:firstLine="480"/>
        <w:jc w:val="both"/>
      </w:pPr>
      <w:r>
        <w:rPr>
          <w:rFonts w:ascii="宋体" w:hAnsi="宋体" w:cs="宋体" w:eastAsia="宋体" w:hint="default"/>
          <w:spacing w:val="-2"/>
        </w:rPr>
        <w:t>3</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22</w:t>
      </w:r>
      <w:r>
        <w:rPr>
          <w:spacing w:val="-2"/>
        </w:rPr>
        <w:t>日，公司召开第三届董事会第三十四次会议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2017</w:t>
      </w:r>
      <w:r>
        <w:rPr>
          <w:spacing w:val="-2"/>
        </w:rPr>
        <w:t>年度利润分</w:t>
      </w:r>
      <w:r>
        <w:rPr/>
        <w:t> </w:t>
      </w:r>
      <w:r>
        <w:rPr>
          <w:spacing w:val="-2"/>
        </w:rPr>
        <w:t>配方案：以公司现有总股本</w:t>
      </w:r>
      <w:r>
        <w:rPr>
          <w:rFonts w:ascii="宋体" w:hAnsi="宋体" w:cs="宋体" w:eastAsia="宋体" w:hint="default"/>
          <w:spacing w:val="-2"/>
        </w:rPr>
        <w:t>424,626,905</w:t>
      </w:r>
      <w:r>
        <w:rPr>
          <w:spacing w:val="-2"/>
        </w:rPr>
        <w:t>股为基数，每</w:t>
      </w:r>
      <w:r>
        <w:rPr>
          <w:rFonts w:ascii="宋体" w:hAnsi="宋体" w:cs="宋体" w:eastAsia="宋体" w:hint="default"/>
          <w:spacing w:val="-2"/>
        </w:rPr>
        <w:t>10</w:t>
      </w:r>
      <w:r>
        <w:rPr>
          <w:spacing w:val="-2"/>
        </w:rPr>
        <w:t>股派</w:t>
      </w:r>
      <w:r>
        <w:rPr>
          <w:rFonts w:ascii="宋体" w:hAnsi="宋体" w:cs="宋体" w:eastAsia="宋体" w:hint="default"/>
          <w:spacing w:val="-2"/>
        </w:rPr>
        <w:t>0.3</w:t>
      </w:r>
      <w:r>
        <w:rPr>
          <w:spacing w:val="-2"/>
        </w:rPr>
        <w:t>元人民币现金（含税</w:t>
      </w:r>
      <w:r>
        <w:rPr>
          <w:rFonts w:ascii="宋体" w:hAnsi="宋体" w:cs="宋体" w:eastAsia="宋体" w:hint="default"/>
          <w:spacing w:val="-2"/>
        </w:rPr>
        <w:t>)</w:t>
      </w:r>
      <w:r>
        <w:rPr>
          <w:spacing w:val="-2"/>
        </w:rPr>
        <w:t>，共计</w:t>
      </w:r>
      <w:r>
        <w:rPr>
          <w:spacing w:val="-103"/>
        </w:rPr>
        <w:t> </w:t>
      </w:r>
      <w:r>
        <w:rPr>
          <w:spacing w:val="-103"/>
        </w:rPr>
      </w:r>
      <w:r>
        <w:rPr/>
        <w:t>派发现金红利 </w:t>
      </w:r>
      <w:r>
        <w:rPr>
          <w:rFonts w:ascii="宋体" w:hAnsi="宋体" w:cs="宋体" w:eastAsia="宋体" w:hint="default"/>
        </w:rPr>
        <w:t>12,738,807.15</w:t>
      </w:r>
      <w:r>
        <w:rPr/>
        <w:t>（含税</w:t>
      </w:r>
      <w:r>
        <w:rPr>
          <w:rFonts w:ascii="宋体" w:hAnsi="宋体" w:cs="宋体" w:eastAsia="宋体" w:hint="default"/>
        </w:rPr>
        <w:t>)</w:t>
      </w:r>
      <w:r>
        <w:rPr/>
        <w:t>。</w:t>
      </w:r>
    </w:p>
    <w:p>
      <w:pPr>
        <w:spacing w:before="46"/>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5"/>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317"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1" w:right="71"/>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71" w:right="72"/>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431" w:right="70"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432"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156"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612" w:right="70"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4" w:type="dxa"/>
            <w:vMerge/>
            <w:tcBorders>
              <w:left w:val="single" w:sz="4" w:space="0" w:color="000000"/>
              <w:right w:val="single" w:sz="4" w:space="0" w:color="000000"/>
            </w:tcBorders>
            <w:shd w:val="clear" w:color="auto" w:fill="D2D2D2"/>
          </w:tcPr>
          <w:p>
            <w:pPr/>
          </w:p>
        </w:tc>
        <w:tc>
          <w:tcPr>
            <w:tcW w:w="1596"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r>
      <w:tr>
        <w:trPr>
          <w:trHeight w:val="391" w:hRule="exact"/>
        </w:trPr>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6"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r>
      <w:tr>
        <w:trPr>
          <w:trHeight w:val="156"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1594" w:type="dxa"/>
            <w:vMerge/>
            <w:tcBorders>
              <w:left w:val="single" w:sz="4" w:space="0" w:color="000000"/>
              <w:bottom w:val="nil" w:sz="6" w:space="0" w:color="auto"/>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6"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c>
          <w:tcPr>
            <w:tcW w:w="1594" w:type="dxa"/>
            <w:vMerge/>
            <w:tcBorders>
              <w:left w:val="single" w:sz="4" w:space="0" w:color="000000"/>
              <w:right w:val="single" w:sz="4" w:space="0" w:color="000000"/>
            </w:tcBorders>
            <w:shd w:val="clear" w:color="auto" w:fill="D2D2D2"/>
          </w:tcPr>
          <w:p>
            <w:pPr/>
          </w:p>
        </w:tc>
      </w:tr>
      <w:tr>
        <w:trPr>
          <w:trHeight w:val="317"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12,738,807.15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169,594,871.96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7.51%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11,868,651.30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131,364,945.12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15,305,348.40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121,333,706.22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z w:val="18"/>
              </w:rPr>
              <w:t>12.61%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二、承诺事项履行情况</w:t>
      </w:r>
      <w:r>
        <w:rPr>
          <w:b w:val="0"/>
          <w:bCs w:val="0"/>
        </w:rPr>
      </w:r>
    </w:p>
    <w:p>
      <w:pPr>
        <w:spacing w:line="240" w:lineRule="auto" w:before="12"/>
        <w:rPr>
          <w:rFonts w:ascii="宋体" w:hAnsi="宋体" w:cs="宋体" w:eastAsia="宋体" w:hint="default"/>
          <w:b/>
          <w:bCs/>
          <w:sz w:val="24"/>
          <w:szCs w:val="24"/>
        </w:rPr>
      </w:pPr>
    </w:p>
    <w:p>
      <w:pPr>
        <w:spacing w:line="259" w:lineRule="auto"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、公司实际控制人、股东、关联方、收购人以及公司等承诺相关方在报告期内履行完毕及截至报告期末</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b/>
          <w:bCs/>
          <w:sz w:val="21"/>
          <w:szCs w:val="21"/>
        </w:rPr>
        <w:t>尚未履行完毕的承诺事项</w:t>
      </w:r>
      <w:r>
        <w:rPr>
          <w:rFonts w:ascii="宋体" w:hAnsi="宋体" w:cs="宋体" w:eastAsia="宋体" w:hint="default"/>
          <w:sz w:val="21"/>
          <w:szCs w:val="21"/>
        </w:rPr>
      </w:r>
    </w:p>
    <w:p>
      <w:pPr>
        <w:spacing w:line="240" w:lineRule="auto" w:before="1"/>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838"/>
        <w:gridCol w:w="1123"/>
        <w:gridCol w:w="1128"/>
        <w:gridCol w:w="1126"/>
        <w:gridCol w:w="1126"/>
        <w:gridCol w:w="1121"/>
        <w:gridCol w:w="1106"/>
      </w:tblGrid>
      <w:tr>
        <w:trPr>
          <w:trHeight w:val="401" w:hRule="exact"/>
        </w:trPr>
        <w:tc>
          <w:tcPr>
            <w:tcW w:w="2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85"/>
              <w:jc w:val="righ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3" w:hRule="exact"/>
        </w:trPr>
        <w:tc>
          <w:tcPr>
            <w:tcW w:w="2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right="78"/>
              <w:jc w:val="center"/>
              <w:rPr>
                <w:rFonts w:ascii="宋体" w:hAnsi="宋体" w:cs="宋体" w:eastAsia="宋体" w:hint="default"/>
                <w:sz w:val="18"/>
                <w:szCs w:val="18"/>
              </w:rPr>
            </w:pPr>
            <w:r>
              <w:rPr>
                <w:rFonts w:ascii="宋体" w:hAnsi="宋体" w:cs="宋体" w:eastAsia="宋体" w:hint="default"/>
                <w:sz w:val="18"/>
                <w:szCs w:val="18"/>
              </w:rPr>
              <w:t>收购报告书或权益变动报告书中所</w:t>
            </w:r>
          </w:p>
        </w:tc>
        <w:tc>
          <w:tcPr>
            <w:tcW w:w="11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0"/>
              <w:ind w:right="7"/>
              <w:jc w:val="center"/>
              <w:rPr>
                <w:rFonts w:ascii="宋体" w:hAnsi="宋体" w:cs="宋体" w:eastAsia="宋体" w:hint="default"/>
                <w:sz w:val="18"/>
                <w:szCs w:val="18"/>
              </w:rPr>
            </w:pPr>
            <w:r>
              <w:rPr>
                <w:rFonts w:ascii="宋体" w:hAnsi="宋体" w:cs="宋体" w:eastAsia="宋体" w:hint="default"/>
                <w:spacing w:val="-3"/>
                <w:sz w:val="18"/>
                <w:szCs w:val="18"/>
              </w:rPr>
              <w:t>金迪管线、金</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业绩承诺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pacing w:val="-14"/>
                <w:sz w:val="18"/>
                <w:szCs w:val="18"/>
              </w:rPr>
              <w:t>年，承诺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年至</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70"/>
              <w:jc w:val="right"/>
              <w:rPr>
                <w:rFonts w:ascii="宋体" w:hAnsi="宋体" w:cs="宋体" w:eastAsia="宋体" w:hint="default"/>
                <w:sz w:val="18"/>
                <w:szCs w:val="18"/>
              </w:rPr>
            </w:pPr>
            <w:r>
              <w:rPr>
                <w:rFonts w:ascii="宋体" w:hAnsi="宋体" w:cs="宋体" w:eastAsia="宋体" w:hint="default"/>
                <w:sz w:val="18"/>
                <w:szCs w:val="18"/>
              </w:rPr>
              <w:t>截至报告期</w:t>
            </w:r>
          </w:p>
        </w:tc>
      </w:tr>
    </w:tbl>
    <w:p>
      <w:pPr>
        <w:spacing w:after="0" w:line="240" w:lineRule="auto"/>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361.48999pt;margin-top:503.709991pt;width:61.95pt;height:264.3pt;mso-position-horizontal-relative:page;mso-position-vertical-relative:page;z-index:-86874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06"/>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67.630005pt;margin-top:90.139984pt;width:55.8pt;height:93.6pt;mso-position-horizontal-relative:page;mso-position-vertical-relative:page;z-index:-868720" coordorigin="7353,1803" coordsize="1116,1872">
            <v:shape style="position:absolute;left:7353;top:1803;width:1116;height:1872" coordorigin="7353,1803" coordsize="1116,1872" path="m7353,3675l8469,3675,8469,1803,7353,1803,7353,3675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6"/>
      </w:tblGrid>
      <w:tr>
        <w:trPr>
          <w:trHeight w:val="2235"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作承诺</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
              <w:jc w:val="left"/>
              <w:rPr>
                <w:rFonts w:ascii="宋体" w:hAnsi="宋体" w:cs="宋体" w:eastAsia="宋体" w:hint="default"/>
                <w:sz w:val="18"/>
                <w:szCs w:val="18"/>
              </w:rPr>
            </w:pPr>
            <w:r>
              <w:rPr>
                <w:rFonts w:ascii="宋体" w:hAnsi="宋体" w:cs="宋体" w:eastAsia="宋体" w:hint="default"/>
                <w:spacing w:val="-3"/>
                <w:sz w:val="18"/>
                <w:szCs w:val="18"/>
              </w:rPr>
              <w:t>迪科技、金迪</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科仪</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8"/>
              <w:ind w:left="23" w:right="19"/>
              <w:jc w:val="left"/>
              <w:rPr>
                <w:rFonts w:ascii="宋体" w:hAnsi="宋体" w:cs="宋体" w:eastAsia="宋体" w:hint="default"/>
                <w:sz w:val="18"/>
                <w:szCs w:val="18"/>
              </w:rPr>
            </w:pPr>
            <w:r>
              <w:rPr>
                <w:rFonts w:ascii="宋体" w:hAnsi="宋体" w:cs="宋体" w:eastAsia="宋体" w:hint="default"/>
                <w:sz w:val="18"/>
                <w:szCs w:val="18"/>
              </w:rPr>
              <w:t>净利润</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2017 </w:t>
            </w:r>
            <w:r>
              <w:rPr>
                <w:rFonts w:ascii="宋体" w:hAnsi="宋体" w:cs="宋体" w:eastAsia="宋体" w:hint="default"/>
                <w:spacing w:val="-2"/>
                <w:sz w:val="18"/>
                <w:szCs w:val="18"/>
              </w:rPr>
              <w:t>年，承诺净利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 </w:t>
            </w:r>
            <w:r>
              <w:rPr>
                <w:rFonts w:ascii="宋体" w:hAnsi="宋体" w:cs="宋体" w:eastAsia="宋体" w:hint="default"/>
                <w:sz w:val="18"/>
                <w:szCs w:val="18"/>
              </w:rPr>
              <w:t>万</w:t>
            </w:r>
          </w:p>
          <w:p>
            <w:pPr>
              <w:pStyle w:val="TableParagraph"/>
              <w:spacing w:line="309" w:lineRule="auto" w:before="7"/>
              <w:ind w:left="23" w:right="-37"/>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 承诺净利润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
              <w:jc w:val="left"/>
              <w:rPr>
                <w:rFonts w:ascii="宋体" w:hAnsi="宋体" w:cs="宋体" w:eastAsia="宋体" w:hint="default"/>
                <w:sz w:val="18"/>
                <w:szCs w:val="18"/>
              </w:rPr>
            </w:pPr>
            <w:r>
              <w:rPr>
                <w:rFonts w:ascii="宋体" w:hAnsi="宋体" w:cs="宋体" w:eastAsia="宋体" w:hint="default"/>
                <w:spacing w:val="-5"/>
                <w:sz w:val="18"/>
                <w:szCs w:val="18"/>
              </w:rPr>
              <w:t>末，公司遵守</w:t>
            </w:r>
            <w:r>
              <w:rPr>
                <w:rFonts w:ascii="宋体" w:hAnsi="宋体" w:cs="宋体" w:eastAsia="宋体" w:hint="default"/>
                <w:sz w:val="18"/>
                <w:szCs w:val="18"/>
              </w:rPr>
              <w:t> 了所做的承 诺</w:t>
            </w:r>
          </w:p>
        </w:tc>
      </w:tr>
      <w:tr>
        <w:trPr>
          <w:trHeight w:val="401"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11284"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23" w:right="187"/>
              <w:jc w:val="both"/>
              <w:rPr>
                <w:rFonts w:ascii="宋体" w:hAnsi="宋体" w:cs="宋体" w:eastAsia="宋体" w:hint="default"/>
                <w:sz w:val="18"/>
                <w:szCs w:val="18"/>
              </w:rPr>
            </w:pPr>
            <w:r>
              <w:rPr>
                <w:rFonts w:ascii="宋体" w:hAnsi="宋体" w:cs="宋体" w:eastAsia="宋体" w:hint="default"/>
                <w:sz w:val="18"/>
                <w:szCs w:val="18"/>
              </w:rPr>
              <w:t>本公司董事 长及实际控 制人吴强华</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6" w:right="19"/>
              <w:jc w:val="left"/>
              <w:rPr>
                <w:rFonts w:ascii="宋体" w:hAnsi="宋体" w:cs="宋体" w:eastAsia="宋体" w:hint="default"/>
                <w:sz w:val="18"/>
                <w:szCs w:val="18"/>
              </w:rPr>
            </w:pPr>
            <w:r>
              <w:rPr>
                <w:rFonts w:ascii="宋体" w:hAnsi="宋体" w:cs="宋体" w:eastAsia="宋体" w:hint="default"/>
                <w:sz w:val="18"/>
                <w:szCs w:val="18"/>
              </w:rPr>
              <w:t>关于同业竞 争、关联交 </w:t>
            </w:r>
            <w:r>
              <w:rPr>
                <w:rFonts w:ascii="宋体" w:hAnsi="宋体" w:cs="宋体" w:eastAsia="宋体" w:hint="default"/>
                <w:spacing w:val="-2"/>
                <w:sz w:val="18"/>
                <w:szCs w:val="18"/>
              </w:rPr>
              <w:t>易、资金占用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方面的承诺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
              <w:jc w:val="left"/>
              <w:rPr>
                <w:rFonts w:ascii="宋体" w:hAnsi="宋体" w:cs="宋体" w:eastAsia="宋体" w:hint="default"/>
                <w:sz w:val="18"/>
                <w:szCs w:val="18"/>
              </w:rPr>
            </w:pPr>
            <w:r>
              <w:rPr>
                <w:rFonts w:ascii="宋体" w:hAnsi="宋体" w:cs="宋体" w:eastAsia="宋体" w:hint="default"/>
                <w:sz w:val="18"/>
                <w:szCs w:val="18"/>
              </w:rPr>
              <w:t>自公司股票 上市之日起 三十六个月 内，不转让、 抵押、质押或 在该股份上 设定任何其 他形式的限 制或他项权 利，不委托他 人管理本人 本次发行前 已持有的公 司股份，也不 由公司回购 该部分股份； 本人在任职 期间每年转 让的股份不 得超过本人 所持有公司 股份总数的 百分之二十 五；本人离职 后半年内，不 转让本人所 持有的公司 股份。严格遵 守《公司法》</w:t>
            </w:r>
          </w:p>
          <w:p>
            <w:pPr>
              <w:pStyle w:val="TableParagraph"/>
              <w:spacing w:line="316" w:lineRule="auto" w:before="19"/>
              <w:ind w:left="23" w:right="10"/>
              <w:jc w:val="left"/>
              <w:rPr>
                <w:rFonts w:ascii="宋体" w:hAnsi="宋体" w:cs="宋体" w:eastAsia="宋体" w:hint="default"/>
                <w:sz w:val="18"/>
                <w:szCs w:val="18"/>
              </w:rPr>
            </w:pPr>
            <w:r>
              <w:rPr>
                <w:rFonts w:ascii="宋体" w:hAnsi="宋体" w:cs="宋体" w:eastAsia="宋体" w:hint="default"/>
                <w:sz w:val="18"/>
                <w:szCs w:val="18"/>
              </w:rPr>
              <w:t>《公司章 </w:t>
            </w:r>
            <w:r>
              <w:rPr>
                <w:rFonts w:ascii="宋体" w:hAnsi="宋体" w:cs="宋体" w:eastAsia="宋体" w:hint="default"/>
                <w:spacing w:val="-28"/>
                <w:sz w:val="18"/>
                <w:szCs w:val="18"/>
              </w:rPr>
              <w:t>程》、《关联交</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8"/>
                <w:sz w:val="18"/>
                <w:szCs w:val="18"/>
              </w:rPr>
              <w:t>易制度》、《股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东大会议事 </w:t>
            </w:r>
            <w:r>
              <w:rPr>
                <w:rFonts w:ascii="宋体" w:hAnsi="宋体" w:cs="宋体" w:eastAsia="宋体" w:hint="default"/>
                <w:spacing w:val="-28"/>
                <w:sz w:val="18"/>
                <w:szCs w:val="18"/>
              </w:rPr>
              <w:t>规则》、《董事</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会议事规则》 等规定，避免</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5285"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5"/>
                <w:sz w:val="20"/>
                <w:szCs w:val="20"/>
              </w:rPr>
              <w:pict>
                <v:group style="width:55.8pt;height:264.3pt;mso-position-horizontal-relative:char;mso-position-vertical-relative:line" coordorigin="0,0" coordsize="1116,5286">
                  <v:group style="position:absolute;left:0;top:0;width:1116;height:5286" coordorigin="0,0" coordsize="1116,5286">
                    <v:shape style="position:absolute;left:0;top:0;width:1116;height:5286" coordorigin="0,0" coordsize="1116,5286" path="m0,5286l1116,5286,1116,0,0,0,0,5286xe" filled="true" fillcolor="#ffffff" stroked="false">
                      <v:path arrowok="t"/>
                      <v:fill type="solid"/>
                    </v:shape>
                  </v:group>
                </v:group>
              </w:pict>
            </w:r>
            <w:r>
              <w:rPr>
                <w:rFonts w:ascii="Times New Roman" w:hAnsi="Times New Roman" w:cs="Times New Roman" w:eastAsia="Times New Roman" w:hint="default"/>
                <w:position w:val="-105"/>
                <w:sz w:val="20"/>
                <w:szCs w:val="20"/>
              </w:rPr>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23" w:right="185"/>
              <w:jc w:val="both"/>
              <w:rPr>
                <w:rFonts w:ascii="宋体" w:hAnsi="宋体" w:cs="宋体" w:eastAsia="宋体" w:hint="default"/>
                <w:sz w:val="18"/>
                <w:szCs w:val="18"/>
              </w:rPr>
            </w:pPr>
            <w:r>
              <w:rPr>
                <w:rFonts w:ascii="宋体" w:hAnsi="宋体" w:cs="宋体" w:eastAsia="宋体" w:hint="default"/>
                <w:sz w:val="18"/>
                <w:szCs w:val="18"/>
              </w:rPr>
              <w:t>自公司股票 上市之日起 三十六个月</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bl>
    <w:p>
      <w:pPr>
        <w:spacing w:after="0" w:line="316"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9"/>
      </w:tblGrid>
      <w:tr>
        <w:trPr>
          <w:trHeight w:val="9100"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z w:val="18"/>
                <w:szCs w:val="18"/>
              </w:rPr>
              <w:t>和减少关联 交易，自觉维 护发行人及 全体股东的 利益，将不利 用本人在发 行人中的股 东地位在关 联交易中谋 取不正当利 益。如发行人 必须与本人 控制的企业 进行关联交 易，均严格履 行相关法律 程序，遵照市 场公平交易 的原则进行， 将促使交易 的价格、相关 协议条款和 交易条件公 平合理，不会 要求发行人 给予与第三 人的条件相 比更优惠的 条件。</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r>
      <w:tr>
        <w:trPr>
          <w:trHeight w:val="4731"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307" w:lineRule="auto"/>
              <w:ind w:left="23" w:right="19"/>
              <w:jc w:val="left"/>
              <w:rPr>
                <w:rFonts w:ascii="宋体" w:hAnsi="宋体" w:cs="宋体" w:eastAsia="宋体" w:hint="default"/>
                <w:sz w:val="18"/>
                <w:szCs w:val="18"/>
              </w:rPr>
            </w:pPr>
            <w:r>
              <w:rPr>
                <w:rFonts w:ascii="宋体" w:hAnsi="宋体" w:cs="宋体" w:eastAsia="宋体" w:hint="default"/>
                <w:spacing w:val="-3"/>
                <w:sz w:val="18"/>
                <w:szCs w:val="18"/>
              </w:rPr>
              <w:t>副董事长、持</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 东许欣</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7"/>
                <w:szCs w:val="17"/>
              </w:rPr>
            </w:pPr>
          </w:p>
          <w:p>
            <w:pPr>
              <w:pStyle w:val="TableParagraph"/>
              <w:spacing w:line="314" w:lineRule="auto"/>
              <w:ind w:left="26"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0"/>
              <w:jc w:val="left"/>
              <w:rPr>
                <w:rFonts w:ascii="宋体" w:hAnsi="宋体" w:cs="宋体" w:eastAsia="宋体" w:hint="default"/>
                <w:sz w:val="18"/>
                <w:szCs w:val="18"/>
              </w:rPr>
            </w:pPr>
            <w:r>
              <w:rPr>
                <w:rFonts w:ascii="宋体" w:hAnsi="宋体" w:cs="宋体" w:eastAsia="宋体" w:hint="default"/>
                <w:sz w:val="18"/>
                <w:szCs w:val="18"/>
              </w:rPr>
              <w:t>自公司股票 上市之日起 三十六个月 内，不转让、 抵押、质押或 在该股份上 设定任何其 他形式的限 制或他项权 利，不委托他 人管理本人 本次发行前 已持有的公 司股份，也不 由公司回购</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316" w:lineRule="auto"/>
              <w:ind w:left="23" w:right="185"/>
              <w:jc w:val="both"/>
              <w:rPr>
                <w:rFonts w:ascii="宋体" w:hAnsi="宋体" w:cs="宋体" w:eastAsia="宋体" w:hint="default"/>
                <w:sz w:val="18"/>
                <w:szCs w:val="18"/>
              </w:rPr>
            </w:pPr>
            <w:r>
              <w:rPr>
                <w:rFonts w:ascii="宋体" w:hAnsi="宋体" w:cs="宋体" w:eastAsia="宋体" w:hint="default"/>
                <w:sz w:val="18"/>
                <w:szCs w:val="18"/>
              </w:rPr>
              <w:t>自公司股票 上市之日起 三十六个月</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16" w:lineRule="auto"/>
              <w:ind w:left="23" w:right="22"/>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bl>
    <w:p>
      <w:pPr>
        <w:spacing w:after="0" w:line="316"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9"/>
      </w:tblGrid>
      <w:tr>
        <w:trPr>
          <w:trHeight w:val="4107"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z w:val="18"/>
                <w:szCs w:val="18"/>
              </w:rPr>
              <w:t>该部分股份； 本人在任职 期间每年转 让的股份不 得超过本人 所持有公司 股份总数的 百分之二十 五；本人离职 后半年内，不 转让本人所 持有的公司 股份。</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r>
      <w:tr>
        <w:trPr>
          <w:trHeight w:val="3833"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3" w:right="187"/>
              <w:jc w:val="left"/>
              <w:rPr>
                <w:rFonts w:ascii="宋体" w:hAnsi="宋体" w:cs="宋体" w:eastAsia="宋体" w:hint="default"/>
                <w:sz w:val="18"/>
                <w:szCs w:val="18"/>
              </w:rPr>
            </w:pPr>
            <w:r>
              <w:rPr>
                <w:rFonts w:ascii="宋体" w:hAnsi="宋体" w:cs="宋体" w:eastAsia="宋体" w:hint="default"/>
                <w:sz w:val="18"/>
                <w:szCs w:val="18"/>
              </w:rPr>
              <w:t>博时基金管 理有限公司</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6"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自数字政通 非公开发行 股票上市之 </w:t>
            </w:r>
            <w:r>
              <w:rPr>
                <w:rFonts w:ascii="宋体" w:hAnsi="宋体" w:cs="宋体" w:eastAsia="宋体" w:hint="default"/>
                <w:spacing w:val="-2"/>
                <w:sz w:val="18"/>
                <w:szCs w:val="18"/>
              </w:rPr>
              <w:t>日起，博时基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金管理有限 公司在本次 非公开发行 过程中认购 的数字政通 股票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月内不予转 让。</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2" w:lineRule="auto"/>
              <w:ind w:left="23" w:right="48"/>
              <w:jc w:val="left"/>
              <w:rPr>
                <w:rFonts w:ascii="宋体" w:hAnsi="宋体" w:cs="宋体" w:eastAsia="宋体" w:hint="default"/>
                <w:sz w:val="18"/>
                <w:szCs w:val="18"/>
              </w:rPr>
            </w:pPr>
            <w:r>
              <w:rPr>
                <w:rFonts w:ascii="宋体" w:hAnsi="宋体" w:cs="宋体" w:eastAsia="宋体" w:hint="default"/>
                <w:sz w:val="18"/>
                <w:szCs w:val="18"/>
              </w:rPr>
              <w:t>非公开发行 股票上市之 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22"/>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r>
        <w:trPr>
          <w:trHeight w:val="3836"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9" w:lineRule="auto"/>
              <w:ind w:left="23" w:right="187"/>
              <w:jc w:val="both"/>
              <w:rPr>
                <w:rFonts w:ascii="宋体" w:hAnsi="宋体" w:cs="宋体" w:eastAsia="宋体" w:hint="default"/>
                <w:sz w:val="18"/>
                <w:szCs w:val="18"/>
              </w:rPr>
            </w:pPr>
            <w:r>
              <w:rPr>
                <w:rFonts w:ascii="宋体" w:hAnsi="宋体" w:cs="宋体" w:eastAsia="宋体" w:hint="default"/>
                <w:sz w:val="18"/>
                <w:szCs w:val="18"/>
              </w:rPr>
              <w:t>北信瑞丰基 金管理有限 公司</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60"/>
              <w:ind w:left="26"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自数字政通 非公开发行 股票上市之 </w:t>
            </w:r>
            <w:r>
              <w:rPr>
                <w:rFonts w:ascii="宋体" w:hAnsi="宋体" w:cs="宋体" w:eastAsia="宋体" w:hint="default"/>
                <w:spacing w:val="-2"/>
                <w:sz w:val="18"/>
                <w:szCs w:val="18"/>
              </w:rPr>
              <w:t>日起，北信瑞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丰基金管理 有限公司在 本次非公开 发行过程中 认购的数字 政通股票</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个月内不予 转让。</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2" w:lineRule="auto"/>
              <w:ind w:left="23" w:right="48"/>
              <w:jc w:val="left"/>
              <w:rPr>
                <w:rFonts w:ascii="宋体" w:hAnsi="宋体" w:cs="宋体" w:eastAsia="宋体" w:hint="default"/>
                <w:sz w:val="18"/>
                <w:szCs w:val="18"/>
              </w:rPr>
            </w:pPr>
            <w:r>
              <w:rPr>
                <w:rFonts w:ascii="宋体" w:hAnsi="宋体" w:cs="宋体" w:eastAsia="宋体" w:hint="default"/>
                <w:sz w:val="18"/>
                <w:szCs w:val="18"/>
              </w:rPr>
              <w:t>非公开发行 股票上市之 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9" w:lineRule="auto"/>
              <w:ind w:left="23" w:right="22"/>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r>
        <w:trPr>
          <w:trHeight w:val="1923"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314" w:lineRule="auto"/>
              <w:ind w:left="23" w:right="187"/>
              <w:jc w:val="left"/>
              <w:rPr>
                <w:rFonts w:ascii="宋体" w:hAnsi="宋体" w:cs="宋体" w:eastAsia="宋体" w:hint="default"/>
                <w:sz w:val="18"/>
                <w:szCs w:val="18"/>
              </w:rPr>
            </w:pPr>
            <w:r>
              <w:rPr>
                <w:rFonts w:ascii="宋体" w:hAnsi="宋体" w:cs="宋体" w:eastAsia="宋体" w:hint="default"/>
                <w:sz w:val="18"/>
                <w:szCs w:val="18"/>
              </w:rPr>
              <w:t>财通基金管 理有限公司</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314" w:lineRule="auto"/>
              <w:ind w:left="26"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自数字政通 非公开发行 股票上市之 </w:t>
            </w:r>
            <w:r>
              <w:rPr>
                <w:rFonts w:ascii="宋体" w:hAnsi="宋体" w:cs="宋体" w:eastAsia="宋体" w:hint="default"/>
                <w:spacing w:val="-2"/>
                <w:sz w:val="18"/>
                <w:szCs w:val="18"/>
              </w:rPr>
              <w:t>日起，财通基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金管理有限 公司在本次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34"/>
              <w:ind w:left="23" w:right="48"/>
              <w:jc w:val="left"/>
              <w:rPr>
                <w:rFonts w:ascii="宋体" w:hAnsi="宋体" w:cs="宋体" w:eastAsia="宋体" w:hint="default"/>
                <w:sz w:val="18"/>
                <w:szCs w:val="18"/>
              </w:rPr>
            </w:pPr>
            <w:r>
              <w:rPr>
                <w:rFonts w:ascii="宋体" w:hAnsi="宋体" w:cs="宋体" w:eastAsia="宋体" w:hint="default"/>
                <w:sz w:val="18"/>
                <w:szCs w:val="18"/>
              </w:rPr>
              <w:t>非公开发行 股票上市之 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34"/>
              <w:ind w:left="23" w:right="22"/>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bl>
    <w:p>
      <w:pPr>
        <w:spacing w:after="0" w:line="316"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6"/>
      </w:tblGrid>
      <w:tr>
        <w:trPr>
          <w:trHeight w:val="1923"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8"/>
              <w:ind w:left="23" w:right="187"/>
              <w:jc w:val="both"/>
              <w:rPr>
                <w:rFonts w:ascii="宋体" w:hAnsi="宋体" w:cs="宋体" w:eastAsia="宋体" w:hint="default"/>
                <w:sz w:val="18"/>
                <w:szCs w:val="18"/>
              </w:rPr>
            </w:pPr>
            <w:r>
              <w:rPr>
                <w:rFonts w:ascii="宋体" w:hAnsi="宋体" w:cs="宋体" w:eastAsia="宋体" w:hint="default"/>
                <w:sz w:val="18"/>
                <w:szCs w:val="18"/>
              </w:rPr>
              <w:t>非公开发行 过程中认购 的数字政通 股票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月内不予转 让。</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4145"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3" w:right="187"/>
              <w:jc w:val="both"/>
              <w:rPr>
                <w:rFonts w:ascii="宋体" w:hAnsi="宋体" w:cs="宋体" w:eastAsia="宋体" w:hint="default"/>
                <w:sz w:val="18"/>
                <w:szCs w:val="18"/>
              </w:rPr>
            </w:pPr>
            <w:r>
              <w:rPr>
                <w:rFonts w:ascii="宋体" w:hAnsi="宋体" w:cs="宋体" w:eastAsia="宋体" w:hint="default"/>
                <w:sz w:val="18"/>
                <w:szCs w:val="18"/>
              </w:rPr>
              <w:t>安徽省铁路 发展基金股 份有限公司</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26" w:right="191"/>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自数字政通 非公开发行 股票上市之 </w:t>
            </w:r>
            <w:r>
              <w:rPr>
                <w:rFonts w:ascii="宋体" w:hAnsi="宋体" w:cs="宋体" w:eastAsia="宋体" w:hint="default"/>
                <w:spacing w:val="-2"/>
                <w:sz w:val="18"/>
                <w:szCs w:val="18"/>
              </w:rPr>
              <w:t>日起，安徽省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铁路发展基 金股份有限 公司在本次 非公开发行 过程中认购 的数字政通 股票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月内不予转 让。</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2" w:lineRule="auto"/>
              <w:ind w:left="23" w:right="48"/>
              <w:jc w:val="left"/>
              <w:rPr>
                <w:rFonts w:ascii="宋体" w:hAnsi="宋体" w:cs="宋体" w:eastAsia="宋体" w:hint="default"/>
                <w:sz w:val="18"/>
                <w:szCs w:val="18"/>
              </w:rPr>
            </w:pPr>
            <w:r>
              <w:rPr>
                <w:rFonts w:ascii="宋体" w:hAnsi="宋体" w:cs="宋体" w:eastAsia="宋体" w:hint="default"/>
                <w:sz w:val="18"/>
                <w:szCs w:val="18"/>
              </w:rPr>
              <w:t>非公开发行 股票上市之 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r>
        <w:trPr>
          <w:trHeight w:val="3524" w:hRule="exact"/>
        </w:trPr>
        <w:tc>
          <w:tcPr>
            <w:tcW w:w="28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数字政通承 诺不为激励 对象依股票 期权激励计 划获取有关 权益提供贷 款以及其他 任何形式的 </w:t>
            </w:r>
            <w:r>
              <w:rPr>
                <w:rFonts w:ascii="宋体" w:hAnsi="宋体" w:cs="宋体" w:eastAsia="宋体" w:hint="default"/>
                <w:spacing w:val="-2"/>
                <w:sz w:val="18"/>
                <w:szCs w:val="18"/>
              </w:rPr>
              <w:t>财务资助，包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括为其贷款 提供担保。</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85"/>
              <w:jc w:val="both"/>
              <w:rPr>
                <w:rFonts w:ascii="宋体" w:hAnsi="宋体" w:cs="宋体" w:eastAsia="宋体" w:hint="default"/>
                <w:sz w:val="18"/>
                <w:szCs w:val="18"/>
              </w:rPr>
            </w:pPr>
            <w:r>
              <w:rPr>
                <w:rFonts w:ascii="宋体" w:hAnsi="宋体" w:cs="宋体" w:eastAsia="宋体" w:hint="default"/>
                <w:sz w:val="18"/>
                <w:szCs w:val="18"/>
              </w:rPr>
              <w:t>公司首次股 权激励计划 有效期间</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23" w:right="19"/>
              <w:jc w:val="left"/>
              <w:rPr>
                <w:rFonts w:ascii="宋体" w:hAnsi="宋体" w:cs="宋体" w:eastAsia="宋体" w:hint="default"/>
                <w:sz w:val="18"/>
                <w:szCs w:val="18"/>
              </w:rPr>
            </w:pPr>
            <w:r>
              <w:rPr>
                <w:rFonts w:ascii="宋体" w:hAnsi="宋体" w:cs="宋体" w:eastAsia="宋体" w:hint="default"/>
                <w:sz w:val="18"/>
                <w:szCs w:val="18"/>
              </w:rPr>
              <w:t>截至报告期 </w:t>
            </w:r>
            <w:r>
              <w:rPr>
                <w:rFonts w:ascii="宋体" w:hAnsi="宋体" w:cs="宋体" w:eastAsia="宋体" w:hint="default"/>
                <w:spacing w:val="-5"/>
                <w:sz w:val="18"/>
                <w:szCs w:val="18"/>
              </w:rPr>
              <w:t>末，公司遵守</w:t>
            </w:r>
            <w:r>
              <w:rPr>
                <w:rFonts w:ascii="宋体" w:hAnsi="宋体" w:cs="宋体" w:eastAsia="宋体" w:hint="default"/>
                <w:sz w:val="18"/>
                <w:szCs w:val="18"/>
              </w:rPr>
              <w:t> 了所做的承 诺</w:t>
            </w:r>
          </w:p>
        </w:tc>
      </w:tr>
      <w:tr>
        <w:trPr>
          <w:trHeight w:val="2585" w:hRule="exact"/>
        </w:trPr>
        <w:tc>
          <w:tcPr>
            <w:tcW w:w="2837" w:type="dxa"/>
            <w:vMerge/>
            <w:tcBorders>
              <w:left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数字政通承 诺持股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 上的主要股 东或实际控 制人及其配 </w:t>
            </w:r>
            <w:r>
              <w:rPr>
                <w:rFonts w:ascii="宋体" w:hAnsi="宋体" w:cs="宋体" w:eastAsia="宋体" w:hint="default"/>
                <w:spacing w:val="-2"/>
                <w:sz w:val="18"/>
                <w:szCs w:val="18"/>
              </w:rPr>
              <w:t>偶、直系亲属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均未参与本 激励计划。</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23" w:right="185"/>
              <w:jc w:val="both"/>
              <w:rPr>
                <w:rFonts w:ascii="宋体" w:hAnsi="宋体" w:cs="宋体" w:eastAsia="宋体" w:hint="default"/>
                <w:sz w:val="18"/>
                <w:szCs w:val="18"/>
              </w:rPr>
            </w:pPr>
            <w:r>
              <w:rPr>
                <w:rFonts w:ascii="宋体" w:hAnsi="宋体" w:cs="宋体" w:eastAsia="宋体" w:hint="default"/>
                <w:sz w:val="18"/>
                <w:szCs w:val="18"/>
              </w:rPr>
              <w:t>公司首次股 权激励计划 有效期间</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截至报告期 </w:t>
            </w:r>
            <w:r>
              <w:rPr>
                <w:rFonts w:ascii="宋体" w:hAnsi="宋体" w:cs="宋体" w:eastAsia="宋体" w:hint="default"/>
                <w:spacing w:val="-5"/>
                <w:sz w:val="18"/>
                <w:szCs w:val="18"/>
              </w:rPr>
              <w:t>末，公司遵守</w:t>
            </w:r>
            <w:r>
              <w:rPr>
                <w:rFonts w:ascii="宋体" w:hAnsi="宋体" w:cs="宋体" w:eastAsia="宋体" w:hint="default"/>
                <w:sz w:val="18"/>
                <w:szCs w:val="18"/>
              </w:rPr>
              <w:t> 了所做的承 诺</w:t>
            </w:r>
          </w:p>
        </w:tc>
      </w:tr>
      <w:tr>
        <w:trPr>
          <w:trHeight w:val="1611"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90"/>
              <w:jc w:val="both"/>
              <w:rPr>
                <w:rFonts w:ascii="宋体" w:hAnsi="宋体" w:cs="宋体" w:eastAsia="宋体" w:hint="default"/>
                <w:sz w:val="18"/>
                <w:szCs w:val="18"/>
              </w:rPr>
            </w:pPr>
            <w:r>
              <w:rPr>
                <w:rFonts w:ascii="宋体" w:hAnsi="宋体" w:cs="宋体" w:eastAsia="宋体" w:hint="default"/>
                <w:sz w:val="18"/>
                <w:szCs w:val="18"/>
              </w:rPr>
              <w:t>公司承诺不 为激励对象 依本计划获 取有关限制 性股票提供</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312" w:lineRule="auto"/>
              <w:ind w:left="23" w:right="137"/>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年限制 性股票激励 计划实施期 间</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319" w:lineRule="auto"/>
              <w:ind w:left="23" w:right="19"/>
              <w:jc w:val="left"/>
              <w:rPr>
                <w:rFonts w:ascii="宋体" w:hAnsi="宋体" w:cs="宋体" w:eastAsia="宋体" w:hint="default"/>
                <w:sz w:val="18"/>
                <w:szCs w:val="18"/>
              </w:rPr>
            </w:pPr>
            <w:r>
              <w:rPr>
                <w:rFonts w:ascii="宋体" w:hAnsi="宋体" w:cs="宋体" w:eastAsia="宋体" w:hint="default"/>
                <w:sz w:val="18"/>
                <w:szCs w:val="18"/>
              </w:rPr>
              <w:t>截至报告期 </w:t>
            </w:r>
            <w:r>
              <w:rPr>
                <w:rFonts w:ascii="宋体" w:hAnsi="宋体" w:cs="宋体" w:eastAsia="宋体" w:hint="default"/>
                <w:spacing w:val="-5"/>
                <w:sz w:val="18"/>
                <w:szCs w:val="18"/>
              </w:rPr>
              <w:t>末，公司遵守</w:t>
            </w:r>
            <w:r>
              <w:rPr>
                <w:rFonts w:ascii="宋体" w:hAnsi="宋体" w:cs="宋体" w:eastAsia="宋体" w:hint="default"/>
                <w:sz w:val="18"/>
                <w:szCs w:val="18"/>
              </w:rPr>
              <w:t> 了所做的承 诺</w:t>
            </w:r>
          </w:p>
        </w:tc>
      </w:tr>
    </w:tbl>
    <w:p>
      <w:pPr>
        <w:spacing w:after="0" w:line="319"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26"/>
        <w:gridCol w:w="1135"/>
        <w:gridCol w:w="1128"/>
        <w:gridCol w:w="1126"/>
        <w:gridCol w:w="1126"/>
        <w:gridCol w:w="1121"/>
        <w:gridCol w:w="1106"/>
      </w:tblGrid>
      <w:tr>
        <w:trPr>
          <w:trHeight w:val="1611" w:hRule="exact"/>
        </w:trPr>
        <w:tc>
          <w:tcPr>
            <w:tcW w:w="28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z w:val="18"/>
                <w:szCs w:val="18"/>
              </w:rPr>
              <w:t>贷款以及其 他任何形式 的财务资助， 包括为其贷 款提供担保。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35" w:type="dxa"/>
            <w:tcBorders>
              <w:top w:val="single" w:sz="4" w:space="0" w:color="000000"/>
              <w:left w:val="single" w:sz="13" w:space="0" w:color="D2D2D2"/>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135" w:type="dxa"/>
            <w:tcBorders>
              <w:top w:val="single" w:sz="4" w:space="0" w:color="000000"/>
              <w:left w:val="single" w:sz="13" w:space="0" w:color="D2D2D2"/>
              <w:bottom w:val="single" w:sz="4" w:space="0" w:color="000000"/>
              <w:right w:val="single" w:sz="14" w:space="0" w:color="D2D2D2"/>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0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2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0"/>
              <w:jc w:val="both"/>
              <w:rPr>
                <w:rFonts w:ascii="宋体" w:hAnsi="宋体" w:cs="宋体" w:eastAsia="宋体" w:hint="default"/>
                <w:sz w:val="18"/>
                <w:szCs w:val="18"/>
              </w:rPr>
            </w:pPr>
            <w:r>
              <w:rPr>
                <w:rFonts w:ascii="宋体" w:hAnsi="宋体" w:cs="宋体" w:eastAsia="宋体" w:hint="default"/>
                <w:sz w:val="18"/>
                <w:szCs w:val="18"/>
              </w:rPr>
              <w:t>如承诺超期未履行完毕的，应当详 细说明未完成履行的具体原因及下 一步的工作计划</w:t>
            </w:r>
          </w:p>
        </w:tc>
        <w:tc>
          <w:tcPr>
            <w:tcW w:w="6743" w:type="dxa"/>
            <w:gridSpan w:val="6"/>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28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743" w:type="dxa"/>
            <w:gridSpan w:val="6"/>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10"/>
        <w:rPr>
          <w:rFonts w:ascii="Times New Roman" w:hAnsi="Times New Roman" w:cs="Times New Roman" w:eastAsia="Times New Roman" w:hint="default"/>
          <w:sz w:val="21"/>
          <w:szCs w:val="21"/>
        </w:rPr>
      </w:pPr>
    </w:p>
    <w:p>
      <w:pPr>
        <w:spacing w:line="259" w:lineRule="auto"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、公司资产或项目存在盈利预测，且报告期仍处在盈利预测期间，公司就资产或项目达到原盈利预测及</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b/>
          <w:bCs/>
          <w:sz w:val="21"/>
          <w:szCs w:val="21"/>
        </w:rPr>
        <w:t>其原因做出说明</w:t>
      </w:r>
      <w:r>
        <w:rPr>
          <w:rFonts w:ascii="宋体" w:hAnsi="宋体" w:cs="宋体" w:eastAsia="宋体" w:hint="default"/>
          <w:sz w:val="21"/>
          <w:szCs w:val="21"/>
        </w:rPr>
      </w:r>
    </w:p>
    <w:p>
      <w:pPr>
        <w:spacing w:line="240" w:lineRule="auto" w:before="1"/>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196"/>
        <w:gridCol w:w="1195"/>
        <w:gridCol w:w="1196"/>
        <w:gridCol w:w="1198"/>
        <w:gridCol w:w="1196"/>
        <w:gridCol w:w="1195"/>
        <w:gridCol w:w="1198"/>
        <w:gridCol w:w="1198"/>
      </w:tblGrid>
      <w:tr>
        <w:trPr>
          <w:trHeight w:val="71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42" w:right="51"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2" w:right="50"/>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04" w:right="51" w:hanging="449"/>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03" w:right="53" w:hanging="452"/>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2588" w:hRule="exact"/>
        </w:trPr>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收购保定金迪 地下管线探测 工程有限公 司、保定市金 迪科技开发有 限公司及保定 金迪科学仪器 有限公司股权</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758" w:right="0"/>
              <w:jc w:val="left"/>
              <w:rPr>
                <w:rFonts w:ascii="Times New Roman" w:hAnsi="Times New Roman" w:cs="Times New Roman" w:eastAsia="Times New Roman" w:hint="default"/>
                <w:sz w:val="18"/>
                <w:szCs w:val="18"/>
              </w:rPr>
            </w:pPr>
            <w:r>
              <w:rPr>
                <w:rFonts w:ascii="Times New Roman"/>
                <w:sz w:val="18"/>
              </w:rPr>
              <w:t>5,000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533" w:right="0"/>
              <w:jc w:val="left"/>
              <w:rPr>
                <w:rFonts w:ascii="Times New Roman" w:hAnsi="Times New Roman" w:cs="Times New Roman" w:eastAsia="Times New Roman" w:hint="default"/>
                <w:sz w:val="18"/>
                <w:szCs w:val="18"/>
              </w:rPr>
            </w:pPr>
            <w:r>
              <w:rPr>
                <w:rFonts w:ascii="Times New Roman"/>
                <w:sz w:val="18"/>
              </w:rPr>
              <w:t>6,371.59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62" w:lineRule="auto"/>
              <w:ind w:left="23" w:right="30"/>
              <w:jc w:val="left"/>
              <w:rPr>
                <w:rFonts w:ascii="Times New Roman" w:hAnsi="Times New Roman" w:cs="Times New Roman" w:eastAsia="Times New Roman" w:hint="default"/>
                <w:sz w:val="18"/>
                <w:szCs w:val="18"/>
              </w:rPr>
            </w:pPr>
            <w:r>
              <w:rPr>
                <w:rFonts w:ascii="Times New Roman"/>
                <w:spacing w:val="-2"/>
                <w:sz w:val="18"/>
              </w:rPr>
              <w:t>http://www.cinf</w:t>
            </w:r>
            <w:r>
              <w:rPr>
                <w:rFonts w:ascii="Times New Roman"/>
                <w:spacing w:val="-32"/>
                <w:sz w:val="18"/>
              </w:rPr>
              <w:t> </w:t>
            </w:r>
            <w:r>
              <w:rPr>
                <w:rFonts w:ascii="Times New Roman"/>
                <w:spacing w:val="-32"/>
                <w:sz w:val="18"/>
              </w:rPr>
            </w:r>
            <w:r>
              <w:rPr>
                <w:rFonts w:ascii="Times New Roman"/>
                <w:sz w:val="18"/>
              </w:rPr>
              <w:t>o.com.cn</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公司股东、交易对手方对公司或相关资产年度经营业绩作出的承诺情况</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48" w:firstLine="480"/>
        <w:jc w:val="both"/>
      </w:pPr>
      <w:r>
        <w:rPr>
          <w:spacing w:val="-3"/>
        </w:rPr>
        <w:t>根据本公司与保定金迪签署的《盈利预测补偿协议》，保定金迪</w:t>
      </w:r>
      <w:r>
        <w:rPr>
          <w:rFonts w:ascii="宋体" w:hAnsi="宋体" w:cs="宋体" w:eastAsia="宋体" w:hint="default"/>
          <w:spacing w:val="-3"/>
        </w:rPr>
        <w:t>2016</w:t>
      </w:r>
      <w:r>
        <w:rPr>
          <w:spacing w:val="-3"/>
        </w:rPr>
        <w:t>年度、</w:t>
      </w:r>
      <w:r>
        <w:rPr>
          <w:rFonts w:ascii="宋体" w:hAnsi="宋体" w:cs="宋体" w:eastAsia="宋体" w:hint="default"/>
          <w:spacing w:val="-3"/>
        </w:rPr>
        <w:t>2017</w:t>
      </w:r>
      <w:r>
        <w:rPr>
          <w:rFonts w:ascii="宋体" w:hAnsi="宋体" w:cs="宋体" w:eastAsia="宋体" w:hint="default"/>
          <w:spacing w:val="31"/>
        </w:rPr>
        <w:t> </w:t>
      </w:r>
      <w:r>
        <w:rPr/>
        <w:t>年度和 </w:t>
      </w:r>
      <w:r>
        <w:rPr>
          <w:rFonts w:ascii="宋体" w:hAnsi="宋体" w:cs="宋体" w:eastAsia="宋体" w:hint="default"/>
          <w:spacing w:val="3"/>
        </w:rPr>
        <w:t>2018</w:t>
      </w:r>
      <w:r>
        <w:rPr>
          <w:spacing w:val="3"/>
        </w:rPr>
        <w:t>年度经审计的报表净利润数（以扣除非经常性损益后较低者为准）应分别不低于</w:t>
      </w:r>
      <w:r>
        <w:rPr>
          <w:rFonts w:ascii="宋体" w:hAnsi="宋体" w:cs="宋体" w:eastAsia="宋体" w:hint="default"/>
          <w:spacing w:val="3"/>
        </w:rPr>
        <w:t>4,000</w:t>
      </w:r>
      <w:r>
        <w:rPr>
          <w:rFonts w:ascii="宋体" w:hAnsi="宋体" w:cs="宋体" w:eastAsia="宋体" w:hint="default"/>
          <w:spacing w:val="-116"/>
        </w:rPr>
        <w:t> </w:t>
      </w:r>
      <w:r>
        <w:rPr/>
        <w:t>万元、</w:t>
      </w:r>
      <w:r>
        <w:rPr>
          <w:rFonts w:ascii="宋体" w:hAnsi="宋体" w:cs="宋体" w:eastAsia="宋体" w:hint="default"/>
        </w:rPr>
        <w:t>5,000</w:t>
      </w:r>
      <w:r>
        <w:rPr/>
        <w:t>万元和</w:t>
      </w:r>
      <w:r>
        <w:rPr>
          <w:rFonts w:ascii="宋体" w:hAnsi="宋体" w:cs="宋体" w:eastAsia="宋体" w:hint="default"/>
        </w:rPr>
        <w:t>6,000</w:t>
      </w:r>
      <w:r>
        <w:rPr/>
        <w:t>万元。</w:t>
      </w:r>
      <w:r>
        <w:rPr>
          <w:rFonts w:ascii="宋体" w:hAnsi="宋体" w:cs="宋体" w:eastAsia="宋体" w:hint="default"/>
        </w:rPr>
        <w:t>2017</w:t>
      </w:r>
      <w:r>
        <w:rPr/>
        <w:t>年实际完成净利润</w:t>
      </w:r>
      <w:r>
        <w:rPr>
          <w:rFonts w:ascii="宋体" w:hAnsi="宋体" w:cs="宋体" w:eastAsia="宋体" w:hint="default"/>
        </w:rPr>
        <w:t>6,371.59</w:t>
      </w:r>
      <w:r>
        <w:rPr/>
        <w:t>万元。自然人承诺的保定金</w:t>
      </w:r>
      <w:r>
        <w:rPr>
          <w:spacing w:val="-89"/>
        </w:rPr>
        <w:t> </w:t>
      </w:r>
      <w:r>
        <w:rPr>
          <w:spacing w:val="-89"/>
        </w:rPr>
      </w:r>
      <w:r>
        <w:rPr/>
        <w:t>迪</w:t>
      </w:r>
      <w:r>
        <w:rPr>
          <w:rFonts w:ascii="宋体" w:hAnsi="宋体" w:cs="宋体" w:eastAsia="宋体" w:hint="default"/>
        </w:rPr>
        <w:t>2017</w:t>
      </w:r>
      <w:r>
        <w:rPr/>
        <w:t>年度的业绩已经实现。</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三、控股股东及其关联方对上市公司的非经营性占用资金情况</w:t>
      </w:r>
      <w:r>
        <w:rPr>
          <w:b w:val="0"/>
          <w:bCs w:val="0"/>
        </w:rPr>
      </w:r>
    </w:p>
    <w:p>
      <w:pPr>
        <w:spacing w:line="240" w:lineRule="auto" w:before="4"/>
        <w:rPr>
          <w:rFonts w:ascii="宋体" w:hAnsi="宋体" w:cs="宋体" w:eastAsia="宋体" w:hint="default"/>
          <w:b/>
          <w:bCs/>
          <w:sz w:val="26"/>
          <w:szCs w:val="26"/>
        </w:rPr>
      </w:pPr>
    </w:p>
    <w:p>
      <w:pPr>
        <w:spacing w:line="340" w:lineRule="auto" w:before="0"/>
        <w:ind w:left="152" w:right="40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after="0" w:line="3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2"/>
        <w:spacing w:line="240" w:lineRule="auto" w:before="26"/>
        <w:ind w:right="96"/>
        <w:jc w:val="left"/>
        <w:rPr>
          <w:b w:val="0"/>
          <w:bCs w:val="0"/>
        </w:rPr>
      </w:pP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1"/>
        <w:rPr>
          <w:rFonts w:ascii="宋体" w:hAnsi="宋体" w:cs="宋体" w:eastAsia="宋体" w:hint="default"/>
          <w:b/>
          <w:bCs/>
          <w:sz w:val="25"/>
          <w:szCs w:val="25"/>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6"/>
        <w:jc w:val="left"/>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1"/>
        <w:rPr>
          <w:rFonts w:ascii="宋体" w:hAnsi="宋体" w:cs="宋体" w:eastAsia="宋体" w:hint="default"/>
          <w:b/>
          <w:bCs/>
          <w:sz w:val="25"/>
          <w:szCs w:val="25"/>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6"/>
        <w:jc w:val="left"/>
        <w:rPr>
          <w:b w:val="0"/>
          <w:bCs w:val="0"/>
        </w:rPr>
      </w:pPr>
      <w:r>
        <w:rPr/>
        <w:t>六、董事会关于报告期会计政策、会计估计变更或重大会计差错更正的说明</w:t>
      </w:r>
      <w:r>
        <w:rPr>
          <w:b w:val="0"/>
          <w:bCs w:val="0"/>
        </w:rPr>
      </w:r>
    </w:p>
    <w:p>
      <w:pPr>
        <w:spacing w:line="240" w:lineRule="auto" w:before="6"/>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134" w:firstLine="480"/>
        <w:jc w:val="left"/>
      </w:pPr>
      <w:r>
        <w:rPr>
          <w:rFonts w:ascii="宋体" w:hAnsi="宋体" w:cs="宋体" w:eastAsia="宋体" w:hint="default"/>
        </w:rPr>
        <w:t>1</w:t>
      </w:r>
      <w:r>
        <w:rPr/>
        <w:t>、</w:t>
      </w:r>
      <w:r>
        <w:rPr>
          <w:rFonts w:ascii="宋体" w:hAnsi="宋体" w:cs="宋体" w:eastAsia="宋体" w:hint="default"/>
        </w:rPr>
        <w:t>2017</w:t>
      </w:r>
      <w:r>
        <w:rPr/>
        <w:t>年</w:t>
      </w:r>
      <w:r>
        <w:rPr>
          <w:rFonts w:ascii="宋体" w:hAnsi="宋体" w:cs="宋体" w:eastAsia="宋体" w:hint="default"/>
        </w:rPr>
        <w:t>4</w:t>
      </w:r>
      <w:r>
        <w:rPr/>
        <w:t>月</w:t>
      </w:r>
      <w:r>
        <w:rPr>
          <w:rFonts w:ascii="宋体" w:hAnsi="宋体" w:cs="宋体" w:eastAsia="宋体" w:hint="default"/>
        </w:rPr>
        <w:t>28</w:t>
      </w:r>
      <w:r>
        <w:rPr/>
        <w:t>日，财政部发布了《企业会计准则第</w:t>
      </w:r>
      <w:r>
        <w:rPr>
          <w:rFonts w:ascii="宋体" w:hAnsi="宋体" w:cs="宋体" w:eastAsia="宋体" w:hint="default"/>
        </w:rPr>
        <w:t>42</w:t>
      </w:r>
      <w:r>
        <w:rPr/>
        <w:t>号——持有待售的非流动资产、 处置组和终止经营》，要求自</w:t>
      </w:r>
      <w:r>
        <w:rPr>
          <w:rFonts w:ascii="宋体" w:hAnsi="宋体" w:cs="宋体" w:eastAsia="宋体" w:hint="default"/>
        </w:rPr>
        <w:t>2017</w:t>
      </w:r>
      <w:r>
        <w:rPr/>
        <w:t>年</w:t>
      </w:r>
      <w:r>
        <w:rPr>
          <w:rFonts w:ascii="宋体" w:hAnsi="宋体" w:cs="宋体" w:eastAsia="宋体" w:hint="default"/>
        </w:rPr>
        <w:t>5</w:t>
      </w:r>
      <w:r>
        <w:rPr/>
        <w:t>月</w:t>
      </w:r>
      <w:r>
        <w:rPr>
          <w:rFonts w:ascii="宋体" w:hAnsi="宋体" w:cs="宋体" w:eastAsia="宋体" w:hint="default"/>
        </w:rPr>
        <w:t>28</w:t>
      </w:r>
      <w:r>
        <w:rPr/>
        <w:t>日起在所有执行企业会计准则的企业范围内施行。 对于准则施行日存在的持有待售的非流动资产、处置组和终止经营，采用未来适用法处理。</w:t>
      </w:r>
    </w:p>
    <w:p>
      <w:pPr>
        <w:pStyle w:val="BodyText"/>
        <w:spacing w:line="357" w:lineRule="auto"/>
        <w:ind w:right="231" w:firstLine="480"/>
        <w:jc w:val="both"/>
      </w:pPr>
      <w:r>
        <w:rPr>
          <w:rFonts w:ascii="宋体" w:hAnsi="宋体" w:cs="宋体" w:eastAsia="宋体" w:hint="default"/>
        </w:rPr>
        <w:t>2</w:t>
      </w:r>
      <w:r>
        <w:rPr/>
        <w:t>、</w:t>
      </w:r>
      <w:r>
        <w:rPr>
          <w:rFonts w:ascii="宋体" w:hAnsi="宋体" w:cs="宋体" w:eastAsia="宋体" w:hint="default"/>
        </w:rPr>
        <w:t>2017</w:t>
      </w:r>
      <w:r>
        <w:rPr/>
        <w:t>年</w:t>
      </w:r>
      <w:r>
        <w:rPr>
          <w:rFonts w:ascii="宋体" w:hAnsi="宋体" w:cs="宋体" w:eastAsia="宋体" w:hint="default"/>
        </w:rPr>
        <w:t>5</w:t>
      </w:r>
      <w:r>
        <w:rPr/>
        <w:t>月</w:t>
      </w:r>
      <w:r>
        <w:rPr>
          <w:rFonts w:ascii="宋体" w:hAnsi="宋体" w:cs="宋体" w:eastAsia="宋体" w:hint="default"/>
        </w:rPr>
        <w:t>10</w:t>
      </w:r>
      <w:r>
        <w:rPr/>
        <w:t>日，财政部对《企业会计准则第</w:t>
      </w:r>
      <w:r>
        <w:rPr>
          <w:rFonts w:ascii="宋体" w:hAnsi="宋体" w:cs="宋体" w:eastAsia="宋体" w:hint="default"/>
        </w:rPr>
        <w:t>16</w:t>
      </w:r>
      <w:r>
        <w:rPr/>
        <w:t>号——政府补助》进行了修订，要求 </w:t>
      </w:r>
      <w:r>
        <w:rPr>
          <w:spacing w:val="-2"/>
        </w:rPr>
        <w:t>自</w:t>
      </w:r>
      <w:r>
        <w:rPr>
          <w:rFonts w:ascii="宋体" w:hAnsi="宋体" w:cs="宋体" w:eastAsia="宋体" w:hint="default"/>
          <w:spacing w:val="-2"/>
        </w:rPr>
        <w:t>2017</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12</w:t>
      </w:r>
      <w:r>
        <w:rPr>
          <w:spacing w:val="-2"/>
        </w:rPr>
        <w:t>日起在所有执行企业会计准则的企业范围内施行，并要求对</w:t>
      </w:r>
      <w:r>
        <w:rPr>
          <w:rFonts w:ascii="宋体" w:hAnsi="宋体" w:cs="宋体" w:eastAsia="宋体" w:hint="default"/>
          <w:spacing w:val="-2"/>
        </w:rPr>
        <w:t>2017</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1</w:t>
      </w:r>
      <w:r>
        <w:rPr>
          <w:spacing w:val="-2"/>
        </w:rPr>
        <w:t>日存在</w:t>
      </w:r>
      <w:r>
        <w:rPr>
          <w:spacing w:val="-108"/>
        </w:rPr>
        <w:t> </w:t>
      </w:r>
      <w:r>
        <w:rPr/>
        <w:t>的政府补助采用未来适用法处理，对</w:t>
      </w:r>
      <w:r>
        <w:rPr>
          <w:rFonts w:ascii="宋体" w:hAnsi="宋体" w:cs="宋体" w:eastAsia="宋体" w:hint="default"/>
        </w:rPr>
        <w:t>2017</w:t>
      </w:r>
      <w:r>
        <w:rPr/>
        <w:t>年</w:t>
      </w:r>
      <w:r>
        <w:rPr>
          <w:rFonts w:ascii="宋体" w:hAnsi="宋体" w:cs="宋体" w:eastAsia="宋体" w:hint="default"/>
        </w:rPr>
        <w:t>1</w:t>
      </w:r>
      <w:r>
        <w:rPr/>
        <w:t>月</w:t>
      </w:r>
      <w:r>
        <w:rPr>
          <w:rFonts w:ascii="宋体" w:hAnsi="宋体" w:cs="宋体" w:eastAsia="宋体" w:hint="default"/>
        </w:rPr>
        <w:t>1</w:t>
      </w:r>
      <w:r>
        <w:rPr/>
        <w:t>日至准则施行日之间新增的政府补助根据修</w:t>
      </w:r>
      <w:r>
        <w:rPr>
          <w:spacing w:val="-87"/>
        </w:rPr>
        <w:t> </w:t>
      </w:r>
      <w:r>
        <w:rPr>
          <w:spacing w:val="-87"/>
        </w:rPr>
      </w:r>
      <w:r>
        <w:rPr/>
        <w:t>订后准则进行调整。</w:t>
      </w:r>
    </w:p>
    <w:p>
      <w:pPr>
        <w:pStyle w:val="BodyText"/>
        <w:spacing w:line="240" w:lineRule="auto"/>
        <w:ind w:left="633" w:right="96"/>
        <w:jc w:val="left"/>
      </w:pPr>
      <w:r>
        <w:rPr>
          <w:rFonts w:ascii="宋体" w:hAnsi="宋体" w:cs="宋体" w:eastAsia="宋体" w:hint="default"/>
          <w:spacing w:val="-7"/>
        </w:rPr>
        <w:t>3</w:t>
      </w:r>
      <w:r>
        <w:rPr>
          <w:spacing w:val="-7"/>
        </w:rPr>
        <w:t>、财政部于 </w:t>
      </w:r>
      <w:r>
        <w:rPr>
          <w:rFonts w:ascii="宋体" w:hAnsi="宋体" w:cs="宋体" w:eastAsia="宋体" w:hint="default"/>
        </w:rPr>
        <w:t>2017 </w:t>
      </w:r>
      <w:r>
        <w:rPr/>
        <w:t>年 </w:t>
      </w:r>
      <w:r>
        <w:rPr>
          <w:rFonts w:ascii="宋体" w:hAnsi="宋体" w:cs="宋体" w:eastAsia="宋体" w:hint="default"/>
        </w:rPr>
        <w:t>12 </w:t>
      </w:r>
      <w:r>
        <w:rPr/>
        <w:t>月 </w:t>
      </w:r>
      <w:r>
        <w:rPr>
          <w:rFonts w:ascii="宋体" w:hAnsi="宋体" w:cs="宋体" w:eastAsia="宋体" w:hint="default"/>
        </w:rPr>
        <w:t>25</w:t>
      </w:r>
      <w:r>
        <w:rPr>
          <w:rFonts w:ascii="宋体" w:hAnsi="宋体" w:cs="宋体" w:eastAsia="宋体" w:hint="default"/>
          <w:spacing w:val="-34"/>
        </w:rPr>
        <w:t> </w:t>
      </w:r>
      <w:r>
        <w:rPr/>
        <w:t>日修订并发布了《财政部关于修订印发一般企业财务报</w:t>
      </w:r>
    </w:p>
    <w:p>
      <w:pPr>
        <w:pStyle w:val="BodyText"/>
        <w:spacing w:line="357" w:lineRule="auto" w:before="154"/>
        <w:ind w:right="218"/>
        <w:jc w:val="left"/>
      </w:pPr>
      <w:r>
        <w:rPr>
          <w:spacing w:val="-5"/>
        </w:rPr>
        <w:t>表格式的通知》（财会</w:t>
      </w:r>
      <w:r>
        <w:rPr>
          <w:rFonts w:ascii="宋体" w:hAnsi="宋体" w:cs="宋体" w:eastAsia="宋体" w:hint="default"/>
          <w:spacing w:val="-5"/>
        </w:rPr>
        <w:t>[2017]30</w:t>
      </w:r>
      <w:r>
        <w:rPr>
          <w:spacing w:val="-5"/>
        </w:rPr>
        <w:t>号），对一般企业财务报表格式进行了修订，适用于 </w:t>
      </w:r>
      <w:r>
        <w:rPr>
          <w:rFonts w:ascii="宋体" w:hAnsi="宋体" w:cs="宋体" w:eastAsia="宋体" w:hint="default"/>
        </w:rPr>
        <w:t>2017</w:t>
      </w:r>
      <w:r>
        <w:rPr>
          <w:rFonts w:ascii="宋体" w:hAnsi="宋体" w:cs="宋体" w:eastAsia="宋体" w:hint="default"/>
          <w:spacing w:val="6"/>
        </w:rPr>
        <w:t> </w:t>
      </w:r>
      <w:r>
        <w:rPr/>
        <w:t>年 度及以后期间的财务报表。</w:t>
      </w:r>
    </w:p>
    <w:p>
      <w:pPr>
        <w:pStyle w:val="BodyText"/>
        <w:spacing w:line="357" w:lineRule="auto"/>
        <w:ind w:right="231" w:firstLine="480"/>
        <w:jc w:val="both"/>
      </w:pPr>
      <w:r>
        <w:rPr>
          <w:rFonts w:ascii="宋体" w:hAnsi="宋体" w:cs="宋体" w:eastAsia="宋体" w:hint="default"/>
          <w:spacing w:val="3"/>
        </w:rPr>
        <w:t>4</w:t>
      </w:r>
      <w:r>
        <w:rPr>
          <w:spacing w:val="3"/>
        </w:rPr>
        <w:t>、经本公司第三届董事会第二十八次会议和第三届董事会第三十四次会议分别于</w:t>
      </w:r>
      <w:r>
        <w:rPr>
          <w:rFonts w:ascii="宋体" w:hAnsi="宋体" w:cs="宋体" w:eastAsia="宋体" w:hint="default"/>
          <w:spacing w:val="3"/>
        </w:rPr>
        <w:t>2017</w:t>
      </w:r>
      <w:r>
        <w:rPr>
          <w:rFonts w:ascii="宋体" w:hAnsi="宋体" w:cs="宋体" w:eastAsia="宋体" w:hint="default"/>
        </w:rPr>
        <w:t> </w:t>
      </w:r>
      <w:r>
        <w:rPr/>
        <w:t>年</w:t>
      </w:r>
      <w:r>
        <w:rPr>
          <w:rFonts w:ascii="宋体" w:hAnsi="宋体" w:cs="宋体" w:eastAsia="宋体" w:hint="default"/>
        </w:rPr>
        <w:t>8</w:t>
      </w:r>
      <w:r>
        <w:rPr/>
        <w:t>月</w:t>
      </w:r>
      <w:r>
        <w:rPr>
          <w:rFonts w:ascii="宋体" w:hAnsi="宋体" w:cs="宋体" w:eastAsia="宋体" w:hint="default"/>
        </w:rPr>
        <w:t>24</w:t>
      </w:r>
      <w:r>
        <w:rPr/>
        <w:t>日和</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22</w:t>
      </w:r>
      <w:r>
        <w:rPr/>
        <w:t>日决议通过，本公司按照准则生效日期开始执行前述新发布或修订</w:t>
      </w:r>
      <w:r>
        <w:rPr>
          <w:spacing w:val="-92"/>
        </w:rPr>
        <w:t> </w:t>
      </w:r>
      <w:r>
        <w:rPr>
          <w:spacing w:val="-92"/>
        </w:rPr>
      </w:r>
      <w:r>
        <w:rPr/>
        <w:t>的企业会计准则，并根据各准则衔接要求进行了调整。前述准则的采用未对本公司财务报表</w:t>
      </w:r>
      <w:r>
        <w:rPr>
          <w:spacing w:val="-91"/>
        </w:rPr>
        <w:t> </w:t>
      </w:r>
      <w:r>
        <w:rPr>
          <w:spacing w:val="-91"/>
        </w:rPr>
      </w:r>
      <w:r>
        <w:rPr/>
        <w:t>项目产生重大影响。</w:t>
      </w:r>
    </w:p>
    <w:p>
      <w:pPr>
        <w:spacing w:line="240" w:lineRule="auto" w:before="12"/>
        <w:rPr>
          <w:rFonts w:ascii="宋体" w:hAnsi="宋体" w:cs="宋体" w:eastAsia="宋体" w:hint="default"/>
          <w:sz w:val="19"/>
          <w:szCs w:val="19"/>
        </w:rPr>
      </w:pPr>
    </w:p>
    <w:p>
      <w:pPr>
        <w:pStyle w:val="Heading2"/>
        <w:spacing w:line="240" w:lineRule="auto"/>
        <w:ind w:right="96"/>
        <w:jc w:val="left"/>
        <w:rPr>
          <w:b w:val="0"/>
          <w:bCs w:val="0"/>
        </w:rPr>
      </w:pPr>
      <w:r>
        <w:rPr/>
        <w:t>七、与上年度财务报告相比，合并报表范围发生变化的情况说明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96" w:firstLine="480"/>
        <w:jc w:val="left"/>
      </w:pPr>
      <w:r>
        <w:rPr/>
        <w:t>本公司新设子公司江西政通城运科技有限公司，注册资本</w:t>
      </w:r>
      <w:r>
        <w:rPr>
          <w:rFonts w:ascii="宋体" w:hAnsi="宋体" w:cs="宋体" w:eastAsia="宋体" w:hint="default"/>
        </w:rPr>
        <w:t>3,750.03</w:t>
      </w:r>
      <w:r>
        <w:rPr/>
        <w:t>万元，本公司持股比 例</w:t>
      </w:r>
      <w:r>
        <w:rPr>
          <w:rFonts w:ascii="宋体" w:hAnsi="宋体" w:cs="宋体" w:eastAsia="宋体" w:hint="default"/>
        </w:rPr>
        <w:t>100%</w:t>
      </w:r>
      <w:r>
        <w:rPr/>
        <w:t>，已认缴出资额</w:t>
      </w:r>
      <w:r>
        <w:rPr>
          <w:rFonts w:ascii="宋体" w:hAnsi="宋体" w:cs="宋体" w:eastAsia="宋体" w:hint="default"/>
        </w:rPr>
        <w:t>3,750.03</w:t>
      </w:r>
      <w:r>
        <w:rPr/>
        <w:t>万元。统一社会信用代码：</w:t>
      </w:r>
      <w:r>
        <w:rPr>
          <w:rFonts w:ascii="宋体" w:hAnsi="宋体" w:cs="宋体" w:eastAsia="宋体" w:hint="default"/>
        </w:rPr>
        <w:t>91360723MA36W2BWXG</w:t>
      </w:r>
      <w:r>
        <w:rPr/>
        <w:t>，注册地：</w:t>
      </w:r>
      <w:r>
        <w:rPr>
          <w:spacing w:val="-84"/>
        </w:rPr>
        <w:t> </w:t>
      </w:r>
      <w:r>
        <w:rPr>
          <w:spacing w:val="-84"/>
        </w:rPr>
      </w:r>
      <w:r>
        <w:rPr/>
        <w:t>赣州市；业务范围：城市及道路照明亮化工程专业承包；市政公用工程施工总承包；基础软</w:t>
      </w:r>
      <w:r>
        <w:rPr>
          <w:spacing w:val="-91"/>
        </w:rPr>
        <w:t> </w:t>
      </w:r>
      <w:r>
        <w:rPr>
          <w:spacing w:val="-91"/>
        </w:rPr>
      </w:r>
      <w:r>
        <w:rPr>
          <w:spacing w:val="-3"/>
        </w:rPr>
        <w:t>件服务、应用软件服务、技术开发、技术转让、技术服务、技术咨询、技术推广；产品设计；</w:t>
      </w:r>
      <w:r>
        <w:rPr>
          <w:spacing w:val="-81"/>
        </w:rPr>
        <w:t> </w:t>
      </w:r>
      <w:r>
        <w:rPr>
          <w:spacing w:val="-81"/>
        </w:rPr>
      </w:r>
      <w:r>
        <w:rPr/>
        <w:t>计算机系统服务；数据处理服务；机械设备租赁；销售通讯设备、电子产品、计算机、软件</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240" w:lineRule="auto" w:before="26"/>
        <w:ind w:right="153"/>
        <w:jc w:val="left"/>
      </w:pPr>
      <w:r>
        <w:rPr/>
        <w:t>及辅助设备。（依法须经批准的项目，经相关部门批准后方可开展经营活动）。</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8"/>
          <w:szCs w:val="28"/>
        </w:rPr>
      </w:pPr>
    </w:p>
    <w:p>
      <w:pPr>
        <w:pStyle w:val="Heading2"/>
        <w:spacing w:line="240" w:lineRule="auto"/>
        <w:ind w:right="153"/>
        <w:jc w:val="left"/>
        <w:rPr>
          <w:b w:val="0"/>
          <w:bCs w:val="0"/>
        </w:rPr>
      </w:pPr>
      <w:r>
        <w:rPr/>
        <w:t>八、聘任、解聘会计师事务所情况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现聘任的会计事务所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苗策、薛东升</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40" w:lineRule="auto" w:before="115"/>
        <w:ind w:left="152" w:right="52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聘请内部控制审计会计师事务所、财务顾问或保荐人情况</w:t>
      </w:r>
    </w:p>
    <w:p>
      <w:pPr>
        <w:spacing w:before="41"/>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153"/>
        <w:jc w:val="left"/>
        <w:rPr>
          <w:b w:val="0"/>
          <w:bCs w:val="0"/>
        </w:rPr>
      </w:pPr>
      <w:r>
        <w:rPr/>
        <w:t>九、年度报告披露后面临暂停上市和终止上市情况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十、破产重整相关事项</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67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公司报告期未发生破产重整相关事项。</w:t>
      </w:r>
    </w:p>
    <w:p>
      <w:pPr>
        <w:spacing w:line="240" w:lineRule="auto" w:before="8"/>
        <w:rPr>
          <w:rFonts w:ascii="宋体" w:hAnsi="宋体" w:cs="宋体" w:eastAsia="宋体" w:hint="default"/>
          <w:sz w:val="19"/>
          <w:szCs w:val="19"/>
        </w:rPr>
      </w:pPr>
    </w:p>
    <w:p>
      <w:pPr>
        <w:pStyle w:val="Heading2"/>
        <w:spacing w:line="240" w:lineRule="auto"/>
        <w:ind w:right="153"/>
        <w:jc w:val="left"/>
        <w:rPr>
          <w:b w:val="0"/>
          <w:bCs w:val="0"/>
        </w:rPr>
      </w:pPr>
      <w:r>
        <w:rPr/>
        <w:t>十一、重大诉讼、仲裁事项</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68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本年度公司无重大诉讼、仲裁事项。</w:t>
      </w:r>
    </w:p>
    <w:p>
      <w:pPr>
        <w:spacing w:line="240" w:lineRule="auto" w:before="9"/>
        <w:rPr>
          <w:rFonts w:ascii="宋体" w:hAnsi="宋体" w:cs="宋体" w:eastAsia="宋体" w:hint="default"/>
          <w:sz w:val="19"/>
          <w:szCs w:val="19"/>
        </w:rPr>
      </w:pPr>
    </w:p>
    <w:p>
      <w:pPr>
        <w:pStyle w:val="Heading2"/>
        <w:spacing w:line="240" w:lineRule="auto"/>
        <w:ind w:right="153"/>
        <w:jc w:val="left"/>
        <w:rPr>
          <w:b w:val="0"/>
          <w:bCs w:val="0"/>
        </w:rPr>
      </w:pPr>
      <w:r>
        <w:rPr/>
        <w:t>十二、处罚及整改情况</w:t>
      </w:r>
      <w:r>
        <w:rPr>
          <w:b w:val="0"/>
          <w:bCs w:val="0"/>
        </w:rPr>
      </w:r>
    </w:p>
    <w:p>
      <w:pPr>
        <w:spacing w:line="240" w:lineRule="auto" w:before="6"/>
        <w:rPr>
          <w:rFonts w:ascii="宋体" w:hAnsi="宋体" w:cs="宋体" w:eastAsia="宋体" w:hint="default"/>
          <w:b/>
          <w:bCs/>
          <w:sz w:val="26"/>
          <w:szCs w:val="26"/>
        </w:rPr>
      </w:pPr>
    </w:p>
    <w:p>
      <w:pPr>
        <w:spacing w:line="340" w:lineRule="auto" w:before="0"/>
        <w:ind w:left="152" w:right="68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公司报告期不存在处罚及整改情况。</w:t>
      </w:r>
    </w:p>
    <w:p>
      <w:pPr>
        <w:spacing w:line="240" w:lineRule="auto" w:before="4"/>
        <w:rPr>
          <w:rFonts w:ascii="宋体" w:hAnsi="宋体" w:cs="宋体" w:eastAsia="宋体" w:hint="default"/>
          <w:sz w:val="19"/>
          <w:szCs w:val="19"/>
        </w:rPr>
      </w:pPr>
    </w:p>
    <w:p>
      <w:pPr>
        <w:pStyle w:val="Heading2"/>
        <w:spacing w:line="240" w:lineRule="auto"/>
        <w:ind w:right="153"/>
        <w:jc w:val="left"/>
        <w:rPr>
          <w:b w:val="0"/>
          <w:bCs w:val="0"/>
        </w:rPr>
      </w:pPr>
      <w:r>
        <w:rPr/>
        <w:t>十三、公司及其控股股东、实际控制人的诚信状况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十四、公司股权激励计划、员工持股计划或其他员工激励措施的实施情况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49" w:firstLine="720"/>
        <w:jc w:val="both"/>
      </w:pPr>
      <w:r>
        <w:rPr>
          <w:rFonts w:ascii="宋体" w:hAnsi="宋体" w:cs="宋体" w:eastAsia="宋体" w:hint="default"/>
          <w:spacing w:val="-3"/>
        </w:rPr>
        <w:t>2017</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24</w:t>
      </w:r>
      <w:r>
        <w:rPr>
          <w:spacing w:val="-3"/>
        </w:rPr>
        <w:t>日公司召开了第三届董事会第二十一次会议，审议通过了《关于回购注销</w:t>
      </w:r>
      <w:r>
        <w:rPr/>
        <w:t> 离职激励对象已获授但尚未解锁的限制性股票的议案》，公司董事会决定对刘一、吴疆、杨</w:t>
      </w:r>
      <w:r>
        <w:rPr>
          <w:spacing w:val="-91"/>
        </w:rPr>
        <w:t> </w:t>
      </w:r>
      <w:r>
        <w:rPr>
          <w:spacing w:val="-91"/>
        </w:rPr>
      </w:r>
      <w:r>
        <w:rPr>
          <w:spacing w:val="-2"/>
        </w:rPr>
        <w:t>波、韩锁所持已获授但尚未解锁的</w:t>
      </w:r>
      <w:r>
        <w:rPr>
          <w:rFonts w:ascii="宋体" w:hAnsi="宋体" w:cs="宋体" w:eastAsia="宋体" w:hint="default"/>
          <w:spacing w:val="-2"/>
        </w:rPr>
        <w:t>235,000</w:t>
      </w:r>
      <w:r>
        <w:rPr>
          <w:spacing w:val="-2"/>
        </w:rPr>
        <w:t>股限制性股票进行回购注销，回购价格为</w:t>
      </w:r>
      <w:r>
        <w:rPr>
          <w:rFonts w:ascii="宋体" w:hAnsi="宋体" w:cs="宋体" w:eastAsia="宋体" w:hint="default"/>
          <w:spacing w:val="-2"/>
        </w:rPr>
        <w:t>10.37</w:t>
      </w:r>
      <w:r>
        <w:rPr>
          <w:spacing w:val="-2"/>
        </w:rPr>
        <w:t>元</w:t>
      </w:r>
      <w:r>
        <w:rPr>
          <w:rFonts w:ascii="宋体" w:hAnsi="宋体" w:cs="宋体" w:eastAsia="宋体" w:hint="default"/>
          <w:spacing w:val="-2"/>
        </w:rPr>
        <w:t>/</w:t>
      </w:r>
      <w:r>
        <w:rPr>
          <w:rFonts w:ascii="宋体" w:hAnsi="宋体" w:cs="宋体" w:eastAsia="宋体" w:hint="default"/>
          <w:spacing w:val="-106"/>
        </w:rPr>
        <w:t> </w:t>
      </w:r>
      <w:r>
        <w:rPr/>
        <w:t>股，回购总金额为</w:t>
      </w:r>
      <w:r>
        <w:rPr>
          <w:rFonts w:ascii="宋体" w:hAnsi="宋体" w:cs="宋体" w:eastAsia="宋体" w:hint="default"/>
        </w:rPr>
        <w:t>2,436,950</w:t>
      </w:r>
      <w:r>
        <w:rPr/>
        <w:t>元。公司于</w:t>
      </w:r>
      <w:r>
        <w:rPr>
          <w:rFonts w:ascii="宋体" w:hAnsi="宋体" w:cs="宋体" w:eastAsia="宋体" w:hint="default"/>
        </w:rPr>
        <w:t>2017</w:t>
      </w:r>
      <w:r>
        <w:rPr/>
        <w:t>年</w:t>
      </w:r>
      <w:r>
        <w:rPr>
          <w:rFonts w:ascii="宋体" w:hAnsi="宋体" w:cs="宋体" w:eastAsia="宋体" w:hint="default"/>
        </w:rPr>
        <w:t>5</w:t>
      </w:r>
      <w:r>
        <w:rPr/>
        <w:t>月</w:t>
      </w:r>
      <w:r>
        <w:rPr>
          <w:rFonts w:ascii="宋体" w:hAnsi="宋体" w:cs="宋体" w:eastAsia="宋体" w:hint="default"/>
        </w:rPr>
        <w:t>17</w:t>
      </w:r>
      <w:r>
        <w:rPr/>
        <w:t>日在中国登记结算有限责任公司深圳分</w:t>
      </w:r>
      <w:r>
        <w:rPr>
          <w:spacing w:val="-84"/>
        </w:rPr>
        <w:t> </w:t>
      </w:r>
      <w:r>
        <w:rPr>
          <w:spacing w:val="-84"/>
        </w:rPr>
      </w:r>
      <w:r>
        <w:rPr/>
        <w:t>公司完成回购注销登记。</w:t>
      </w:r>
    </w:p>
    <w:p>
      <w:pPr>
        <w:pStyle w:val="BodyText"/>
        <w:spacing w:line="357" w:lineRule="auto"/>
        <w:ind w:right="146" w:firstLine="720"/>
        <w:jc w:val="both"/>
      </w:pPr>
      <w:r>
        <w:rPr>
          <w:rFonts w:ascii="宋体" w:hAnsi="宋体" w:cs="宋体" w:eastAsia="宋体" w:hint="default"/>
          <w:spacing w:val="-2"/>
        </w:rPr>
        <w:t>2017</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18</w:t>
      </w:r>
      <w:r>
        <w:rPr>
          <w:spacing w:val="-2"/>
        </w:rPr>
        <w:t>日公司召开了第三届董事会第二十五次会议，审议通过了《关于公司</w:t>
      </w:r>
      <w:r>
        <w:rPr>
          <w:rFonts w:ascii="宋体" w:hAnsi="宋体" w:cs="宋体" w:eastAsia="宋体" w:hint="default"/>
          <w:spacing w:val="-2"/>
        </w:rPr>
        <w:t>2016</w:t>
      </w:r>
      <w:r>
        <w:rPr>
          <w:rFonts w:ascii="宋体" w:hAnsi="宋体" w:cs="宋体" w:eastAsia="宋体" w:hint="default"/>
        </w:rPr>
        <w:t> </w:t>
      </w:r>
      <w:r>
        <w:rPr>
          <w:spacing w:val="-2"/>
        </w:rPr>
        <w:t>年限制性股票激励计划第一个解锁期解锁条件成就的议案》，同意为符合解锁条件的</w:t>
      </w:r>
      <w:r>
        <w:rPr>
          <w:rFonts w:ascii="宋体" w:hAnsi="宋体" w:cs="宋体" w:eastAsia="宋体" w:hint="default"/>
          <w:spacing w:val="-2"/>
        </w:rPr>
        <w:t>156</w:t>
      </w:r>
      <w:r>
        <w:rPr>
          <w:spacing w:val="-2"/>
        </w:rPr>
        <w:t>名激</w:t>
      </w:r>
      <w:r>
        <w:rPr>
          <w:spacing w:val="-116"/>
        </w:rPr>
        <w:t> </w:t>
      </w:r>
      <w:r>
        <w:rPr/>
        <w:t>励对象办理第一期解锁手续。第一期解锁数量为</w:t>
      </w:r>
      <w:r>
        <w:rPr>
          <w:rFonts w:ascii="宋体" w:hAnsi="宋体" w:cs="宋体" w:eastAsia="宋体" w:hint="default"/>
        </w:rPr>
        <w:t>2,572,500</w:t>
      </w:r>
      <w:r>
        <w:rPr/>
        <w:t>股，占公司股本总额的</w:t>
      </w:r>
      <w:r>
        <w:rPr>
          <w:rFonts w:ascii="宋体" w:hAnsi="宋体" w:cs="宋体" w:eastAsia="宋体" w:hint="default"/>
        </w:rPr>
        <w:t>0.65%</w:t>
      </w:r>
      <w:r>
        <w:rPr/>
        <w:t>。本</w:t>
      </w:r>
      <w:r>
        <w:rPr>
          <w:spacing w:val="-81"/>
        </w:rPr>
        <w:t> </w:t>
      </w:r>
      <w:r>
        <w:rPr/>
        <w:t>次解锁的限制性股票解锁日即上市流通日为</w:t>
      </w:r>
      <w:r>
        <w:rPr>
          <w:rFonts w:ascii="宋体" w:hAnsi="宋体" w:cs="宋体" w:eastAsia="宋体" w:hint="default"/>
        </w:rPr>
        <w:t>2017</w:t>
      </w:r>
      <w:r>
        <w:rPr/>
        <w:t>年</w:t>
      </w:r>
      <w:r>
        <w:rPr>
          <w:rFonts w:ascii="宋体" w:hAnsi="宋体" w:cs="宋体" w:eastAsia="宋体" w:hint="default"/>
        </w:rPr>
        <w:t>6</w:t>
      </w:r>
      <w:r>
        <w:rPr/>
        <w:t>月</w:t>
      </w:r>
      <w:r>
        <w:rPr>
          <w:rFonts w:ascii="宋体" w:hAnsi="宋体" w:cs="宋体" w:eastAsia="宋体" w:hint="default"/>
        </w:rPr>
        <w:t>14</w:t>
      </w:r>
      <w:r>
        <w:rPr/>
        <w:t>日。</w:t>
      </w:r>
    </w:p>
    <w:p>
      <w:pPr>
        <w:pStyle w:val="BodyText"/>
        <w:spacing w:line="357" w:lineRule="auto"/>
        <w:ind w:right="149" w:firstLine="720"/>
        <w:jc w:val="both"/>
      </w:pPr>
      <w:r>
        <w:rPr>
          <w:rFonts w:ascii="宋体" w:hAnsi="宋体" w:cs="宋体" w:eastAsia="宋体" w:hint="default"/>
          <w:spacing w:val="-3"/>
        </w:rPr>
        <w:t>2017</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21</w:t>
      </w:r>
      <w:r>
        <w:rPr>
          <w:spacing w:val="-3"/>
        </w:rPr>
        <w:t>日公司召开了第三届董事会第二十六次会议，审议通过了《关于调整股票</w:t>
      </w:r>
      <w:r>
        <w:rPr/>
        <w:t> </w:t>
      </w:r>
      <w:r>
        <w:rPr>
          <w:spacing w:val="-2"/>
        </w:rPr>
        <w:t>期权行权价格的议案》，鉴于公司于</w:t>
      </w:r>
      <w:r>
        <w:rPr>
          <w:rFonts w:ascii="宋体" w:hAnsi="宋体" w:cs="宋体" w:eastAsia="宋体" w:hint="default"/>
          <w:spacing w:val="-2"/>
        </w:rPr>
        <w:t>2017</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24</w:t>
      </w:r>
      <w:r>
        <w:rPr>
          <w:spacing w:val="-2"/>
        </w:rPr>
        <w:t>日实施了</w:t>
      </w:r>
      <w:r>
        <w:rPr>
          <w:rFonts w:ascii="宋体" w:hAnsi="宋体" w:cs="宋体" w:eastAsia="宋体" w:hint="default"/>
          <w:spacing w:val="-2"/>
        </w:rPr>
        <w:t>2016</w:t>
      </w:r>
      <w:r>
        <w:rPr>
          <w:spacing w:val="-2"/>
        </w:rPr>
        <w:t>年度分红派息方案，根据公司</w:t>
      </w:r>
      <w:r>
        <w:rPr>
          <w:spacing w:val="-108"/>
        </w:rPr>
        <w:t> </w:t>
      </w:r>
      <w:r>
        <w:rPr>
          <w:spacing w:val="-108"/>
        </w:rPr>
      </w:r>
      <w:r>
        <w:rPr/>
        <w:t>股东大会的授权，董事会对公司首次授出的股票期权预留部分的行权价格调整为</w:t>
      </w:r>
      <w:r>
        <w:rPr>
          <w:rFonts w:ascii="宋体" w:hAnsi="宋体" w:cs="宋体" w:eastAsia="宋体" w:hint="default"/>
        </w:rPr>
        <w:t>5.421</w:t>
      </w:r>
      <w:r>
        <w:rPr/>
        <w:t>元。</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十五、重大关联交易</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、与日常经营相关的关联交易</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54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公司报告期未发生与日常经营相关的关联交易。</w:t>
      </w:r>
    </w:p>
    <w:p>
      <w:pPr>
        <w:spacing w:line="240" w:lineRule="auto" w:before="3"/>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40" w:lineRule="auto" w:before="0"/>
        <w:ind w:left="152" w:right="54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5"/>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、共同对外投资的关联交易</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61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公司报告期未发生共同对外投资的关联交易。</w:t>
      </w:r>
    </w:p>
    <w:p>
      <w:pPr>
        <w:spacing w:line="240" w:lineRule="auto" w:before="5"/>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、关联债权债务往来</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67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公司报告期不存在关联债权债务往来。</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、其他重大关联交易</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公司报告期无其他重大关联交易。</w:t>
      </w:r>
    </w:p>
    <w:p>
      <w:pPr>
        <w:spacing w:line="240" w:lineRule="auto" w:before="3"/>
        <w:rPr>
          <w:rFonts w:ascii="宋体" w:hAnsi="宋体" w:cs="宋体" w:eastAsia="宋体" w:hint="default"/>
          <w:sz w:val="25"/>
          <w:szCs w:val="25"/>
        </w:rPr>
      </w:pPr>
    </w:p>
    <w:p>
      <w:pPr>
        <w:pStyle w:val="Heading2"/>
        <w:spacing w:line="240" w:lineRule="auto"/>
        <w:ind w:right="153"/>
        <w:jc w:val="left"/>
        <w:rPr>
          <w:b w:val="0"/>
          <w:bCs w:val="0"/>
        </w:rPr>
      </w:pPr>
      <w:r>
        <w:rPr/>
        <w:t>十六、重大合同及其履行情况</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、托管、承包、租赁事项情况</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公司报告期不存在托管情况。</w:t>
      </w:r>
    </w:p>
    <w:p>
      <w:pPr>
        <w:spacing w:line="240" w:lineRule="auto" w:before="8"/>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公司报告期不存在承包情况。</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）租赁情况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40"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公司报告期不存在租赁情况。</w:t>
      </w:r>
    </w:p>
    <w:p>
      <w:pPr>
        <w:spacing w:line="240" w:lineRule="auto" w:before="3"/>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、重大担保</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）担保情况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09"/>
        <w:gridCol w:w="928"/>
        <w:gridCol w:w="923"/>
        <w:gridCol w:w="1296"/>
        <w:gridCol w:w="1064"/>
        <w:gridCol w:w="1034"/>
        <w:gridCol w:w="1049"/>
        <w:gridCol w:w="792"/>
        <w:gridCol w:w="780"/>
      </w:tblGrid>
      <w:tr>
        <w:trPr>
          <w:trHeight w:val="402"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00"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7"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45"/>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5" w:right="101"/>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95"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7" w:right="75"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50"/>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1"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3"/>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3"/>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3"/>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98"/>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两年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715"/>
        <w:gridCol w:w="908"/>
        <w:gridCol w:w="935"/>
        <w:gridCol w:w="1303"/>
        <w:gridCol w:w="1044"/>
        <w:gridCol w:w="1046"/>
        <w:gridCol w:w="1057"/>
        <w:gridCol w:w="784"/>
        <w:gridCol w:w="784"/>
      </w:tblGrid>
      <w:tr>
        <w:trPr>
          <w:trHeight w:val="713"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9"/>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3,000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2" w:right="0"/>
              <w:jc w:val="left"/>
              <w:rPr>
                <w:rFonts w:ascii="Times New Roman" w:hAnsi="Times New Roman" w:cs="Times New Roman" w:eastAsia="Times New Roman" w:hint="default"/>
                <w:sz w:val="18"/>
                <w:szCs w:val="18"/>
              </w:rPr>
            </w:pPr>
            <w:r>
              <w:rPr>
                <w:rFonts w:ascii="Times New Roman"/>
                <w:sz w:val="18"/>
              </w:rPr>
              <w:t>2,000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38" w:right="95"/>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9"/>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7,000</w:t>
            </w:r>
          </w:p>
        </w:tc>
        <w:tc>
          <w:tcPr>
            <w:tcW w:w="1303"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38" w:right="95"/>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7"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15,000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 w:right="78"/>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w:t>
            </w:r>
          </w:p>
        </w:tc>
      </w:tr>
      <w:tr>
        <w:trPr>
          <w:trHeight w:val="719" w:hRule="exact"/>
        </w:trPr>
        <w:tc>
          <w:tcPr>
            <w:tcW w:w="26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4"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7"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15,000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9" w:right="78"/>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8,000</w:t>
            </w:r>
          </w:p>
        </w:tc>
      </w:tr>
      <w:tr>
        <w:trPr>
          <w:trHeight w:val="397"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2" w:hRule="exact"/>
        </w:trPr>
        <w:tc>
          <w:tcPr>
            <w:tcW w:w="1715" w:type="dxa"/>
            <w:vMerge w:val="restart"/>
            <w:tcBorders>
              <w:top w:val="single" w:sz="4" w:space="0" w:color="000000"/>
              <w:left w:val="single" w:sz="4" w:space="0" w:color="000000"/>
              <w:right w:val="single" w:sz="4" w:space="0" w:color="000000"/>
            </w:tcBorders>
            <w:shd w:val="clear" w:color="auto" w:fill="D2D2D2"/>
          </w:tcPr>
          <w:p>
            <w:pPr/>
          </w:p>
        </w:tc>
        <w:tc>
          <w:tcPr>
            <w:tcW w:w="9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87" w:right="8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5" w:type="dxa"/>
            <w:vMerge w:val="restart"/>
            <w:tcBorders>
              <w:top w:val="single" w:sz="4" w:space="0" w:color="000000"/>
              <w:left w:val="single" w:sz="4" w:space="0" w:color="000000"/>
              <w:right w:val="single" w:sz="4" w:space="0" w:color="000000"/>
            </w:tcBorders>
            <w:shd w:val="clear" w:color="auto" w:fill="D2D2D2"/>
          </w:tcPr>
          <w:p>
            <w:pPr/>
          </w:p>
        </w:tc>
        <w:tc>
          <w:tcPr>
            <w:tcW w:w="13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6" w:type="dxa"/>
            <w:vMerge w:val="restart"/>
            <w:tcBorders>
              <w:top w:val="single" w:sz="4" w:space="0" w:color="000000"/>
              <w:left w:val="single" w:sz="4" w:space="0" w:color="000000"/>
              <w:right w:val="single" w:sz="4" w:space="0" w:color="000000"/>
            </w:tcBorders>
            <w:shd w:val="clear" w:color="auto" w:fill="D2D2D2"/>
          </w:tcPr>
          <w:p>
            <w:pPr/>
          </w:p>
        </w:tc>
        <w:tc>
          <w:tcPr>
            <w:tcW w:w="1057" w:type="dxa"/>
            <w:vMerge w:val="restart"/>
            <w:tcBorders>
              <w:top w:val="single" w:sz="4" w:space="0" w:color="000000"/>
              <w:left w:val="single" w:sz="4" w:space="0" w:color="000000"/>
              <w:right w:val="single" w:sz="4" w:space="0" w:color="000000"/>
            </w:tcBorders>
            <w:shd w:val="clear" w:color="auto" w:fill="D2D2D2"/>
          </w:tcPr>
          <w:p>
            <w:pPr/>
          </w:p>
        </w:tc>
        <w:tc>
          <w:tcPr>
            <w:tcW w:w="78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7" w:hRule="exact"/>
        </w:trPr>
        <w:tc>
          <w:tcPr>
            <w:tcW w:w="1715" w:type="dxa"/>
            <w:vMerge/>
            <w:tcBorders>
              <w:left w:val="single" w:sz="4" w:space="0" w:color="000000"/>
              <w:bottom w:val="nil" w:sz="6" w:space="0" w:color="auto"/>
              <w:right w:val="single" w:sz="4" w:space="0" w:color="000000"/>
            </w:tcBorders>
            <w:shd w:val="clear" w:color="auto" w:fill="D2D2D2"/>
          </w:tcPr>
          <w:p>
            <w:pPr/>
          </w:p>
        </w:tc>
        <w:tc>
          <w:tcPr>
            <w:tcW w:w="908"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13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4"/>
              <w:ind w:left="9"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4"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423" w:right="69"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6" w:type="dxa"/>
            <w:vMerge/>
            <w:tcBorders>
              <w:left w:val="single" w:sz="4" w:space="0" w:color="000000"/>
              <w:bottom w:val="nil" w:sz="6" w:space="0" w:color="auto"/>
              <w:right w:val="single" w:sz="4" w:space="0" w:color="000000"/>
            </w:tcBorders>
            <w:shd w:val="clear" w:color="auto" w:fill="D2D2D2"/>
          </w:tcPr>
          <w:p>
            <w:pPr/>
          </w:p>
        </w:tc>
        <w:tc>
          <w:tcPr>
            <w:tcW w:w="1057" w:type="dxa"/>
            <w:vMerge/>
            <w:tcBorders>
              <w:left w:val="single" w:sz="4" w:space="0" w:color="000000"/>
              <w:bottom w:val="nil" w:sz="6" w:space="0" w:color="auto"/>
              <w:right w:val="single" w:sz="4" w:space="0" w:color="000000"/>
            </w:tcBorders>
            <w:shd w:val="clear" w:color="auto" w:fill="D2D2D2"/>
          </w:tcPr>
          <w:p>
            <w:pPr/>
          </w:p>
        </w:tc>
        <w:tc>
          <w:tcPr>
            <w:tcW w:w="784"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0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4"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1" w:hRule="exact"/>
        </w:trPr>
        <w:tc>
          <w:tcPr>
            <w:tcW w:w="17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310"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08" w:type="dxa"/>
            <w:vMerge/>
            <w:tcBorders>
              <w:left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3" w:type="dxa"/>
            <w:vMerge/>
            <w:tcBorders>
              <w:left w:val="single" w:sz="4" w:space="0" w:color="000000"/>
              <w:right w:val="single" w:sz="4" w:space="0" w:color="000000"/>
            </w:tcBorders>
            <w:shd w:val="clear" w:color="auto" w:fill="D2D2D2"/>
          </w:tcPr>
          <w:p>
            <w:pPr/>
          </w:p>
        </w:tc>
        <w:tc>
          <w:tcPr>
            <w:tcW w:w="1044" w:type="dxa"/>
            <w:vMerge/>
            <w:tcBorders>
              <w:left w:val="single" w:sz="4" w:space="0" w:color="000000"/>
              <w:right w:val="single" w:sz="4" w:space="0" w:color="000000"/>
            </w:tcBorders>
            <w:shd w:val="clear" w:color="auto" w:fill="D2D2D2"/>
          </w:tcPr>
          <w:p>
            <w:pPr/>
          </w:p>
        </w:tc>
        <w:tc>
          <w:tcPr>
            <w:tcW w:w="104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50"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4" w:type="dxa"/>
            <w:vMerge/>
            <w:tcBorders>
              <w:left w:val="single" w:sz="4" w:space="0" w:color="000000"/>
              <w:right w:val="single" w:sz="4" w:space="0" w:color="000000"/>
            </w:tcBorders>
            <w:shd w:val="clear" w:color="auto" w:fill="D2D2D2"/>
          </w:tcPr>
          <w:p>
            <w:pPr/>
          </w:p>
        </w:tc>
        <w:tc>
          <w:tcPr>
            <w:tcW w:w="784" w:type="dxa"/>
            <w:vMerge/>
            <w:tcBorders>
              <w:left w:val="single" w:sz="4" w:space="0" w:color="000000"/>
              <w:right w:val="single" w:sz="4" w:space="0" w:color="000000"/>
            </w:tcBorders>
            <w:shd w:val="clear" w:color="auto" w:fill="D2D2D2"/>
          </w:tcPr>
          <w:p>
            <w:pPr/>
          </w:p>
        </w:tc>
      </w:tr>
      <w:tr>
        <w:trPr>
          <w:trHeight w:val="156" w:hRule="exact"/>
        </w:trPr>
        <w:tc>
          <w:tcPr>
            <w:tcW w:w="1715" w:type="dxa"/>
            <w:vMerge w:val="restart"/>
            <w:tcBorders>
              <w:top w:val="nil" w:sz="6" w:space="0" w:color="auto"/>
              <w:left w:val="single" w:sz="4" w:space="0" w:color="000000"/>
              <w:right w:val="single" w:sz="4" w:space="0" w:color="000000"/>
            </w:tcBorders>
            <w:shd w:val="clear" w:color="auto" w:fill="D2D2D2"/>
          </w:tcPr>
          <w:p>
            <w:pPr/>
          </w:p>
        </w:tc>
        <w:tc>
          <w:tcPr>
            <w:tcW w:w="908"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
        </w:tc>
        <w:tc>
          <w:tcPr>
            <w:tcW w:w="1303" w:type="dxa"/>
            <w:vMerge/>
            <w:tcBorders>
              <w:left w:val="single" w:sz="4" w:space="0" w:color="000000"/>
              <w:bottom w:val="nil" w:sz="6" w:space="0" w:color="auto"/>
              <w:right w:val="single" w:sz="4" w:space="0" w:color="000000"/>
            </w:tcBorders>
            <w:shd w:val="clear" w:color="auto" w:fill="D2D2D2"/>
          </w:tcPr>
          <w:p>
            <w:pPr/>
          </w:p>
        </w:tc>
        <w:tc>
          <w:tcPr>
            <w:tcW w:w="1044" w:type="dxa"/>
            <w:vMerge/>
            <w:tcBorders>
              <w:left w:val="single" w:sz="4" w:space="0" w:color="000000"/>
              <w:bottom w:val="nil" w:sz="6" w:space="0" w:color="auto"/>
              <w:right w:val="single" w:sz="4" w:space="0" w:color="000000"/>
            </w:tcBorders>
            <w:shd w:val="clear" w:color="auto" w:fill="D2D2D2"/>
          </w:tcPr>
          <w:p>
            <w:pPr/>
          </w:p>
        </w:tc>
        <w:tc>
          <w:tcPr>
            <w:tcW w:w="1046" w:type="dxa"/>
            <w:vMerge w:val="restart"/>
            <w:tcBorders>
              <w:top w:val="nil" w:sz="6" w:space="0" w:color="auto"/>
              <w:left w:val="single" w:sz="4" w:space="0" w:color="000000"/>
              <w:right w:val="single" w:sz="4" w:space="0" w:color="000000"/>
            </w:tcBorders>
            <w:shd w:val="clear" w:color="auto" w:fill="D2D2D2"/>
          </w:tcPr>
          <w:p>
            <w:pPr/>
          </w:p>
        </w:tc>
        <w:tc>
          <w:tcPr>
            <w:tcW w:w="1057" w:type="dxa"/>
            <w:vMerge w:val="restart"/>
            <w:tcBorders>
              <w:top w:val="nil" w:sz="6" w:space="0" w:color="auto"/>
              <w:left w:val="single" w:sz="4" w:space="0" w:color="000000"/>
              <w:right w:val="single" w:sz="4" w:space="0" w:color="000000"/>
            </w:tcBorders>
            <w:shd w:val="clear" w:color="auto" w:fill="D2D2D2"/>
          </w:tcPr>
          <w:p>
            <w:pPr/>
          </w:p>
        </w:tc>
        <w:tc>
          <w:tcPr>
            <w:tcW w:w="784" w:type="dxa"/>
            <w:vMerge/>
            <w:tcBorders>
              <w:left w:val="single" w:sz="4" w:space="0" w:color="000000"/>
              <w:bottom w:val="nil" w:sz="6" w:space="0" w:color="auto"/>
              <w:right w:val="single" w:sz="4" w:space="0" w:color="000000"/>
            </w:tcBorders>
            <w:shd w:val="clear" w:color="auto" w:fill="D2D2D2"/>
          </w:tcPr>
          <w:p>
            <w:pPr/>
          </w:p>
        </w:tc>
        <w:tc>
          <w:tcPr>
            <w:tcW w:w="784"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15" w:type="dxa"/>
            <w:vMerge/>
            <w:tcBorders>
              <w:left w:val="single" w:sz="4" w:space="0" w:color="000000"/>
              <w:bottom w:val="single" w:sz="4" w:space="0" w:color="000000"/>
              <w:right w:val="single" w:sz="4" w:space="0" w:color="000000"/>
            </w:tcBorders>
            <w:shd w:val="clear" w:color="auto" w:fill="D2D2D2"/>
          </w:tcPr>
          <w:p>
            <w:pPr/>
          </w:p>
        </w:tc>
        <w:tc>
          <w:tcPr>
            <w:tcW w:w="908"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30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6" w:type="dxa"/>
            <w:vMerge/>
            <w:tcBorders>
              <w:left w:val="single" w:sz="4" w:space="0" w:color="000000"/>
              <w:bottom w:val="single" w:sz="4" w:space="0" w:color="000000"/>
              <w:right w:val="single" w:sz="4" w:space="0" w:color="000000"/>
            </w:tcBorders>
            <w:shd w:val="clear" w:color="auto" w:fill="D2D2D2"/>
          </w:tcPr>
          <w:p>
            <w:pPr/>
          </w:p>
        </w:tc>
        <w:tc>
          <w:tcPr>
            <w:tcW w:w="1057" w:type="dxa"/>
            <w:vMerge/>
            <w:tcBorders>
              <w:left w:val="single" w:sz="4" w:space="0" w:color="000000"/>
              <w:bottom w:val="single" w:sz="4" w:space="0" w:color="000000"/>
              <w:right w:val="single" w:sz="4" w:space="0" w:color="000000"/>
            </w:tcBorders>
            <w:shd w:val="clear" w:color="auto" w:fill="D2D2D2"/>
          </w:tcPr>
          <w:p>
            <w:pPr/>
          </w:p>
        </w:tc>
        <w:tc>
          <w:tcPr>
            <w:tcW w:w="784" w:type="dxa"/>
            <w:tcBorders>
              <w:top w:val="nil" w:sz="6" w:space="0" w:color="auto"/>
              <w:left w:val="single" w:sz="4" w:space="0" w:color="000000"/>
              <w:bottom w:val="single" w:sz="4" w:space="0" w:color="000000"/>
              <w:right w:val="single" w:sz="4" w:space="0" w:color="000000"/>
            </w:tcBorders>
            <w:shd w:val="clear" w:color="auto" w:fill="D2D2D2"/>
          </w:tcPr>
          <w:p>
            <w:pPr/>
          </w:p>
        </w:tc>
        <w:tc>
          <w:tcPr>
            <w:tcW w:w="7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5" w:hRule="exact"/>
        </w:trPr>
        <w:tc>
          <w:tcPr>
            <w:tcW w:w="26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7"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15,000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9" w:right="78"/>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w:t>
            </w:r>
          </w:p>
        </w:tc>
      </w:tr>
      <w:tr>
        <w:trPr>
          <w:trHeight w:val="714" w:hRule="exact"/>
        </w:trPr>
        <w:tc>
          <w:tcPr>
            <w:tcW w:w="262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7"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15,000</w:t>
            </w:r>
          </w:p>
        </w:tc>
        <w:tc>
          <w:tcPr>
            <w:tcW w:w="20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 w:right="78"/>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5"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8,000</w:t>
            </w:r>
          </w:p>
        </w:tc>
      </w:tr>
      <w:tr>
        <w:trPr>
          <w:trHeight w:val="407" w:hRule="exact"/>
        </w:trPr>
        <w:tc>
          <w:tcPr>
            <w:tcW w:w="486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5"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3.92%</w:t>
            </w:r>
          </w:p>
        </w:tc>
      </w:tr>
      <w:tr>
        <w:trPr>
          <w:trHeight w:val="398"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bl>
    <w:p>
      <w:pPr>
        <w:spacing w:before="50"/>
        <w:ind w:left="152" w:right="153"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）违规对外担保情况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40" w:lineRule="auto" w:before="0"/>
        <w:ind w:left="152" w:right="59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公司报告期无违规对外担保情况。</w:t>
      </w:r>
    </w:p>
    <w:p>
      <w:pPr>
        <w:spacing w:line="240" w:lineRule="auto" w:before="3"/>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、委托他人进行现金资产管理情况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）委托理财情况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公司报告期不存在委托理财。</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）委托贷款情况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7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公司报告期不存在委托贷款。</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、其他重大合同</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96" w:firstLine="0"/>
        <w:jc w:val="left"/>
        <w:rPr>
          <w:rFonts w:ascii="宋体" w:hAnsi="宋体" w:cs="宋体" w:eastAsia="宋体" w:hint="default"/>
          <w:sz w:val="18"/>
          <w:szCs w:val="18"/>
        </w:rPr>
      </w:pPr>
      <w:r>
        <w:rPr>
          <w:rFonts w:ascii="宋体" w:hAnsi="宋体" w:cs="宋体" w:eastAsia="宋体" w:hint="default"/>
          <w:sz w:val="18"/>
          <w:szCs w:val="18"/>
        </w:rPr>
        <w:t>公司报告期不存在其他重大合同。</w:t>
      </w:r>
    </w:p>
    <w:p>
      <w:pPr>
        <w:spacing w:line="240" w:lineRule="auto" w:before="3"/>
        <w:rPr>
          <w:rFonts w:ascii="宋体" w:hAnsi="宋体" w:cs="宋体" w:eastAsia="宋体" w:hint="default"/>
          <w:sz w:val="25"/>
          <w:szCs w:val="25"/>
        </w:rPr>
      </w:pPr>
    </w:p>
    <w:p>
      <w:pPr>
        <w:pStyle w:val="Heading2"/>
        <w:spacing w:line="240" w:lineRule="auto"/>
        <w:ind w:right="96"/>
        <w:jc w:val="left"/>
        <w:rPr>
          <w:b w:val="0"/>
          <w:bCs w:val="0"/>
        </w:rPr>
      </w:pPr>
      <w:r>
        <w:rPr/>
        <w:t>十七、社会责任情况</w:t>
      </w:r>
      <w:r>
        <w:rPr>
          <w:b w:val="0"/>
          <w:bCs w:val="0"/>
        </w:rPr>
      </w:r>
    </w:p>
    <w:p>
      <w:pPr>
        <w:spacing w:line="240" w:lineRule="auto" w:before="12"/>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left="633" w:right="96"/>
        <w:jc w:val="left"/>
      </w:pPr>
      <w:r>
        <w:rPr/>
        <w:t>（</w:t>
      </w:r>
      <w:r>
        <w:rPr>
          <w:rFonts w:ascii="宋体" w:hAnsi="宋体" w:cs="宋体" w:eastAsia="宋体" w:hint="default"/>
        </w:rPr>
        <w:t>1</w:t>
      </w:r>
      <w:r>
        <w:rPr/>
        <w:t>）职工权益保护 公司致力于保障员工合法权益，为员工提供健康、安全的工作环境，定期组织员工进行</w:t>
      </w:r>
    </w:p>
    <w:p>
      <w:pPr>
        <w:pStyle w:val="BodyText"/>
        <w:spacing w:line="357" w:lineRule="auto"/>
        <w:ind w:right="239"/>
        <w:jc w:val="both"/>
      </w:pPr>
      <w:r>
        <w:rPr/>
        <w:t>体检，为员工提供补充医疗保险，关注员工的身心健康；尊重员工，积极采纳员工合理化建</w:t>
      </w:r>
      <w:r>
        <w:rPr>
          <w:spacing w:val="-91"/>
        </w:rPr>
        <w:t> </w:t>
      </w:r>
      <w:r>
        <w:rPr>
          <w:spacing w:val="-91"/>
        </w:rPr>
      </w:r>
      <w:r>
        <w:rPr/>
        <w:t>议，增强公司凝聚力；致力于培养出优秀的人才，帮助每一位员工实现自我价值，与企业共</w:t>
      </w:r>
      <w:r>
        <w:rPr>
          <w:spacing w:val="-91"/>
        </w:rPr>
        <w:t> </w:t>
      </w:r>
      <w:r>
        <w:rPr>
          <w:spacing w:val="-91"/>
        </w:rPr>
      </w:r>
      <w:r>
        <w:rPr/>
        <w:t>同成长。不断完善人力资源管理体系，努力为员工提供更大的发展空间及更多的人文关怀。</w:t>
      </w:r>
    </w:p>
    <w:p>
      <w:pPr>
        <w:pStyle w:val="BodyText"/>
        <w:spacing w:line="357" w:lineRule="auto"/>
        <w:ind w:left="633" w:right="96"/>
        <w:jc w:val="left"/>
      </w:pPr>
      <w:r>
        <w:rPr/>
        <w:t>（</w:t>
      </w:r>
      <w:r>
        <w:rPr>
          <w:rFonts w:ascii="宋体" w:hAnsi="宋体" w:cs="宋体" w:eastAsia="宋体" w:hint="default"/>
        </w:rPr>
        <w:t>2</w:t>
      </w:r>
      <w:r>
        <w:rPr/>
        <w:t>）股东及债权人权益保护 公司严格按照《公司法》、《证券法》、《公司章程》等法律、法规、规范性文件及制</w:t>
      </w:r>
    </w:p>
    <w:p>
      <w:pPr>
        <w:pStyle w:val="BodyText"/>
        <w:spacing w:line="357" w:lineRule="auto"/>
        <w:ind w:right="96"/>
        <w:jc w:val="left"/>
      </w:pPr>
      <w:r>
        <w:rPr/>
        <w:t>度的要求，规范股东大会召集、召开、表决程序，确保所有股东享有平等的股东地位、平等</w:t>
      </w:r>
      <w:r>
        <w:rPr>
          <w:spacing w:val="-86"/>
        </w:rPr>
        <w:t> </w:t>
      </w:r>
      <w:r>
        <w:rPr>
          <w:spacing w:val="-86"/>
        </w:rPr>
      </w:r>
      <w:r>
        <w:rPr>
          <w:spacing w:val="-2"/>
        </w:rPr>
        <w:t>的股东权利；充分保护股东的合法权益，让中小投资者充分行使自己的权利；明确分红政策，</w:t>
      </w:r>
      <w:r>
        <w:rPr/>
        <w:t> 积极实施现金分红政策，确保股东投资回报。同时，公司财务政策稳健，与供应商及其他债</w:t>
      </w:r>
      <w:r>
        <w:rPr>
          <w:spacing w:val="-91"/>
        </w:rPr>
        <w:t> </w:t>
      </w:r>
      <w:r>
        <w:rPr>
          <w:spacing w:val="-91"/>
        </w:rPr>
      </w:r>
      <w:r>
        <w:rPr/>
        <w:t>权人合作情况良好，公司在维护股东利益的同时兼顾债权人的利益。</w:t>
      </w:r>
    </w:p>
    <w:p>
      <w:pPr>
        <w:pStyle w:val="BodyText"/>
        <w:spacing w:line="357" w:lineRule="auto"/>
        <w:ind w:left="633" w:right="96"/>
        <w:jc w:val="left"/>
      </w:pPr>
      <w:r>
        <w:rPr/>
        <w:t>（</w:t>
      </w:r>
      <w:r>
        <w:rPr>
          <w:rFonts w:ascii="宋体" w:hAnsi="宋体" w:cs="宋体" w:eastAsia="宋体" w:hint="default"/>
        </w:rPr>
        <w:t>3</w:t>
      </w:r>
      <w:r>
        <w:rPr/>
        <w:t>）履行其他社会责任 公司诚信经营，遵纪守法，依法纳税，增加国家财政收入；公司根据自身需求，面向社</w:t>
      </w:r>
    </w:p>
    <w:p>
      <w:pPr>
        <w:pStyle w:val="BodyText"/>
        <w:spacing w:line="357" w:lineRule="auto"/>
        <w:ind w:right="96"/>
        <w:jc w:val="left"/>
      </w:pPr>
      <w:r>
        <w:rPr/>
        <w:t>会公开招聘员工，促进就业；公司响应国家环保政策，坚持不懈的为社会和行业的可持续发</w:t>
      </w:r>
      <w:r>
        <w:rPr>
          <w:spacing w:val="-91"/>
        </w:rPr>
        <w:t> </w:t>
      </w:r>
      <w:r>
        <w:rPr>
          <w:spacing w:val="-91"/>
        </w:rPr>
      </w:r>
      <w:r>
        <w:rPr/>
        <w:t>展做出积极贡献。</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）精准扶贫规划</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）精准扶贫成效</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624"/>
        <w:gridCol w:w="1553"/>
        <w:gridCol w:w="4381"/>
      </w:tblGrid>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0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624"/>
        <w:gridCol w:w="1553"/>
        <w:gridCol w:w="4381"/>
      </w:tblGrid>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3"/>
        <w:rPr>
          <w:rFonts w:ascii="宋体" w:hAnsi="宋体" w:cs="宋体" w:eastAsia="宋体" w:hint="default"/>
          <w:b/>
          <w:bCs/>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）后续精准扶贫计划</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4734"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 本公司及其子公司均不属于环境保护部门公布的重点排污单位。</w:t>
      </w:r>
    </w:p>
    <w:p>
      <w:pPr>
        <w:spacing w:line="240" w:lineRule="auto" w:before="5"/>
        <w:rPr>
          <w:rFonts w:ascii="宋体" w:hAnsi="宋体" w:cs="宋体" w:eastAsia="宋体" w:hint="default"/>
          <w:sz w:val="18"/>
          <w:szCs w:val="18"/>
        </w:rPr>
      </w:pPr>
    </w:p>
    <w:p>
      <w:pPr>
        <w:pStyle w:val="Heading2"/>
        <w:spacing w:line="240" w:lineRule="auto"/>
        <w:ind w:right="153"/>
        <w:jc w:val="left"/>
        <w:rPr>
          <w:b w:val="0"/>
          <w:bCs w:val="0"/>
        </w:rPr>
      </w:pPr>
      <w:r>
        <w:rPr/>
        <w:t>十八、其他重大事项的说明</w:t>
      </w:r>
      <w:r>
        <w:rPr>
          <w:b w:val="0"/>
          <w:bCs w:val="0"/>
        </w:rPr>
      </w:r>
    </w:p>
    <w:p>
      <w:pPr>
        <w:spacing w:line="240" w:lineRule="auto" w:before="4"/>
        <w:rPr>
          <w:rFonts w:ascii="宋体" w:hAnsi="宋体" w:cs="宋体" w:eastAsia="宋体" w:hint="default"/>
          <w:b/>
          <w:bCs/>
          <w:sz w:val="26"/>
          <w:szCs w:val="26"/>
        </w:rPr>
      </w:pPr>
    </w:p>
    <w:p>
      <w:pPr>
        <w:spacing w:line="340" w:lineRule="auto" w:before="0"/>
        <w:ind w:left="152" w:right="61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公司报告期不存在需要说明的其他重大事项。</w:t>
      </w:r>
    </w:p>
    <w:p>
      <w:pPr>
        <w:spacing w:line="240" w:lineRule="auto" w:before="4"/>
        <w:rPr>
          <w:rFonts w:ascii="宋体" w:hAnsi="宋体" w:cs="宋体" w:eastAsia="宋体" w:hint="default"/>
          <w:sz w:val="19"/>
          <w:szCs w:val="19"/>
        </w:rPr>
      </w:pPr>
    </w:p>
    <w:p>
      <w:pPr>
        <w:pStyle w:val="Heading2"/>
        <w:spacing w:line="240" w:lineRule="auto"/>
        <w:ind w:right="153"/>
        <w:jc w:val="left"/>
        <w:rPr>
          <w:b w:val="0"/>
          <w:bCs w:val="0"/>
        </w:rPr>
      </w:pPr>
      <w:r>
        <w:rPr/>
        <w:t>十九、公司子公司重大事项</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153"/>
        <w:jc w:val="left"/>
        <w:rPr>
          <w:b w:val="0"/>
          <w:bCs w:val="0"/>
        </w:rPr>
      </w:pPr>
      <w:bookmarkStart w:name="_bookmark5" w:id="6"/>
      <w:bookmarkEnd w:id="6"/>
      <w:r>
        <w:rPr>
          <w:b w:val="0"/>
          <w:bCs w:val="0"/>
        </w:rPr>
      </w:r>
      <w:r>
        <w:rPr/>
        <w:t>第六节</w:t>
      </w:r>
      <w:r>
        <w:rPr>
          <w:spacing w:val="-6"/>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53"/>
        <w:jc w:val="left"/>
        <w:rPr>
          <w:b w:val="0"/>
          <w:bCs w:val="0"/>
        </w:rPr>
      </w:pPr>
      <w:r>
        <w:rPr/>
        <w:t>一、股份变动情况</w:t>
      </w:r>
      <w:r>
        <w:rPr>
          <w:b w:val="0"/>
          <w:bCs w:val="0"/>
        </w:rPr>
      </w:r>
    </w:p>
    <w:p>
      <w:pPr>
        <w:spacing w:line="240" w:lineRule="auto" w:before="9"/>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、股份变动情况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16"/>
        <w:gridCol w:w="824"/>
        <w:gridCol w:w="823"/>
        <w:gridCol w:w="823"/>
        <w:gridCol w:w="821"/>
        <w:gridCol w:w="823"/>
        <w:gridCol w:w="821"/>
        <w:gridCol w:w="824"/>
        <w:gridCol w:w="794"/>
        <w:gridCol w:w="792"/>
      </w:tblGrid>
      <w:tr>
        <w:trPr>
          <w:trHeight w:val="403"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16" w:right="47" w:hanging="272"/>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2216" w:type="dxa"/>
            <w:vMerge/>
            <w:tcBorders>
              <w:left w:val="single" w:sz="4" w:space="0" w:color="000000"/>
              <w:bottom w:val="nil" w:sz="6" w:space="0" w:color="auto"/>
              <w:right w:val="single" w:sz="4" w:space="0" w:color="000000"/>
            </w:tcBorders>
            <w:shd w:val="clear" w:color="auto" w:fill="D2D2D2"/>
          </w:tcPr>
          <w:p>
            <w:pP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7"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3" w:type="dxa"/>
            <w:vMerge/>
            <w:tcBorders>
              <w:left w:val="single" w:sz="4" w:space="0" w:color="000000"/>
              <w:right w:val="single" w:sz="4" w:space="0" w:color="000000"/>
            </w:tcBorders>
            <w:shd w:val="clear" w:color="auto" w:fill="D2D2D2"/>
          </w:tcPr>
          <w:p>
            <w:pP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99"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216" w:type="dxa"/>
            <w:vMerge/>
            <w:tcBorders>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126,066,4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87</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31.88%</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29,039,39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-2,690,50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26,348,89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152,415,3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82</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35.89%</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401" w:hRule="exact"/>
        </w:trPr>
        <w:tc>
          <w:tcPr>
            <w:tcW w:w="22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4" w:type="dxa"/>
            <w:tcBorders>
              <w:top w:val="single" w:sz="4" w:space="0" w:color="000000"/>
              <w:left w:val="single" w:sz="9" w:space="0" w:color="D2D2D2"/>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8,450,940</w:t>
            </w:r>
          </w:p>
        </w:tc>
        <w:tc>
          <w:tcPr>
            <w:tcW w:w="821"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82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left"/>
              <w:rPr>
                <w:rFonts w:ascii="Times New Roman" w:hAnsi="Times New Roman" w:cs="Times New Roman" w:eastAsia="Times New Roman" w:hint="default"/>
                <w:sz w:val="18"/>
                <w:szCs w:val="18"/>
              </w:rPr>
            </w:pPr>
            <w:r>
              <w:rPr>
                <w:rFonts w:ascii="Times New Roman"/>
                <w:sz w:val="18"/>
              </w:rPr>
              <w:t>8,450,940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8,450,940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1.99%</w:t>
            </w: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126,066,4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87</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31.88%</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20,588,45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-2,690,50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17,897,95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143,964,4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42</w:t>
            </w:r>
          </w:p>
        </w:tc>
        <w:tc>
          <w:tcPr>
            <w:tcW w:w="792" w:type="dxa"/>
            <w:vMerge w:val="restart"/>
            <w:tcBorders>
              <w:top w:val="single" w:sz="4" w:space="0" w:color="000000"/>
              <w:left w:val="single" w:sz="4" w:space="0" w:color="000000"/>
              <w:right w:val="single" w:sz="4" w:space="0" w:color="000000"/>
            </w:tcBorders>
          </w:tcPr>
          <w:p>
            <w:pP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20,588,45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20,588,45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20,588,45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5" w:right="0"/>
              <w:jc w:val="left"/>
              <w:rPr>
                <w:rFonts w:ascii="Times New Roman" w:hAnsi="Times New Roman" w:cs="Times New Roman" w:eastAsia="Times New Roman" w:hint="default"/>
                <w:sz w:val="18"/>
                <w:szCs w:val="18"/>
              </w:rPr>
            </w:pPr>
            <w:r>
              <w:rPr>
                <w:rFonts w:ascii="Times New Roman"/>
                <w:sz w:val="18"/>
              </w:rPr>
              <w:t>4.85%</w:t>
            </w: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126,066,4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87</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31.88%</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-2,690,50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-2,690,50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123,375,9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87</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29.06%</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269,420,5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23</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68.12%</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2,791,000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2,791,000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272,211,5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23</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64.11%</w:t>
            </w: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269,420,5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23</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68.12%</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2,791,000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2,791,000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272,211,5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23</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64.11%</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395,487,0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100.00%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29,039,39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100,500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29,139,89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424,626,9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05</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8"/>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32"/>
        <w:ind w:left="633" w:right="153"/>
        <w:jc w:val="left"/>
      </w:pPr>
      <w:r>
        <w:rPr>
          <w:rFonts w:ascii="宋体" w:hAnsi="宋体" w:cs="宋体" w:eastAsia="宋体" w:hint="default"/>
        </w:rPr>
        <w:t>1</w:t>
      </w:r>
      <w:r>
        <w:rPr/>
        <w:t>、报告期内，公司非公开发行股票</w:t>
      </w:r>
      <w:r>
        <w:rPr>
          <w:rFonts w:ascii="宋体" w:hAnsi="宋体" w:cs="宋体" w:eastAsia="宋体" w:hint="default"/>
        </w:rPr>
        <w:t>29,039,395</w:t>
      </w:r>
      <w:r>
        <w:rPr/>
        <w:t>股，有限售股份数量相应增加；</w:t>
      </w:r>
    </w:p>
    <w:p>
      <w:pPr>
        <w:pStyle w:val="BodyText"/>
        <w:spacing w:line="357" w:lineRule="auto" w:before="154"/>
        <w:ind w:right="153" w:firstLine="480"/>
        <w:jc w:val="left"/>
      </w:pPr>
      <w:r>
        <w:rPr>
          <w:rFonts w:ascii="宋体" w:hAnsi="宋体" w:cs="宋体" w:eastAsia="宋体" w:hint="default"/>
          <w:spacing w:val="-3"/>
        </w:rPr>
        <w:t>2</w:t>
      </w:r>
      <w:r>
        <w:rPr>
          <w:spacing w:val="-3"/>
        </w:rPr>
        <w:t>、报告期内，公司</w:t>
      </w:r>
      <w:r>
        <w:rPr>
          <w:rFonts w:ascii="宋体" w:hAnsi="宋体" w:cs="宋体" w:eastAsia="宋体" w:hint="default"/>
          <w:spacing w:val="-3"/>
        </w:rPr>
        <w:t>2016</w:t>
      </w:r>
      <w:r>
        <w:rPr>
          <w:spacing w:val="-3"/>
        </w:rPr>
        <w:t>年限制性股票激励计划第一个解锁期股份上市流通，实际上市流</w:t>
      </w:r>
      <w:r>
        <w:rPr/>
        <w:t> 通数量 </w:t>
      </w:r>
      <w:r>
        <w:rPr>
          <w:rFonts w:ascii="宋体" w:hAnsi="宋体" w:cs="宋体" w:eastAsia="宋体" w:hint="default"/>
        </w:rPr>
        <w:t>2,572,500</w:t>
      </w:r>
      <w:r>
        <w:rPr>
          <w:rFonts w:ascii="宋体" w:hAnsi="宋体" w:cs="宋体" w:eastAsia="宋体" w:hint="default"/>
          <w:spacing w:val="-1"/>
        </w:rPr>
        <w:t> </w:t>
      </w:r>
      <w:r>
        <w:rPr/>
        <w:t>股，无限售股份数量相应增加；</w:t>
      </w:r>
    </w:p>
    <w:p>
      <w:pPr>
        <w:pStyle w:val="BodyText"/>
        <w:spacing w:line="240" w:lineRule="auto"/>
        <w:ind w:left="633" w:right="153"/>
        <w:jc w:val="left"/>
      </w:pPr>
      <w:r>
        <w:rPr>
          <w:rFonts w:ascii="宋体" w:hAnsi="宋体" w:cs="宋体" w:eastAsia="宋体" w:hint="default"/>
        </w:rPr>
        <w:t>3</w:t>
      </w:r>
      <w:r>
        <w:rPr/>
        <w:t>、报告期内，公司股权激励计划因被激励对象</w:t>
      </w:r>
      <w:r>
        <w:rPr>
          <w:rFonts w:ascii="宋体" w:hAnsi="宋体" w:cs="宋体" w:eastAsia="宋体" w:hint="default"/>
        </w:rPr>
        <w:t>4</w:t>
      </w:r>
      <w:r>
        <w:rPr/>
        <w:t>人离职，注销限制性股票</w:t>
      </w:r>
      <w:r>
        <w:rPr>
          <w:rFonts w:ascii="宋体" w:hAnsi="宋体" w:cs="宋体" w:eastAsia="宋体" w:hint="default"/>
        </w:rPr>
        <w:t>235,000</w:t>
      </w:r>
      <w:r>
        <w:rPr/>
        <w:t>股。</w:t>
      </w:r>
    </w:p>
    <w:p>
      <w:pPr>
        <w:spacing w:before="164"/>
        <w:ind w:left="152" w:right="153"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7"/>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138" w:firstLine="480"/>
        <w:jc w:val="left"/>
        <w:rPr>
          <w:rFonts w:ascii="宋体" w:hAnsi="宋体" w:cs="宋体" w:eastAsia="宋体" w:hint="default"/>
        </w:rPr>
      </w:pPr>
      <w:r>
        <w:rPr>
          <w:rFonts w:ascii="宋体" w:hAnsi="宋体" w:cs="宋体" w:eastAsia="宋体" w:hint="default"/>
          <w:spacing w:val="-2"/>
        </w:rPr>
        <w:t>2017</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24</w:t>
      </w:r>
      <w:r>
        <w:rPr>
          <w:spacing w:val="-2"/>
        </w:rPr>
        <w:t>日召开的第三届董事会第二十一次会议审议通过了《关于回购注销已不符合</w:t>
      </w:r>
      <w:r>
        <w:rPr/>
        <w:t> </w:t>
      </w:r>
      <w:r>
        <w:rPr>
          <w:spacing w:val="-5"/>
        </w:rPr>
        <w:t>激励条件的激励对象已获授但尚未解锁的限制性股票的议案》，同意回购注销限制性股票</w:t>
      </w:r>
      <w:r>
        <w:rPr>
          <w:rFonts w:ascii="宋体" w:hAnsi="宋体" w:cs="宋体" w:eastAsia="宋体" w:hint="default"/>
          <w:spacing w:val="-5"/>
        </w:rPr>
        <w:t>23.5</w:t>
      </w:r>
    </w:p>
    <w:p>
      <w:pPr>
        <w:spacing w:after="0" w:line="357" w:lineRule="auto"/>
        <w:jc w:val="left"/>
        <w:rPr>
          <w:rFonts w:ascii="宋体" w:hAnsi="宋体" w:cs="宋体" w:eastAsia="宋体" w:hint="default"/>
        </w:rPr>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240" w:lineRule="auto" w:before="26"/>
        <w:ind w:right="94"/>
        <w:jc w:val="left"/>
      </w:pPr>
      <w:r>
        <w:rPr/>
        <w:t>万份；</w:t>
      </w:r>
    </w:p>
    <w:p>
      <w:pPr>
        <w:pStyle w:val="BodyText"/>
        <w:spacing w:line="357" w:lineRule="auto" w:before="154"/>
        <w:ind w:right="191" w:firstLine="480"/>
        <w:jc w:val="both"/>
      </w:pPr>
      <w:r>
        <w:rPr>
          <w:rFonts w:ascii="宋体" w:hAnsi="宋体" w:cs="宋体" w:eastAsia="宋体" w:hint="default"/>
        </w:rPr>
        <w:t>2017 </w:t>
      </w:r>
      <w:r>
        <w:rPr/>
        <w:t>年 </w:t>
      </w:r>
      <w:r>
        <w:rPr>
          <w:rFonts w:ascii="宋体" w:hAnsi="宋体" w:cs="宋体" w:eastAsia="宋体" w:hint="default"/>
        </w:rPr>
        <w:t>5 </w:t>
      </w:r>
      <w:r>
        <w:rPr/>
        <w:t>月 </w:t>
      </w:r>
      <w:r>
        <w:rPr>
          <w:rFonts w:ascii="宋体" w:hAnsi="宋体" w:cs="宋体" w:eastAsia="宋体" w:hint="default"/>
        </w:rPr>
        <w:t>17</w:t>
      </w:r>
      <w:r>
        <w:rPr/>
        <w:t>日召开 </w:t>
      </w:r>
      <w:r>
        <w:rPr>
          <w:rFonts w:ascii="宋体" w:hAnsi="宋体" w:cs="宋体" w:eastAsia="宋体" w:hint="default"/>
        </w:rPr>
        <w:t>2016 </w:t>
      </w:r>
      <w:r>
        <w:rPr>
          <w:spacing w:val="-4"/>
        </w:rPr>
        <w:t>年度股东大会，审议通过了《关于延长公司非公开发行</w:t>
      </w:r>
      <w:r>
        <w:rPr>
          <w:spacing w:val="13"/>
        </w:rPr>
        <w:t> </w:t>
      </w:r>
      <w:r>
        <w:rPr>
          <w:rFonts w:ascii="宋体" w:hAnsi="宋体" w:cs="宋体" w:eastAsia="宋体" w:hint="default"/>
        </w:rPr>
        <w:t>A </w:t>
      </w:r>
      <w:r>
        <w:rPr/>
        <w:t>股股票方案决议有效期的议案》和《关于提请股东大会延长授权董事会全权办理本次非公开</w:t>
      </w:r>
      <w:r>
        <w:rPr>
          <w:spacing w:val="-91"/>
        </w:rPr>
        <w:t> </w:t>
      </w:r>
      <w:r>
        <w:rPr>
          <w:spacing w:val="-91"/>
        </w:rPr>
      </w:r>
      <w:r>
        <w:rPr/>
        <w:t>发行股票相关事宜有效期的议案》；</w:t>
      </w:r>
    </w:p>
    <w:p>
      <w:pPr>
        <w:pStyle w:val="BodyText"/>
        <w:spacing w:line="357" w:lineRule="auto"/>
        <w:ind w:right="191" w:firstLine="480"/>
        <w:jc w:val="both"/>
      </w:pPr>
      <w:r>
        <w:rPr>
          <w:rFonts w:ascii="宋体" w:hAnsi="宋体" w:cs="宋体" w:eastAsia="宋体" w:hint="default"/>
          <w:spacing w:val="-3"/>
        </w:rPr>
        <w:t>2017</w:t>
      </w:r>
      <w:r>
        <w:rPr>
          <w:spacing w:val="-3"/>
        </w:rPr>
        <w:t>年</w:t>
      </w:r>
      <w:r>
        <w:rPr>
          <w:rFonts w:ascii="宋体" w:hAnsi="宋体" w:cs="宋体" w:eastAsia="宋体" w:hint="default"/>
          <w:spacing w:val="-3"/>
        </w:rPr>
        <w:t>5</w:t>
      </w:r>
      <w:r>
        <w:rPr>
          <w:spacing w:val="-3"/>
        </w:rPr>
        <w:t>月</w:t>
      </w:r>
      <w:r>
        <w:rPr>
          <w:rFonts w:ascii="宋体" w:hAnsi="宋体" w:cs="宋体" w:eastAsia="宋体" w:hint="default"/>
          <w:spacing w:val="-3"/>
        </w:rPr>
        <w:t>18</w:t>
      </w:r>
      <w:r>
        <w:rPr>
          <w:spacing w:val="-3"/>
        </w:rPr>
        <w:t>日召开的第三届董事会第二十五次会议审议通过了《关于公司 </w:t>
      </w:r>
      <w:r>
        <w:rPr>
          <w:rFonts w:ascii="宋体" w:hAnsi="宋体" w:cs="宋体" w:eastAsia="宋体" w:hint="default"/>
        </w:rPr>
        <w:t>2016</w:t>
      </w:r>
      <w:r>
        <w:rPr>
          <w:rFonts w:ascii="宋体" w:hAnsi="宋体" w:cs="宋体" w:eastAsia="宋体" w:hint="default"/>
          <w:spacing w:val="28"/>
        </w:rPr>
        <w:t> </w:t>
      </w:r>
      <w:r>
        <w:rPr/>
        <w:t>年限制 性股票激励计划第一个解锁期解锁条件成就的议案》，同意公司为符合解锁条件的激励对象</w:t>
      </w:r>
      <w:r>
        <w:rPr>
          <w:spacing w:val="-91"/>
        </w:rPr>
        <w:t> </w:t>
      </w:r>
      <w:r>
        <w:rPr>
          <w:spacing w:val="-91"/>
        </w:rPr>
      </w:r>
      <w:r>
        <w:rPr/>
        <w:t>共计</w:t>
      </w:r>
      <w:r>
        <w:rPr>
          <w:rFonts w:ascii="宋体" w:hAnsi="宋体" w:cs="宋体" w:eastAsia="宋体" w:hint="default"/>
        </w:rPr>
        <w:t>156</w:t>
      </w:r>
      <w:r>
        <w:rPr/>
        <w:t>人申请解锁</w:t>
      </w:r>
      <w:r>
        <w:rPr>
          <w:spacing w:val="-1"/>
        </w:rPr>
        <w:t> </w:t>
      </w:r>
      <w:r>
        <w:rPr>
          <w:rFonts w:ascii="宋体" w:hAnsi="宋体" w:cs="宋体" w:eastAsia="宋体" w:hint="default"/>
        </w:rPr>
        <w:t>2,572,500</w:t>
      </w:r>
      <w:r>
        <w:rPr/>
        <w:t>股限制性股票。</w:t>
      </w:r>
    </w:p>
    <w:p>
      <w:pPr>
        <w:spacing w:before="47"/>
        <w:ind w:left="152" w:right="94"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5"/>
        <w:ind w:left="152" w:right="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97" w:firstLine="480"/>
        <w:jc w:val="both"/>
      </w:pPr>
      <w:r>
        <w:rPr/>
        <w:t>公司于</w:t>
      </w:r>
      <w:r>
        <w:rPr>
          <w:rFonts w:ascii="宋体" w:hAnsi="宋体" w:cs="宋体" w:eastAsia="宋体" w:hint="default"/>
        </w:rPr>
        <w:t>2017</w:t>
      </w:r>
      <w:r>
        <w:rPr/>
        <w:t>年</w:t>
      </w:r>
      <w:r>
        <w:rPr>
          <w:rFonts w:ascii="宋体" w:hAnsi="宋体" w:cs="宋体" w:eastAsia="宋体" w:hint="default"/>
        </w:rPr>
        <w:t>5</w:t>
      </w:r>
      <w:r>
        <w:rPr/>
        <w:t>月</w:t>
      </w:r>
      <w:r>
        <w:rPr>
          <w:rFonts w:ascii="宋体" w:hAnsi="宋体" w:cs="宋体" w:eastAsia="宋体" w:hint="default"/>
        </w:rPr>
        <w:t>17</w:t>
      </w:r>
      <w:r>
        <w:rPr/>
        <w:t>日在中国登记结算有限责任公司深圳分公司完成</w:t>
      </w:r>
      <w:r>
        <w:rPr>
          <w:rFonts w:ascii="宋体" w:hAnsi="宋体" w:cs="宋体" w:eastAsia="宋体" w:hint="default"/>
        </w:rPr>
        <w:t>4</w:t>
      </w:r>
      <w:r>
        <w:rPr/>
        <w:t>名离职激励对象已 获授但尚未解锁的限制性股票</w:t>
      </w:r>
      <w:r>
        <w:rPr>
          <w:rFonts w:ascii="宋体" w:hAnsi="宋体" w:cs="宋体" w:eastAsia="宋体" w:hint="default"/>
        </w:rPr>
        <w:t>235,000</w:t>
      </w:r>
      <w:r>
        <w:rPr/>
        <w:t>股的回购注销登记。</w:t>
      </w:r>
    </w:p>
    <w:p>
      <w:pPr>
        <w:pStyle w:val="BodyText"/>
        <w:spacing w:line="357" w:lineRule="auto"/>
        <w:ind w:right="200" w:firstLine="480"/>
        <w:jc w:val="both"/>
      </w:pPr>
      <w:r>
        <w:rPr/>
        <w:t>公司于</w:t>
      </w:r>
      <w:r>
        <w:rPr>
          <w:rFonts w:ascii="宋体" w:hAnsi="宋体" w:cs="宋体" w:eastAsia="宋体" w:hint="default"/>
        </w:rPr>
        <w:t>2017</w:t>
      </w:r>
      <w:r>
        <w:rPr/>
        <w:t>年</w:t>
      </w:r>
      <w:r>
        <w:rPr>
          <w:rFonts w:ascii="宋体" w:hAnsi="宋体" w:cs="宋体" w:eastAsia="宋体" w:hint="default"/>
        </w:rPr>
        <w:t>8</w:t>
      </w:r>
      <w:r>
        <w:rPr/>
        <w:t>月</w:t>
      </w:r>
      <w:r>
        <w:rPr>
          <w:rFonts w:ascii="宋体" w:hAnsi="宋体" w:cs="宋体" w:eastAsia="宋体" w:hint="default"/>
        </w:rPr>
        <w:t>4</w:t>
      </w:r>
      <w:r>
        <w:rPr/>
        <w:t>日在中国证券登记结算有限责任公司深圳分公司办理完毕非公开发行 新增股份</w:t>
      </w:r>
      <w:r>
        <w:rPr>
          <w:rFonts w:ascii="宋体" w:hAnsi="宋体" w:cs="宋体" w:eastAsia="宋体" w:hint="default"/>
        </w:rPr>
        <w:t>29,039,395 </w:t>
      </w:r>
      <w:r>
        <w:rPr/>
        <w:t>股，并于</w:t>
      </w:r>
      <w:r>
        <w:rPr>
          <w:rFonts w:ascii="宋体" w:hAnsi="宋体" w:cs="宋体" w:eastAsia="宋体" w:hint="default"/>
        </w:rPr>
        <w:t>2017</w:t>
      </w:r>
      <w:r>
        <w:rPr/>
        <w:t>年</w:t>
      </w:r>
      <w:r>
        <w:rPr>
          <w:rFonts w:ascii="宋体" w:hAnsi="宋体" w:cs="宋体" w:eastAsia="宋体" w:hint="default"/>
        </w:rPr>
        <w:t>8</w:t>
      </w:r>
      <w:r>
        <w:rPr/>
        <w:t>月</w:t>
      </w:r>
      <w:r>
        <w:rPr>
          <w:rFonts w:ascii="宋体" w:hAnsi="宋体" w:cs="宋体" w:eastAsia="宋体" w:hint="default"/>
        </w:rPr>
        <w:t>21</w:t>
      </w:r>
      <w:r>
        <w:rPr/>
        <w:t>在深圳证券交易所上市。</w:t>
      </w:r>
    </w:p>
    <w:p>
      <w:pPr>
        <w:spacing w:before="46"/>
        <w:ind w:left="152" w:right="94" w:firstLine="0"/>
        <w:jc w:val="left"/>
        <w:rPr>
          <w:rFonts w:ascii="宋体" w:hAnsi="宋体" w:cs="宋体" w:eastAsia="宋体" w:hint="default"/>
          <w:sz w:val="18"/>
          <w:szCs w:val="18"/>
        </w:rPr>
      </w:pPr>
      <w:r>
        <w:rPr>
          <w:rFonts w:ascii="宋体" w:hAnsi="宋体" w:cs="宋体" w:eastAsia="宋体" w:hint="default"/>
          <w:sz w:val="18"/>
          <w:szCs w:val="18"/>
        </w:rPr>
        <w:t>股份变动对最近一年和最近一期基本每股收益和稀释每股收益、归属于公司普通股股东的每股净资产等财务指标的影响</w:t>
      </w:r>
    </w:p>
    <w:p>
      <w:pPr>
        <w:spacing w:before="115"/>
        <w:ind w:left="152" w:right="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09" w:firstLine="480"/>
        <w:jc w:val="both"/>
      </w:pPr>
      <w:r>
        <w:rPr>
          <w:spacing w:val="-2"/>
        </w:rPr>
        <w:t>截至</w:t>
      </w:r>
      <w:r>
        <w:rPr>
          <w:rFonts w:ascii="宋体" w:hAnsi="宋体" w:cs="宋体" w:eastAsia="宋体" w:hint="default"/>
          <w:spacing w:val="-2"/>
        </w:rPr>
        <w:t>2016</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日公司股本为</w:t>
      </w:r>
      <w:r>
        <w:rPr>
          <w:rFonts w:ascii="宋体" w:hAnsi="宋体" w:cs="宋体" w:eastAsia="宋体" w:hint="default"/>
          <w:spacing w:val="-2"/>
        </w:rPr>
        <w:t>395,487,010</w:t>
      </w:r>
      <w:r>
        <w:rPr>
          <w:spacing w:val="-2"/>
        </w:rPr>
        <w:t>股，报告期内，公司股权激励计划因被激励</w:t>
      </w:r>
      <w:r>
        <w:rPr/>
        <w:t> 对象</w:t>
      </w:r>
      <w:r>
        <w:rPr>
          <w:rFonts w:ascii="宋体" w:hAnsi="宋体" w:cs="宋体" w:eastAsia="宋体" w:hint="default"/>
        </w:rPr>
        <w:t>4</w:t>
      </w:r>
      <w:r>
        <w:rPr/>
        <w:t>人离职，注销限制性股票</w:t>
      </w:r>
      <w:r>
        <w:rPr>
          <w:rFonts w:ascii="宋体" w:hAnsi="宋体" w:cs="宋体" w:eastAsia="宋体" w:hint="default"/>
        </w:rPr>
        <w:t>235,000</w:t>
      </w:r>
      <w:r>
        <w:rPr/>
        <w:t>股，公司因非公开发行股票</w:t>
      </w:r>
      <w:r>
        <w:rPr>
          <w:rFonts w:ascii="宋体" w:hAnsi="宋体" w:cs="宋体" w:eastAsia="宋体" w:hint="default"/>
        </w:rPr>
        <w:t>29,039,395</w:t>
      </w:r>
      <w:r>
        <w:rPr/>
        <w:t>股，登记手续</w:t>
      </w:r>
      <w:r>
        <w:rPr>
          <w:spacing w:val="-86"/>
        </w:rPr>
        <w:t> </w:t>
      </w:r>
      <w:r>
        <w:rPr>
          <w:spacing w:val="-86"/>
        </w:rPr>
      </w:r>
      <w:r>
        <w:rPr>
          <w:spacing w:val="-2"/>
        </w:rPr>
        <w:t>已于</w:t>
      </w:r>
      <w:r>
        <w:rPr>
          <w:rFonts w:ascii="宋体" w:hAnsi="宋体" w:cs="宋体" w:eastAsia="宋体" w:hint="default"/>
          <w:spacing w:val="-2"/>
        </w:rPr>
        <w:t>2017</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4</w:t>
      </w:r>
      <w:r>
        <w:rPr>
          <w:spacing w:val="-2"/>
        </w:rPr>
        <w:t>日在中国证券登记结算有限责任公司深圳分公司办理完毕，</w:t>
      </w:r>
      <w:r>
        <w:rPr>
          <w:rFonts w:ascii="宋体" w:hAnsi="宋体" w:cs="宋体" w:eastAsia="宋体" w:hint="default"/>
          <w:spacing w:val="-2"/>
        </w:rPr>
        <w:t>2017</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21</w:t>
      </w:r>
      <w:r>
        <w:rPr>
          <w:spacing w:val="-2"/>
        </w:rPr>
        <w:t>在深</w:t>
      </w:r>
      <w:r>
        <w:rPr>
          <w:spacing w:val="-107"/>
        </w:rPr>
        <w:t> </w:t>
      </w:r>
      <w:r>
        <w:rPr/>
        <w:t>圳证券交易所上市。公司股份总数由</w:t>
      </w:r>
      <w:r>
        <w:rPr>
          <w:rFonts w:ascii="宋体" w:hAnsi="宋体" w:cs="宋体" w:eastAsia="宋体" w:hint="default"/>
        </w:rPr>
        <w:t>395,487,010</w:t>
      </w:r>
      <w:r>
        <w:rPr/>
        <w:t>股增至</w:t>
      </w:r>
      <w:r>
        <w:rPr>
          <w:rFonts w:ascii="宋体" w:hAnsi="宋体" w:cs="宋体" w:eastAsia="宋体" w:hint="default"/>
        </w:rPr>
        <w:t>424,626,905</w:t>
      </w:r>
      <w:r>
        <w:rPr/>
        <w:t>股。基本每股收益、稀</w:t>
      </w:r>
      <w:r>
        <w:rPr>
          <w:spacing w:val="-84"/>
        </w:rPr>
        <w:t> </w:t>
      </w:r>
      <w:r>
        <w:rPr>
          <w:spacing w:val="-84"/>
        </w:rPr>
      </w:r>
      <w:r>
        <w:rPr/>
        <w:t>释每股收益、归属于公司普通股股东的每股净资产等各项数据按新股本</w:t>
      </w:r>
      <w:r>
        <w:rPr>
          <w:rFonts w:ascii="宋体" w:hAnsi="宋体" w:cs="宋体" w:eastAsia="宋体" w:hint="default"/>
        </w:rPr>
        <w:t>424,626,905</w:t>
      </w:r>
      <w:r>
        <w:rPr/>
        <w:t>股计算。</w:t>
      </w:r>
    </w:p>
    <w:p>
      <w:pPr>
        <w:spacing w:before="46"/>
        <w:ind w:left="152" w:right="94"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5"/>
        <w:ind w:left="152" w:right="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6"/>
          <w:szCs w:val="26"/>
        </w:rPr>
      </w:pPr>
    </w:p>
    <w:p>
      <w:pPr>
        <w:spacing w:before="0"/>
        <w:ind w:left="152"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、限售股份变动情况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9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4"/>
        <w:gridCol w:w="1369"/>
        <w:gridCol w:w="1368"/>
        <w:gridCol w:w="1371"/>
        <w:gridCol w:w="1368"/>
        <w:gridCol w:w="1371"/>
        <w:gridCol w:w="1361"/>
      </w:tblGrid>
      <w:tr>
        <w:trPr>
          <w:trHeight w:val="715"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0" w:right="47"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0" w:right="48"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90,308,110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90,308,110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锁其拥有公司股 份的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p>
        </w:tc>
      </w:tr>
      <w:tr>
        <w:trPr>
          <w:trHeight w:val="403"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15,544,347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15,544,347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宋体" w:hAnsi="宋体" w:cs="宋体" w:eastAsia="宋体" w:hint="default"/>
                <w:sz w:val="18"/>
                <w:szCs w:val="18"/>
              </w:rPr>
            </w:pPr>
            <w:r>
              <w:rPr>
                <w:rFonts w:ascii="宋体" w:hAnsi="宋体" w:cs="宋体" w:eastAsia="宋体" w:hint="default"/>
                <w:sz w:val="18"/>
                <w:szCs w:val="18"/>
              </w:rPr>
              <w:t>高管锁定股每年</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4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4"/>
        <w:gridCol w:w="1369"/>
        <w:gridCol w:w="1368"/>
        <w:gridCol w:w="1371"/>
        <w:gridCol w:w="1368"/>
        <w:gridCol w:w="1371"/>
        <w:gridCol w:w="1361"/>
      </w:tblGrid>
      <w:tr>
        <w:trPr>
          <w:trHeight w:val="987" w:hRule="exact"/>
        </w:trPr>
        <w:tc>
          <w:tcPr>
            <w:tcW w:w="1364"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第一个交易日解 锁其拥有公司股 份的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p>
        </w:tc>
      </w:tr>
      <w:tr>
        <w:trPr>
          <w:trHeight w:val="1025"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9"/>
              <w:jc w:val="both"/>
              <w:rPr>
                <w:rFonts w:ascii="宋体" w:hAnsi="宋体" w:cs="宋体" w:eastAsia="宋体" w:hint="default"/>
                <w:sz w:val="18"/>
                <w:szCs w:val="18"/>
              </w:rPr>
            </w:pPr>
            <w:r>
              <w:rPr>
                <w:rFonts w:ascii="宋体" w:hAnsi="宋体" w:cs="宋体" w:eastAsia="宋体" w:hint="default"/>
                <w:sz w:val="18"/>
                <w:szCs w:val="18"/>
              </w:rPr>
              <w:t>安徽省铁路发展 基金股份有限公 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8,450,940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8,450,940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6,789,093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7,089,093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锁其拥有公司股 份的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p>
        </w:tc>
      </w:tr>
      <w:tr>
        <w:trPr>
          <w:trHeight w:val="2273"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69"/>
              <w:jc w:val="both"/>
              <w:rPr>
                <w:rFonts w:ascii="宋体" w:hAnsi="宋体" w:cs="宋体" w:eastAsia="宋体" w:hint="default"/>
                <w:sz w:val="18"/>
                <w:szCs w:val="18"/>
              </w:rPr>
            </w:pPr>
            <w:r>
              <w:rPr>
                <w:rFonts w:ascii="宋体" w:hAnsi="宋体" w:cs="宋体" w:eastAsia="宋体" w:hint="default"/>
                <w:sz w:val="18"/>
                <w:szCs w:val="18"/>
              </w:rPr>
              <w:t>北信瑞丰基金－ 招商银行－中国 对外经济贸易信 托－外贸信托－ 银河投资智远</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号私募证券投资 基金</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4,856,988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4,856,988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715"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9"/>
              <w:jc w:val="left"/>
              <w:rPr>
                <w:rFonts w:ascii="宋体" w:hAnsi="宋体" w:cs="宋体" w:eastAsia="宋体" w:hint="default"/>
                <w:sz w:val="18"/>
                <w:szCs w:val="18"/>
              </w:rPr>
            </w:pPr>
            <w:r>
              <w:rPr>
                <w:rFonts w:ascii="宋体" w:hAnsi="宋体" w:cs="宋体" w:eastAsia="宋体" w:hint="default"/>
                <w:sz w:val="18"/>
                <w:szCs w:val="18"/>
              </w:rPr>
              <w:t>全国社保基金五 零一组合</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3,237,992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3,237,992</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1,514,850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1,964,850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锁其拥有公司股 份的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1,338,150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1,638,150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锁其拥有公司股 份的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p>
        </w:tc>
      </w:tr>
      <w:tr>
        <w:trPr>
          <w:trHeight w:val="164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69"/>
              <w:jc w:val="left"/>
              <w:rPr>
                <w:rFonts w:ascii="宋体" w:hAnsi="宋体" w:cs="宋体" w:eastAsia="宋体" w:hint="default"/>
                <w:sz w:val="18"/>
                <w:szCs w:val="18"/>
              </w:rPr>
            </w:pPr>
            <w:r>
              <w:rPr>
                <w:rFonts w:ascii="宋体" w:hAnsi="宋体" w:cs="宋体" w:eastAsia="宋体" w:hint="default"/>
                <w:sz w:val="18"/>
                <w:szCs w:val="18"/>
              </w:rPr>
              <w:t>财通基金－平安 银行－华润深国 投信托－华润信 托</w:t>
            </w:r>
            <w:r>
              <w:rPr>
                <w:rFonts w:ascii="Times New Roman" w:hAnsi="Times New Roman" w:cs="Times New Roman" w:eastAsia="Times New Roman" w:hint="default"/>
                <w:sz w:val="18"/>
                <w:szCs w:val="18"/>
              </w:rPr>
              <w:t>·</w:t>
            </w:r>
            <w:r>
              <w:rPr>
                <w:rFonts w:ascii="宋体" w:hAnsi="宋体" w:cs="宋体" w:eastAsia="宋体" w:hint="default"/>
                <w:sz w:val="18"/>
                <w:szCs w:val="18"/>
              </w:rPr>
              <w:t>增盈单一资 金信托</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1,618,996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1,618,996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102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9"/>
              <w:jc w:val="both"/>
              <w:rPr>
                <w:rFonts w:ascii="宋体" w:hAnsi="宋体" w:cs="宋体" w:eastAsia="宋体" w:hint="default"/>
                <w:sz w:val="18"/>
                <w:szCs w:val="18"/>
              </w:rPr>
            </w:pPr>
            <w:r>
              <w:rPr>
                <w:rFonts w:ascii="宋体" w:hAnsi="宋体" w:cs="宋体" w:eastAsia="宋体" w:hint="default"/>
                <w:sz w:val="18"/>
                <w:szCs w:val="18"/>
              </w:rPr>
              <w:t>财通基金－招商 银行－华创证券 有限责任公司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1,457,096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1,457,096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首发后限售股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401"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115,494,550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20,672,012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136,166,562</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240" w:lineRule="auto" w:before="26"/>
        <w:ind w:right="153"/>
        <w:jc w:val="left"/>
        <w:rPr>
          <w:b w:val="0"/>
          <w:bCs w:val="0"/>
        </w:rPr>
      </w:pPr>
      <w:r>
        <w:rPr/>
        <w:t>二、证券发行与上市情况</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、报告期内证券发行（不含优先股）情况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12"/>
        <w:gridCol w:w="1294"/>
        <w:gridCol w:w="1296"/>
        <w:gridCol w:w="1294"/>
        <w:gridCol w:w="1296"/>
        <w:gridCol w:w="1297"/>
        <w:gridCol w:w="1682"/>
      </w:tblGrid>
      <w:tr>
        <w:trPr>
          <w:trHeight w:val="714"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2" w:right="69" w:hanging="361"/>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63" w:right="23" w:hanging="440"/>
              <w:jc w:val="left"/>
              <w:rPr>
                <w:rFonts w:ascii="宋体" w:hAnsi="宋体" w:cs="宋体" w:eastAsia="宋体" w:hint="default"/>
                <w:sz w:val="18"/>
                <w:szCs w:val="18"/>
              </w:rPr>
            </w:pPr>
            <w:r>
              <w:rPr>
                <w:rFonts w:ascii="宋体" w:hAnsi="宋体" w:cs="宋体" w:eastAsia="宋体" w:hint="default"/>
                <w:spacing w:val="-4"/>
                <w:sz w:val="18"/>
                <w:szCs w:val="18"/>
              </w:rPr>
              <w:t>发行价格（或利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率）</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63" w:right="101" w:hanging="360"/>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4"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非公开发行股份</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18.53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29,039,395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8"/>
                <w:szCs w:val="18"/>
              </w:rPr>
            </w:pPr>
            <w:r>
              <w:rPr>
                <w:rFonts w:ascii="Times New Roman"/>
                <w:sz w:val="18"/>
              </w:rPr>
              <w:t>29,039,395</w:t>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spacing w:before="50"/>
        <w:ind w:left="152" w:right="0" w:firstLine="0"/>
        <w:jc w:val="both"/>
        <w:rPr>
          <w:rFonts w:ascii="宋体" w:hAnsi="宋体" w:cs="宋体" w:eastAsia="宋体" w:hint="default"/>
          <w:sz w:val="18"/>
          <w:szCs w:val="18"/>
        </w:rPr>
      </w:pPr>
      <w:r>
        <w:rPr>
          <w:rFonts w:ascii="宋体" w:hAnsi="宋体" w:cs="宋体" w:eastAsia="宋体" w:hint="default"/>
          <w:sz w:val="18"/>
          <w:szCs w:val="18"/>
        </w:rPr>
        <w:t>报告期内证券发行（不含优先股）情况的说明</w:t>
      </w:r>
    </w:p>
    <w:p>
      <w:pPr>
        <w:pStyle w:val="BodyText"/>
        <w:spacing w:line="357" w:lineRule="auto" w:before="145"/>
        <w:ind w:right="192" w:firstLine="480"/>
        <w:jc w:val="both"/>
      </w:pPr>
      <w:r>
        <w:rPr/>
        <w:t>本次非公开发行 </w:t>
      </w:r>
      <w:r>
        <w:rPr>
          <w:rFonts w:ascii="宋体" w:hAnsi="宋体" w:cs="宋体" w:eastAsia="宋体" w:hint="default"/>
        </w:rPr>
        <w:t>A </w:t>
      </w:r>
      <w:r>
        <w:rPr/>
        <w:t>股股票相关事项已经获得公司第三届董事会第十二次会议、</w:t>
      </w:r>
      <w:r>
        <w:rPr>
          <w:rFonts w:ascii="宋体" w:hAnsi="宋体" w:cs="宋体" w:eastAsia="宋体" w:hint="default"/>
        </w:rPr>
        <w:t>2015</w:t>
      </w:r>
      <w:r>
        <w:rPr>
          <w:rFonts w:ascii="宋体" w:hAnsi="宋体" w:cs="宋体" w:eastAsia="宋体" w:hint="default"/>
          <w:spacing w:val="30"/>
        </w:rPr>
        <w:t> </w:t>
      </w:r>
      <w:r>
        <w:rPr/>
        <w:t>年 年度股东大会审议通过。公司已召开第三届董事会第十五次会议，审议通过了《关于公司创</w:t>
      </w:r>
      <w:r>
        <w:rPr>
          <w:spacing w:val="-91"/>
        </w:rPr>
        <w:t> </w:t>
      </w:r>
      <w:r>
        <w:rPr>
          <w:spacing w:val="-91"/>
        </w:rPr>
      </w:r>
      <w:r>
        <w:rPr/>
        <w:t>业板非公开发行股票预案（修订稿）的议案》，对本次创业板非公开发行的募集资金总额进</w:t>
      </w:r>
      <w:r>
        <w:rPr>
          <w:spacing w:val="-91"/>
        </w:rPr>
        <w:t> </w:t>
      </w:r>
      <w:r>
        <w:rPr>
          <w:spacing w:val="-91"/>
        </w:rPr>
      </w:r>
      <w:r>
        <w:rPr>
          <w:spacing w:val="-4"/>
        </w:rPr>
        <w:t>行了调整。公司于 </w:t>
      </w:r>
      <w:r>
        <w:rPr>
          <w:rFonts w:ascii="宋体" w:hAnsi="宋体" w:cs="宋体" w:eastAsia="宋体" w:hint="default"/>
        </w:rPr>
        <w:t>2016 </w:t>
      </w:r>
      <w:r>
        <w:rPr/>
        <w:t>年 </w:t>
      </w:r>
      <w:r>
        <w:rPr>
          <w:rFonts w:ascii="宋体" w:hAnsi="宋体" w:cs="宋体" w:eastAsia="宋体" w:hint="default"/>
        </w:rPr>
        <w:t>11 </w:t>
      </w:r>
      <w:r>
        <w:rPr/>
        <w:t>月 </w:t>
      </w:r>
      <w:r>
        <w:rPr>
          <w:rFonts w:ascii="宋体" w:hAnsi="宋体" w:cs="宋体" w:eastAsia="宋体" w:hint="default"/>
        </w:rPr>
        <w:t>9</w:t>
      </w:r>
      <w:r>
        <w:rPr>
          <w:rFonts w:ascii="宋体" w:hAnsi="宋体" w:cs="宋体" w:eastAsia="宋体" w:hint="default"/>
          <w:spacing w:val="23"/>
        </w:rPr>
        <w:t> </w:t>
      </w:r>
      <w:r>
        <w:rPr>
          <w:spacing w:val="-3"/>
        </w:rPr>
        <w:t>日召开第三届董事会第十九次会议，审议通过了《关于</w:t>
      </w:r>
      <w:r>
        <w:rPr/>
        <w:t> 公司创业板非公开发行股票预案</w:t>
      </w:r>
      <w:r>
        <w:rPr>
          <w:rFonts w:ascii="宋体" w:hAnsi="宋体" w:cs="宋体" w:eastAsia="宋体" w:hint="default"/>
        </w:rPr>
        <w:t>(</w:t>
      </w:r>
      <w:r>
        <w:rPr/>
        <w:t>二次修订稿</w:t>
      </w:r>
      <w:r>
        <w:rPr>
          <w:rFonts w:ascii="宋体" w:hAnsi="宋体" w:cs="宋体" w:eastAsia="宋体" w:hint="default"/>
        </w:rPr>
        <w:t>)</w:t>
      </w:r>
      <w:r>
        <w:rPr/>
        <w:t>的议案》，对本次募投项目“新一代‘网格化</w:t>
      </w:r>
    </w:p>
    <w:p>
      <w:pPr>
        <w:pStyle w:val="BodyText"/>
        <w:spacing w:line="357" w:lineRule="auto"/>
        <w:ind w:right="192"/>
        <w:jc w:val="both"/>
      </w:pPr>
      <w:r>
        <w:rPr>
          <w:spacing w:val="3"/>
        </w:rPr>
        <w:t>+’智慧城市综合信息服务及运营项目”和“补充流动资金”拟投入的募集资金金额及发行</w:t>
      </w:r>
      <w:r>
        <w:rPr>
          <w:spacing w:val="-100"/>
        </w:rPr>
        <w:t> </w:t>
      </w:r>
      <w:r>
        <w:rPr>
          <w:spacing w:val="-100"/>
        </w:rPr>
      </w:r>
      <w:r>
        <w:rPr>
          <w:spacing w:val="-4"/>
        </w:rPr>
        <w:t>数量进行了调整。公司于 </w:t>
      </w:r>
      <w:r>
        <w:rPr>
          <w:rFonts w:ascii="宋体" w:hAnsi="宋体" w:cs="宋体" w:eastAsia="宋体" w:hint="default"/>
        </w:rPr>
        <w:t>2017 </w:t>
      </w:r>
      <w:r>
        <w:rPr/>
        <w:t>年 </w:t>
      </w:r>
      <w:r>
        <w:rPr>
          <w:rFonts w:ascii="宋体" w:hAnsi="宋体" w:cs="宋体" w:eastAsia="宋体" w:hint="default"/>
        </w:rPr>
        <w:t>4 </w:t>
      </w:r>
      <w:r>
        <w:rPr/>
        <w:t>月 </w:t>
      </w:r>
      <w:r>
        <w:rPr>
          <w:rFonts w:ascii="宋体" w:hAnsi="宋体" w:cs="宋体" w:eastAsia="宋体" w:hint="default"/>
        </w:rPr>
        <w:t>23</w:t>
      </w:r>
      <w:r>
        <w:rPr>
          <w:rFonts w:ascii="宋体" w:hAnsi="宋体" w:cs="宋体" w:eastAsia="宋体" w:hint="default"/>
          <w:spacing w:val="-33"/>
        </w:rPr>
        <w:t> </w:t>
      </w:r>
      <w:r>
        <w:rPr/>
        <w:t>日召开第三届董事会第二十二次会议，审议并通 过了《关于调整公司非公开发行股票方案的议案》，对限售期条款进行了调整。根据发行人</w:t>
      </w:r>
      <w:r>
        <w:rPr>
          <w:spacing w:val="-91"/>
        </w:rPr>
        <w:t> </w:t>
      </w:r>
      <w:r>
        <w:rPr>
          <w:spacing w:val="-91"/>
        </w:rPr>
      </w:r>
      <w:r>
        <w:rPr>
          <w:rFonts w:ascii="宋体" w:hAnsi="宋体" w:cs="宋体" w:eastAsia="宋体" w:hint="default"/>
        </w:rPr>
        <w:t>2015</w:t>
      </w:r>
      <w:r>
        <w:rPr>
          <w:rFonts w:ascii="宋体" w:hAnsi="宋体" w:cs="宋体" w:eastAsia="宋体" w:hint="default"/>
          <w:spacing w:val="30"/>
        </w:rPr>
        <w:t> </w:t>
      </w:r>
      <w:r>
        <w:rPr>
          <w:spacing w:val="-3"/>
        </w:rPr>
        <w:t>年度股东大会审议通过的《关于提请股东大会授权董事会办理本次非公开发行股票相关</w:t>
      </w:r>
      <w:r>
        <w:rPr/>
        <w:t> 事项的议案》，董事会前述三次调整本次发行方案已经得到发行人股东大会授权，无需提交</w:t>
      </w:r>
      <w:r>
        <w:rPr>
          <w:spacing w:val="-91"/>
        </w:rPr>
        <w:t> </w:t>
      </w:r>
      <w:r>
        <w:rPr>
          <w:spacing w:val="-91"/>
        </w:rPr>
      </w:r>
      <w:r>
        <w:rPr/>
        <w:t>发行人股东大会审议。发行人于 </w:t>
      </w:r>
      <w:r>
        <w:rPr>
          <w:rFonts w:ascii="宋体" w:hAnsi="宋体" w:cs="宋体" w:eastAsia="宋体" w:hint="default"/>
        </w:rPr>
        <w:t>2017 </w:t>
      </w:r>
      <w:r>
        <w:rPr/>
        <w:t>年 </w:t>
      </w:r>
      <w:r>
        <w:rPr>
          <w:rFonts w:ascii="宋体" w:hAnsi="宋体" w:cs="宋体" w:eastAsia="宋体" w:hint="default"/>
        </w:rPr>
        <w:t>5 </w:t>
      </w:r>
      <w:r>
        <w:rPr/>
        <w:t>月 </w:t>
      </w:r>
      <w:r>
        <w:rPr>
          <w:rFonts w:ascii="宋体" w:hAnsi="宋体" w:cs="宋体" w:eastAsia="宋体" w:hint="default"/>
        </w:rPr>
        <w:t>17</w:t>
      </w:r>
      <w:r>
        <w:rPr/>
        <w:t>日召开 </w:t>
      </w:r>
      <w:r>
        <w:rPr>
          <w:rFonts w:ascii="宋体" w:hAnsi="宋体" w:cs="宋体" w:eastAsia="宋体" w:hint="default"/>
        </w:rPr>
        <w:t>2016</w:t>
      </w:r>
      <w:r>
        <w:rPr>
          <w:rFonts w:ascii="宋体" w:hAnsi="宋体" w:cs="宋体" w:eastAsia="宋体" w:hint="default"/>
          <w:spacing w:val="33"/>
        </w:rPr>
        <w:t> </w:t>
      </w:r>
      <w:r>
        <w:rPr/>
        <w:t>年度股东大会，审议通过了</w:t>
      </w:r>
    </w:p>
    <w:p>
      <w:pPr>
        <w:pStyle w:val="BodyText"/>
        <w:spacing w:line="357" w:lineRule="auto"/>
        <w:ind w:right="191"/>
        <w:jc w:val="both"/>
      </w:pPr>
      <w:r>
        <w:rPr/>
        <w:t>《关于延长公司非公开发行 </w:t>
      </w:r>
      <w:r>
        <w:rPr>
          <w:rFonts w:ascii="宋体" w:hAnsi="宋体" w:cs="宋体" w:eastAsia="宋体" w:hint="default"/>
        </w:rPr>
        <w:t>A</w:t>
      </w:r>
      <w:r>
        <w:rPr>
          <w:rFonts w:ascii="宋体" w:hAnsi="宋体" w:cs="宋体" w:eastAsia="宋体" w:hint="default"/>
          <w:spacing w:val="26"/>
        </w:rPr>
        <w:t> </w:t>
      </w:r>
      <w:r>
        <w:rPr>
          <w:spacing w:val="-4"/>
        </w:rPr>
        <w:t>股股票方案决议有效期的议案》和《关于提请股东大会延长授</w:t>
      </w:r>
      <w:r>
        <w:rPr/>
        <w:t> 权董事会全权办理本次非公开发行股票相关事宜有效期的议案》。</w:t>
      </w:r>
    </w:p>
    <w:p>
      <w:pPr>
        <w:pStyle w:val="BodyText"/>
        <w:spacing w:line="240" w:lineRule="auto"/>
        <w:ind w:left="633" w:right="94"/>
        <w:jc w:val="left"/>
      </w:pPr>
      <w:r>
        <w:rPr>
          <w:rFonts w:ascii="宋体" w:hAnsi="宋体" w:cs="宋体" w:eastAsia="宋体" w:hint="default"/>
        </w:rPr>
        <w:t>2016 </w:t>
      </w:r>
      <w:r>
        <w:rPr/>
        <w:t>年 </w:t>
      </w:r>
      <w:r>
        <w:rPr>
          <w:rFonts w:ascii="宋体" w:hAnsi="宋体" w:cs="宋体" w:eastAsia="宋体" w:hint="default"/>
        </w:rPr>
        <w:t>5 </w:t>
      </w:r>
      <w:r>
        <w:rPr/>
        <w:t>月 </w:t>
      </w:r>
      <w:r>
        <w:rPr>
          <w:rFonts w:ascii="宋体" w:hAnsi="宋体" w:cs="宋体" w:eastAsia="宋体" w:hint="default"/>
        </w:rPr>
        <w:t>26 </w:t>
      </w:r>
      <w:r>
        <w:rPr>
          <w:spacing w:val="-3"/>
        </w:rPr>
        <w:t>日，中国证监会正式受理本次创业板非公开发行股票的申请。</w:t>
      </w:r>
      <w:r>
        <w:rPr>
          <w:rFonts w:ascii="宋体" w:hAnsi="宋体" w:cs="宋体" w:eastAsia="宋体" w:hint="default"/>
          <w:spacing w:val="-3"/>
        </w:rPr>
        <w:t>2016</w:t>
      </w:r>
      <w:r>
        <w:rPr>
          <w:rFonts w:ascii="宋体" w:hAnsi="宋体" w:cs="宋体" w:eastAsia="宋体" w:hint="default"/>
          <w:spacing w:val="11"/>
        </w:rPr>
        <w:t> </w:t>
      </w:r>
      <w:r>
        <w:rPr/>
        <w:t>年</w:t>
      </w:r>
    </w:p>
    <w:p>
      <w:pPr>
        <w:pStyle w:val="BodyText"/>
        <w:spacing w:line="240" w:lineRule="auto" w:before="154"/>
        <w:ind w:right="0"/>
        <w:jc w:val="both"/>
      </w:pPr>
      <w:r>
        <w:rPr>
          <w:rFonts w:ascii="宋体" w:hAnsi="宋体" w:cs="宋体" w:eastAsia="宋体" w:hint="default"/>
        </w:rPr>
        <w:t>12 </w:t>
      </w:r>
      <w:r>
        <w:rPr/>
        <w:t>月 </w:t>
      </w:r>
      <w:r>
        <w:rPr>
          <w:rFonts w:ascii="宋体" w:hAnsi="宋体" w:cs="宋体" w:eastAsia="宋体" w:hint="default"/>
        </w:rPr>
        <w:t>7 </w:t>
      </w:r>
      <w:r>
        <w:rPr>
          <w:spacing w:val="-3"/>
        </w:rPr>
        <w:t>日，经中国证监会创业板发行审核委员会审核，本次创业板非公开发行 </w:t>
      </w:r>
      <w:r>
        <w:rPr>
          <w:rFonts w:ascii="宋体" w:hAnsi="宋体" w:cs="宋体" w:eastAsia="宋体" w:hint="default"/>
        </w:rPr>
        <w:t>A</w:t>
      </w:r>
      <w:r>
        <w:rPr>
          <w:rFonts w:ascii="宋体" w:hAnsi="宋体" w:cs="宋体" w:eastAsia="宋体" w:hint="default"/>
          <w:spacing w:val="14"/>
        </w:rPr>
        <w:t> </w:t>
      </w:r>
      <w:r>
        <w:rPr/>
        <w:t>股股票的</w:t>
      </w:r>
    </w:p>
    <w:p>
      <w:pPr>
        <w:pStyle w:val="BodyText"/>
        <w:spacing w:line="357" w:lineRule="auto" w:before="154"/>
        <w:ind w:right="196"/>
        <w:jc w:val="both"/>
      </w:pPr>
      <w:r>
        <w:rPr/>
        <w:t>申请获无条件通过。</w:t>
      </w:r>
      <w:r>
        <w:rPr>
          <w:rFonts w:ascii="宋体" w:hAnsi="宋体" w:cs="宋体" w:eastAsia="宋体" w:hint="default"/>
        </w:rPr>
        <w:t>2017 </w:t>
      </w:r>
      <w:r>
        <w:rPr/>
        <w:t>年 </w:t>
      </w:r>
      <w:r>
        <w:rPr>
          <w:rFonts w:ascii="宋体" w:hAnsi="宋体" w:cs="宋体" w:eastAsia="宋体" w:hint="default"/>
        </w:rPr>
        <w:t>4 </w:t>
      </w:r>
      <w:r>
        <w:rPr/>
        <w:t>月 </w:t>
      </w:r>
      <w:r>
        <w:rPr>
          <w:rFonts w:ascii="宋体" w:hAnsi="宋体" w:cs="宋体" w:eastAsia="宋体" w:hint="default"/>
        </w:rPr>
        <w:t>28</w:t>
      </w:r>
      <w:r>
        <w:rPr>
          <w:rFonts w:ascii="宋体" w:hAnsi="宋体" w:cs="宋体" w:eastAsia="宋体" w:hint="default"/>
          <w:spacing w:val="30"/>
        </w:rPr>
        <w:t> </w:t>
      </w:r>
      <w:r>
        <w:rPr/>
        <w:t>日，公司收到中国证监会下发的《关于核准北京数字 政通科技股份有限公司非公开发行股票的批复》（证监许可</w:t>
      </w:r>
      <w:r>
        <w:rPr>
          <w:rFonts w:ascii="宋体" w:hAnsi="宋体" w:cs="宋体" w:eastAsia="宋体" w:hint="default"/>
        </w:rPr>
        <w:t>[2017]284</w:t>
      </w:r>
      <w:r>
        <w:rPr>
          <w:rFonts w:ascii="宋体" w:hAnsi="宋体" w:cs="宋体" w:eastAsia="宋体" w:hint="default"/>
          <w:spacing w:val="1"/>
        </w:rPr>
        <w:t> </w:t>
      </w:r>
      <w:r>
        <w:rPr/>
        <w:t>号）。</w:t>
      </w:r>
    </w:p>
    <w:p>
      <w:pPr>
        <w:pStyle w:val="BodyText"/>
        <w:spacing w:line="357" w:lineRule="auto"/>
        <w:ind w:right="110" w:firstLine="480"/>
        <w:jc w:val="both"/>
      </w:pPr>
      <w:r>
        <w:rPr>
          <w:spacing w:val="-3"/>
        </w:rPr>
        <w:t>本次发行不涉及购买资产或者以资产支付，认购款项全部以现金认购，</w:t>
      </w:r>
      <w:r>
        <w:rPr>
          <w:rFonts w:ascii="宋体" w:hAnsi="宋体" w:cs="宋体" w:eastAsia="宋体" w:hint="default"/>
          <w:spacing w:val="-3"/>
        </w:rPr>
        <w:t>4</w:t>
      </w:r>
      <w:r>
        <w:rPr>
          <w:spacing w:val="-3"/>
        </w:rPr>
        <w:t>个发行对象已将</w:t>
      </w:r>
      <w:r>
        <w:rPr/>
        <w:t> 认购资金全额汇入主承销商中泰证券为本次发行开立的专用账户。瑞华会计师事务所（特殊</w:t>
      </w:r>
      <w:r>
        <w:rPr>
          <w:spacing w:val="-91"/>
        </w:rPr>
        <w:t> </w:t>
      </w:r>
      <w:r>
        <w:rPr>
          <w:spacing w:val="-91"/>
        </w:rPr>
      </w:r>
      <w:r>
        <w:rPr>
          <w:spacing w:val="-2"/>
        </w:rPr>
        <w:t>普通合伙）于</w:t>
      </w:r>
      <w:r>
        <w:rPr>
          <w:rFonts w:ascii="宋体" w:hAnsi="宋体" w:cs="宋体" w:eastAsia="宋体" w:hint="default"/>
          <w:spacing w:val="-2"/>
        </w:rPr>
        <w:t>2017</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18</w:t>
      </w:r>
      <w:r>
        <w:rPr>
          <w:spacing w:val="-2"/>
        </w:rPr>
        <w:t>日出具了《验资报告》（瑞华验字【</w:t>
      </w:r>
      <w:r>
        <w:rPr>
          <w:rFonts w:ascii="宋体" w:hAnsi="宋体" w:cs="宋体" w:eastAsia="宋体" w:hint="default"/>
          <w:spacing w:val="-2"/>
        </w:rPr>
        <w:t>2017</w:t>
      </w:r>
      <w:r>
        <w:rPr>
          <w:spacing w:val="-2"/>
        </w:rPr>
        <w:t>】第</w:t>
      </w:r>
      <w:r>
        <w:rPr>
          <w:rFonts w:ascii="宋体" w:hAnsi="宋体" w:cs="宋体" w:eastAsia="宋体" w:hint="default"/>
          <w:spacing w:val="-2"/>
        </w:rPr>
        <w:t>01310006</w:t>
      </w:r>
      <w:r>
        <w:rPr>
          <w:spacing w:val="-2"/>
        </w:rPr>
        <w:t>号），经审</w:t>
      </w:r>
      <w:r>
        <w:rPr>
          <w:spacing w:val="-106"/>
        </w:rPr>
        <w:t> </w:t>
      </w:r>
      <w:r>
        <w:rPr>
          <w:spacing w:val="-106"/>
        </w:rPr>
      </w:r>
      <w:r>
        <w:rPr>
          <w:spacing w:val="-2"/>
        </w:rPr>
        <w:t>验，截至</w:t>
      </w:r>
      <w:r>
        <w:rPr>
          <w:rFonts w:ascii="宋体" w:hAnsi="宋体" w:cs="宋体" w:eastAsia="宋体" w:hint="default"/>
          <w:spacing w:val="-2"/>
        </w:rPr>
        <w:t>2017</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14</w:t>
      </w:r>
      <w:r>
        <w:rPr>
          <w:spacing w:val="-2"/>
        </w:rPr>
        <w:t>日止，主承销商指定的收款银行交通银行济南市中支行账户已收到认购</w:t>
      </w:r>
      <w:r>
        <w:rPr>
          <w:spacing w:val="-114"/>
        </w:rPr>
        <w:t> </w:t>
      </w:r>
      <w:r>
        <w:rPr>
          <w:spacing w:val="-114"/>
        </w:rPr>
      </w:r>
      <w:r>
        <w:rPr/>
        <w:t>款人民币</w:t>
      </w:r>
      <w:r>
        <w:rPr>
          <w:rFonts w:ascii="宋体" w:hAnsi="宋体" w:cs="宋体" w:eastAsia="宋体" w:hint="default"/>
        </w:rPr>
        <w:t>574,604,089.35</w:t>
      </w:r>
      <w:r>
        <w:rPr/>
        <w:t>元。其中，安徽省铁路发展基金股份有限公司缴付认购资金为人民</w:t>
      </w:r>
      <w:r>
        <w:rPr>
          <w:spacing w:val="-91"/>
        </w:rPr>
        <w:t> </w:t>
      </w:r>
      <w:r>
        <w:rPr>
          <w:spacing w:val="-91"/>
        </w:rPr>
      </w:r>
      <w:r>
        <w:rPr/>
        <w:t>币</w:t>
      </w:r>
      <w:r>
        <w:rPr>
          <w:rFonts w:ascii="宋体" w:hAnsi="宋体" w:cs="宋体" w:eastAsia="宋体" w:hint="default"/>
        </w:rPr>
        <w:t>193,100,018.20</w:t>
      </w:r>
      <w:r>
        <w:rPr/>
        <w:t>元，其中</w:t>
      </w:r>
      <w:r>
        <w:rPr>
          <w:rFonts w:ascii="宋体" w:hAnsi="宋体" w:cs="宋体" w:eastAsia="宋体" w:hint="default"/>
        </w:rPr>
        <w:t>36,504,100.00</w:t>
      </w:r>
      <w:r>
        <w:rPr/>
        <w:t>元按照《追加认购邀请书》中配售原则，未获配，</w:t>
      </w:r>
    </w:p>
    <w:p>
      <w:pPr>
        <w:spacing w:after="0" w:line="357" w:lineRule="auto"/>
        <w:jc w:val="both"/>
        <w:sectPr>
          <w:pgSz w:w="11910" w:h="16840"/>
          <w:pgMar w:header="745" w:footer="979" w:top="1060" w:bottom="1160" w:left="980" w:right="940"/>
        </w:sectPr>
      </w:pPr>
    </w:p>
    <w:p>
      <w:pPr>
        <w:spacing w:line="240" w:lineRule="auto" w:before="7"/>
        <w:rPr>
          <w:rFonts w:ascii="宋体" w:hAnsi="宋体" w:cs="宋体" w:eastAsia="宋体" w:hint="default"/>
          <w:sz w:val="29"/>
          <w:szCs w:val="29"/>
        </w:rPr>
      </w:pPr>
    </w:p>
    <w:p>
      <w:pPr>
        <w:pStyle w:val="BodyText"/>
        <w:spacing w:line="357" w:lineRule="auto" w:before="26"/>
        <w:ind w:right="222"/>
        <w:jc w:val="left"/>
      </w:pPr>
      <w:r>
        <w:rPr>
          <w:spacing w:val="-2"/>
        </w:rPr>
        <w:t>已于</w:t>
      </w:r>
      <w:r>
        <w:rPr>
          <w:rFonts w:ascii="宋体" w:hAnsi="宋体" w:cs="宋体" w:eastAsia="宋体" w:hint="default"/>
          <w:spacing w:val="-2"/>
        </w:rPr>
        <w:t>2017</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19</w:t>
      </w:r>
      <w:r>
        <w:rPr>
          <w:spacing w:val="-2"/>
        </w:rPr>
        <w:t>日按原缴款路径返还投资者，即安徽省铁路发展基金股份有限公司本次认购</w:t>
      </w:r>
      <w:r>
        <w:rPr>
          <w:spacing w:val="-115"/>
        </w:rPr>
        <w:t> </w:t>
      </w:r>
      <w:r>
        <w:rPr>
          <w:spacing w:val="-115"/>
        </w:rPr>
      </w:r>
      <w:r>
        <w:rPr/>
        <w:t>金额为</w:t>
      </w:r>
      <w:r>
        <w:rPr>
          <w:rFonts w:ascii="宋体" w:hAnsi="宋体" w:cs="宋体" w:eastAsia="宋体" w:hint="default"/>
        </w:rPr>
        <w:t>156,595,918.20</w:t>
      </w:r>
      <w:r>
        <w:rPr/>
        <w:t>元。</w:t>
      </w:r>
    </w:p>
    <w:p>
      <w:pPr>
        <w:pStyle w:val="BodyText"/>
        <w:spacing w:line="357" w:lineRule="auto"/>
        <w:ind w:right="96" w:firstLine="480"/>
        <w:jc w:val="left"/>
      </w:pPr>
      <w:r>
        <w:rPr>
          <w:rFonts w:ascii="宋体" w:hAnsi="宋体" w:cs="宋体" w:eastAsia="宋体" w:hint="default"/>
        </w:rPr>
        <w:t>2017</w:t>
      </w:r>
      <w:r>
        <w:rPr/>
        <w:t>年</w:t>
      </w:r>
      <w:r>
        <w:rPr>
          <w:rFonts w:ascii="宋体" w:hAnsi="宋体" w:cs="宋体" w:eastAsia="宋体" w:hint="default"/>
        </w:rPr>
        <w:t>7</w:t>
      </w:r>
      <w:r>
        <w:rPr/>
        <w:t>月</w:t>
      </w:r>
      <w:r>
        <w:rPr>
          <w:rFonts w:ascii="宋体" w:hAnsi="宋体" w:cs="宋体" w:eastAsia="宋体" w:hint="default"/>
        </w:rPr>
        <w:t>18</w:t>
      </w:r>
      <w:r>
        <w:rPr/>
        <w:t>日，中泰证券将上述认购股款扣除返还投资者的超额认购资金以及应支付给 中泰证券的保荐承销费后的余额</w:t>
      </w:r>
      <w:r>
        <w:rPr>
          <w:rFonts w:ascii="宋体" w:hAnsi="宋体" w:cs="宋体" w:eastAsia="宋体" w:hint="default"/>
        </w:rPr>
        <w:t>528,059,909.53</w:t>
      </w:r>
      <w:r>
        <w:rPr/>
        <w:t>元划转至公司指定的本次募集资金专户内。</w:t>
      </w:r>
      <w:r>
        <w:rPr>
          <w:spacing w:val="-89"/>
        </w:rPr>
        <w:t> </w:t>
      </w:r>
      <w:r>
        <w:rPr>
          <w:spacing w:val="-89"/>
        </w:rPr>
      </w:r>
      <w:r>
        <w:rPr>
          <w:rFonts w:ascii="宋体" w:hAnsi="宋体" w:cs="宋体" w:eastAsia="宋体" w:hint="default"/>
          <w:spacing w:val="-5"/>
        </w:rPr>
        <w:t>2017</w:t>
      </w:r>
      <w:r>
        <w:rPr>
          <w:spacing w:val="-5"/>
        </w:rPr>
        <w:t>年</w:t>
      </w:r>
      <w:r>
        <w:rPr>
          <w:rFonts w:ascii="宋体" w:hAnsi="宋体" w:cs="宋体" w:eastAsia="宋体" w:hint="default"/>
          <w:spacing w:val="-5"/>
        </w:rPr>
        <w:t>7</w:t>
      </w:r>
      <w:r>
        <w:rPr>
          <w:spacing w:val="-5"/>
        </w:rPr>
        <w:t>月</w:t>
      </w:r>
      <w:r>
        <w:rPr>
          <w:rFonts w:ascii="宋体" w:hAnsi="宋体" w:cs="宋体" w:eastAsia="宋体" w:hint="default"/>
          <w:spacing w:val="-5"/>
        </w:rPr>
        <w:t>20</w:t>
      </w:r>
      <w:r>
        <w:rPr>
          <w:spacing w:val="-5"/>
        </w:rPr>
        <w:t>日，瑞华会计师事务所（特殊普通合伙）出具了《验资报告》（瑞华验字【</w:t>
      </w:r>
      <w:r>
        <w:rPr>
          <w:rFonts w:ascii="宋体" w:hAnsi="宋体" w:cs="宋体" w:eastAsia="宋体" w:hint="default"/>
          <w:spacing w:val="-5"/>
        </w:rPr>
        <w:t>2017</w:t>
      </w:r>
      <w:r>
        <w:rPr>
          <w:spacing w:val="-5"/>
        </w:rPr>
        <w:t>】</w:t>
      </w:r>
      <w:r>
        <w:rPr>
          <w:spacing w:val="-88"/>
        </w:rPr>
        <w:t> </w:t>
      </w:r>
      <w:r>
        <w:rPr/>
        <w:t>第</w:t>
      </w:r>
      <w:r>
        <w:rPr>
          <w:rFonts w:ascii="宋体" w:hAnsi="宋体" w:cs="宋体" w:eastAsia="宋体" w:hint="default"/>
        </w:rPr>
        <w:t>01310007</w:t>
      </w:r>
      <w:r>
        <w:rPr/>
        <w:t>号），经审验，截至</w:t>
      </w:r>
      <w:r>
        <w:rPr>
          <w:rFonts w:ascii="宋体" w:hAnsi="宋体" w:cs="宋体" w:eastAsia="宋体" w:hint="default"/>
        </w:rPr>
        <w:t>2017</w:t>
      </w:r>
      <w:r>
        <w:rPr/>
        <w:t>年</w:t>
      </w:r>
      <w:r>
        <w:rPr>
          <w:rFonts w:ascii="宋体" w:hAnsi="宋体" w:cs="宋体" w:eastAsia="宋体" w:hint="default"/>
        </w:rPr>
        <w:t>7</w:t>
      </w:r>
      <w:r>
        <w:rPr/>
        <w:t>月</w:t>
      </w:r>
      <w:r>
        <w:rPr>
          <w:rFonts w:ascii="宋体" w:hAnsi="宋体" w:cs="宋体" w:eastAsia="宋体" w:hint="default"/>
        </w:rPr>
        <w:t>18</w:t>
      </w:r>
      <w:r>
        <w:rPr/>
        <w:t>日止，公司已收到主承销商转付的最终配售对象 缴付的募集资金</w:t>
      </w:r>
      <w:r>
        <w:rPr>
          <w:rFonts w:ascii="宋体" w:hAnsi="宋体" w:cs="宋体" w:eastAsia="宋体" w:hint="default"/>
        </w:rPr>
        <w:t>538,099,989.35</w:t>
      </w:r>
      <w:r>
        <w:rPr/>
        <w:t>元，扣除中泰证券股份有限公司、瑞华会计师事务所（特殊</w:t>
      </w:r>
      <w:r>
        <w:rPr>
          <w:spacing w:val="-93"/>
        </w:rPr>
        <w:t> </w:t>
      </w:r>
      <w:r>
        <w:rPr>
          <w:spacing w:val="-93"/>
        </w:rPr>
      </w:r>
      <w:r>
        <w:rPr>
          <w:spacing w:val="13"/>
        </w:rPr>
        <w:t>普通合伙）、北京市康达律师事务所等中介机构的发行费用后实际募集资金净额人民币</w:t>
      </w:r>
      <w:r>
        <w:rPr>
          <w:spacing w:val="-107"/>
        </w:rPr>
        <w:t> </w:t>
      </w:r>
      <w:r>
        <w:rPr>
          <w:spacing w:val="-107"/>
        </w:rPr>
      </w:r>
      <w:r>
        <w:rPr>
          <w:rFonts w:ascii="宋体" w:hAnsi="宋体" w:cs="宋体" w:eastAsia="宋体" w:hint="default"/>
        </w:rPr>
        <w:t>526,459,909.53</w:t>
      </w:r>
      <w:r>
        <w:rPr>
          <w:rFonts w:ascii="宋体" w:hAnsi="宋体" w:cs="宋体" w:eastAsia="宋体" w:hint="default"/>
          <w:spacing w:val="-51"/>
        </w:rPr>
        <w:t> </w:t>
      </w:r>
      <w:r>
        <w:rPr/>
        <w:t>元</w:t>
      </w:r>
      <w:r>
        <w:rPr>
          <w:spacing w:val="-51"/>
        </w:rPr>
        <w:t> </w:t>
      </w:r>
      <w:r>
        <w:rPr>
          <w:rFonts w:ascii="宋体" w:hAnsi="宋体" w:cs="宋体" w:eastAsia="宋体" w:hint="default"/>
        </w:rPr>
        <w:t>,</w:t>
      </w:r>
      <w:r>
        <w:rPr>
          <w:rFonts w:ascii="宋体" w:hAnsi="宋体" w:cs="宋体" w:eastAsia="宋体" w:hint="default"/>
          <w:spacing w:val="-51"/>
        </w:rPr>
        <w:t> </w:t>
      </w:r>
      <w:r>
        <w:rPr>
          <w:spacing w:val="60"/>
        </w:rPr>
        <w:t>其中新增注册资本人民币</w:t>
      </w:r>
      <w:r>
        <w:rPr>
          <w:spacing w:val="-49"/>
        </w:rPr>
        <w:t> </w:t>
      </w:r>
      <w:r>
        <w:rPr>
          <w:rFonts w:ascii="宋体" w:hAnsi="宋体" w:cs="宋体" w:eastAsia="宋体" w:hint="default"/>
        </w:rPr>
        <w:t>29,039,395.00</w:t>
      </w:r>
      <w:r>
        <w:rPr>
          <w:rFonts w:ascii="宋体" w:hAnsi="宋体" w:cs="宋体" w:eastAsia="宋体" w:hint="default"/>
          <w:spacing w:val="-51"/>
        </w:rPr>
        <w:t> </w:t>
      </w:r>
      <w:r>
        <w:rPr>
          <w:spacing w:val="58"/>
        </w:rPr>
        <w:t>元，余额计人民币</w:t>
      </w:r>
      <w:r>
        <w:rPr>
          <w:spacing w:val="-53"/>
        </w:rPr>
        <w:t> </w:t>
      </w:r>
      <w:r>
        <w:rPr/>
      </w:r>
    </w:p>
    <w:p>
      <w:pPr>
        <w:pStyle w:val="BodyText"/>
        <w:spacing w:line="357" w:lineRule="auto"/>
        <w:ind w:left="633" w:right="227" w:hanging="481"/>
        <w:jc w:val="left"/>
      </w:pPr>
      <w:r>
        <w:rPr>
          <w:rFonts w:ascii="宋体" w:hAnsi="宋体" w:cs="宋体" w:eastAsia="宋体" w:hint="default"/>
        </w:rPr>
        <w:t>497,420,514.53</w:t>
      </w:r>
      <w:r>
        <w:rPr/>
        <w:t>元转入资本公积。 </w:t>
      </w:r>
      <w:r>
        <w:rPr>
          <w:spacing w:val="-2"/>
        </w:rPr>
        <w:t>本次非公开发行新增股份</w:t>
      </w:r>
      <w:r>
        <w:rPr>
          <w:rFonts w:ascii="宋体" w:hAnsi="宋体" w:cs="宋体" w:eastAsia="宋体" w:hint="default"/>
          <w:spacing w:val="-2"/>
        </w:rPr>
        <w:t>29,039,395</w:t>
      </w:r>
      <w:r>
        <w:rPr>
          <w:spacing w:val="-2"/>
        </w:rPr>
        <w:t>股，将于</w:t>
      </w:r>
      <w:r>
        <w:rPr>
          <w:rFonts w:ascii="宋体" w:hAnsi="宋体" w:cs="宋体" w:eastAsia="宋体" w:hint="default"/>
          <w:spacing w:val="-2"/>
        </w:rPr>
        <w:t>2017</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21</w:t>
      </w:r>
      <w:r>
        <w:rPr>
          <w:spacing w:val="-2"/>
        </w:rPr>
        <w:t>日在深圳证券交易所上市。本</w:t>
      </w:r>
    </w:p>
    <w:p>
      <w:pPr>
        <w:pStyle w:val="BodyText"/>
        <w:spacing w:line="357" w:lineRule="auto"/>
        <w:ind w:right="228"/>
        <w:jc w:val="both"/>
      </w:pPr>
      <w:r>
        <w:rPr/>
        <w:t>次非公开发行价格为</w:t>
      </w:r>
      <w:r>
        <w:rPr>
          <w:rFonts w:ascii="宋体" w:hAnsi="宋体" w:cs="宋体" w:eastAsia="宋体" w:hint="default"/>
        </w:rPr>
        <w:t>18.53</w:t>
      </w:r>
      <w:r>
        <w:rPr/>
        <w:t>元</w:t>
      </w:r>
      <w:r>
        <w:rPr>
          <w:rFonts w:ascii="宋体" w:hAnsi="宋体" w:cs="宋体" w:eastAsia="宋体" w:hint="default"/>
        </w:rPr>
        <w:t>/</w:t>
      </w:r>
      <w:r>
        <w:rPr/>
        <w:t>股，不低于发行期首日前一个交易日公司股票均价的百分之九</w:t>
      </w:r>
      <w:r>
        <w:rPr>
          <w:spacing w:val="-90"/>
        </w:rPr>
        <w:t> </w:t>
      </w:r>
      <w:r>
        <w:rPr>
          <w:spacing w:val="-90"/>
        </w:rPr>
      </w:r>
      <w:r>
        <w:rPr>
          <w:spacing w:val="-2"/>
        </w:rPr>
        <w:t>十（即</w:t>
      </w:r>
      <w:r>
        <w:rPr>
          <w:rFonts w:ascii="宋体" w:hAnsi="宋体" w:cs="宋体" w:eastAsia="宋体" w:hint="default"/>
          <w:spacing w:val="-2"/>
        </w:rPr>
        <w:t>18.53</w:t>
      </w:r>
      <w:r>
        <w:rPr>
          <w:spacing w:val="-2"/>
        </w:rPr>
        <w:t>元</w:t>
      </w:r>
      <w:r>
        <w:rPr>
          <w:rFonts w:ascii="宋体" w:hAnsi="宋体" w:cs="宋体" w:eastAsia="宋体" w:hint="default"/>
          <w:spacing w:val="-2"/>
        </w:rPr>
        <w:t>/</w:t>
      </w:r>
      <w:r>
        <w:rPr>
          <w:spacing w:val="-2"/>
        </w:rPr>
        <w:t>股）。本次发行中，</w:t>
      </w:r>
      <w:r>
        <w:rPr>
          <w:rFonts w:ascii="宋体" w:hAnsi="宋体" w:cs="宋体" w:eastAsia="宋体" w:hint="default"/>
          <w:spacing w:val="-2"/>
        </w:rPr>
        <w:t>4</w:t>
      </w:r>
      <w:r>
        <w:rPr>
          <w:spacing w:val="-2"/>
        </w:rPr>
        <w:t>名发行对象认购的股票限售期为新增股份上市之日起</w:t>
      </w:r>
      <w:r>
        <w:rPr>
          <w:rFonts w:ascii="宋体" w:hAnsi="宋体" w:cs="宋体" w:eastAsia="宋体" w:hint="default"/>
          <w:spacing w:val="-2"/>
        </w:rPr>
        <w:t>12</w:t>
      </w:r>
      <w:r>
        <w:rPr>
          <w:rFonts w:ascii="宋体" w:hAnsi="宋体" w:cs="宋体" w:eastAsia="宋体" w:hint="default"/>
          <w:spacing w:val="-114"/>
        </w:rPr>
        <w:t> </w:t>
      </w:r>
      <w:r>
        <w:rPr>
          <w:spacing w:val="3"/>
        </w:rPr>
        <w:t>个月，预计上市流通时间为</w:t>
      </w:r>
      <w:r>
        <w:rPr>
          <w:rFonts w:ascii="宋体" w:hAnsi="宋体" w:cs="宋体" w:eastAsia="宋体" w:hint="default"/>
          <w:spacing w:val="3"/>
        </w:rPr>
        <w:t>2018</w:t>
      </w:r>
      <w:r>
        <w:rPr>
          <w:spacing w:val="3"/>
        </w:rPr>
        <w:t>年</w:t>
      </w:r>
      <w:r>
        <w:rPr>
          <w:rFonts w:ascii="宋体" w:hAnsi="宋体" w:cs="宋体" w:eastAsia="宋体" w:hint="default"/>
          <w:spacing w:val="3"/>
        </w:rPr>
        <w:t>8</w:t>
      </w:r>
      <w:r>
        <w:rPr>
          <w:spacing w:val="3"/>
        </w:rPr>
        <w:t>月</w:t>
      </w:r>
      <w:r>
        <w:rPr>
          <w:rFonts w:ascii="宋体" w:hAnsi="宋体" w:cs="宋体" w:eastAsia="宋体" w:hint="default"/>
          <w:spacing w:val="3"/>
        </w:rPr>
        <w:t>21</w:t>
      </w:r>
      <w:r>
        <w:rPr>
          <w:spacing w:val="3"/>
        </w:rPr>
        <w:t>日。根据深圳证券交易所相关业务规则规定，</w:t>
      </w:r>
      <w:r>
        <w:rPr>
          <w:rFonts w:ascii="宋体" w:hAnsi="宋体" w:cs="宋体" w:eastAsia="宋体" w:hint="default"/>
          <w:spacing w:val="3"/>
        </w:rPr>
        <w:t>2017</w:t>
      </w:r>
      <w:r>
        <w:rPr>
          <w:rFonts w:ascii="宋体" w:hAnsi="宋体" w:cs="宋体" w:eastAsia="宋体" w:hint="default"/>
          <w:spacing w:val="-112"/>
        </w:rPr>
        <w:t> </w:t>
      </w:r>
      <w:r>
        <w:rPr/>
        <w:t>年</w:t>
      </w:r>
      <w:r>
        <w:rPr>
          <w:rFonts w:ascii="宋体" w:hAnsi="宋体" w:cs="宋体" w:eastAsia="宋体" w:hint="default"/>
        </w:rPr>
        <w:t>8</w:t>
      </w:r>
      <w:r>
        <w:rPr/>
        <w:t>月</w:t>
      </w:r>
      <w:r>
        <w:rPr>
          <w:rFonts w:ascii="宋体" w:hAnsi="宋体" w:cs="宋体" w:eastAsia="宋体" w:hint="default"/>
        </w:rPr>
        <w:t>21</w:t>
      </w:r>
      <w:r>
        <w:rPr/>
        <w:t>日（即上市日），公司股价不除权。</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、公司股份总数及股东结构的变动、公司资产和负债结构的变动情况说明</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231" w:firstLine="480"/>
        <w:jc w:val="both"/>
      </w:pPr>
      <w:r>
        <w:rPr/>
        <w:t>公司非公开发行的股票</w:t>
      </w:r>
      <w:r>
        <w:rPr>
          <w:rFonts w:ascii="宋体" w:hAnsi="宋体" w:cs="宋体" w:eastAsia="宋体" w:hint="default"/>
        </w:rPr>
        <w:t>29,039,395</w:t>
      </w:r>
      <w:r>
        <w:rPr/>
        <w:t>股于</w:t>
      </w:r>
      <w:r>
        <w:rPr>
          <w:rFonts w:ascii="宋体" w:hAnsi="宋体" w:cs="宋体" w:eastAsia="宋体" w:hint="default"/>
        </w:rPr>
        <w:t>2017</w:t>
      </w:r>
      <w:r>
        <w:rPr/>
        <w:t>年</w:t>
      </w:r>
      <w:r>
        <w:rPr>
          <w:rFonts w:ascii="宋体" w:hAnsi="宋体" w:cs="宋体" w:eastAsia="宋体" w:hint="default"/>
        </w:rPr>
        <w:t>8</w:t>
      </w:r>
      <w:r>
        <w:rPr/>
        <w:t>月</w:t>
      </w:r>
      <w:r>
        <w:rPr>
          <w:rFonts w:ascii="宋体" w:hAnsi="宋体" w:cs="宋体" w:eastAsia="宋体" w:hint="default"/>
        </w:rPr>
        <w:t>4</w:t>
      </w:r>
      <w:r>
        <w:rPr/>
        <w:t>日在中国证券登记结算有限责任公司 </w:t>
      </w:r>
      <w:r>
        <w:rPr>
          <w:spacing w:val="-2"/>
        </w:rPr>
        <w:t>深圳分公司办理完毕登记托管手续。本次发行新增股份的性质为有限售条件股份，全部</w:t>
      </w:r>
      <w:r>
        <w:rPr>
          <w:rFonts w:ascii="宋体" w:hAnsi="宋体" w:cs="宋体" w:eastAsia="宋体" w:hint="default"/>
          <w:spacing w:val="-2"/>
        </w:rPr>
        <w:t>4</w:t>
      </w:r>
      <w:r>
        <w:rPr>
          <w:spacing w:val="-2"/>
        </w:rPr>
        <w:t>个发</w:t>
      </w:r>
      <w:r>
        <w:rPr>
          <w:spacing w:val="-118"/>
        </w:rPr>
        <w:t> </w:t>
      </w:r>
      <w:r>
        <w:rPr/>
        <w:t>行对象认购的股份上市流通日为</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21</w:t>
      </w:r>
      <w:r>
        <w:rPr/>
        <w:t>日。本次发行完成后公司股本由</w:t>
      </w:r>
      <w:r>
        <w:rPr>
          <w:rFonts w:ascii="宋体" w:hAnsi="宋体" w:cs="宋体" w:eastAsia="宋体" w:hint="default"/>
        </w:rPr>
        <w:t>395,527,060</w:t>
      </w:r>
      <w:r>
        <w:rPr/>
        <w:t>股</w:t>
      </w:r>
      <w:r>
        <w:rPr>
          <w:spacing w:val="-85"/>
        </w:rPr>
        <w:t> </w:t>
      </w:r>
      <w:r>
        <w:rPr/>
        <w:t>变更为</w:t>
      </w:r>
      <w:r>
        <w:rPr>
          <w:spacing w:val="-1"/>
        </w:rPr>
        <w:t> </w:t>
      </w:r>
      <w:r>
        <w:rPr>
          <w:rFonts w:ascii="宋体" w:hAnsi="宋体" w:cs="宋体" w:eastAsia="宋体" w:hint="default"/>
        </w:rPr>
        <w:t>424,566,455</w:t>
      </w:r>
      <w:r>
        <w:rPr/>
        <w:t>股。</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、现存的内部职工股情况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both"/>
        <w:rPr>
          <w:b w:val="0"/>
          <w:bCs w:val="0"/>
        </w:rPr>
      </w:pPr>
      <w:r>
        <w:rPr/>
        <w:t>三、股东和实际控制人情况</w:t>
      </w:r>
      <w:r>
        <w:rPr>
          <w:b w:val="0"/>
          <w:bCs w:val="0"/>
        </w:rPr>
      </w:r>
    </w:p>
    <w:p>
      <w:pPr>
        <w:spacing w:line="240" w:lineRule="auto" w:before="12"/>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、公司股东数量及持股情况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23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34"/>
        <w:gridCol w:w="797"/>
        <w:gridCol w:w="1450"/>
        <w:gridCol w:w="1207"/>
        <w:gridCol w:w="1328"/>
        <w:gridCol w:w="1075"/>
        <w:gridCol w:w="1307"/>
        <w:gridCol w:w="1069"/>
      </w:tblGrid>
      <w:tr>
        <w:trPr>
          <w:trHeight w:val="674" w:hRule="exact"/>
        </w:trPr>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报告期末普通股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68" w:right="0"/>
              <w:jc w:val="left"/>
              <w:rPr>
                <w:rFonts w:ascii="Times New Roman" w:hAnsi="Times New Roman" w:cs="Times New Roman" w:eastAsia="Times New Roman" w:hint="default"/>
                <w:sz w:val="18"/>
                <w:szCs w:val="18"/>
              </w:rPr>
            </w:pPr>
            <w:r>
              <w:rPr>
                <w:rFonts w:ascii="Times New Roman"/>
                <w:sz w:val="18"/>
              </w:rPr>
              <w:t>51,302</w:t>
            </w:r>
          </w:p>
        </w:tc>
        <w:tc>
          <w:tcPr>
            <w:tcW w:w="14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54"/>
              <w:jc w:val="left"/>
              <w:rPr>
                <w:rFonts w:ascii="宋体" w:hAnsi="宋体" w:cs="宋体" w:eastAsia="宋体" w:hint="default"/>
                <w:sz w:val="18"/>
                <w:szCs w:val="18"/>
              </w:rPr>
            </w:pPr>
            <w:r>
              <w:rPr>
                <w:rFonts w:ascii="宋体" w:hAnsi="宋体" w:cs="宋体" w:eastAsia="宋体" w:hint="default"/>
                <w:sz w:val="18"/>
                <w:szCs w:val="18"/>
              </w:rPr>
              <w:t>年度报告披露日 前上一月末普通</w:t>
            </w:r>
          </w:p>
        </w:tc>
        <w:tc>
          <w:tcPr>
            <w:tcW w:w="12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69" w:right="0"/>
              <w:jc w:val="left"/>
              <w:rPr>
                <w:rFonts w:ascii="Times New Roman" w:hAnsi="Times New Roman" w:cs="Times New Roman" w:eastAsia="Times New Roman" w:hint="default"/>
                <w:sz w:val="18"/>
                <w:szCs w:val="18"/>
              </w:rPr>
            </w:pPr>
            <w:r>
              <w:rPr>
                <w:rFonts w:ascii="Times New Roman"/>
                <w:sz w:val="18"/>
              </w:rPr>
              <w:t>48,059</w:t>
            </w: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3" w:right="33"/>
              <w:jc w:val="left"/>
              <w:rPr>
                <w:rFonts w:ascii="宋体" w:hAnsi="宋体" w:cs="宋体" w:eastAsia="宋体" w:hint="default"/>
                <w:sz w:val="18"/>
                <w:szCs w:val="18"/>
              </w:rPr>
            </w:pPr>
            <w:r>
              <w:rPr>
                <w:rFonts w:ascii="宋体" w:hAnsi="宋体" w:cs="宋体" w:eastAsia="宋体" w:hint="default"/>
                <w:sz w:val="18"/>
                <w:szCs w:val="18"/>
              </w:rPr>
              <w:t>报告期末表决权 恢复的优先股股</w:t>
            </w:r>
          </w:p>
        </w:tc>
        <w:tc>
          <w:tcPr>
            <w:tcW w:w="1075"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1" w:right="23"/>
              <w:jc w:val="left"/>
              <w:rPr>
                <w:rFonts w:ascii="宋体" w:hAnsi="宋体" w:cs="宋体" w:eastAsia="宋体" w:hint="default"/>
                <w:sz w:val="18"/>
                <w:szCs w:val="18"/>
              </w:rPr>
            </w:pPr>
            <w:r>
              <w:rPr>
                <w:rFonts w:ascii="宋体" w:hAnsi="宋体" w:cs="宋体" w:eastAsia="宋体" w:hint="default"/>
                <w:sz w:val="18"/>
                <w:szCs w:val="18"/>
              </w:rPr>
              <w:t>年度报告披露日 前上一月末表决</w:t>
            </w:r>
          </w:p>
        </w:tc>
        <w:tc>
          <w:tcPr>
            <w:tcW w:w="106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00"/>
        </w:sectPr>
      </w:pPr>
    </w:p>
    <w:p>
      <w:pPr>
        <w:spacing w:line="240" w:lineRule="auto" w:before="0"/>
        <w:rPr>
          <w:rFonts w:ascii="Times New Roman" w:hAnsi="Times New Roman" w:cs="Times New Roman" w:eastAsia="Times New Roman" w:hint="default"/>
          <w:sz w:val="20"/>
          <w:szCs w:val="20"/>
        </w:rPr>
      </w:pPr>
      <w:r>
        <w:rPr/>
        <w:pict>
          <v:shape style="position:absolute;margin-left:449.22699pt;margin-top:72.475983pt;width:85.75pt;height:48.9pt;mso-position-horizontal-relative:page;mso-position-vertical-relative:page;z-index:-86867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before="113"/>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335"/>
        <w:gridCol w:w="134"/>
        <w:gridCol w:w="662"/>
        <w:gridCol w:w="749"/>
        <w:gridCol w:w="750"/>
        <w:gridCol w:w="824"/>
        <w:gridCol w:w="346"/>
        <w:gridCol w:w="444"/>
        <w:gridCol w:w="823"/>
        <w:gridCol w:w="808"/>
        <w:gridCol w:w="316"/>
        <w:gridCol w:w="1028"/>
        <w:gridCol w:w="280"/>
        <w:gridCol w:w="1069"/>
      </w:tblGrid>
      <w:tr>
        <w:trPr>
          <w:trHeight w:val="358" w:hRule="exact"/>
        </w:trPr>
        <w:tc>
          <w:tcPr>
            <w:tcW w:w="133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797" w:type="dxa"/>
            <w:gridSpan w:val="2"/>
            <w:vMerge w:val="restart"/>
            <w:tcBorders>
              <w:top w:val="single" w:sz="4" w:space="0" w:color="000000"/>
              <w:left w:val="single" w:sz="9" w:space="0" w:color="D2D2D2"/>
              <w:right w:val="single" w:sz="10" w:space="0" w:color="D2D2D2"/>
            </w:tcBorders>
          </w:tcPr>
          <w:p>
            <w:pPr/>
          </w:p>
        </w:tc>
        <w:tc>
          <w:tcPr>
            <w:tcW w:w="1499" w:type="dxa"/>
            <w:gridSpan w:val="2"/>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股股东总数</w:t>
            </w:r>
          </w:p>
        </w:tc>
        <w:tc>
          <w:tcPr>
            <w:tcW w:w="1170" w:type="dxa"/>
            <w:gridSpan w:val="2"/>
            <w:vMerge w:val="restart"/>
            <w:tcBorders>
              <w:top w:val="single" w:sz="4" w:space="0" w:color="000000"/>
              <w:left w:val="single" w:sz="10" w:space="0" w:color="D2D2D2"/>
              <w:right w:val="single" w:sz="10" w:space="0" w:color="D2D2D2"/>
            </w:tcBorders>
          </w:tcPr>
          <w:p>
            <w:pPr/>
          </w:p>
        </w:tc>
        <w:tc>
          <w:tcPr>
            <w:tcW w:w="126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left="11" w:right="-15"/>
              <w:jc w:val="left"/>
              <w:rPr>
                <w:rFonts w:ascii="宋体" w:hAnsi="宋体" w:cs="宋体" w:eastAsia="宋体" w:hint="default"/>
                <w:sz w:val="18"/>
                <w:szCs w:val="18"/>
              </w:rPr>
            </w:pPr>
            <w:r>
              <w:rPr>
                <w:rFonts w:ascii="宋体" w:hAnsi="宋体" w:cs="宋体" w:eastAsia="宋体" w:hint="default"/>
                <w:sz w:val="18"/>
                <w:szCs w:val="18"/>
              </w:rPr>
              <w:t>东总数（如有）</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124" w:type="dxa"/>
            <w:gridSpan w:val="2"/>
            <w:vMerge w:val="restart"/>
            <w:tcBorders>
              <w:top w:val="single" w:sz="4" w:space="0" w:color="000000"/>
              <w:left w:val="single" w:sz="10" w:space="0" w:color="D2D2D2"/>
              <w:right w:val="single" w:sz="13" w:space="0" w:color="D2D2D2"/>
            </w:tcBorders>
          </w:tcPr>
          <w:p>
            <w:pPr/>
          </w:p>
        </w:tc>
        <w:tc>
          <w:tcPr>
            <w:tcW w:w="130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8"/>
              <w:ind w:left="11" w:right="23"/>
              <w:jc w:val="left"/>
              <w:rPr>
                <w:rFonts w:ascii="宋体" w:hAnsi="宋体" w:cs="宋体" w:eastAsia="宋体" w:hint="default"/>
                <w:sz w:val="18"/>
                <w:szCs w:val="18"/>
              </w:rPr>
            </w:pPr>
            <w:r>
              <w:rPr>
                <w:rFonts w:ascii="宋体" w:hAnsi="宋体" w:cs="宋体" w:eastAsia="宋体" w:hint="default"/>
                <w:sz w:val="18"/>
                <w:szCs w:val="18"/>
              </w:rPr>
              <w:t>权恢复的优先股 股东总数</w:t>
            </w:r>
          </w:p>
          <w:p>
            <w:pPr>
              <w:pStyle w:val="TableParagraph"/>
              <w:spacing w:line="240" w:lineRule="auto" w:before="19"/>
              <w:ind w:left="11"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69" w:type="dxa"/>
            <w:vMerge w:val="restart"/>
            <w:tcBorders>
              <w:top w:val="single" w:sz="4" w:space="0" w:color="000000"/>
              <w:left w:val="single" w:sz="12" w:space="0" w:color="D2D2D2"/>
              <w:right w:val="single" w:sz="4" w:space="0" w:color="000000"/>
            </w:tcBorders>
          </w:tcPr>
          <w:p>
            <w:pPr>
              <w:pStyle w:val="TableParagraph"/>
              <w:spacing w:line="977" w:lineRule="exact"/>
              <w:ind w:left="2" w:right="-53"/>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9"/>
                <w:sz w:val="20"/>
                <w:szCs w:val="20"/>
              </w:rPr>
              <w:pict>
                <v:group style="width:52.45pt;height:48.9pt;mso-position-horizontal-relative:char;mso-position-vertical-relative:line" coordorigin="0,0" coordsize="1049,978">
                  <v:group style="position:absolute;left:0;top:0;width:1049;height:978" coordorigin="0,0" coordsize="1049,978">
                    <v:shape style="position:absolute;left:0;top:0;width:1049;height:978" coordorigin="0,0" coordsize="1049,978" path="m0,977l1049,977,1049,0,0,0,0,977xe" filled="true" fillcolor="#ffffff" stroked="false">
                      <v:path arrowok="t"/>
                      <v:fill type="solid"/>
                    </v:shape>
                  </v:group>
                </v:group>
              </w:pict>
            </w:r>
            <w:r>
              <w:rPr>
                <w:rFonts w:ascii="Times New Roman" w:hAnsi="Times New Roman" w:cs="Times New Roman" w:eastAsia="Times New Roman" w:hint="default"/>
                <w:position w:val="-19"/>
                <w:sz w:val="20"/>
                <w:szCs w:val="20"/>
              </w:rPr>
            </w:r>
          </w:p>
        </w:tc>
      </w:tr>
      <w:tr>
        <w:trPr>
          <w:trHeight w:val="312" w:hRule="exact"/>
        </w:trPr>
        <w:tc>
          <w:tcPr>
            <w:tcW w:w="1335" w:type="dxa"/>
            <w:vMerge w:val="restart"/>
            <w:tcBorders>
              <w:top w:val="nil" w:sz="6" w:space="0" w:color="auto"/>
              <w:left w:val="single" w:sz="4" w:space="0" w:color="000000"/>
              <w:right w:val="single" w:sz="4" w:space="0" w:color="000000"/>
            </w:tcBorders>
            <w:shd w:val="clear" w:color="auto" w:fill="D2D2D2"/>
          </w:tcPr>
          <w:p>
            <w:pPr/>
          </w:p>
        </w:tc>
        <w:tc>
          <w:tcPr>
            <w:tcW w:w="797" w:type="dxa"/>
            <w:gridSpan w:val="2"/>
            <w:vMerge/>
            <w:tcBorders>
              <w:left w:val="single" w:sz="9" w:space="0" w:color="D2D2D2"/>
              <w:right w:val="single" w:sz="10" w:space="0" w:color="D2D2D2"/>
            </w:tcBorders>
          </w:tcPr>
          <w:p>
            <w:pPr/>
          </w:p>
        </w:tc>
        <w:tc>
          <w:tcPr>
            <w:tcW w:w="1499" w:type="dxa"/>
            <w:gridSpan w:val="2"/>
            <w:vMerge w:val="restart"/>
            <w:tcBorders>
              <w:top w:val="nil" w:sz="6" w:space="0" w:color="auto"/>
              <w:left w:val="single" w:sz="4" w:space="0" w:color="000000"/>
              <w:right w:val="single" w:sz="4" w:space="0" w:color="000000"/>
            </w:tcBorders>
            <w:shd w:val="clear" w:color="auto" w:fill="D2D2D2"/>
          </w:tcPr>
          <w:p>
            <w:pPr/>
          </w:p>
        </w:tc>
        <w:tc>
          <w:tcPr>
            <w:tcW w:w="1170" w:type="dxa"/>
            <w:gridSpan w:val="2"/>
            <w:vMerge/>
            <w:tcBorders>
              <w:left w:val="single" w:sz="10" w:space="0" w:color="D2D2D2"/>
              <w:right w:val="single" w:sz="10" w:space="0" w:color="D2D2D2"/>
            </w:tcBorders>
          </w:tcPr>
          <w:p>
            <w:pPr/>
          </w:p>
        </w:tc>
        <w:tc>
          <w:tcPr>
            <w:tcW w:w="1267" w:type="dxa"/>
            <w:gridSpan w:val="2"/>
            <w:vMerge/>
            <w:tcBorders>
              <w:left w:val="single" w:sz="4" w:space="0" w:color="000000"/>
              <w:bottom w:val="nil" w:sz="6" w:space="0" w:color="auto"/>
              <w:right w:val="single" w:sz="4" w:space="0" w:color="000000"/>
            </w:tcBorders>
            <w:shd w:val="clear" w:color="auto" w:fill="D2D2D2"/>
          </w:tcPr>
          <w:p>
            <w:pP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1069" w:type="dxa"/>
            <w:vMerge/>
            <w:tcBorders>
              <w:left w:val="single" w:sz="12" w:space="0" w:color="D2D2D2"/>
              <w:right w:val="single" w:sz="4" w:space="0" w:color="000000"/>
            </w:tcBorders>
          </w:tcPr>
          <w:p>
            <w:pPr/>
          </w:p>
        </w:tc>
      </w:tr>
      <w:tr>
        <w:trPr>
          <w:trHeight w:val="322" w:hRule="exact"/>
        </w:trPr>
        <w:tc>
          <w:tcPr>
            <w:tcW w:w="1335" w:type="dxa"/>
            <w:vMerge/>
            <w:tcBorders>
              <w:left w:val="single" w:sz="4" w:space="0" w:color="000000"/>
              <w:bottom w:val="single" w:sz="4" w:space="0" w:color="000000"/>
              <w:right w:val="single" w:sz="4" w:space="0" w:color="000000"/>
            </w:tcBorders>
            <w:shd w:val="clear" w:color="auto" w:fill="D2D2D2"/>
          </w:tcPr>
          <w:p>
            <w:pPr/>
          </w:p>
        </w:tc>
        <w:tc>
          <w:tcPr>
            <w:tcW w:w="797" w:type="dxa"/>
            <w:gridSpan w:val="2"/>
            <w:vMerge/>
            <w:tcBorders>
              <w:left w:val="single" w:sz="9" w:space="0" w:color="D2D2D2"/>
              <w:bottom w:val="single" w:sz="4" w:space="0" w:color="000000"/>
              <w:right w:val="single" w:sz="10" w:space="0" w:color="D2D2D2"/>
            </w:tcBorders>
          </w:tcPr>
          <w:p>
            <w:pPr/>
          </w:p>
        </w:tc>
        <w:tc>
          <w:tcPr>
            <w:tcW w:w="1499" w:type="dxa"/>
            <w:gridSpan w:val="2"/>
            <w:vMerge/>
            <w:tcBorders>
              <w:left w:val="single" w:sz="4" w:space="0" w:color="000000"/>
              <w:bottom w:val="single" w:sz="4" w:space="0" w:color="000000"/>
              <w:right w:val="single" w:sz="4" w:space="0" w:color="000000"/>
            </w:tcBorders>
            <w:shd w:val="clear" w:color="auto" w:fill="D2D2D2"/>
          </w:tcPr>
          <w:p>
            <w:pPr/>
          </w:p>
        </w:tc>
        <w:tc>
          <w:tcPr>
            <w:tcW w:w="1170" w:type="dxa"/>
            <w:gridSpan w:val="2"/>
            <w:vMerge/>
            <w:tcBorders>
              <w:left w:val="single" w:sz="10" w:space="0" w:color="D2D2D2"/>
              <w:bottom w:val="single" w:sz="4" w:space="0" w:color="000000"/>
              <w:right w:val="single" w:sz="10" w:space="0" w:color="D2D2D2"/>
            </w:tcBorders>
          </w:tcPr>
          <w:p>
            <w:pPr/>
          </w:p>
        </w:tc>
        <w:tc>
          <w:tcPr>
            <w:tcW w:w="126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24" w:type="dxa"/>
            <w:gridSpan w:val="2"/>
            <w:vMerge/>
            <w:tcBorders>
              <w:left w:val="single" w:sz="10" w:space="0" w:color="D2D2D2"/>
              <w:bottom w:val="single" w:sz="4" w:space="0" w:color="000000"/>
              <w:right w:val="single" w:sz="13" w:space="0" w:color="D2D2D2"/>
            </w:tcBorders>
          </w:tcPr>
          <w:p>
            <w:pPr/>
          </w:p>
        </w:tc>
        <w:tc>
          <w:tcPr>
            <w:tcW w:w="1307" w:type="dxa"/>
            <w:gridSpan w:val="2"/>
            <w:vMerge/>
            <w:tcBorders>
              <w:left w:val="single" w:sz="4" w:space="0" w:color="000000"/>
              <w:bottom w:val="single" w:sz="4" w:space="0" w:color="000000"/>
              <w:right w:val="single" w:sz="4" w:space="0" w:color="000000"/>
            </w:tcBorders>
            <w:shd w:val="clear" w:color="auto" w:fill="D2D2D2"/>
          </w:tcPr>
          <w:p>
            <w:pPr/>
          </w:p>
        </w:tc>
        <w:tc>
          <w:tcPr>
            <w:tcW w:w="1069" w:type="dxa"/>
            <w:vMerge/>
            <w:tcBorders>
              <w:left w:val="single" w:sz="12" w:space="0" w:color="D2D2D2"/>
              <w:bottom w:val="single" w:sz="4" w:space="0" w:color="000000"/>
              <w:right w:val="single" w:sz="4" w:space="0" w:color="000000"/>
            </w:tcBorders>
          </w:tcPr>
          <w:p>
            <w:pPr/>
          </w:p>
        </w:tc>
      </w:tr>
      <w:tr>
        <w:trPr>
          <w:trHeight w:val="391" w:hRule="exact"/>
        </w:trPr>
        <w:tc>
          <w:tcPr>
            <w:tcW w:w="9568"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06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
        </w:tc>
        <w:tc>
          <w:tcPr>
            <w:tcW w:w="750" w:type="dxa"/>
            <w:vMerge w:val="restart"/>
            <w:tcBorders>
              <w:top w:val="single" w:sz="4" w:space="0" w:color="000000"/>
              <w:left w:val="single" w:sz="4" w:space="0" w:color="000000"/>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82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28" w:right="62"/>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8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7" w:right="59"/>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2"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709"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50" w:type="dxa"/>
            <w:vMerge/>
            <w:tcBorders>
              <w:left w:val="single" w:sz="4" w:space="0" w:color="000000"/>
              <w:bottom w:val="nil" w:sz="6" w:space="0" w:color="auto"/>
              <w:right w:val="single" w:sz="4" w:space="0" w:color="000000"/>
            </w:tcBorders>
            <w:shd w:val="clear" w:color="auto" w:fill="D2D2D2"/>
          </w:tcPr>
          <w:p>
            <w:pP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66" w:right="26"/>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8" w:type="dxa"/>
            <w:vMerge/>
            <w:tcBorders>
              <w:left w:val="single" w:sz="4" w:space="0" w:color="000000"/>
              <w:right w:val="single" w:sz="4" w:space="0" w:color="000000"/>
            </w:tcBorders>
            <w:shd w:val="clear" w:color="auto" w:fill="D2D2D2"/>
          </w:tcPr>
          <w:p>
            <w:pPr/>
          </w:p>
        </w:tc>
        <w:tc>
          <w:tcPr>
            <w:tcW w:w="2692" w:type="dxa"/>
            <w:gridSpan w:val="4"/>
            <w:vMerge/>
            <w:tcBorders>
              <w:left w:val="single" w:sz="4" w:space="0" w:color="000000"/>
              <w:right w:val="single" w:sz="4" w:space="0" w:color="000000"/>
            </w:tcBorders>
            <w:shd w:val="clear" w:color="auto" w:fill="D2D2D2"/>
          </w:tcPr>
          <w:p>
            <w:pPr/>
          </w:p>
        </w:tc>
      </w:tr>
      <w:tr>
        <w:trPr>
          <w:trHeight w:val="142"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70"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5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8" w:right="-9"/>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24"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8" w:type="dxa"/>
            <w:vMerge/>
            <w:tcBorders>
              <w:left w:val="single" w:sz="4" w:space="0" w:color="000000"/>
              <w:right w:val="single" w:sz="4" w:space="0" w:color="000000"/>
            </w:tcBorders>
            <w:shd w:val="clear" w:color="auto" w:fill="D2D2D2"/>
          </w:tcPr>
          <w:p>
            <w:pPr/>
          </w:p>
        </w:tc>
        <w:tc>
          <w:tcPr>
            <w:tcW w:w="2692" w:type="dxa"/>
            <w:gridSpan w:val="4"/>
            <w:vMerge/>
            <w:tcBorders>
              <w:left w:val="single" w:sz="4" w:space="0" w:color="000000"/>
              <w:bottom w:val="single" w:sz="4" w:space="0" w:color="000000"/>
              <w:right w:val="single" w:sz="4" w:space="0" w:color="000000"/>
            </w:tcBorders>
            <w:shd w:val="clear" w:color="auto" w:fill="D2D2D2"/>
          </w:tcPr>
          <w:p>
            <w:pPr/>
          </w:p>
        </w:tc>
      </w:tr>
      <w:tr>
        <w:trPr>
          <w:trHeight w:val="252"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50"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8" w:type="dxa"/>
            <w:vMerge/>
            <w:tcBorders>
              <w:left w:val="single" w:sz="4" w:space="0" w:color="000000"/>
              <w:right w:val="single" w:sz="4" w:space="0" w:color="000000"/>
            </w:tcBorders>
            <w:shd w:val="clear" w:color="auto" w:fill="D2D2D2"/>
          </w:tcPr>
          <w:p>
            <w:pPr/>
          </w:p>
        </w:tc>
        <w:tc>
          <w:tcPr>
            <w:tcW w:w="13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4"/>
              <w:ind w:left="303"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4"/>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
        </w:tc>
        <w:tc>
          <w:tcPr>
            <w:tcW w:w="1412" w:type="dxa"/>
            <w:gridSpan w:val="2"/>
            <w:vMerge w:val="restart"/>
            <w:tcBorders>
              <w:top w:val="nil" w:sz="6" w:space="0" w:color="auto"/>
              <w:left w:val="single" w:sz="4" w:space="0" w:color="000000"/>
              <w:right w:val="single" w:sz="4" w:space="0" w:color="000000"/>
            </w:tcBorders>
            <w:shd w:val="clear" w:color="auto" w:fill="D2D2D2"/>
          </w:tcPr>
          <w:p>
            <w:pPr/>
          </w:p>
        </w:tc>
        <w:tc>
          <w:tcPr>
            <w:tcW w:w="750" w:type="dxa"/>
            <w:vMerge w:val="restart"/>
            <w:tcBorders>
              <w:top w:val="nil" w:sz="6" w:space="0" w:color="auto"/>
              <w:left w:val="single" w:sz="4" w:space="0" w:color="000000"/>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8" w:type="dxa"/>
            <w:vMerge/>
            <w:tcBorders>
              <w:left w:val="single" w:sz="4" w:space="0" w:color="000000"/>
              <w:right w:val="single" w:sz="4" w:space="0" w:color="000000"/>
            </w:tcBorders>
            <w:shd w:val="clear" w:color="auto" w:fill="D2D2D2"/>
          </w:tcPr>
          <w:p>
            <w:pPr/>
          </w:p>
        </w:tc>
        <w:tc>
          <w:tcPr>
            <w:tcW w:w="1343" w:type="dxa"/>
            <w:gridSpan w:val="2"/>
            <w:vMerge/>
            <w:tcBorders>
              <w:left w:val="single" w:sz="4" w:space="0" w:color="000000"/>
              <w:right w:val="single" w:sz="4" w:space="0" w:color="000000"/>
            </w:tcBorders>
            <w:shd w:val="clear" w:color="auto" w:fill="D2D2D2"/>
          </w:tcPr>
          <w:p>
            <w:pPr/>
          </w:p>
        </w:tc>
        <w:tc>
          <w:tcPr>
            <w:tcW w:w="1349" w:type="dxa"/>
            <w:gridSpan w:val="2"/>
            <w:vMerge/>
            <w:tcBorders>
              <w:left w:val="single" w:sz="4" w:space="0" w:color="000000"/>
              <w:right w:val="single" w:sz="4" w:space="0" w:color="000000"/>
            </w:tcBorders>
            <w:shd w:val="clear" w:color="auto" w:fill="D2D2D2"/>
          </w:tcPr>
          <w:p>
            <w:pPr/>
          </w:p>
        </w:tc>
      </w:tr>
      <w:tr>
        <w:trPr>
          <w:trHeight w:val="161"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50" w:type="dxa"/>
            <w:vMerge/>
            <w:tcBorders>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gridSpan w:val="2"/>
            <w:vMerge/>
            <w:tcBorders>
              <w:left w:val="single" w:sz="4" w:space="0" w:color="000000"/>
              <w:bottom w:val="single" w:sz="4" w:space="0" w:color="000000"/>
              <w:right w:val="single" w:sz="4" w:space="0" w:color="000000"/>
            </w:tcBorders>
            <w:shd w:val="clear" w:color="auto" w:fill="D2D2D2"/>
          </w:tcPr>
          <w:p>
            <w:pPr/>
          </w:p>
        </w:tc>
        <w:tc>
          <w:tcPr>
            <w:tcW w:w="823" w:type="dxa"/>
            <w:vMerge/>
            <w:tcBorders>
              <w:left w:val="single" w:sz="4" w:space="0" w:color="000000"/>
              <w:bottom w:val="single" w:sz="4" w:space="0" w:color="000000"/>
              <w:right w:val="single" w:sz="4" w:space="0" w:color="000000"/>
            </w:tcBorders>
            <w:shd w:val="clear" w:color="auto" w:fill="D2D2D2"/>
          </w:tcPr>
          <w:p>
            <w:pPr/>
          </w:p>
        </w:tc>
        <w:tc>
          <w:tcPr>
            <w:tcW w:w="808" w:type="dxa"/>
            <w:vMerge/>
            <w:tcBorders>
              <w:left w:val="single" w:sz="4" w:space="0" w:color="000000"/>
              <w:bottom w:val="single" w:sz="4" w:space="0" w:color="000000"/>
              <w:right w:val="single" w:sz="4" w:space="0" w:color="000000"/>
            </w:tcBorders>
            <w:shd w:val="clear" w:color="auto" w:fill="D2D2D2"/>
          </w:tcPr>
          <w:p>
            <w:pPr/>
          </w:p>
        </w:tc>
        <w:tc>
          <w:tcPr>
            <w:tcW w:w="1343" w:type="dxa"/>
            <w:gridSpan w:val="2"/>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28.36%</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14</w:t>
            </w:r>
          </w:p>
        </w:tc>
        <w:tc>
          <w:tcPr>
            <w:tcW w:w="790" w:type="dxa"/>
            <w:gridSpan w:val="2"/>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7"/>
              <w:jc w:val="right"/>
              <w:rPr>
                <w:rFonts w:ascii="Times New Roman" w:hAnsi="Times New Roman" w:cs="Times New Roman" w:eastAsia="Times New Roman" w:hint="default"/>
                <w:sz w:val="18"/>
                <w:szCs w:val="18"/>
              </w:rPr>
            </w:pPr>
            <w:r>
              <w:rPr>
                <w:rFonts w:ascii="Times New Roman"/>
                <w:spacing w:val="-1"/>
                <w:w w:val="95"/>
                <w:sz w:val="18"/>
              </w:rPr>
              <w:t>90,308,11</w:t>
            </w:r>
          </w:p>
          <w:p>
            <w:pPr>
              <w:pStyle w:val="TableParagraph"/>
              <w:spacing w:line="240" w:lineRule="auto" w:before="105"/>
              <w:ind w:right="58"/>
              <w:jc w:val="right"/>
              <w:rPr>
                <w:rFonts w:ascii="Times New Roman" w:hAnsi="Times New Roman" w:cs="Times New Roman" w:eastAsia="Times New Roman" w:hint="default"/>
                <w:sz w:val="18"/>
                <w:szCs w:val="18"/>
              </w:rPr>
            </w:pPr>
            <w:r>
              <w:rPr>
                <w:rFonts w:ascii="Times New Roman"/>
                <w:sz w:val="18"/>
              </w:rPr>
              <w:t>0</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30,102,70</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z w:val="18"/>
              </w:rPr>
              <w:t>4</w:t>
            </w:r>
          </w:p>
        </w:tc>
        <w:tc>
          <w:tcPr>
            <w:tcW w:w="1343" w:type="dxa"/>
            <w:gridSpan w:val="2"/>
            <w:tcBorders>
              <w:top w:val="single" w:sz="44" w:space="0" w:color="D2D2D2"/>
              <w:left w:val="single" w:sz="4" w:space="0" w:color="000000"/>
              <w:bottom w:val="single" w:sz="4" w:space="0" w:color="000000"/>
              <w:right w:val="single" w:sz="4" w:space="0" w:color="000000"/>
            </w:tcBorders>
          </w:tcPr>
          <w:p>
            <w:pPr>
              <w:pStyle w:val="TableParagraph"/>
              <w:spacing w:line="240" w:lineRule="auto" w:before="154"/>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2"/>
            <w:tcBorders>
              <w:top w:val="single" w:sz="44" w:space="0" w:color="D2D2D2"/>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97" w:right="0"/>
              <w:jc w:val="left"/>
              <w:rPr>
                <w:rFonts w:ascii="Times New Roman" w:hAnsi="Times New Roman" w:cs="Times New Roman" w:eastAsia="Times New Roman" w:hint="default"/>
                <w:sz w:val="18"/>
                <w:szCs w:val="18"/>
              </w:rPr>
            </w:pPr>
            <w:r>
              <w:rPr>
                <w:rFonts w:ascii="Times New Roman"/>
                <w:sz w:val="18"/>
              </w:rPr>
              <w:t>4,730,000</w:t>
            </w:r>
          </w:p>
        </w:tc>
      </w:tr>
      <w:tr>
        <w:trPr>
          <w:trHeight w:val="71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4.88%</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90" w:type="dxa"/>
            <w:gridSpan w:val="2"/>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7"/>
              <w:jc w:val="right"/>
              <w:rPr>
                <w:rFonts w:ascii="Times New Roman" w:hAnsi="Times New Roman" w:cs="Times New Roman" w:eastAsia="Times New Roman" w:hint="default"/>
                <w:sz w:val="18"/>
                <w:szCs w:val="18"/>
              </w:rPr>
            </w:pPr>
            <w:r>
              <w:rPr>
                <w:rFonts w:ascii="Times New Roman"/>
                <w:spacing w:val="-1"/>
                <w:sz w:val="18"/>
              </w:rPr>
              <w:t>15,544,34</w:t>
            </w:r>
          </w:p>
          <w:p>
            <w:pPr>
              <w:pStyle w:val="TableParagraph"/>
              <w:spacing w:line="240" w:lineRule="auto" w:before="105"/>
              <w:ind w:right="58"/>
              <w:jc w:val="right"/>
              <w:rPr>
                <w:rFonts w:ascii="Times New Roman" w:hAnsi="Times New Roman" w:cs="Times New Roman" w:eastAsia="Times New Roman" w:hint="default"/>
                <w:sz w:val="18"/>
                <w:szCs w:val="18"/>
              </w:rPr>
            </w:pPr>
            <w:r>
              <w:rPr>
                <w:rFonts w:ascii="Times New Roman"/>
                <w:sz w:val="18"/>
              </w:rPr>
              <w:t>7</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5,181,449</w:t>
            </w: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3"/>
              <w:jc w:val="both"/>
              <w:rPr>
                <w:rFonts w:ascii="宋体" w:hAnsi="宋体" w:cs="宋体" w:eastAsia="宋体" w:hint="default"/>
                <w:sz w:val="18"/>
                <w:szCs w:val="18"/>
              </w:rPr>
            </w:pPr>
            <w:r>
              <w:rPr>
                <w:rFonts w:ascii="宋体" w:hAnsi="宋体" w:cs="宋体" w:eastAsia="宋体" w:hint="default"/>
                <w:sz w:val="18"/>
                <w:szCs w:val="18"/>
              </w:rPr>
              <w:t>安徽省铁路发展 基金股份有限公 司</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1.99%</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8,450,940</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8,450,940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8,450,940</w:t>
            </w:r>
          </w:p>
        </w:tc>
        <w:tc>
          <w:tcPr>
            <w:tcW w:w="808" w:type="dxa"/>
            <w:tcBorders>
              <w:top w:val="single" w:sz="4" w:space="0" w:color="000000"/>
              <w:left w:val="single" w:sz="4" w:space="0" w:color="000000"/>
              <w:bottom w:val="single" w:sz="4" w:space="0" w:color="000000"/>
              <w:right w:val="single" w:sz="4" w:space="0" w:color="000000"/>
            </w:tcBorders>
          </w:tcPr>
          <w:p>
            <w:pPr/>
          </w:p>
        </w:tc>
        <w:tc>
          <w:tcPr>
            <w:tcW w:w="13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97" w:right="0"/>
              <w:jc w:val="left"/>
              <w:rPr>
                <w:rFonts w:ascii="Times New Roman" w:hAnsi="Times New Roman" w:cs="Times New Roman" w:eastAsia="Times New Roman" w:hint="default"/>
                <w:sz w:val="18"/>
                <w:szCs w:val="18"/>
              </w:rPr>
            </w:pPr>
            <w:r>
              <w:rPr>
                <w:rFonts w:ascii="Times New Roman"/>
                <w:sz w:val="18"/>
              </w:rPr>
              <w:t>4,225,000</w:t>
            </w:r>
          </w:p>
        </w:tc>
      </w:tr>
      <w:tr>
        <w:trPr>
          <w:trHeight w:val="40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1.97%</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8,357,724</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-394,400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7,089,093</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1,268,631</w:t>
            </w:r>
          </w:p>
        </w:tc>
        <w:tc>
          <w:tcPr>
            <w:tcW w:w="13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7" w:right="0"/>
              <w:jc w:val="left"/>
              <w:rPr>
                <w:rFonts w:ascii="Times New Roman" w:hAnsi="Times New Roman" w:cs="Times New Roman" w:eastAsia="Times New Roman" w:hint="default"/>
                <w:sz w:val="18"/>
                <w:szCs w:val="18"/>
              </w:rPr>
            </w:pPr>
            <w:r>
              <w:rPr>
                <w:rFonts w:ascii="Times New Roman"/>
                <w:sz w:val="18"/>
              </w:rPr>
              <w:t>5,850,000</w:t>
            </w:r>
          </w:p>
        </w:tc>
      </w:tr>
      <w:tr>
        <w:trPr>
          <w:trHeight w:val="71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邵献军</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1.79%</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7,585,794</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-2,180,50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823"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7,585,794</w:t>
            </w: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张蕾</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1.67%</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7,087,546</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-100,000</w:t>
            </w:r>
          </w:p>
        </w:tc>
        <w:tc>
          <w:tcPr>
            <w:tcW w:w="823"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7,087,546</w:t>
            </w:r>
          </w:p>
        </w:tc>
        <w:tc>
          <w:tcPr>
            <w:tcW w:w="13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1" w:right="0"/>
              <w:jc w:val="left"/>
              <w:rPr>
                <w:rFonts w:ascii="Times New Roman" w:hAnsi="Times New Roman" w:cs="Times New Roman" w:eastAsia="Times New Roman" w:hint="default"/>
                <w:sz w:val="18"/>
                <w:szCs w:val="18"/>
              </w:rPr>
            </w:pPr>
            <w:r>
              <w:rPr>
                <w:rFonts w:ascii="Times New Roman"/>
                <w:sz w:val="18"/>
              </w:rPr>
              <w:t>810,000</w:t>
            </w:r>
          </w:p>
        </w:tc>
      </w:tr>
      <w:tr>
        <w:trPr>
          <w:trHeight w:val="401"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李国忠</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1.62%</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6,878,556</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-95,000</w:t>
            </w:r>
          </w:p>
        </w:tc>
        <w:tc>
          <w:tcPr>
            <w:tcW w:w="823"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6,878,556</w:t>
            </w: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227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北信瑞丰基金－ 招商银行－中国 对外经济贸易信 托－外贸信托－ 银河投资智远</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号 私募证券投资基 金</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1.14%</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4,856,988</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4,856,988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4,856,988</w:t>
            </w:r>
          </w:p>
        </w:tc>
        <w:tc>
          <w:tcPr>
            <w:tcW w:w="808" w:type="dxa"/>
            <w:tcBorders>
              <w:top w:val="single" w:sz="4" w:space="0" w:color="000000"/>
              <w:left w:val="single" w:sz="4" w:space="0" w:color="000000"/>
              <w:bottom w:val="single" w:sz="4" w:space="0" w:color="000000"/>
              <w:right w:val="single" w:sz="4" w:space="0" w:color="000000"/>
            </w:tcBorders>
          </w:tcPr>
          <w:p>
            <w:pP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3"/>
              <w:jc w:val="left"/>
              <w:rPr>
                <w:rFonts w:ascii="宋体" w:hAnsi="宋体" w:cs="宋体" w:eastAsia="宋体" w:hint="default"/>
                <w:sz w:val="18"/>
                <w:szCs w:val="18"/>
              </w:rPr>
            </w:pPr>
            <w:r>
              <w:rPr>
                <w:rFonts w:ascii="宋体" w:hAnsi="宋体" w:cs="宋体" w:eastAsia="宋体" w:hint="default"/>
                <w:sz w:val="18"/>
                <w:szCs w:val="18"/>
              </w:rPr>
              <w:t>全国社保基金五 零一组合</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0.76%</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3,237,992</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3,237,992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3,237,992</w:t>
            </w:r>
          </w:p>
        </w:tc>
        <w:tc>
          <w:tcPr>
            <w:tcW w:w="808" w:type="dxa"/>
            <w:tcBorders>
              <w:top w:val="single" w:sz="4" w:space="0" w:color="000000"/>
              <w:left w:val="single" w:sz="4" w:space="0" w:color="000000"/>
              <w:bottom w:val="single" w:sz="4" w:space="0" w:color="000000"/>
              <w:right w:val="single" w:sz="4" w:space="0" w:color="000000"/>
            </w:tcBorders>
          </w:tcPr>
          <w:p>
            <w:pP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0.55%</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left"/>
              <w:rPr>
                <w:rFonts w:ascii="Times New Roman" w:hAnsi="Times New Roman" w:cs="Times New Roman" w:eastAsia="Times New Roman" w:hint="default"/>
                <w:sz w:val="18"/>
                <w:szCs w:val="18"/>
              </w:rPr>
            </w:pPr>
            <w:r>
              <w:rPr>
                <w:rFonts w:ascii="Times New Roman"/>
                <w:sz w:val="18"/>
              </w:rPr>
              <w:t>2,319,800</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-300,000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1,964,850</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354,950</w:t>
            </w:r>
          </w:p>
        </w:tc>
        <w:tc>
          <w:tcPr>
            <w:tcW w:w="1343"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2"/>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2881" w:type="dxa"/>
            <w:gridSpan w:val="4"/>
            <w:tcBorders>
              <w:top w:val="single" w:sz="4" w:space="0" w:color="000000"/>
              <w:left w:val="single" w:sz="4" w:space="0" w:color="000000"/>
              <w:bottom w:val="nil" w:sz="6" w:space="0" w:color="auto"/>
              <w:right w:val="single" w:sz="4" w:space="0" w:color="000000"/>
            </w:tcBorders>
            <w:shd w:val="clear" w:color="auto" w:fill="D2D2D2"/>
          </w:tcPr>
          <w:p>
            <w:pPr/>
          </w:p>
        </w:tc>
        <w:tc>
          <w:tcPr>
            <w:tcW w:w="6687" w:type="dxa"/>
            <w:gridSpan w:val="10"/>
            <w:vMerge w:val="restart"/>
            <w:tcBorders>
              <w:top w:val="single" w:sz="4" w:space="0" w:color="000000"/>
              <w:left w:val="single" w:sz="9" w:space="0" w:color="D2D2D2"/>
              <w:right w:val="single" w:sz="4" w:space="0" w:color="000000"/>
            </w:tcBorders>
          </w:tcPr>
          <w:p>
            <w:pPr>
              <w:pStyle w:val="TableParagraph"/>
              <w:spacing w:line="316" w:lineRule="auto" w:before="49"/>
              <w:ind w:left="17" w:right="19"/>
              <w:jc w:val="left"/>
              <w:rPr>
                <w:rFonts w:ascii="宋体" w:hAnsi="宋体" w:cs="宋体" w:eastAsia="宋体" w:hint="default"/>
                <w:sz w:val="18"/>
                <w:szCs w:val="18"/>
              </w:rPr>
            </w:pPr>
            <w:r>
              <w:rPr>
                <w:rFonts w:ascii="宋体" w:hAnsi="宋体" w:cs="宋体" w:eastAsia="宋体" w:hint="default"/>
                <w:spacing w:val="-1"/>
                <w:sz w:val="18"/>
                <w:szCs w:val="18"/>
              </w:rPr>
              <w:t>安徽省铁路发展基金股份有限公司、北信瑞丰基金－招商银行－中国对外经济贸易信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托－外贸信托－银河投资智远</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号私募证券投资基金、全国社保基金五零一组合东因</w:t>
            </w:r>
          </w:p>
          <w:p>
            <w:pPr>
              <w:pStyle w:val="TableParagraph"/>
              <w:spacing w:line="248" w:lineRule="exact"/>
              <w:ind w:left="17" w:right="0"/>
              <w:jc w:val="left"/>
              <w:rPr>
                <w:rFonts w:ascii="宋体" w:hAnsi="宋体" w:cs="宋体" w:eastAsia="宋体" w:hint="default"/>
                <w:sz w:val="18"/>
                <w:szCs w:val="18"/>
              </w:rPr>
            </w:pPr>
            <w:r>
              <w:rPr>
                <w:rFonts w:ascii="宋体" w:hAnsi="宋体" w:cs="宋体" w:eastAsia="宋体" w:hint="default"/>
                <w:sz w:val="18"/>
                <w:szCs w:val="18"/>
              </w:rPr>
              <w:t>公司非公开发行股票成为公司前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名股东，其所持股份为有限售条件股份，锁定期</w:t>
            </w:r>
          </w:p>
          <w:p>
            <w:pPr>
              <w:pStyle w:val="TableParagraph"/>
              <w:spacing w:line="240" w:lineRule="auto" w:before="63"/>
              <w:ind w:left="17" w:right="0"/>
              <w:jc w:val="left"/>
              <w:rPr>
                <w:rFonts w:ascii="宋体" w:hAnsi="宋体" w:cs="宋体" w:eastAsia="宋体" w:hint="default"/>
                <w:sz w:val="18"/>
                <w:szCs w:val="18"/>
              </w:rPr>
            </w:pPr>
            <w:r>
              <w:rPr>
                <w:rFonts w:ascii="宋体" w:hAnsi="宋体" w:cs="宋体" w:eastAsia="宋体" w:hint="default"/>
                <w:sz w:val="18"/>
                <w:szCs w:val="18"/>
              </w:rPr>
              <w:t>一年即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r>
      <w:tr>
        <w:trPr>
          <w:trHeight w:val="1015" w:hRule="exact"/>
        </w:trPr>
        <w:tc>
          <w:tcPr>
            <w:tcW w:w="2881" w:type="dxa"/>
            <w:gridSpan w:val="4"/>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9" w:lineRule="auto" w:before="49"/>
              <w:ind w:left="24" w:right="22"/>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7" w:type="dxa"/>
            <w:gridSpan w:val="10"/>
            <w:vMerge/>
            <w:tcBorders>
              <w:left w:val="single" w:sz="9" w:space="0" w:color="D2D2D2"/>
              <w:right w:val="single" w:sz="4" w:space="0" w:color="000000"/>
            </w:tcBorders>
          </w:tcPr>
          <w:p>
            <w:pPr/>
          </w:p>
        </w:tc>
      </w:tr>
      <w:tr>
        <w:trPr>
          <w:trHeight w:val="161" w:hRule="exact"/>
        </w:trPr>
        <w:tc>
          <w:tcPr>
            <w:tcW w:w="2881" w:type="dxa"/>
            <w:gridSpan w:val="4"/>
            <w:tcBorders>
              <w:top w:val="nil" w:sz="6" w:space="0" w:color="auto"/>
              <w:left w:val="single" w:sz="4" w:space="0" w:color="000000"/>
              <w:bottom w:val="single" w:sz="4" w:space="0" w:color="000000"/>
              <w:right w:val="single" w:sz="4" w:space="0" w:color="000000"/>
            </w:tcBorders>
            <w:shd w:val="clear" w:color="auto" w:fill="D2D2D2"/>
          </w:tcPr>
          <w:p>
            <w:pPr/>
          </w:p>
        </w:tc>
        <w:tc>
          <w:tcPr>
            <w:tcW w:w="6687" w:type="dxa"/>
            <w:gridSpan w:val="10"/>
            <w:vMerge/>
            <w:tcBorders>
              <w:left w:val="single" w:sz="9" w:space="0" w:color="D2D2D2"/>
              <w:bottom w:val="single" w:sz="4" w:space="0" w:color="000000"/>
              <w:right w:val="single" w:sz="4" w:space="0" w:color="000000"/>
            </w:tcBorders>
          </w:tcPr>
          <w:p>
            <w:pPr/>
          </w:p>
        </w:tc>
      </w:tr>
      <w:tr>
        <w:trPr>
          <w:trHeight w:val="715" w:hRule="exact"/>
        </w:trPr>
        <w:tc>
          <w:tcPr>
            <w:tcW w:w="28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5"/>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7" w:type="dxa"/>
            <w:gridSpan w:val="10"/>
            <w:tcBorders>
              <w:top w:val="single" w:sz="4" w:space="0" w:color="000000"/>
              <w:left w:val="single" w:sz="9" w:space="0" w:color="D2D2D2"/>
              <w:bottom w:val="single" w:sz="4" w:space="0" w:color="000000"/>
              <w:right w:val="single" w:sz="4" w:space="0" w:color="000000"/>
            </w:tcBorders>
          </w:tcPr>
          <w:p>
            <w:pPr>
              <w:pStyle w:val="TableParagraph"/>
              <w:spacing w:line="316" w:lineRule="auto" w:before="49"/>
              <w:ind w:left="17" w:right="20"/>
              <w:jc w:val="left"/>
              <w:rPr>
                <w:rFonts w:ascii="宋体" w:hAnsi="宋体" w:cs="宋体" w:eastAsia="宋体" w:hint="default"/>
                <w:sz w:val="18"/>
                <w:szCs w:val="18"/>
              </w:rPr>
            </w:pPr>
            <w:r>
              <w:rPr>
                <w:rFonts w:ascii="宋体" w:hAnsi="宋体" w:cs="宋体" w:eastAsia="宋体" w:hint="default"/>
                <w:spacing w:val="-1"/>
                <w:sz w:val="18"/>
                <w:szCs w:val="18"/>
              </w:rPr>
              <w:t>上述股东之间，未知是否存在关联关系或属于《上市公司股东持股变动信息披露管理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办法》规定的一致行动人。</w:t>
            </w:r>
          </w:p>
        </w:tc>
      </w:tr>
      <w:tr>
        <w:trPr>
          <w:trHeight w:val="401" w:hRule="exact"/>
        </w:trPr>
        <w:tc>
          <w:tcPr>
            <w:tcW w:w="9568"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06" w:hRule="exact"/>
        </w:trPr>
        <w:tc>
          <w:tcPr>
            <w:tcW w:w="2881" w:type="dxa"/>
            <w:gridSpan w:val="4"/>
            <w:tcBorders>
              <w:top w:val="single" w:sz="4" w:space="0" w:color="000000"/>
              <w:left w:val="single" w:sz="4" w:space="0" w:color="000000"/>
              <w:bottom w:val="nil" w:sz="6" w:space="0" w:color="auto"/>
              <w:right w:val="single" w:sz="4" w:space="0" w:color="000000"/>
            </w:tcBorders>
            <w:shd w:val="clear" w:color="auto" w:fill="D2D2D2"/>
          </w:tcPr>
          <w:p>
            <w:pPr/>
          </w:p>
        </w:tc>
        <w:tc>
          <w:tcPr>
            <w:tcW w:w="3995" w:type="dxa"/>
            <w:gridSpan w:val="6"/>
            <w:tcBorders>
              <w:top w:val="single" w:sz="4" w:space="0" w:color="000000"/>
              <w:left w:val="single" w:sz="4" w:space="0" w:color="000000"/>
              <w:bottom w:val="nil" w:sz="6" w:space="0" w:color="auto"/>
              <w:right w:val="single" w:sz="4" w:space="0" w:color="000000"/>
            </w:tcBorders>
            <w:shd w:val="clear" w:color="auto" w:fill="D2D2D2"/>
          </w:tcPr>
          <w:p>
            <w:pPr/>
          </w:p>
        </w:tc>
        <w:tc>
          <w:tcPr>
            <w:tcW w:w="2692"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2" w:hRule="exact"/>
        </w:trPr>
        <w:tc>
          <w:tcPr>
            <w:tcW w:w="2881" w:type="dxa"/>
            <w:gridSpan w:val="4"/>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5" w:type="dxa"/>
            <w:gridSpan w:val="6"/>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40"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2"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881" w:type="dxa"/>
            <w:gridSpan w:val="4"/>
            <w:vMerge/>
            <w:tcBorders>
              <w:left w:val="single" w:sz="4" w:space="0" w:color="000000"/>
              <w:bottom w:val="nil" w:sz="6" w:space="0" w:color="auto"/>
              <w:right w:val="single" w:sz="4" w:space="0" w:color="000000"/>
            </w:tcBorders>
            <w:shd w:val="clear" w:color="auto" w:fill="D2D2D2"/>
          </w:tcPr>
          <w:p>
            <w:pPr/>
          </w:p>
        </w:tc>
        <w:tc>
          <w:tcPr>
            <w:tcW w:w="3995" w:type="dxa"/>
            <w:gridSpan w:val="6"/>
            <w:vMerge/>
            <w:tcBorders>
              <w:left w:val="single" w:sz="4" w:space="0" w:color="000000"/>
              <w:bottom w:val="nil" w:sz="6" w:space="0" w:color="auto"/>
              <w:right w:val="single" w:sz="4" w:space="0" w:color="000000"/>
            </w:tcBorders>
            <w:shd w:val="clear" w:color="auto" w:fill="D2D2D2"/>
          </w:tcPr>
          <w:p>
            <w:pPr/>
          </w:p>
        </w:tc>
        <w:tc>
          <w:tcPr>
            <w:tcW w:w="13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03"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4" w:hRule="exact"/>
        </w:trPr>
        <w:tc>
          <w:tcPr>
            <w:tcW w:w="2881" w:type="dxa"/>
            <w:gridSpan w:val="4"/>
            <w:tcBorders>
              <w:top w:val="nil" w:sz="6" w:space="0" w:color="auto"/>
              <w:left w:val="single" w:sz="4" w:space="0" w:color="000000"/>
              <w:bottom w:val="single" w:sz="4" w:space="0" w:color="000000"/>
              <w:right w:val="single" w:sz="4" w:space="0" w:color="000000"/>
            </w:tcBorders>
            <w:shd w:val="clear" w:color="auto" w:fill="D2D2D2"/>
          </w:tcPr>
          <w:p>
            <w:pPr/>
          </w:p>
        </w:tc>
        <w:tc>
          <w:tcPr>
            <w:tcW w:w="3995" w:type="dxa"/>
            <w:gridSpan w:val="6"/>
            <w:tcBorders>
              <w:top w:val="nil" w:sz="6" w:space="0" w:color="auto"/>
              <w:left w:val="single" w:sz="4" w:space="0" w:color="000000"/>
              <w:bottom w:val="single" w:sz="4" w:space="0" w:color="000000"/>
              <w:right w:val="single" w:sz="4" w:space="0" w:color="000000"/>
            </w:tcBorders>
            <w:shd w:val="clear" w:color="auto" w:fill="D2D2D2"/>
          </w:tcPr>
          <w:p>
            <w:pPr/>
          </w:p>
        </w:tc>
        <w:tc>
          <w:tcPr>
            <w:tcW w:w="1343" w:type="dxa"/>
            <w:gridSpan w:val="2"/>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88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399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1"/>
                <w:sz w:val="18"/>
              </w:rPr>
              <w:t>30,102,704</w:t>
            </w:r>
          </w:p>
        </w:tc>
        <w:tc>
          <w:tcPr>
            <w:tcW w:w="13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6" w:right="0"/>
              <w:jc w:val="left"/>
              <w:rPr>
                <w:rFonts w:ascii="Times New Roman" w:hAnsi="Times New Roman" w:cs="Times New Roman" w:eastAsia="Times New Roman" w:hint="default"/>
                <w:sz w:val="18"/>
                <w:szCs w:val="18"/>
              </w:rPr>
            </w:pPr>
            <w:r>
              <w:rPr>
                <w:rFonts w:ascii="Times New Roman"/>
                <w:sz w:val="18"/>
              </w:rPr>
              <w:t>30,102,704</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881"/>
        <w:gridCol w:w="3989"/>
        <w:gridCol w:w="1349"/>
        <w:gridCol w:w="1349"/>
      </w:tblGrid>
      <w:tr>
        <w:trPr>
          <w:trHeight w:val="401"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邵献军</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7,585,794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7,585,794</w:t>
            </w:r>
          </w:p>
        </w:tc>
      </w:tr>
      <w:tr>
        <w:trPr>
          <w:trHeight w:val="403"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张蕾</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7,087,546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7,087,546</w:t>
            </w:r>
          </w:p>
        </w:tc>
      </w:tr>
      <w:tr>
        <w:trPr>
          <w:trHeight w:val="401"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李国忠</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6,878,556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6,878,556</w:t>
            </w:r>
          </w:p>
        </w:tc>
      </w:tr>
      <w:tr>
        <w:trPr>
          <w:trHeight w:val="403"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5,181,449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5,181,449</w:t>
            </w:r>
          </w:p>
        </w:tc>
      </w:tr>
      <w:tr>
        <w:trPr>
          <w:trHeight w:val="401"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徐单婵</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2,180,000</w:t>
            </w:r>
          </w:p>
        </w:tc>
      </w:tr>
      <w:tr>
        <w:trPr>
          <w:trHeight w:val="403"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陈睿</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1,564,273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1,564,273</w:t>
            </w:r>
          </w:p>
        </w:tc>
      </w:tr>
      <w:tr>
        <w:trPr>
          <w:trHeight w:val="401"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1,268,631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1,268,631</w:t>
            </w:r>
          </w:p>
        </w:tc>
      </w:tr>
      <w:tr>
        <w:trPr>
          <w:trHeight w:val="403"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杨华</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1,217,000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1,217,000</w:t>
            </w:r>
          </w:p>
        </w:tc>
      </w:tr>
      <w:tr>
        <w:trPr>
          <w:trHeight w:val="1025"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5"/>
              <w:jc w:val="both"/>
              <w:rPr>
                <w:rFonts w:ascii="宋体" w:hAnsi="宋体" w:cs="宋体" w:eastAsia="宋体" w:hint="default"/>
                <w:sz w:val="18"/>
                <w:szCs w:val="18"/>
              </w:rPr>
            </w:pPr>
            <w:r>
              <w:rPr>
                <w:rFonts w:ascii="宋体" w:hAnsi="宋体" w:cs="宋体" w:eastAsia="宋体" w:hint="default"/>
                <w:sz w:val="18"/>
                <w:szCs w:val="18"/>
              </w:rPr>
              <w:t>中国工商银行股份有限公司－易方 达创业板交易型开放式指数证券投 资基金</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1,211,800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1,211,800</w:t>
            </w:r>
          </w:p>
        </w:tc>
      </w:tr>
      <w:tr>
        <w:trPr>
          <w:trHeight w:val="1339" w:hRule="exact"/>
        </w:trPr>
        <w:tc>
          <w:tcPr>
            <w:tcW w:w="2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名无限售流通股股东之间，以</w:t>
            </w:r>
          </w:p>
          <w:p>
            <w:pPr>
              <w:pStyle w:val="TableParagraph"/>
              <w:spacing w:line="309" w:lineRule="auto" w:before="60"/>
              <w:ind w:left="24" w:right="17"/>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名股东之间关联关系或一致行动的 说明</w:t>
            </w:r>
          </w:p>
        </w:tc>
        <w:tc>
          <w:tcPr>
            <w:tcW w:w="66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23" w:right="20"/>
              <w:jc w:val="left"/>
              <w:rPr>
                <w:rFonts w:ascii="宋体" w:hAnsi="宋体" w:cs="宋体" w:eastAsia="宋体" w:hint="default"/>
                <w:sz w:val="18"/>
                <w:szCs w:val="18"/>
              </w:rPr>
            </w:pPr>
            <w:r>
              <w:rPr>
                <w:rFonts w:ascii="宋体" w:hAnsi="宋体" w:cs="宋体" w:eastAsia="宋体" w:hint="default"/>
                <w:spacing w:val="-1"/>
                <w:sz w:val="18"/>
                <w:szCs w:val="18"/>
              </w:rPr>
              <w:t>上述股东之间，未知是否存在关联关系或属于《上市公司股东持股变动信息披露管理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办法》规定的一致行动人。</w:t>
            </w:r>
          </w:p>
        </w:tc>
      </w:tr>
      <w:tr>
        <w:trPr>
          <w:trHeight w:val="715" w:hRule="exact"/>
        </w:trPr>
        <w:tc>
          <w:tcPr>
            <w:tcW w:w="2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pacing w:val="-4"/>
                <w:sz w:val="18"/>
                <w:szCs w:val="18"/>
              </w:rPr>
              <w:t>参与融资融券业务股东情况说明（如</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6"/>
                <w:sz w:val="18"/>
                <w:szCs w:val="18"/>
              </w:rPr>
              <w:t>有）（参见注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1"/>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before="103"/>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、公司控股股东情况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52" w:right="7614"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tbl>
      <w:tblPr>
        <w:tblW w:w="0" w:type="auto"/>
        <w:jc w:val="left"/>
        <w:tblInd w:w="148" w:type="dxa"/>
        <w:tblLayout w:type="fixed"/>
        <w:tblCellMar>
          <w:top w:w="0" w:type="dxa"/>
          <w:left w:w="0" w:type="dxa"/>
          <w:bottom w:w="0" w:type="dxa"/>
          <w:right w:w="0" w:type="dxa"/>
        </w:tblCellMar>
        <w:tblLook w:val="01E0"/>
      </w:tblPr>
      <w:tblGrid>
        <w:gridCol w:w="3419"/>
        <w:gridCol w:w="2031"/>
        <w:gridCol w:w="4119"/>
      </w:tblGrid>
      <w:tr>
        <w:trPr>
          <w:trHeight w:val="401"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3" w:hRule="exact"/>
        </w:trPr>
        <w:tc>
          <w:tcPr>
            <w:tcW w:w="3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公司董事长、控股股东及实际控制人</w:t>
            </w:r>
          </w:p>
        </w:tc>
      </w:tr>
      <w:tr>
        <w:trPr>
          <w:trHeight w:val="715"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4"/>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8"/>
        <w:ind w:left="152" w:right="153"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40" w:lineRule="auto" w:before="115"/>
        <w:ind w:left="152" w:right="70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公司报告期控股股东未发生变更。</w:t>
      </w:r>
    </w:p>
    <w:p>
      <w:pPr>
        <w:spacing w:line="240" w:lineRule="auto" w:before="3"/>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、公司实际控制人情况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52" w:right="7434" w:firstLine="0"/>
        <w:jc w:val="left"/>
        <w:rPr>
          <w:rFonts w:ascii="宋体" w:hAnsi="宋体" w:cs="宋体" w:eastAsia="宋体" w:hint="default"/>
          <w:sz w:val="18"/>
          <w:szCs w:val="18"/>
        </w:rPr>
      </w:pPr>
      <w:r>
        <w:rPr>
          <w:rFonts w:ascii="宋体" w:hAnsi="宋体" w:cs="宋体" w:eastAsia="宋体" w:hint="default"/>
          <w:sz w:val="18"/>
          <w:szCs w:val="18"/>
        </w:rPr>
        <w:t>实际控制人性质：境外自然人 实际控制人类型：自然人</w:t>
      </w:r>
    </w:p>
    <w:p>
      <w:pPr>
        <w:spacing w:after="0" w:line="36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337"/>
        <w:gridCol w:w="2057"/>
        <w:gridCol w:w="4177"/>
      </w:tblGrid>
      <w:tr>
        <w:trPr>
          <w:trHeight w:val="401" w:hRule="exact"/>
        </w:trPr>
        <w:tc>
          <w:tcPr>
            <w:tcW w:w="3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32"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3"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3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2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公司董事长、控股股东及实际控制人</w:t>
            </w:r>
          </w:p>
        </w:tc>
      </w:tr>
      <w:tr>
        <w:trPr>
          <w:trHeight w:val="403" w:hRule="exact"/>
        </w:trPr>
        <w:tc>
          <w:tcPr>
            <w:tcW w:w="3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年曾控股的境内外上市公司情况</w:t>
            </w:r>
          </w:p>
        </w:tc>
        <w:tc>
          <w:tcPr>
            <w:tcW w:w="62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50" w:lineRule="auto" w:before="115"/>
        <w:ind w:left="152" w:right="58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line="240" w:lineRule="auto" w:before="7"/>
        <w:rPr>
          <w:rFonts w:ascii="宋体" w:hAnsi="宋体" w:cs="宋体" w:eastAsia="宋体" w:hint="default"/>
          <w:sz w:val="15"/>
          <w:szCs w:val="15"/>
        </w:rPr>
      </w:pPr>
    </w:p>
    <w:p>
      <w:pPr>
        <w:spacing w:line="3390" w:lineRule="exact"/>
        <w:ind w:left="1355" w:right="0" w:firstLine="0"/>
        <w:rPr>
          <w:rFonts w:ascii="宋体" w:hAnsi="宋体" w:cs="宋体" w:eastAsia="宋体" w:hint="default"/>
          <w:sz w:val="20"/>
          <w:szCs w:val="20"/>
        </w:rPr>
      </w:pPr>
      <w:r>
        <w:rPr>
          <w:rFonts w:ascii="宋体" w:hAnsi="宋体" w:cs="宋体" w:eastAsia="宋体" w:hint="default"/>
          <w:position w:val="-67"/>
          <w:sz w:val="20"/>
          <w:szCs w:val="20"/>
        </w:rPr>
        <w:drawing>
          <wp:inline distT="0" distB="0" distL="0" distR="0">
            <wp:extent cx="4592235" cy="2152650"/>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8" cstate="print"/>
                    <a:stretch>
                      <a:fillRect/>
                    </a:stretch>
                  </pic:blipFill>
                  <pic:spPr>
                    <a:xfrm>
                      <a:off x="0" y="0"/>
                      <a:ext cx="4592235" cy="2152650"/>
                    </a:xfrm>
                    <a:prstGeom prst="rect">
                      <a:avLst/>
                    </a:prstGeom>
                  </pic:spPr>
                </pic:pic>
              </a:graphicData>
            </a:graphic>
          </wp:inline>
        </w:drawing>
      </w:r>
      <w:r>
        <w:rPr>
          <w:rFonts w:ascii="宋体" w:hAnsi="宋体" w:cs="宋体" w:eastAsia="宋体" w:hint="default"/>
          <w:position w:val="-67"/>
          <w:sz w:val="20"/>
          <w:szCs w:val="20"/>
        </w:rPr>
      </w:r>
    </w:p>
    <w:p>
      <w:pPr>
        <w:spacing w:line="240" w:lineRule="auto" w:before="2"/>
        <w:rPr>
          <w:rFonts w:ascii="宋体" w:hAnsi="宋体" w:cs="宋体" w:eastAsia="宋体" w:hint="default"/>
          <w:sz w:val="14"/>
          <w:szCs w:val="14"/>
        </w:rPr>
      </w:pPr>
    </w:p>
    <w:p>
      <w:pPr>
        <w:pStyle w:val="BodyText"/>
        <w:spacing w:line="240" w:lineRule="auto" w:before="0"/>
        <w:ind w:right="153"/>
        <w:jc w:val="left"/>
      </w:pPr>
      <w:r>
        <w:rPr/>
        <w:t>实际控制人通过信托或其他资产管理方式控制公司</w:t>
      </w:r>
    </w:p>
    <w:p>
      <w:pPr>
        <w:spacing w:line="240" w:lineRule="auto" w:before="10"/>
        <w:rPr>
          <w:rFonts w:ascii="宋体" w:hAnsi="宋体" w:cs="宋体" w:eastAsia="宋体" w:hint="default"/>
          <w:sz w:val="18"/>
          <w:szCs w:val="18"/>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、其他持股在</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以上的法人股东</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、控股股东、实际控制人、重组方及其他承诺主体股份限制减持情况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153"/>
        <w:jc w:val="left"/>
        <w:rPr>
          <w:b w:val="0"/>
          <w:bCs w:val="0"/>
        </w:rPr>
      </w:pPr>
      <w:bookmarkStart w:name="_bookmark6" w:id="7"/>
      <w:bookmarkEnd w:id="7"/>
      <w:r>
        <w:rPr>
          <w:b w:val="0"/>
          <w:bCs w:val="0"/>
        </w:rPr>
      </w:r>
      <w:r>
        <w:rPr/>
        <w:t>第七节</w:t>
      </w:r>
      <w:r>
        <w:rPr>
          <w:spacing w:val="-6"/>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spacing w:line="338" w:lineRule="auto" w:before="44"/>
        <w:ind w:left="152" w:right="76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679" w:right="153"/>
        <w:jc w:val="left"/>
        <w:rPr>
          <w:b w:val="0"/>
          <w:bCs w:val="0"/>
        </w:rPr>
      </w:pPr>
      <w:bookmarkStart w:name="_bookmark7" w:id="8"/>
      <w:bookmarkEnd w:id="8"/>
      <w:r>
        <w:rPr>
          <w:b w:val="0"/>
          <w:bCs w:val="0"/>
        </w:rPr>
      </w:r>
      <w:r>
        <w:rPr/>
        <w:t>第八节</w:t>
      </w:r>
      <w:r>
        <w:rPr>
          <w:spacing w:val="-8"/>
        </w:rPr>
        <w:t> </w:t>
      </w:r>
      <w:r>
        <w:rPr/>
        <w:t>董事、监事、高级管理人员和员工情况</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153"/>
        <w:jc w:val="left"/>
        <w:rPr>
          <w:b w:val="0"/>
          <w:bCs w:val="0"/>
        </w:rPr>
      </w:pP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1027"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44" w:firstLine="9"/>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14</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董事、总 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2,619,800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2,319,800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9,452,124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394,400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8,357,724</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4"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2,184,200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1,984,200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董事、副 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816,250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204,063</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612,187</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许菲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幸帮艳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675" w:hRule="exact"/>
        </w:trPr>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邵建平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401"/>
              <w:jc w:val="righ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both"/>
              <w:rPr>
                <w:rFonts w:ascii="宋体" w:hAnsi="宋体" w:cs="宋体" w:eastAsia="宋体" w:hint="default"/>
                <w:sz w:val="18"/>
                <w:szCs w:val="18"/>
              </w:rPr>
            </w:pPr>
            <w:r>
              <w:rPr>
                <w:rFonts w:ascii="宋体" w:hAnsi="宋体" w:cs="宋体" w:eastAsia="宋体" w:hint="default"/>
                <w:sz w:val="18"/>
                <w:szCs w:val="18"/>
              </w:rPr>
              <w:t>董事会秘 书、副总 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殷小敏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23" w:right="41"/>
              <w:jc w:val="left"/>
              <w:rPr>
                <w:rFonts w:ascii="宋体" w:hAnsi="宋体" w:cs="宋体" w:eastAsia="宋体" w:hint="default"/>
                <w:sz w:val="18"/>
                <w:szCs w:val="18"/>
              </w:rPr>
            </w:pPr>
            <w:r>
              <w:rPr>
                <w:rFonts w:ascii="宋体" w:hAnsi="宋体" w:cs="宋体" w:eastAsia="宋体" w:hint="default"/>
                <w:sz w:val="18"/>
                <w:szCs w:val="18"/>
              </w:rPr>
              <w:t>财务负责 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473,000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473,000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157,081,9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1,098,463</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155,283,5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21</w:t>
            </w:r>
          </w:p>
        </w:tc>
      </w:tr>
    </w:tbl>
    <w:p>
      <w:pPr>
        <w:spacing w:line="240" w:lineRule="auto" w:before="1"/>
        <w:rPr>
          <w:rFonts w:ascii="宋体" w:hAnsi="宋体" w:cs="宋体" w:eastAsia="宋体" w:hint="default"/>
          <w:b/>
          <w:bCs/>
          <w:sz w:val="18"/>
          <w:szCs w:val="18"/>
        </w:rPr>
      </w:pPr>
    </w:p>
    <w:p>
      <w:pPr>
        <w:pStyle w:val="Heading2"/>
        <w:spacing w:line="240" w:lineRule="auto" w:before="26"/>
        <w:ind w:right="96"/>
        <w:jc w:val="left"/>
        <w:rPr>
          <w:b w:val="0"/>
          <w:bCs w:val="0"/>
        </w:rPr>
      </w:pP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6"/>
        <w:jc w:val="left"/>
        <w:rPr>
          <w:b w:val="0"/>
          <w:bCs w:val="0"/>
        </w:rPr>
      </w:pPr>
      <w:r>
        <w:rPr/>
        <w:t>三、任职情况</w:t>
      </w:r>
      <w:r>
        <w:rPr>
          <w:b w:val="0"/>
          <w:bCs w:val="0"/>
        </w:rPr>
      </w:r>
    </w:p>
    <w:p>
      <w:pPr>
        <w:spacing w:line="240" w:lineRule="auto" w:before="7"/>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pStyle w:val="BodyText"/>
        <w:spacing w:line="240" w:lineRule="auto" w:before="148"/>
        <w:ind w:left="633" w:right="96"/>
        <w:jc w:val="left"/>
      </w:pPr>
      <w:r>
        <w:rPr>
          <w:rFonts w:ascii="宋体" w:hAnsi="宋体" w:cs="宋体" w:eastAsia="宋体" w:hint="default"/>
        </w:rPr>
        <w:t>1</w:t>
      </w:r>
      <w:r>
        <w:rPr/>
        <w:t>、公司现任董事</w:t>
      </w:r>
    </w:p>
    <w:p>
      <w:pPr>
        <w:pStyle w:val="BodyText"/>
        <w:spacing w:line="357" w:lineRule="auto" w:before="154"/>
        <w:ind w:right="231" w:firstLine="480"/>
        <w:jc w:val="both"/>
      </w:pPr>
      <w:r>
        <w:rPr>
          <w:spacing w:val="-3"/>
        </w:rPr>
        <w:t>吴强华先生，男，</w:t>
      </w:r>
      <w:r>
        <w:rPr>
          <w:rFonts w:ascii="宋体" w:hAnsi="宋体" w:cs="宋体" w:eastAsia="宋体" w:hint="default"/>
          <w:spacing w:val="-3"/>
        </w:rPr>
        <w:t>48</w:t>
      </w:r>
      <w:r>
        <w:rPr>
          <w:spacing w:val="-3"/>
        </w:rPr>
        <w:t>岁，中国国籍，无境外居留权。</w:t>
      </w:r>
      <w:r>
        <w:rPr>
          <w:rFonts w:ascii="宋体" w:hAnsi="宋体" w:cs="宋体" w:eastAsia="宋体" w:hint="default"/>
          <w:spacing w:val="-3"/>
        </w:rPr>
        <w:t>1994</w:t>
      </w:r>
      <w:r>
        <w:rPr>
          <w:rFonts w:ascii="宋体" w:hAnsi="宋体" w:cs="宋体" w:eastAsia="宋体" w:hint="default"/>
        </w:rPr>
        <w:t> </w:t>
      </w:r>
      <w:r>
        <w:rPr/>
        <w:t>年毕业于北京林业大学，研究 生学历，地理信息和测绘专业教授级高级工程师。</w:t>
      </w:r>
      <w:r>
        <w:rPr>
          <w:rFonts w:ascii="宋体" w:hAnsi="宋体" w:cs="宋体" w:eastAsia="宋体" w:hint="default"/>
        </w:rPr>
        <w:t>1994 </w:t>
      </w:r>
      <w:r>
        <w:rPr/>
        <w:t>年至</w:t>
      </w:r>
      <w:r>
        <w:rPr>
          <w:rFonts w:ascii="宋体" w:hAnsi="宋体" w:cs="宋体" w:eastAsia="宋体" w:hint="default"/>
        </w:rPr>
        <w:t>2002</w:t>
      </w:r>
      <w:r>
        <w:rPr>
          <w:rFonts w:ascii="宋体" w:hAnsi="宋体" w:cs="宋体" w:eastAsia="宋体" w:hint="default"/>
          <w:spacing w:val="29"/>
        </w:rPr>
        <w:t> </w:t>
      </w:r>
      <w:r>
        <w:rPr/>
        <w:t>年担任北京建设电子信息 工程公司研发工程师、技术部经理，</w:t>
      </w:r>
      <w:r>
        <w:rPr>
          <w:rFonts w:ascii="宋体" w:hAnsi="宋体" w:cs="宋体" w:eastAsia="宋体" w:hint="default"/>
        </w:rPr>
        <w:t>2003</w:t>
      </w:r>
      <w:r>
        <w:rPr>
          <w:rFonts w:ascii="宋体" w:hAnsi="宋体" w:cs="宋体" w:eastAsia="宋体" w:hint="default"/>
          <w:spacing w:val="-17"/>
        </w:rPr>
        <w:t> </w:t>
      </w:r>
      <w:r>
        <w:rPr>
          <w:spacing w:val="-3"/>
        </w:rPr>
        <w:t>年加入数字政通，历任董事长、总裁，现任本公司</w:t>
      </w:r>
      <w:r>
        <w:rPr/>
        <w:t> 董事长。</w:t>
      </w:r>
    </w:p>
    <w:p>
      <w:pPr>
        <w:pStyle w:val="BodyText"/>
        <w:spacing w:line="357" w:lineRule="auto"/>
        <w:ind w:right="229" w:firstLine="480"/>
        <w:jc w:val="both"/>
      </w:pPr>
      <w:r>
        <w:rPr>
          <w:spacing w:val="-3"/>
        </w:rPr>
        <w:t>许欣，男，</w:t>
      </w:r>
      <w:r>
        <w:rPr>
          <w:rFonts w:ascii="宋体" w:hAnsi="宋体" w:cs="宋体" w:eastAsia="宋体" w:hint="default"/>
          <w:spacing w:val="-3"/>
        </w:rPr>
        <w:t>51</w:t>
      </w:r>
      <w:r>
        <w:rPr>
          <w:spacing w:val="-3"/>
        </w:rPr>
        <w:t>岁，中国国籍，无境外居留权，</w:t>
      </w:r>
      <w:r>
        <w:rPr>
          <w:rFonts w:ascii="宋体" w:hAnsi="宋体" w:cs="宋体" w:eastAsia="宋体" w:hint="default"/>
          <w:spacing w:val="-3"/>
        </w:rPr>
        <w:t>1989</w:t>
      </w:r>
      <w:r>
        <w:rPr>
          <w:rFonts w:ascii="宋体" w:hAnsi="宋体" w:cs="宋体" w:eastAsia="宋体" w:hint="default"/>
          <w:spacing w:val="-9"/>
        </w:rPr>
        <w:t> </w:t>
      </w:r>
      <w:r>
        <w:rPr/>
        <w:t>年毕业于北京工业大学，大学本科学 历。</w:t>
      </w:r>
      <w:r>
        <w:rPr>
          <w:rFonts w:ascii="宋体" w:hAnsi="宋体" w:cs="宋体" w:eastAsia="宋体" w:hint="default"/>
        </w:rPr>
        <w:t>1989 </w:t>
      </w:r>
      <w:r>
        <w:rPr/>
        <w:t>年至</w:t>
      </w:r>
      <w:r>
        <w:rPr>
          <w:rFonts w:ascii="宋体" w:hAnsi="宋体" w:cs="宋体" w:eastAsia="宋体" w:hint="default"/>
        </w:rPr>
        <w:t>1993</w:t>
      </w:r>
      <w:r>
        <w:rPr>
          <w:rFonts w:ascii="宋体" w:hAnsi="宋体" w:cs="宋体" w:eastAsia="宋体" w:hint="default"/>
          <w:spacing w:val="30"/>
        </w:rPr>
        <w:t> </w:t>
      </w:r>
      <w:r>
        <w:rPr/>
        <w:t>年担任建设部信息中心工程师；</w:t>
      </w:r>
      <w:r>
        <w:rPr>
          <w:rFonts w:ascii="宋体" w:hAnsi="宋体" w:cs="宋体" w:eastAsia="宋体" w:hint="default"/>
        </w:rPr>
        <w:t>1993</w:t>
      </w:r>
      <w:r>
        <w:rPr/>
        <w:t>年至</w:t>
      </w:r>
      <w:r>
        <w:rPr>
          <w:rFonts w:ascii="宋体" w:hAnsi="宋体" w:cs="宋体" w:eastAsia="宋体" w:hint="default"/>
        </w:rPr>
        <w:t>2002</w:t>
      </w:r>
      <w:r>
        <w:rPr/>
        <w:t>年担任北京建设电子信息 工程公司市场部经理和规管事业部副经理；</w:t>
      </w:r>
      <w:r>
        <w:rPr>
          <w:rFonts w:ascii="宋体" w:hAnsi="宋体" w:cs="宋体" w:eastAsia="宋体" w:hint="default"/>
        </w:rPr>
        <w:t>2003</w:t>
      </w:r>
      <w:r>
        <w:rPr>
          <w:rFonts w:ascii="宋体" w:hAnsi="宋体" w:cs="宋体" w:eastAsia="宋体" w:hint="default"/>
          <w:spacing w:val="-5"/>
        </w:rPr>
        <w:t> </w:t>
      </w:r>
      <w:r>
        <w:rPr>
          <w:spacing w:val="-4"/>
        </w:rPr>
        <w:t>年加入有限公司，历任副董事长、总裁，现</w:t>
      </w:r>
      <w:r>
        <w:rPr/>
        <w:t> 任本公司副董事长。</w:t>
      </w:r>
    </w:p>
    <w:p>
      <w:pPr>
        <w:pStyle w:val="BodyText"/>
        <w:spacing w:line="357" w:lineRule="auto"/>
        <w:ind w:right="230" w:firstLine="480"/>
        <w:jc w:val="both"/>
      </w:pPr>
      <w:r>
        <w:rPr>
          <w:spacing w:val="-3"/>
        </w:rPr>
        <w:t>胡环宇，男，</w:t>
      </w:r>
      <w:r>
        <w:rPr>
          <w:rFonts w:ascii="宋体" w:hAnsi="宋体" w:cs="宋体" w:eastAsia="宋体" w:hint="default"/>
          <w:spacing w:val="-3"/>
        </w:rPr>
        <w:t>39</w:t>
      </w:r>
      <w:r>
        <w:rPr>
          <w:spacing w:val="-3"/>
        </w:rPr>
        <w:t>岁，中国国籍，无境外居留权，</w:t>
      </w:r>
      <w:r>
        <w:rPr>
          <w:rFonts w:ascii="宋体" w:hAnsi="宋体" w:cs="宋体" w:eastAsia="宋体" w:hint="default"/>
          <w:spacing w:val="-3"/>
        </w:rPr>
        <w:t>2004</w:t>
      </w:r>
      <w:r>
        <w:rPr>
          <w:rFonts w:ascii="宋体" w:hAnsi="宋体" w:cs="宋体" w:eastAsia="宋体" w:hint="default"/>
          <w:spacing w:val="-8"/>
        </w:rPr>
        <w:t> </w:t>
      </w:r>
      <w:r>
        <w:rPr/>
        <w:t>年毕业于北京科技大学，研究生学 </w:t>
      </w:r>
      <w:r>
        <w:rPr>
          <w:spacing w:val="-5"/>
        </w:rPr>
        <w:t>历。</w:t>
      </w:r>
      <w:r>
        <w:rPr>
          <w:rFonts w:ascii="宋体" w:hAnsi="宋体" w:cs="宋体" w:eastAsia="宋体" w:hint="default"/>
          <w:spacing w:val="-5"/>
        </w:rPr>
        <w:t>2004</w:t>
      </w:r>
      <w:r>
        <w:rPr>
          <w:rFonts w:ascii="宋体" w:hAnsi="宋体" w:cs="宋体" w:eastAsia="宋体" w:hint="default"/>
          <w:spacing w:val="-48"/>
        </w:rPr>
        <w:t> </w:t>
      </w:r>
      <w:r>
        <w:rPr/>
        <w:t>年加入有限公司，历任数字城管事业部工程部项目经理、数字城管事业部工程部经 理、数字城管事业部副总经理、数字城管事业部总经理。现任公司董事、总裁。</w:t>
      </w:r>
    </w:p>
    <w:p>
      <w:pPr>
        <w:pStyle w:val="BodyText"/>
        <w:spacing w:line="357" w:lineRule="auto"/>
        <w:ind w:right="95" w:firstLine="480"/>
        <w:jc w:val="left"/>
      </w:pPr>
      <w:r>
        <w:rPr>
          <w:spacing w:val="-7"/>
        </w:rPr>
        <w:t>朱华，男，</w:t>
      </w:r>
      <w:r>
        <w:rPr>
          <w:rFonts w:ascii="宋体" w:hAnsi="宋体" w:cs="宋体" w:eastAsia="宋体" w:hint="default"/>
          <w:spacing w:val="-7"/>
        </w:rPr>
        <w:t>43</w:t>
      </w:r>
      <w:r>
        <w:rPr>
          <w:spacing w:val="-7"/>
        </w:rPr>
        <w:t>岁，中国国籍，无境外居留权，</w:t>
      </w:r>
      <w:r>
        <w:rPr>
          <w:rFonts w:ascii="宋体" w:hAnsi="宋体" w:cs="宋体" w:eastAsia="宋体" w:hint="default"/>
          <w:spacing w:val="-7"/>
        </w:rPr>
        <w:t>2000</w:t>
      </w:r>
      <w:r>
        <w:rPr>
          <w:rFonts w:ascii="宋体" w:hAnsi="宋体" w:cs="宋体" w:eastAsia="宋体" w:hint="default"/>
          <w:spacing w:val="-26"/>
        </w:rPr>
        <w:t> </w:t>
      </w:r>
      <w:r>
        <w:rPr/>
        <w:t>年毕业于北京理工大学，研究生学历。 </w:t>
      </w:r>
      <w:r>
        <w:rPr>
          <w:rFonts w:ascii="宋体" w:hAnsi="宋体" w:cs="宋体" w:eastAsia="宋体" w:hint="default"/>
        </w:rPr>
        <w:t>2000 </w:t>
      </w:r>
      <w:r>
        <w:rPr/>
        <w:t>年至</w:t>
      </w:r>
      <w:r>
        <w:rPr>
          <w:rFonts w:ascii="宋体" w:hAnsi="宋体" w:cs="宋体" w:eastAsia="宋体" w:hint="default"/>
        </w:rPr>
        <w:t>2002 </w:t>
      </w:r>
      <w:r>
        <w:rPr/>
        <w:t>年担任北京建设数字科技有限责任公司项目经理；</w:t>
      </w:r>
      <w:r>
        <w:rPr>
          <w:rFonts w:ascii="宋体" w:hAnsi="宋体" w:cs="宋体" w:eastAsia="宋体" w:hint="default"/>
        </w:rPr>
        <w:t>2002</w:t>
      </w:r>
      <w:r>
        <w:rPr>
          <w:rFonts w:ascii="宋体" w:hAnsi="宋体" w:cs="宋体" w:eastAsia="宋体" w:hint="default"/>
          <w:spacing w:val="-28"/>
        </w:rPr>
        <w:t> </w:t>
      </w:r>
      <w:r>
        <w:rPr>
          <w:spacing w:val="-5"/>
        </w:rPr>
        <w:t>年加入有限公司，历</w:t>
      </w:r>
      <w:r>
        <w:rPr/>
        <w:t> 任工程部经理、规划和国土事业部副总经理、规划和国土事业部总经理。现任公司董事、副</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240" w:lineRule="auto" w:before="26"/>
        <w:ind w:right="96"/>
        <w:jc w:val="left"/>
      </w:pPr>
      <w:r>
        <w:rPr/>
        <w:t>总裁。</w:t>
      </w:r>
    </w:p>
    <w:p>
      <w:pPr>
        <w:pStyle w:val="BodyText"/>
        <w:spacing w:line="357" w:lineRule="auto" w:before="154"/>
        <w:ind w:right="112" w:firstLine="480"/>
        <w:jc w:val="both"/>
      </w:pPr>
      <w:r>
        <w:rPr/>
        <w:t>王洪深，男，</w:t>
      </w:r>
      <w:r>
        <w:rPr>
          <w:rFonts w:ascii="宋体" w:hAnsi="宋体" w:cs="宋体" w:eastAsia="宋体" w:hint="default"/>
        </w:rPr>
        <w:t>41</w:t>
      </w:r>
      <w:r>
        <w:rPr/>
        <w:t>岁，中国国籍，无境外居留权，</w:t>
      </w:r>
      <w:r>
        <w:rPr>
          <w:rFonts w:ascii="宋体" w:hAnsi="宋体" w:cs="宋体" w:eastAsia="宋体" w:hint="default"/>
        </w:rPr>
        <w:t>2002 </w:t>
      </w:r>
      <w:r>
        <w:rPr/>
        <w:t>年毕业于清华大学，研究生学历。 </w:t>
      </w:r>
      <w:r>
        <w:rPr>
          <w:rFonts w:ascii="宋体" w:hAnsi="宋体" w:cs="宋体" w:eastAsia="宋体" w:hint="default"/>
        </w:rPr>
        <w:t>2002</w:t>
      </w:r>
      <w:r>
        <w:rPr>
          <w:rFonts w:ascii="宋体" w:hAnsi="宋体" w:cs="宋体" w:eastAsia="宋体" w:hint="default"/>
          <w:spacing w:val="27"/>
        </w:rPr>
        <w:t> </w:t>
      </w:r>
      <w:r>
        <w:rPr>
          <w:spacing w:val="-6"/>
        </w:rPr>
        <w:t>年加入有限公司，历任研发组组长、研发部经理、数字城管事业部副总经理、技术总监。</w:t>
      </w:r>
      <w:r>
        <w:rPr>
          <w:spacing w:val="-118"/>
        </w:rPr>
        <w:t> </w:t>
      </w:r>
      <w:r>
        <w:rPr>
          <w:spacing w:val="-118"/>
        </w:rPr>
      </w:r>
      <w:r>
        <w:rPr/>
        <w:t>现任公司董事、副总裁、技术总监。</w:t>
      </w:r>
    </w:p>
    <w:p>
      <w:pPr>
        <w:pStyle w:val="BodyText"/>
        <w:spacing w:line="357" w:lineRule="auto"/>
        <w:ind w:right="231" w:firstLine="480"/>
        <w:jc w:val="both"/>
      </w:pPr>
      <w:r>
        <w:rPr/>
        <w:t>王东，男，</w:t>
      </w:r>
      <w:r>
        <w:rPr>
          <w:rFonts w:ascii="宋体" w:hAnsi="宋体" w:cs="宋体" w:eastAsia="宋体" w:hint="default"/>
        </w:rPr>
        <w:t>48</w:t>
      </w:r>
      <w:r>
        <w:rPr/>
        <w:t>岁，中国国籍，无境外居留权，研究生学历。</w:t>
      </w:r>
      <w:r>
        <w:rPr>
          <w:rFonts w:ascii="宋体" w:hAnsi="宋体" w:cs="宋体" w:eastAsia="宋体" w:hint="default"/>
        </w:rPr>
        <w:t>2010 </w:t>
      </w:r>
      <w:r>
        <w:rPr/>
        <w:t>年</w:t>
      </w:r>
      <w:r>
        <w:rPr>
          <w:rFonts w:ascii="宋体" w:hAnsi="宋体" w:cs="宋体" w:eastAsia="宋体" w:hint="default"/>
        </w:rPr>
        <w:t>11</w:t>
      </w:r>
      <w:r>
        <w:rPr>
          <w:rFonts w:ascii="宋体" w:hAnsi="宋体" w:cs="宋体" w:eastAsia="宋体" w:hint="default"/>
          <w:spacing w:val="33"/>
        </w:rPr>
        <w:t> </w:t>
      </w:r>
      <w:r>
        <w:rPr/>
        <w:t>月加入本公司， 历任公司副总裁。现任公司董事、副总裁。</w:t>
      </w:r>
    </w:p>
    <w:p>
      <w:pPr>
        <w:pStyle w:val="BodyText"/>
        <w:spacing w:line="357" w:lineRule="auto"/>
        <w:ind w:right="228" w:firstLine="480"/>
        <w:jc w:val="both"/>
      </w:pPr>
      <w:r>
        <w:rPr/>
        <w:t>刘先林，男，</w:t>
      </w:r>
      <w:r>
        <w:rPr>
          <w:rFonts w:ascii="宋体" w:hAnsi="宋体" w:cs="宋体" w:eastAsia="宋体" w:hint="default"/>
        </w:rPr>
        <w:t>1939</w:t>
      </w:r>
      <w:r>
        <w:rPr/>
        <w:t>年出生，中国国籍，无境外居留权，</w:t>
      </w:r>
      <w:r>
        <w:rPr>
          <w:rFonts w:ascii="宋体" w:hAnsi="宋体" w:cs="宋体" w:eastAsia="宋体" w:hint="default"/>
        </w:rPr>
        <w:t>1962</w:t>
      </w:r>
      <w:r>
        <w:rPr/>
        <w:t>年毕业于武汉测绘学院（现 </w:t>
      </w:r>
      <w:r>
        <w:rPr>
          <w:spacing w:val="-5"/>
        </w:rPr>
        <w:t>武汉大学测绘学院），本科学历，摄影测量与遥感测绘专家，中国工程院院士。</w:t>
      </w:r>
      <w:r>
        <w:rPr>
          <w:rFonts w:ascii="宋体" w:hAnsi="宋体" w:cs="宋体" w:eastAsia="宋体" w:hint="default"/>
          <w:spacing w:val="-5"/>
        </w:rPr>
        <w:t>1992</w:t>
      </w:r>
      <w:r>
        <w:rPr>
          <w:spacing w:val="-5"/>
        </w:rPr>
        <w:t>年至</w:t>
      </w:r>
      <w:r>
        <w:rPr>
          <w:rFonts w:ascii="宋体" w:hAnsi="宋体" w:cs="宋体" w:eastAsia="宋体" w:hint="default"/>
          <w:spacing w:val="-5"/>
        </w:rPr>
        <w:t>1994</w:t>
      </w:r>
      <w:r>
        <w:rPr>
          <w:rFonts w:ascii="宋体" w:hAnsi="宋体" w:cs="宋体" w:eastAsia="宋体" w:hint="default"/>
          <w:spacing w:val="-98"/>
        </w:rPr>
        <w:t> </w:t>
      </w:r>
      <w:r>
        <w:rPr/>
        <w:t>年，担任中国测绘科学研究院研究员，</w:t>
      </w:r>
      <w:r>
        <w:rPr>
          <w:spacing w:val="-75"/>
        </w:rPr>
        <w:t> </w:t>
      </w:r>
      <w:r>
        <w:rPr>
          <w:rFonts w:ascii="宋体" w:hAnsi="宋体" w:cs="宋体" w:eastAsia="宋体" w:hint="default"/>
        </w:rPr>
        <w:t>1995</w:t>
      </w:r>
      <w:r>
        <w:rPr/>
        <w:t>年至</w:t>
      </w:r>
      <w:r>
        <w:rPr>
          <w:rFonts w:ascii="宋体" w:hAnsi="宋体" w:cs="宋体" w:eastAsia="宋体" w:hint="default"/>
        </w:rPr>
        <w:t>1996</w:t>
      </w:r>
      <w:r>
        <w:rPr/>
        <w:t>年担任中国测绘科学研究院院长，</w:t>
      </w:r>
      <w:r>
        <w:rPr>
          <w:rFonts w:ascii="宋体" w:hAnsi="宋体" w:cs="宋体" w:eastAsia="宋体" w:hint="default"/>
        </w:rPr>
        <w:t>1996 </w:t>
      </w:r>
      <w:r>
        <w:rPr/>
        <w:t>年</w:t>
      </w:r>
      <w:r>
        <w:rPr>
          <w:rFonts w:ascii="宋体" w:hAnsi="宋体" w:cs="宋体" w:eastAsia="宋体" w:hint="default"/>
        </w:rPr>
        <w:t>12</w:t>
      </w:r>
      <w:r>
        <w:rPr/>
        <w:t>月至今担任中国测绘科学研究院名誉院长。</w:t>
      </w:r>
    </w:p>
    <w:p>
      <w:pPr>
        <w:pStyle w:val="BodyText"/>
        <w:spacing w:line="357" w:lineRule="auto"/>
        <w:ind w:right="235" w:firstLine="480"/>
        <w:jc w:val="both"/>
      </w:pPr>
      <w:r>
        <w:rPr/>
        <w:t>邬伦，男，</w:t>
      </w:r>
      <w:r>
        <w:rPr>
          <w:rFonts w:ascii="宋体" w:hAnsi="宋体" w:cs="宋体" w:eastAsia="宋体" w:hint="default"/>
        </w:rPr>
        <w:t>1964</w:t>
      </w:r>
      <w:r>
        <w:rPr/>
        <w:t>年出生，中国国籍，无境外居留权，</w:t>
      </w:r>
      <w:r>
        <w:rPr>
          <w:rFonts w:ascii="宋体" w:hAnsi="宋体" w:cs="宋体" w:eastAsia="宋体" w:hint="default"/>
        </w:rPr>
        <w:t>1990</w:t>
      </w:r>
      <w:r>
        <w:rPr/>
        <w:t>年毕业于北京大学，博士研究 生学历，教授、博士生导师。</w:t>
      </w:r>
      <w:r>
        <w:rPr>
          <w:rFonts w:ascii="宋体" w:hAnsi="宋体" w:cs="宋体" w:eastAsia="宋体" w:hint="default"/>
        </w:rPr>
        <w:t>1991</w:t>
      </w:r>
      <w:r>
        <w:rPr/>
        <w:t>年至</w:t>
      </w:r>
      <w:r>
        <w:rPr>
          <w:rFonts w:ascii="宋体" w:hAnsi="宋体" w:cs="宋体" w:eastAsia="宋体" w:hint="default"/>
        </w:rPr>
        <w:t>1992</w:t>
      </w:r>
      <w:r>
        <w:rPr/>
        <w:t>年北京大学数学系应用数学与信息科学专业博士</w:t>
      </w:r>
      <w:r>
        <w:rPr>
          <w:spacing w:val="-90"/>
        </w:rPr>
        <w:t> </w:t>
      </w:r>
      <w:r>
        <w:rPr>
          <w:spacing w:val="-90"/>
        </w:rPr>
      </w:r>
      <w:r>
        <w:rPr/>
        <w:t>后、讲师，</w:t>
      </w:r>
      <w:r>
        <w:rPr>
          <w:rFonts w:ascii="宋体" w:hAnsi="宋体" w:cs="宋体" w:eastAsia="宋体" w:hint="default"/>
        </w:rPr>
        <w:t>1992</w:t>
      </w:r>
      <w:r>
        <w:rPr/>
        <w:t>年任北京大学城市与环境学系地理信息系统教研室主任、副教授，</w:t>
      </w:r>
      <w:r>
        <w:rPr>
          <w:rFonts w:ascii="宋体" w:hAnsi="宋体" w:cs="宋体" w:eastAsia="宋体" w:hint="default"/>
        </w:rPr>
        <w:t>1997</w:t>
      </w:r>
      <w:r>
        <w:rPr/>
        <w:t>年升</w:t>
      </w:r>
      <w:r>
        <w:rPr>
          <w:spacing w:val="-89"/>
        </w:rPr>
        <w:t> </w:t>
      </w:r>
      <w:r>
        <w:rPr/>
        <w:t>任教授、博士生导师。</w:t>
      </w:r>
      <w:r>
        <w:rPr>
          <w:rFonts w:ascii="宋体" w:hAnsi="宋体" w:cs="宋体" w:eastAsia="宋体" w:hint="default"/>
        </w:rPr>
        <w:t>2001</w:t>
      </w:r>
      <w:r>
        <w:rPr/>
        <w:t>年起任北京大学遥感与地理信息系统研究所副所长，</w:t>
      </w:r>
      <w:r>
        <w:rPr>
          <w:rFonts w:ascii="宋体" w:hAnsi="宋体" w:cs="宋体" w:eastAsia="宋体" w:hint="default"/>
        </w:rPr>
        <w:t>2004</w:t>
      </w:r>
      <w:r>
        <w:rPr/>
        <w:t>年起兼</w:t>
      </w:r>
      <w:r>
        <w:rPr>
          <w:spacing w:val="-89"/>
        </w:rPr>
        <w:t> </w:t>
      </w:r>
      <w:r>
        <w:rPr/>
        <w:t>任北京大学数字中国研究院副院长。</w:t>
      </w:r>
    </w:p>
    <w:p>
      <w:pPr>
        <w:pStyle w:val="BodyText"/>
        <w:spacing w:line="357" w:lineRule="auto"/>
        <w:ind w:right="112" w:firstLine="480"/>
        <w:jc w:val="both"/>
      </w:pPr>
      <w:r>
        <w:rPr/>
        <w:t>叶金福，男，</w:t>
      </w:r>
      <w:r>
        <w:rPr>
          <w:rFonts w:ascii="宋体" w:hAnsi="宋体" w:cs="宋体" w:eastAsia="宋体" w:hint="default"/>
        </w:rPr>
        <w:t>1975</w:t>
      </w:r>
      <w:r>
        <w:rPr/>
        <w:t>年出生，中国国籍，无境外居留权，</w:t>
      </w:r>
      <w:r>
        <w:rPr>
          <w:rFonts w:ascii="宋体" w:hAnsi="宋体" w:cs="宋体" w:eastAsia="宋体" w:hint="default"/>
        </w:rPr>
        <w:t>1999</w:t>
      </w:r>
      <w:r>
        <w:rPr/>
        <w:t>年毕业于厦门大学，</w:t>
      </w:r>
      <w:r>
        <w:rPr>
          <w:rFonts w:ascii="宋体" w:hAnsi="宋体" w:cs="宋体" w:eastAsia="宋体" w:hint="default"/>
        </w:rPr>
        <w:t>2009</w:t>
      </w:r>
      <w:r>
        <w:rPr/>
        <w:t>年 毕业于中央财经大学，会计学硕士，中国注册会计师、中国注册资产评估师。</w:t>
      </w:r>
      <w:r>
        <w:rPr>
          <w:rFonts w:ascii="宋体" w:hAnsi="宋体" w:cs="宋体" w:eastAsia="宋体" w:hint="default"/>
        </w:rPr>
        <w:t>2001</w:t>
      </w:r>
      <w:r>
        <w:rPr/>
        <w:t>年至</w:t>
      </w:r>
      <w:r>
        <w:rPr>
          <w:rFonts w:ascii="宋体" w:hAnsi="宋体" w:cs="宋体" w:eastAsia="宋体" w:hint="default"/>
        </w:rPr>
        <w:t>2008</w:t>
      </w:r>
      <w:r>
        <w:rPr>
          <w:rFonts w:ascii="宋体" w:hAnsi="宋体" w:cs="宋体" w:eastAsia="宋体" w:hint="default"/>
          <w:spacing w:val="-88"/>
        </w:rPr>
        <w:t> </w:t>
      </w:r>
      <w:r>
        <w:rPr/>
        <w:t>年在天健光华会计师事务所任职，历任项目经理、经理、授薪合伙人；</w:t>
      </w:r>
      <w:r>
        <w:rPr>
          <w:rFonts w:ascii="宋体" w:hAnsi="宋体" w:cs="宋体" w:eastAsia="宋体" w:hint="default"/>
        </w:rPr>
        <w:t>2009</w:t>
      </w:r>
      <w:r>
        <w:rPr/>
        <w:t>年至</w:t>
      </w:r>
      <w:r>
        <w:rPr>
          <w:rFonts w:ascii="宋体" w:hAnsi="宋体" w:cs="宋体" w:eastAsia="宋体" w:hint="default"/>
        </w:rPr>
        <w:t>2011</w:t>
      </w:r>
      <w:r>
        <w:rPr/>
        <w:t>年在天</w:t>
      </w:r>
      <w:r>
        <w:rPr>
          <w:spacing w:val="-90"/>
        </w:rPr>
        <w:t> </w:t>
      </w:r>
      <w:r>
        <w:rPr>
          <w:spacing w:val="-2"/>
        </w:rPr>
        <w:t>健正信会计师事务所任职，担任合伙人；</w:t>
      </w:r>
      <w:r>
        <w:rPr>
          <w:rFonts w:ascii="宋体" w:hAnsi="宋体" w:cs="宋体" w:eastAsia="宋体" w:hint="default"/>
          <w:spacing w:val="-2"/>
        </w:rPr>
        <w:t>2012</w:t>
      </w:r>
      <w:r>
        <w:rPr>
          <w:spacing w:val="-2"/>
        </w:rPr>
        <w:t>年至今在大华会计师事务所任职，担任合伙人。</w:t>
      </w:r>
    </w:p>
    <w:p>
      <w:pPr>
        <w:pStyle w:val="BodyText"/>
        <w:spacing w:line="240" w:lineRule="auto"/>
        <w:ind w:left="633" w:right="96"/>
        <w:jc w:val="left"/>
      </w:pPr>
      <w:r>
        <w:rPr>
          <w:rFonts w:ascii="宋体" w:hAnsi="宋体" w:cs="宋体" w:eastAsia="宋体" w:hint="default"/>
        </w:rPr>
        <w:t>2</w:t>
      </w:r>
      <w:r>
        <w:rPr/>
        <w:t>、公司现任监事</w:t>
      </w:r>
    </w:p>
    <w:p>
      <w:pPr>
        <w:pStyle w:val="BodyText"/>
        <w:spacing w:line="357" w:lineRule="auto" w:before="154"/>
        <w:ind w:right="231" w:firstLine="480"/>
        <w:jc w:val="both"/>
      </w:pPr>
      <w:r>
        <w:rPr>
          <w:spacing w:val="-4"/>
        </w:rPr>
        <w:t>邵建平，男，</w:t>
      </w:r>
      <w:r>
        <w:rPr>
          <w:rFonts w:ascii="宋体" w:hAnsi="宋体" w:cs="宋体" w:eastAsia="宋体" w:hint="default"/>
          <w:spacing w:val="-4"/>
        </w:rPr>
        <w:t>64</w:t>
      </w:r>
      <w:r>
        <w:rPr>
          <w:spacing w:val="-4"/>
        </w:rPr>
        <w:t>岁，中国国籍，无境外居留权，</w:t>
      </w:r>
      <w:r>
        <w:rPr>
          <w:rFonts w:ascii="宋体" w:hAnsi="宋体" w:cs="宋体" w:eastAsia="宋体" w:hint="default"/>
          <w:spacing w:val="-4"/>
        </w:rPr>
        <w:t>1977</w:t>
      </w:r>
      <w:r>
        <w:rPr>
          <w:rFonts w:ascii="宋体" w:hAnsi="宋体" w:cs="宋体" w:eastAsia="宋体" w:hint="default"/>
          <w:spacing w:val="20"/>
        </w:rPr>
        <w:t> </w:t>
      </w:r>
      <w:r>
        <w:rPr/>
        <w:t>年毕业于清华大学电子工程系计算 机专业，大学本科学历。</w:t>
      </w:r>
      <w:r>
        <w:rPr>
          <w:rFonts w:ascii="宋体" w:hAnsi="宋体" w:cs="宋体" w:eastAsia="宋体" w:hint="default"/>
        </w:rPr>
        <w:t>1977 </w:t>
      </w:r>
      <w:r>
        <w:rPr/>
        <w:t>年至</w:t>
      </w:r>
      <w:r>
        <w:rPr>
          <w:rFonts w:ascii="宋体" w:hAnsi="宋体" w:cs="宋体" w:eastAsia="宋体" w:hint="default"/>
        </w:rPr>
        <w:t>1985 </w:t>
      </w:r>
      <w:r>
        <w:rPr/>
        <w:t>年担任北京计算机三厂厂长助理职务； </w:t>
      </w:r>
      <w:r>
        <w:rPr>
          <w:rFonts w:ascii="宋体" w:hAnsi="宋体" w:cs="宋体" w:eastAsia="宋体" w:hint="default"/>
        </w:rPr>
        <w:t>1985</w:t>
      </w:r>
      <w:r>
        <w:rPr>
          <w:rFonts w:ascii="宋体" w:hAnsi="宋体" w:cs="宋体" w:eastAsia="宋体" w:hint="default"/>
          <w:spacing w:val="35"/>
        </w:rPr>
        <w:t> </w:t>
      </w:r>
      <w:r>
        <w:rPr/>
        <w:t>年至 </w:t>
      </w:r>
      <w:r>
        <w:rPr>
          <w:rFonts w:ascii="宋体" w:hAnsi="宋体" w:cs="宋体" w:eastAsia="宋体" w:hint="default"/>
        </w:rPr>
        <w:t>1988 </w:t>
      </w:r>
      <w:r>
        <w:rPr/>
        <w:t>年担任日本</w:t>
      </w:r>
      <w:r>
        <w:rPr>
          <w:rFonts w:ascii="宋体" w:hAnsi="宋体" w:cs="宋体" w:eastAsia="宋体" w:hint="default"/>
        </w:rPr>
        <w:t>DCL </w:t>
      </w:r>
      <w:r>
        <w:rPr>
          <w:spacing w:val="-5"/>
        </w:rPr>
        <w:t>株式会社软件开发研修生职务；</w:t>
      </w:r>
      <w:r>
        <w:rPr>
          <w:rFonts w:ascii="宋体" w:hAnsi="宋体" w:cs="宋体" w:eastAsia="宋体" w:hint="default"/>
          <w:spacing w:val="-5"/>
        </w:rPr>
        <w:t>1988 </w:t>
      </w:r>
      <w:r>
        <w:rPr/>
        <w:t>年至</w:t>
      </w:r>
      <w:r>
        <w:rPr>
          <w:rFonts w:ascii="宋体" w:hAnsi="宋体" w:cs="宋体" w:eastAsia="宋体" w:hint="default"/>
        </w:rPr>
        <w:t>1989</w:t>
      </w:r>
      <w:r>
        <w:rPr>
          <w:rFonts w:ascii="宋体" w:hAnsi="宋体" w:cs="宋体" w:eastAsia="宋体" w:hint="default"/>
          <w:spacing w:val="12"/>
        </w:rPr>
        <w:t> </w:t>
      </w:r>
      <w:r>
        <w:rPr/>
        <w:t>年担任北京计算机三厂 厂长助理职务；</w:t>
      </w:r>
      <w:r>
        <w:rPr>
          <w:rFonts w:ascii="宋体" w:hAnsi="宋体" w:cs="宋体" w:eastAsia="宋体" w:hint="default"/>
        </w:rPr>
        <w:t>1989 </w:t>
      </w:r>
      <w:r>
        <w:rPr/>
        <w:t>年至</w:t>
      </w:r>
      <w:r>
        <w:rPr>
          <w:rFonts w:ascii="宋体" w:hAnsi="宋体" w:cs="宋体" w:eastAsia="宋体" w:hint="default"/>
        </w:rPr>
        <w:t>1990 </w:t>
      </w:r>
      <w:r>
        <w:rPr/>
        <w:t>年任职于京电香港有限公司；</w:t>
      </w:r>
      <w:r>
        <w:rPr>
          <w:rFonts w:ascii="宋体" w:hAnsi="宋体" w:cs="宋体" w:eastAsia="宋体" w:hint="default"/>
        </w:rPr>
        <w:t>1990 </w:t>
      </w:r>
      <w:r>
        <w:rPr/>
        <w:t>年至</w:t>
      </w:r>
      <w:r>
        <w:rPr>
          <w:rFonts w:ascii="宋体" w:hAnsi="宋体" w:cs="宋体" w:eastAsia="宋体" w:hint="default"/>
        </w:rPr>
        <w:t>2001</w:t>
      </w:r>
      <w:r>
        <w:rPr>
          <w:rFonts w:ascii="宋体" w:hAnsi="宋体" w:cs="宋体" w:eastAsia="宋体" w:hint="default"/>
          <w:spacing w:val="33"/>
        </w:rPr>
        <w:t> </w:t>
      </w:r>
      <w:r>
        <w:rPr/>
        <w:t>年担任北京计 </w:t>
      </w:r>
      <w:r>
        <w:rPr>
          <w:spacing w:val="-7"/>
        </w:rPr>
        <w:t>算机三厂厂长助理职务；</w:t>
      </w:r>
      <w:r>
        <w:rPr>
          <w:rFonts w:ascii="宋体" w:hAnsi="宋体" w:cs="宋体" w:eastAsia="宋体" w:hint="default"/>
          <w:spacing w:val="-7"/>
        </w:rPr>
        <w:t>2001</w:t>
      </w:r>
      <w:r>
        <w:rPr>
          <w:rFonts w:ascii="宋体" w:hAnsi="宋体" w:cs="宋体" w:eastAsia="宋体" w:hint="default"/>
        </w:rPr>
        <w:t> </w:t>
      </w:r>
      <w:r>
        <w:rPr/>
        <w:t>年至</w:t>
      </w:r>
      <w:r>
        <w:rPr>
          <w:rFonts w:ascii="宋体" w:hAnsi="宋体" w:cs="宋体" w:eastAsia="宋体" w:hint="default"/>
        </w:rPr>
        <w:t>2006</w:t>
      </w:r>
      <w:r>
        <w:rPr>
          <w:rFonts w:ascii="宋体" w:hAnsi="宋体" w:cs="宋体" w:eastAsia="宋体" w:hint="default"/>
          <w:spacing w:val="3"/>
        </w:rPr>
        <w:t> </w:t>
      </w:r>
      <w:r>
        <w:rPr>
          <w:spacing w:val="-4"/>
        </w:rPr>
        <w:t>年担任首都信息发展股份有限公司副总裁职务；</w:t>
      </w:r>
      <w:r>
        <w:rPr>
          <w:rFonts w:ascii="宋体" w:hAnsi="宋体" w:cs="宋体" w:eastAsia="宋体" w:hint="default"/>
          <w:spacing w:val="-4"/>
        </w:rPr>
        <w:t>2006</w:t>
      </w:r>
      <w:r>
        <w:rPr>
          <w:rFonts w:ascii="宋体" w:hAnsi="宋体" w:cs="宋体" w:eastAsia="宋体" w:hint="default"/>
        </w:rPr>
        <w:t> </w:t>
      </w:r>
      <w:r>
        <w:rPr/>
        <w:t>年至今担任首都信息发展股份有限公司顾问职务。现任公司监事。</w:t>
      </w:r>
    </w:p>
    <w:p>
      <w:pPr>
        <w:pStyle w:val="BodyText"/>
        <w:spacing w:line="357" w:lineRule="auto"/>
        <w:ind w:right="238" w:firstLine="480"/>
        <w:jc w:val="both"/>
      </w:pPr>
      <w:r>
        <w:rPr/>
        <w:t>幸帮艳，女，</w:t>
      </w:r>
      <w:r>
        <w:rPr>
          <w:rFonts w:ascii="宋体" w:hAnsi="宋体" w:cs="宋体" w:eastAsia="宋体" w:hint="default"/>
        </w:rPr>
        <w:t>44</w:t>
      </w:r>
      <w:r>
        <w:rPr/>
        <w:t>岁，中国国籍，无境外居留权，</w:t>
      </w:r>
      <w:r>
        <w:rPr>
          <w:rFonts w:ascii="宋体" w:hAnsi="宋体" w:cs="宋体" w:eastAsia="宋体" w:hint="default"/>
        </w:rPr>
        <w:t>2003</w:t>
      </w:r>
      <w:r>
        <w:rPr/>
        <w:t>年至今在北京数字政通科技股份有 限公司任职财务工作。现任公司监事。</w:t>
      </w:r>
    </w:p>
    <w:p>
      <w:pPr>
        <w:pStyle w:val="BodyText"/>
        <w:spacing w:line="240" w:lineRule="auto"/>
        <w:ind w:left="633" w:right="96"/>
        <w:jc w:val="left"/>
      </w:pPr>
      <w:r>
        <w:rPr/>
        <w:t>许菲，男，</w:t>
      </w:r>
      <w:r>
        <w:rPr>
          <w:rFonts w:ascii="宋体" w:hAnsi="宋体" w:cs="宋体" w:eastAsia="宋体" w:hint="default"/>
        </w:rPr>
        <w:t>31</w:t>
      </w:r>
      <w:r>
        <w:rPr/>
        <w:t>岁，中国国籍，无境外永久居留权，本科学历。</w:t>
      </w:r>
      <w:r>
        <w:rPr>
          <w:rFonts w:ascii="宋体" w:hAnsi="宋体" w:cs="宋体" w:eastAsia="宋体" w:hint="default"/>
        </w:rPr>
        <w:t>2012</w:t>
      </w:r>
      <w:r>
        <w:rPr>
          <w:rFonts w:ascii="宋体" w:hAnsi="宋体" w:cs="宋体" w:eastAsia="宋体" w:hint="default"/>
          <w:spacing w:val="31"/>
        </w:rPr>
        <w:t> </w:t>
      </w:r>
      <w:r>
        <w:rPr/>
        <w:t>年</w:t>
      </w:r>
      <w:r>
        <w:rPr>
          <w:rFonts w:ascii="宋体" w:hAnsi="宋体" w:cs="宋体" w:eastAsia="宋体" w:hint="default"/>
        </w:rPr>
        <w:t>5</w:t>
      </w:r>
      <w:r>
        <w:rPr/>
        <w:t>月起就职于公司</w:t>
      </w:r>
    </w:p>
    <w:p>
      <w:pPr>
        <w:spacing w:after="0" w:line="240"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left="633" w:right="4253" w:hanging="481"/>
        <w:jc w:val="left"/>
      </w:pPr>
      <w:r>
        <w:rPr/>
        <w:t>证券事务部，担任证券事务代表。现任公司监事。 </w:t>
      </w:r>
      <w:r>
        <w:rPr>
          <w:rFonts w:ascii="宋体" w:hAnsi="宋体" w:cs="宋体" w:eastAsia="宋体" w:hint="default"/>
        </w:rPr>
        <w:t>3</w:t>
      </w:r>
      <w:r>
        <w:rPr/>
        <w:t>、公司现任高级管理人员 胡环宇，男，现任公司总裁，详见董事简历。 朱华，男，现任公司副总裁，详见董事简历。 王洪深，男，现任公司副总裁，详见董事简历。 王东，男，现任公司副总裁，详见董事简历。</w:t>
      </w:r>
    </w:p>
    <w:p>
      <w:pPr>
        <w:pStyle w:val="BodyText"/>
        <w:spacing w:line="357" w:lineRule="auto"/>
        <w:ind w:right="151" w:firstLine="480"/>
        <w:jc w:val="both"/>
      </w:pPr>
      <w:r>
        <w:rPr/>
        <w:t>邱鲁闽，</w:t>
      </w:r>
      <w:r>
        <w:rPr>
          <w:rFonts w:ascii="宋体" w:hAnsi="宋体" w:cs="宋体" w:eastAsia="宋体" w:hint="default"/>
        </w:rPr>
        <w:t>42</w:t>
      </w:r>
      <w:r>
        <w:rPr/>
        <w:t>岁，中国国籍，无境外居留权，</w:t>
      </w:r>
      <w:r>
        <w:rPr>
          <w:rFonts w:ascii="宋体" w:hAnsi="宋体" w:cs="宋体" w:eastAsia="宋体" w:hint="default"/>
        </w:rPr>
        <w:t>2002 </w:t>
      </w:r>
      <w:r>
        <w:rPr/>
        <w:t>年毕业于清华大学，</w:t>
      </w:r>
      <w:r>
        <w:rPr>
          <w:spacing w:val="30"/>
        </w:rPr>
        <w:t> </w:t>
      </w:r>
      <w:r>
        <w:rPr/>
        <w:t>研究生学历，曾</w:t>
      </w:r>
      <w:r>
        <w:rPr/>
        <w:t> 任北京华胜天成科技股份有限公司投资总监及董事会秘书，</w:t>
      </w:r>
      <w:r>
        <w:rPr>
          <w:rFonts w:ascii="宋体" w:hAnsi="宋体" w:cs="宋体" w:eastAsia="宋体" w:hint="default"/>
        </w:rPr>
        <w:t>2012 </w:t>
      </w:r>
      <w:r>
        <w:rPr/>
        <w:t>年</w:t>
      </w:r>
      <w:r>
        <w:rPr>
          <w:rFonts w:ascii="宋体" w:hAnsi="宋体" w:cs="宋体" w:eastAsia="宋体" w:hint="default"/>
        </w:rPr>
        <w:t>2</w:t>
      </w:r>
      <w:r>
        <w:rPr>
          <w:rFonts w:ascii="宋体" w:hAnsi="宋体" w:cs="宋体" w:eastAsia="宋体" w:hint="default"/>
          <w:spacing w:val="-30"/>
        </w:rPr>
        <w:t> </w:t>
      </w:r>
      <w:r>
        <w:rPr>
          <w:spacing w:val="-5"/>
        </w:rPr>
        <w:t>月加入本公司，现任公</w:t>
      </w:r>
      <w:r>
        <w:rPr/>
        <w:t> 司副总裁及董事会秘书。</w:t>
      </w:r>
    </w:p>
    <w:p>
      <w:pPr>
        <w:pStyle w:val="BodyText"/>
        <w:spacing w:line="357" w:lineRule="auto"/>
        <w:ind w:right="153" w:firstLine="480"/>
        <w:jc w:val="both"/>
      </w:pPr>
      <w:r>
        <w:rPr/>
        <w:t>殷小敏，女，</w:t>
      </w:r>
      <w:r>
        <w:rPr>
          <w:rFonts w:ascii="宋体" w:hAnsi="宋体" w:cs="宋体" w:eastAsia="宋体" w:hint="default"/>
        </w:rPr>
        <w:t>61</w:t>
      </w:r>
      <w:r>
        <w:rPr/>
        <w:t>岁，中国国籍，无境外居留权，</w:t>
      </w:r>
      <w:r>
        <w:rPr>
          <w:rFonts w:ascii="宋体" w:hAnsi="宋体" w:cs="宋体" w:eastAsia="宋体" w:hint="default"/>
        </w:rPr>
        <w:t>1986 </w:t>
      </w:r>
      <w:r>
        <w:rPr/>
        <w:t>年毕业于北京广播电视大学，</w:t>
      </w:r>
      <w:r>
        <w:rPr>
          <w:spacing w:val="32"/>
        </w:rPr>
        <w:t> </w:t>
      </w:r>
      <w:r>
        <w:rPr/>
        <w:t>专</w:t>
      </w:r>
      <w:r>
        <w:rPr/>
        <w:t> </w:t>
      </w:r>
      <w:r>
        <w:rPr>
          <w:spacing w:val="-3"/>
        </w:rPr>
        <w:t>科学历。</w:t>
      </w:r>
      <w:r>
        <w:rPr>
          <w:rFonts w:ascii="宋体" w:hAnsi="宋体" w:cs="宋体" w:eastAsia="宋体" w:hint="default"/>
          <w:spacing w:val="-3"/>
        </w:rPr>
        <w:t>1981 </w:t>
      </w:r>
      <w:r>
        <w:rPr/>
        <w:t>年至</w:t>
      </w:r>
      <w:r>
        <w:rPr>
          <w:rFonts w:ascii="宋体" w:hAnsi="宋体" w:cs="宋体" w:eastAsia="宋体" w:hint="default"/>
        </w:rPr>
        <w:t>2006 </w:t>
      </w:r>
      <w:r>
        <w:rPr>
          <w:spacing w:val="-3"/>
        </w:rPr>
        <w:t>年担任北京友谊宾馆出纳、会计、总账主管、财务经理；</w:t>
      </w:r>
      <w:r>
        <w:rPr>
          <w:rFonts w:ascii="宋体" w:hAnsi="宋体" w:cs="宋体" w:eastAsia="宋体" w:hint="default"/>
          <w:spacing w:val="-3"/>
        </w:rPr>
        <w:t>2006</w:t>
      </w:r>
      <w:r>
        <w:rPr>
          <w:rFonts w:ascii="宋体" w:hAnsi="宋体" w:cs="宋体" w:eastAsia="宋体" w:hint="default"/>
          <w:spacing w:val="29"/>
        </w:rPr>
        <w:t> </w:t>
      </w:r>
      <w:r>
        <w:rPr/>
        <w:t>年至 </w:t>
      </w:r>
      <w:r>
        <w:rPr>
          <w:rFonts w:ascii="宋体" w:hAnsi="宋体" w:cs="宋体" w:eastAsia="宋体" w:hint="default"/>
        </w:rPr>
        <w:t>2007 </w:t>
      </w:r>
      <w:r>
        <w:rPr/>
        <w:t>年担任中国清洁发展机制基金管理中心财务主管；</w:t>
      </w:r>
      <w:r>
        <w:rPr>
          <w:rFonts w:ascii="宋体" w:hAnsi="宋体" w:cs="宋体" w:eastAsia="宋体" w:hint="default"/>
        </w:rPr>
        <w:t>2007</w:t>
      </w:r>
      <w:r>
        <w:rPr>
          <w:rFonts w:ascii="宋体" w:hAnsi="宋体" w:cs="宋体" w:eastAsia="宋体" w:hint="default"/>
          <w:spacing w:val="33"/>
        </w:rPr>
        <w:t> </w:t>
      </w:r>
      <w:r>
        <w:rPr/>
        <w:t>年加入有限公司，任财务负责 人。现任公司财务负责人。</w:t>
      </w:r>
    </w:p>
    <w:p>
      <w:pPr>
        <w:spacing w:before="46"/>
        <w:ind w:left="152" w:right="153"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line="340" w:lineRule="auto" w:before="115"/>
        <w:ind w:left="152" w:right="81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在其他单位任职情况</w:t>
      </w:r>
    </w:p>
    <w:p>
      <w:pPr>
        <w:spacing w:before="41"/>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00"/>
        <w:gridCol w:w="3193"/>
        <w:gridCol w:w="1064"/>
        <w:gridCol w:w="1195"/>
        <w:gridCol w:w="1325"/>
        <w:gridCol w:w="1594"/>
      </w:tblGrid>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3"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6" w:right="75"/>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3" w:right="71" w:hanging="272"/>
              <w:jc w:val="left"/>
              <w:rPr>
                <w:rFonts w:ascii="宋体" w:hAnsi="宋体" w:cs="宋体" w:eastAsia="宋体" w:hint="default"/>
                <w:sz w:val="18"/>
                <w:szCs w:val="18"/>
              </w:rPr>
            </w:pPr>
            <w:r>
              <w:rPr>
                <w:rFonts w:ascii="宋体" w:hAnsi="宋体" w:cs="宋体" w:eastAsia="宋体" w:hint="default"/>
                <w:sz w:val="18"/>
                <w:szCs w:val="18"/>
              </w:rPr>
              <w:t>在其他单位是否领 取报酬津贴</w:t>
            </w:r>
          </w:p>
        </w:tc>
      </w:tr>
      <w:tr>
        <w:trPr>
          <w:trHeight w:val="71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大华会计师事务所</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中国测绘科学研究院</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院士</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北京大学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1"/>
              <w:jc w:val="left"/>
              <w:rPr>
                <w:rFonts w:ascii="宋体" w:hAnsi="宋体" w:cs="宋体" w:eastAsia="宋体" w:hint="default"/>
                <w:sz w:val="18"/>
                <w:szCs w:val="18"/>
              </w:rPr>
            </w:pPr>
            <w:r>
              <w:rPr>
                <w:rFonts w:ascii="宋体" w:hAnsi="宋体" w:cs="宋体" w:eastAsia="宋体" w:hint="default"/>
                <w:spacing w:val="-12"/>
                <w:sz w:val="18"/>
                <w:szCs w:val="18"/>
              </w:rPr>
              <w:t>教授、博士生</w:t>
            </w:r>
            <w:r>
              <w:rPr>
                <w:rFonts w:ascii="宋体" w:hAnsi="宋体" w:cs="宋体" w:eastAsia="宋体" w:hint="default"/>
                <w:sz w:val="18"/>
                <w:szCs w:val="18"/>
              </w:rPr>
              <w:t> 导师</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153"/>
        <w:jc w:val="left"/>
        <w:rPr>
          <w:b w:val="0"/>
          <w:bCs w:val="0"/>
        </w:rPr>
      </w:pP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spacing w:line="240" w:lineRule="auto" w:before="4"/>
        <w:rPr>
          <w:rFonts w:ascii="宋体" w:hAnsi="宋体" w:cs="宋体" w:eastAsia="宋体" w:hint="default"/>
          <w:sz w:val="8"/>
          <w:szCs w:val="8"/>
        </w:rPr>
      </w:pPr>
    </w:p>
    <w:tbl>
      <w:tblPr>
        <w:tblW w:w="0" w:type="auto"/>
        <w:jc w:val="left"/>
        <w:tblInd w:w="145" w:type="dxa"/>
        <w:tblLayout w:type="fixed"/>
        <w:tblCellMar>
          <w:top w:w="0" w:type="dxa"/>
          <w:left w:w="0" w:type="dxa"/>
          <w:bottom w:w="0" w:type="dxa"/>
          <w:right w:w="0" w:type="dxa"/>
        </w:tblCellMar>
        <w:tblLook w:val="01E0"/>
      </w:tblPr>
      <w:tblGrid>
        <w:gridCol w:w="4261"/>
        <w:gridCol w:w="5310"/>
      </w:tblGrid>
      <w:tr>
        <w:trPr>
          <w:trHeight w:val="1052" w:hRule="exact"/>
        </w:trPr>
        <w:tc>
          <w:tcPr>
            <w:tcW w:w="426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w:t>
            </w:r>
          </w:p>
        </w:tc>
        <w:tc>
          <w:tcPr>
            <w:tcW w:w="531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8"/>
              <w:ind w:left="4" w:right="68"/>
              <w:jc w:val="both"/>
              <w:rPr>
                <w:rFonts w:ascii="宋体" w:hAnsi="宋体" w:cs="宋体" w:eastAsia="宋体" w:hint="default"/>
                <w:sz w:val="18"/>
                <w:szCs w:val="18"/>
              </w:rPr>
            </w:pPr>
            <w:r>
              <w:rPr>
                <w:rFonts w:ascii="宋体" w:hAnsi="宋体" w:cs="宋体" w:eastAsia="宋体" w:hint="default"/>
                <w:sz w:val="18"/>
                <w:szCs w:val="18"/>
              </w:rPr>
              <w:t>公司董事报酬或津贴由股东大会决定，高级管理人员报酬由董事会 决定，独立董事津贴由股东大会决定，董事、监事、高级管理人员 薪酬由董事会薪酬与考核委员会组织并考核。</w:t>
            </w:r>
          </w:p>
        </w:tc>
      </w:tr>
      <w:tr>
        <w:trPr>
          <w:trHeight w:val="427" w:hRule="exact"/>
        </w:trPr>
        <w:tc>
          <w:tcPr>
            <w:tcW w:w="426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董事、监事、高级管理人员报酬确定依据</w:t>
            </w:r>
          </w:p>
        </w:tc>
        <w:tc>
          <w:tcPr>
            <w:tcW w:w="5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根据公司经营业绩，高级管理人员的报酬根据公司薪酬分配政策，</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4261"/>
        <w:gridCol w:w="5310"/>
      </w:tblGrid>
      <w:tr>
        <w:trPr>
          <w:trHeight w:val="387" w:hRule="exact"/>
        </w:trPr>
        <w:tc>
          <w:tcPr>
            <w:tcW w:w="4261" w:type="dxa"/>
            <w:tcBorders>
              <w:top w:val="single" w:sz="6" w:space="0" w:color="000000"/>
              <w:left w:val="single" w:sz="6" w:space="0" w:color="000000"/>
              <w:bottom w:val="single" w:sz="6" w:space="0" w:color="000000"/>
              <w:right w:val="single" w:sz="6" w:space="0" w:color="000000"/>
            </w:tcBorders>
            <w:shd w:val="clear" w:color="auto" w:fill="D2D2D2"/>
          </w:tcPr>
          <w:p>
            <w:pPr/>
          </w:p>
        </w:tc>
        <w:tc>
          <w:tcPr>
            <w:tcW w:w="5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4" w:right="0"/>
              <w:jc w:val="left"/>
              <w:rPr>
                <w:rFonts w:ascii="宋体" w:hAnsi="宋体" w:cs="宋体" w:eastAsia="宋体" w:hint="default"/>
                <w:sz w:val="18"/>
                <w:szCs w:val="18"/>
              </w:rPr>
            </w:pPr>
            <w:r>
              <w:rPr>
                <w:rFonts w:ascii="宋体" w:hAnsi="宋体" w:cs="宋体" w:eastAsia="宋体" w:hint="default"/>
                <w:sz w:val="18"/>
                <w:szCs w:val="18"/>
              </w:rPr>
              <w:t>结合其经营绩效、工作能力、岗位职责等考核确定并发放。</w:t>
            </w:r>
          </w:p>
        </w:tc>
      </w:tr>
      <w:tr>
        <w:trPr>
          <w:trHeight w:val="427" w:hRule="exact"/>
        </w:trPr>
        <w:tc>
          <w:tcPr>
            <w:tcW w:w="426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董事、监事和高级管理人员报酬的实际支付情况</w:t>
            </w:r>
          </w:p>
        </w:tc>
        <w:tc>
          <w:tcPr>
            <w:tcW w:w="5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已按相关规定及时支付董事、监事和高级管理人员报酬。</w:t>
            </w:r>
          </w:p>
        </w:tc>
      </w:tr>
    </w:tbl>
    <w:p>
      <w:pPr>
        <w:spacing w:line="240" w:lineRule="auto" w:before="2"/>
        <w:rPr>
          <w:rFonts w:ascii="宋体" w:hAnsi="宋体" w:cs="宋体" w:eastAsia="宋体" w:hint="default"/>
          <w:sz w:val="24"/>
          <w:szCs w:val="24"/>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97"/>
              <w:jc w:val="right"/>
              <w:rPr>
                <w:rFonts w:ascii="宋体" w:hAnsi="宋体" w:cs="宋体" w:eastAsia="宋体" w:hint="default"/>
                <w:sz w:val="18"/>
                <w:szCs w:val="18"/>
              </w:rPr>
            </w:pPr>
            <w:r>
              <w:rPr>
                <w:rFonts w:ascii="宋体" w:hAnsi="宋体" w:cs="宋体" w:eastAsia="宋体" w:hint="default"/>
                <w:sz w:val="18"/>
                <w:szCs w:val="18"/>
              </w:rPr>
              <w:t>姓名</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27" w:right="46"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王东</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邵建平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许菲</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幸帮艳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董事会秘书；副 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殷小敏</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97"/>
              <w:jc w:val="righ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400.9</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五、公司员工情况</w:t>
      </w:r>
      <w:r>
        <w:rPr>
          <w:b w:val="0"/>
          <w:bCs w:val="0"/>
        </w:rPr>
      </w:r>
    </w:p>
    <w:p>
      <w:pPr>
        <w:spacing w:line="240" w:lineRule="auto" w:before="9"/>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772</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6,732</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7,504</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7,504</w:t>
            </w:r>
          </w:p>
        </w:tc>
      </w:tr>
      <w:tr>
        <w:trPr>
          <w:trHeight w:val="408"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w:t>
            </w:r>
          </w:p>
        </w:tc>
      </w:tr>
      <w:tr>
        <w:trPr>
          <w:trHeight w:val="396"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 w:right="12"/>
              <w:jc w:val="center"/>
              <w:rPr>
                <w:rFonts w:ascii="宋体" w:hAnsi="宋体" w:cs="宋体" w:eastAsia="宋体" w:hint="default"/>
                <w:sz w:val="18"/>
                <w:szCs w:val="18"/>
              </w:rPr>
            </w:pPr>
            <w:r>
              <w:rPr>
                <w:rFonts w:ascii="宋体" w:hAnsi="宋体" w:cs="宋体" w:eastAsia="宋体" w:hint="default"/>
                <w:sz w:val="18"/>
                <w:szCs w:val="18"/>
              </w:rPr>
              <w:t>专业构成</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79"/>
        <w:gridCol w:w="4792"/>
      </w:tblGrid>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2"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209</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工程人员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803</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信息采集人员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5,937</w:t>
            </w:r>
          </w:p>
        </w:tc>
      </w:tr>
      <w:tr>
        <w:trPr>
          <w:trHeight w:val="409"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7,504</w:t>
            </w:r>
          </w:p>
        </w:tc>
      </w:tr>
      <w:tr>
        <w:trPr>
          <w:trHeight w:val="391"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6"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9"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硕士研究生</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2"/>
                <w:sz w:val="18"/>
              </w:rPr>
              <w:t>118</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1,164</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1,794</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4,428</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7,504</w:t>
            </w:r>
          </w:p>
        </w:tc>
      </w:tr>
    </w:tbl>
    <w:p>
      <w:pPr>
        <w:spacing w:line="240" w:lineRule="auto" w:before="3"/>
        <w:rPr>
          <w:rFonts w:ascii="宋体" w:hAnsi="宋体" w:cs="宋体" w:eastAsia="宋体" w:hint="default"/>
          <w:b/>
          <w:bCs/>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、薪酬政策</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54" w:firstLine="480"/>
        <w:jc w:val="both"/>
      </w:pPr>
      <w:r>
        <w:rPr/>
        <w:t>员工薪酬分为基本薪酬</w:t>
      </w:r>
      <w:r>
        <w:rPr>
          <w:rFonts w:ascii="宋体" w:hAnsi="宋体" w:cs="宋体" w:eastAsia="宋体" w:hint="default"/>
        </w:rPr>
        <w:t>+</w:t>
      </w:r>
      <w:r>
        <w:rPr/>
        <w:t>绩效奖金</w:t>
      </w:r>
      <w:r>
        <w:rPr>
          <w:rFonts w:ascii="宋体" w:hAnsi="宋体" w:cs="宋体" w:eastAsia="宋体" w:hint="default"/>
        </w:rPr>
        <w:t>+</w:t>
      </w:r>
      <w:r>
        <w:rPr/>
        <w:t>岗位津贴，基本薪酬是根据员工的岗位价值、学历、 技能水平等因素确定，绩效奖金部分充分与公司的年度经营目标相结合，岗位津贴与员工日</w:t>
      </w:r>
      <w:r>
        <w:rPr>
          <w:spacing w:val="-91"/>
        </w:rPr>
        <w:t> </w:t>
      </w:r>
      <w:r>
        <w:rPr>
          <w:spacing w:val="-91"/>
        </w:rPr>
      </w:r>
      <w:r>
        <w:rPr/>
        <w:t>常补贴相结合，根据不同岗位制定不同的绩效考核管理方式，将公司效益与员工利息有效的</w:t>
      </w:r>
      <w:r>
        <w:rPr>
          <w:spacing w:val="-91"/>
        </w:rPr>
        <w:t> </w:t>
      </w:r>
      <w:r>
        <w:rPr>
          <w:spacing w:val="-91"/>
        </w:rPr>
      </w:r>
      <w:r>
        <w:rPr/>
        <w:t>紧密结合。公司通过提供有竞争力的薪酬福利待遇，建立公司与员工合理分享公司发展成果</w:t>
      </w:r>
      <w:r>
        <w:rPr>
          <w:spacing w:val="-89"/>
        </w:rPr>
        <w:t> </w:t>
      </w:r>
      <w:r>
        <w:rPr>
          <w:spacing w:val="-89"/>
        </w:rPr>
      </w:r>
      <w:r>
        <w:rPr/>
        <w:t>的机制，使薪酬与岗位、与个人贡献相匹配。通过“创新、责任、诚信、人和”企业文化的</w:t>
      </w:r>
      <w:r>
        <w:rPr>
          <w:spacing w:val="-87"/>
        </w:rPr>
        <w:t> </w:t>
      </w:r>
      <w:r>
        <w:rPr>
          <w:spacing w:val="-87"/>
        </w:rPr>
      </w:r>
      <w:r>
        <w:rPr/>
        <w:t>建设，努力实现公司及员工个人价值的最大化。</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、培训计划</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9" w:firstLine="480"/>
        <w:jc w:val="both"/>
      </w:pPr>
      <w:r>
        <w:rPr/>
        <w:t>公司采用内部培训的方式，根据不同岗位制定具体培训计划，以提高员工素质与技能， 加强员工的岗位培训和技能培训，切实提高企业培训实效，实现人力资源增值。同时，为帮</w:t>
      </w:r>
      <w:r>
        <w:rPr>
          <w:spacing w:val="-91"/>
        </w:rPr>
        <w:t> </w:t>
      </w:r>
      <w:r>
        <w:rPr>
          <w:spacing w:val="-91"/>
        </w:rPr>
      </w:r>
      <w:r>
        <w:rPr/>
        <w:t>助新入职员工增进对公司及工作环境的了解，迅速进入状态，根据当期新员工的数量，不定</w:t>
      </w:r>
      <w:r>
        <w:rPr>
          <w:spacing w:val="-91"/>
        </w:rPr>
        <w:t> </w:t>
      </w:r>
      <w:r>
        <w:rPr>
          <w:spacing w:val="-91"/>
        </w:rPr>
      </w:r>
      <w:r>
        <w:rPr/>
        <w:t>期开展新员工入职培训。</w:t>
      </w:r>
    </w:p>
    <w:p>
      <w:pPr>
        <w:spacing w:after="0" w:line="357" w:lineRule="auto"/>
        <w:jc w:val="both"/>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、劳务外包情况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29" w:right="3505"/>
        <w:jc w:val="center"/>
        <w:rPr>
          <w:b w:val="0"/>
          <w:bCs w:val="0"/>
        </w:rPr>
      </w:pPr>
      <w:bookmarkStart w:name="_bookmark8" w:id="9"/>
      <w:bookmarkEnd w:id="9"/>
      <w:r>
        <w:rPr>
          <w:b w:val="0"/>
          <w:bCs w:val="0"/>
        </w:rPr>
      </w:r>
      <w:r>
        <w:rPr/>
        <w:t>第九节</w:t>
      </w:r>
      <w:r>
        <w:rPr>
          <w:spacing w:val="-2"/>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6"/>
        <w:jc w:val="left"/>
        <w:rPr>
          <w:b w:val="0"/>
          <w:bCs w:val="0"/>
        </w:rPr>
      </w:pPr>
      <w:r>
        <w:rPr/>
        <w:t>一、公司治理的基本状况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96" w:firstLine="480"/>
        <w:jc w:val="left"/>
      </w:pPr>
      <w:r>
        <w:rPr/>
        <w:t>报告期内，公司严格按照《公司法》、《证券法》、《上市公司治理准则》、《深圳证 </w:t>
      </w:r>
      <w:r>
        <w:rPr>
          <w:spacing w:val="-3"/>
        </w:rPr>
        <w:t>券交易所创业板股票上市规则》、《深圳证券交易所创业板上市公司规范运作指引》等法律、</w:t>
      </w:r>
      <w:r>
        <w:rPr>
          <w:spacing w:val="-81"/>
        </w:rPr>
        <w:t> </w:t>
      </w:r>
      <w:r>
        <w:rPr>
          <w:spacing w:val="-81"/>
        </w:rPr>
      </w:r>
      <w:r>
        <w:rPr/>
        <w:t>法规和中国证监会有关法律法规等的要求，不断完善公司的法人治理结构，建立健全公司内</w:t>
      </w:r>
      <w:r>
        <w:rPr>
          <w:spacing w:val="-91"/>
        </w:rPr>
        <w:t> </w:t>
      </w:r>
      <w:r>
        <w:rPr>
          <w:spacing w:val="-91"/>
        </w:rPr>
      </w:r>
      <w:r>
        <w:rPr/>
        <w:t>部管理和控制制度，规范运作，严格进行信息披露工作，保护广大投资者利益。</w:t>
      </w:r>
    </w:p>
    <w:p>
      <w:pPr>
        <w:pStyle w:val="BodyText"/>
        <w:spacing w:line="357" w:lineRule="auto"/>
        <w:ind w:right="239" w:firstLine="480"/>
        <w:jc w:val="both"/>
      </w:pPr>
      <w:r>
        <w:rPr/>
        <w:t>截至报告期末，公司治理的实际情况基本符合中国证监会发布的有关上市公司治理的规 范性文件的要求，已经形成了权力机构、决策机构、监督机构与管理层之间权责分明、各司</w:t>
      </w:r>
      <w:r>
        <w:rPr>
          <w:spacing w:val="-91"/>
        </w:rPr>
        <w:t> </w:t>
      </w:r>
      <w:r>
        <w:rPr>
          <w:spacing w:val="-91"/>
        </w:rPr>
      </w:r>
      <w:r>
        <w:rPr/>
        <w:t>其职、相互制衡、科学决策、协调运作的法人治理结构。</w:t>
      </w:r>
    </w:p>
    <w:p>
      <w:pPr>
        <w:pStyle w:val="BodyText"/>
        <w:spacing w:line="357" w:lineRule="auto"/>
        <w:ind w:left="633" w:right="96"/>
        <w:jc w:val="left"/>
      </w:pPr>
      <w:r>
        <w:rPr>
          <w:rFonts w:ascii="宋体" w:hAnsi="宋体" w:cs="宋体" w:eastAsia="宋体" w:hint="default"/>
        </w:rPr>
        <w:t>1</w:t>
      </w:r>
      <w:r>
        <w:rPr/>
        <w:t>、关于股东与股东大会 公司股东大会均严格按照《上市公司股东大会规则》、《公司章程》、《股东大会议事</w:t>
      </w:r>
    </w:p>
    <w:p>
      <w:pPr>
        <w:pStyle w:val="BodyText"/>
        <w:spacing w:line="357" w:lineRule="auto"/>
        <w:ind w:right="239"/>
        <w:jc w:val="both"/>
      </w:pPr>
      <w:r>
        <w:rPr/>
        <w:t>规则》等规定召集、召开，平等对待所有股东，并尽可能为股东参加股东大会提供便利，使</w:t>
      </w:r>
      <w:r>
        <w:rPr>
          <w:spacing w:val="-91"/>
        </w:rPr>
        <w:t> </w:t>
      </w:r>
      <w:r>
        <w:rPr>
          <w:spacing w:val="-91"/>
        </w:rPr>
      </w:r>
      <w:r>
        <w:rPr/>
        <w:t>其充分行使股东权利。同时，公司聘请专业律师见证股东大会，确保会议召集召开以及表决</w:t>
      </w:r>
      <w:r>
        <w:rPr>
          <w:spacing w:val="-91"/>
        </w:rPr>
        <w:t> </w:t>
      </w:r>
      <w:r>
        <w:rPr>
          <w:spacing w:val="-91"/>
        </w:rPr>
      </w:r>
      <w:r>
        <w:rPr/>
        <w:t>程序符合相关法律规定，维护股东的合法权益。</w:t>
      </w:r>
    </w:p>
    <w:p>
      <w:pPr>
        <w:pStyle w:val="BodyText"/>
        <w:spacing w:line="357" w:lineRule="auto"/>
        <w:ind w:left="633" w:right="96"/>
        <w:jc w:val="left"/>
      </w:pPr>
      <w:r>
        <w:rPr>
          <w:rFonts w:ascii="宋体" w:hAnsi="宋体" w:cs="宋体" w:eastAsia="宋体" w:hint="default"/>
        </w:rPr>
        <w:t>2</w:t>
      </w:r>
      <w:r>
        <w:rPr/>
        <w:t>、关于公司与控股股东、实际控制人 公司控股股东、实际控制人严格规范自己的行为，没有超越股东大会直接或间接干预公</w:t>
      </w:r>
    </w:p>
    <w:p>
      <w:pPr>
        <w:pStyle w:val="BodyText"/>
        <w:spacing w:line="357" w:lineRule="auto"/>
        <w:ind w:right="96"/>
        <w:jc w:val="left"/>
      </w:pPr>
      <w:r>
        <w:rPr>
          <w:spacing w:val="-2"/>
        </w:rPr>
        <w:t>司的决策和经营活动，未损害公司及其他股东的利益，不存在控股股东占用公司资金的现象，</w:t>
      </w:r>
      <w:r>
        <w:rPr>
          <w:spacing w:val="-118"/>
        </w:rPr>
        <w:t> </w:t>
      </w:r>
      <w:r>
        <w:rPr>
          <w:spacing w:val="-118"/>
        </w:rPr>
      </w:r>
      <w:r>
        <w:rPr/>
        <w:t>公司亦无为控股股东提供担保的情形。公司拥有独立完整的业务和自主经营能力，在业务、</w:t>
      </w:r>
      <w:r>
        <w:rPr>
          <w:spacing w:val="-91"/>
        </w:rPr>
        <w:t> </w:t>
      </w:r>
      <w:r>
        <w:rPr>
          <w:spacing w:val="-91"/>
        </w:rPr>
      </w:r>
      <w:r>
        <w:rPr/>
        <w:t>人员、资产、机构、财务上独立于控股股东，公司董事会、监事会和内部机构独立运作。</w:t>
      </w:r>
    </w:p>
    <w:p>
      <w:pPr>
        <w:pStyle w:val="BodyText"/>
        <w:spacing w:line="357" w:lineRule="auto" w:before="37"/>
        <w:ind w:left="633" w:right="96"/>
        <w:jc w:val="left"/>
      </w:pPr>
      <w:r>
        <w:rPr>
          <w:rFonts w:ascii="宋体" w:hAnsi="宋体" w:cs="宋体" w:eastAsia="宋体" w:hint="default"/>
        </w:rPr>
        <w:t>3</w:t>
      </w:r>
      <w:r>
        <w:rPr/>
        <w:t>、关于董事和董事会 公司董事会设董事</w:t>
      </w:r>
      <w:r>
        <w:rPr>
          <w:rFonts w:ascii="宋体" w:hAnsi="宋体" w:cs="宋体" w:eastAsia="宋体" w:hint="default"/>
        </w:rPr>
        <w:t>9</w:t>
      </w:r>
      <w:r>
        <w:rPr/>
        <w:t>名，其中独立董事</w:t>
      </w:r>
      <w:r>
        <w:rPr>
          <w:rFonts w:ascii="宋体" w:hAnsi="宋体" w:cs="宋体" w:eastAsia="宋体" w:hint="default"/>
        </w:rPr>
        <w:t>3</w:t>
      </w:r>
      <w:r>
        <w:rPr/>
        <w:t>名，董事会的人数及人员构成符合法律、法规和</w:t>
      </w:r>
    </w:p>
    <w:p>
      <w:pPr>
        <w:pStyle w:val="BodyText"/>
        <w:spacing w:line="240" w:lineRule="auto"/>
        <w:ind w:right="0"/>
        <w:jc w:val="left"/>
      </w:pPr>
      <w:r>
        <w:rPr>
          <w:spacing w:val="-2"/>
        </w:rPr>
        <w:t>《公司章程》的要求。公司董事能够依据《深圳证券交易所创业板上市公司规范运作指引》、</w:t>
      </w:r>
    </w:p>
    <w:p>
      <w:pPr>
        <w:pStyle w:val="BodyText"/>
        <w:spacing w:line="357" w:lineRule="auto" w:before="154"/>
        <w:ind w:right="96"/>
        <w:jc w:val="left"/>
      </w:pPr>
      <w:r>
        <w:rPr/>
        <w:t>《董事会议事规则》、《独立董事工作制度》等开展工作，出席董事会和股东大会，勤勉尽</w:t>
      </w:r>
      <w:r>
        <w:rPr>
          <w:spacing w:val="-91"/>
        </w:rPr>
        <w:t> </w:t>
      </w:r>
      <w:r>
        <w:rPr>
          <w:spacing w:val="-91"/>
        </w:rPr>
      </w:r>
      <w:r>
        <w:rPr/>
        <w:t>责地履行职责和义务，同时积极参加相关培训，熟悉相关法律法规。</w:t>
      </w:r>
    </w:p>
    <w:p>
      <w:pPr>
        <w:pStyle w:val="BodyText"/>
        <w:spacing w:line="357" w:lineRule="auto"/>
        <w:ind w:left="633" w:right="96"/>
        <w:jc w:val="left"/>
      </w:pPr>
      <w:r>
        <w:rPr>
          <w:rFonts w:ascii="宋体" w:hAnsi="宋体" w:cs="宋体" w:eastAsia="宋体" w:hint="default"/>
        </w:rPr>
        <w:t>4</w:t>
      </w:r>
      <w:r>
        <w:rPr/>
        <w:t>、关于监事和监事会 </w:t>
      </w:r>
      <w:r>
        <w:rPr>
          <w:spacing w:val="-3"/>
        </w:rPr>
        <w:t>公司监事会设监事</w:t>
      </w:r>
      <w:r>
        <w:rPr>
          <w:rFonts w:ascii="宋体" w:hAnsi="宋体" w:cs="宋体" w:eastAsia="宋体" w:hint="default"/>
          <w:spacing w:val="-3"/>
        </w:rPr>
        <w:t>3</w:t>
      </w:r>
      <w:r>
        <w:rPr>
          <w:spacing w:val="-3"/>
        </w:rPr>
        <w:t>名，其中职工监事</w:t>
      </w:r>
      <w:r>
        <w:rPr>
          <w:rFonts w:ascii="宋体" w:hAnsi="宋体" w:cs="宋体" w:eastAsia="宋体" w:hint="default"/>
          <w:spacing w:val="-3"/>
        </w:rPr>
        <w:t>1</w:t>
      </w:r>
      <w:r>
        <w:rPr>
          <w:spacing w:val="-3"/>
        </w:rPr>
        <w:t>名，监事会的人数和构成符合法律、法规的要求。</w:t>
      </w:r>
    </w:p>
    <w:p>
      <w:pPr>
        <w:pStyle w:val="BodyText"/>
        <w:spacing w:line="240" w:lineRule="auto"/>
        <w:ind w:right="96"/>
        <w:jc w:val="left"/>
      </w:pPr>
      <w:r>
        <w:rPr/>
        <w:t>公司监事能够按照《深圳证券交易所创业板上市公司规范运作指引》、《监事会议事规则》</w:t>
      </w:r>
    </w:p>
    <w:p>
      <w:pPr>
        <w:spacing w:after="0" w:line="240"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6"/>
        <w:jc w:val="left"/>
      </w:pPr>
      <w:r>
        <w:rPr/>
        <w:t>的要求，认真履行自己的职责，对公司重大事项、财务状况、董事和高级管理人员的履行职</w:t>
      </w:r>
      <w:r>
        <w:rPr>
          <w:spacing w:val="-91"/>
        </w:rPr>
        <w:t> </w:t>
      </w:r>
      <w:r>
        <w:rPr>
          <w:spacing w:val="-91"/>
        </w:rPr>
      </w:r>
      <w:r>
        <w:rPr/>
        <w:t>责的合法合规性进行监督，维护公司及股东的合法权益。</w:t>
      </w:r>
    </w:p>
    <w:p>
      <w:pPr>
        <w:pStyle w:val="BodyText"/>
        <w:spacing w:line="357" w:lineRule="auto"/>
        <w:ind w:left="633" w:right="96"/>
        <w:jc w:val="left"/>
      </w:pPr>
      <w:r>
        <w:rPr>
          <w:rFonts w:ascii="宋体" w:hAnsi="宋体" w:cs="宋体" w:eastAsia="宋体" w:hint="default"/>
        </w:rPr>
        <w:t>5</w:t>
      </w:r>
      <w:r>
        <w:rPr/>
        <w:t>、关于绩效评价与激励约束机制 公司已建立企业绩效激励与评价体系，并不断完善。公司董事、监事和高级管理人员的</w:t>
      </w:r>
    </w:p>
    <w:p>
      <w:pPr>
        <w:pStyle w:val="BodyText"/>
        <w:spacing w:line="357" w:lineRule="auto"/>
        <w:ind w:right="96"/>
        <w:jc w:val="left"/>
      </w:pPr>
      <w:r>
        <w:rPr/>
        <w:t>绩效评价标准和激励约束机制公开、透明，符合法律、法规的规定。公司董事会设立了薪酬</w:t>
      </w:r>
      <w:r>
        <w:rPr>
          <w:spacing w:val="-91"/>
        </w:rPr>
        <w:t> </w:t>
      </w:r>
      <w:r>
        <w:rPr>
          <w:spacing w:val="-91"/>
        </w:rPr>
      </w:r>
      <w:r>
        <w:rPr>
          <w:spacing w:val="-2"/>
        </w:rPr>
        <w:t>与考核委员会，负责薪酬政策及方案的制定与审定。公司高级管理人员均认真履行工作职责，</w:t>
      </w:r>
      <w:r>
        <w:rPr/>
        <w:t> 较好地完成了董事会制定的经营管理任务。</w:t>
      </w:r>
    </w:p>
    <w:p>
      <w:pPr>
        <w:pStyle w:val="BodyText"/>
        <w:spacing w:line="357" w:lineRule="auto" w:before="37"/>
        <w:ind w:left="633" w:right="96"/>
        <w:jc w:val="left"/>
      </w:pPr>
      <w:r>
        <w:rPr>
          <w:rFonts w:ascii="宋体" w:hAnsi="宋体" w:cs="宋体" w:eastAsia="宋体" w:hint="default"/>
        </w:rPr>
        <w:t>6</w:t>
      </w:r>
      <w:r>
        <w:rPr/>
        <w:t>、关于信息披露与透明度 公司严格按照《上市公司信息披露管理办法》、深圳证券交易所创业板上市公司的信息</w:t>
      </w:r>
    </w:p>
    <w:p>
      <w:pPr>
        <w:pStyle w:val="BodyText"/>
        <w:spacing w:line="357" w:lineRule="auto"/>
        <w:ind w:right="229"/>
        <w:jc w:val="both"/>
      </w:pPr>
      <w:r>
        <w:rPr/>
        <w:t>披露格式指引等规定以及公司制定的《信息披露制度》等要求，真实、准确、及时、公平、</w:t>
      </w:r>
      <w:r>
        <w:rPr>
          <w:spacing w:val="-91"/>
        </w:rPr>
        <w:t> </w:t>
      </w:r>
      <w:r>
        <w:rPr>
          <w:spacing w:val="-91"/>
        </w:rPr>
      </w:r>
      <w:r>
        <w:rPr>
          <w:spacing w:val="-2"/>
        </w:rPr>
        <w:t>完整地披露有关信息；并指定公司董事会秘书负责信息披露工作，协调公司与投资者的关系</w:t>
      </w:r>
      <w:r>
        <w:rPr>
          <w:rFonts w:ascii="宋体" w:hAnsi="宋体" w:cs="宋体" w:eastAsia="宋体" w:hint="default"/>
          <w:spacing w:val="-2"/>
        </w:rPr>
        <w:t>,</w:t>
      </w:r>
      <w:r>
        <w:rPr>
          <w:rFonts w:ascii="宋体" w:hAnsi="宋体" w:cs="宋体" w:eastAsia="宋体" w:hint="default"/>
          <w:spacing w:val="-118"/>
        </w:rPr>
        <w:t> </w:t>
      </w:r>
      <w:r>
        <w:rPr/>
        <w:t>接待股东来访，回答投资者咨询；并指定《中国证券报》、《证券时报》、《证券日报》等</w:t>
      </w:r>
      <w:r>
        <w:rPr>
          <w:spacing w:val="-91"/>
        </w:rPr>
        <w:t> </w:t>
      </w:r>
      <w:r>
        <w:rPr>
          <w:spacing w:val="-91"/>
        </w:rPr>
      </w:r>
      <w:r>
        <w:rPr>
          <w:spacing w:val="-2"/>
        </w:rPr>
        <w:t>法定报纸和巨潮资讯网（</w:t>
      </w:r>
      <w:hyperlink r:id="rId11">
        <w:r>
          <w:rPr>
            <w:rFonts w:ascii="宋体" w:hAnsi="宋体" w:cs="宋体" w:eastAsia="宋体" w:hint="default"/>
            <w:spacing w:val="-2"/>
          </w:rPr>
          <w:t>www.cninfo.com.cn</w:t>
        </w:r>
      </w:hyperlink>
      <w:r>
        <w:rPr>
          <w:spacing w:val="-2"/>
        </w:rPr>
        <w:t>）为公司信息披露的指定报纸和网站，确保公司</w:t>
      </w:r>
      <w:r>
        <w:rPr>
          <w:spacing w:val="-103"/>
        </w:rPr>
        <w:t> </w:t>
      </w:r>
      <w:r>
        <w:rPr>
          <w:spacing w:val="-103"/>
        </w:rPr>
      </w:r>
      <w:r>
        <w:rPr/>
        <w:t>所有股东能够以平等的机会获得信息。</w:t>
      </w:r>
    </w:p>
    <w:p>
      <w:pPr>
        <w:pStyle w:val="BodyText"/>
        <w:spacing w:line="357" w:lineRule="auto"/>
        <w:ind w:left="633" w:right="96"/>
        <w:jc w:val="left"/>
      </w:pPr>
      <w:r>
        <w:rPr>
          <w:rFonts w:ascii="宋体" w:hAnsi="宋体" w:cs="宋体" w:eastAsia="宋体" w:hint="default"/>
        </w:rPr>
        <w:t>7</w:t>
      </w:r>
      <w:r>
        <w:rPr/>
        <w:t>、关于相关利益者 公司充分尊重和维护相关利益者的合法权益，实现社会、股东、公司、员工等各方面利</w:t>
      </w:r>
    </w:p>
    <w:p>
      <w:pPr>
        <w:pStyle w:val="BodyText"/>
        <w:spacing w:line="357" w:lineRule="auto"/>
        <w:ind w:right="96"/>
        <w:jc w:val="left"/>
      </w:pPr>
      <w:r>
        <w:rPr/>
        <w:t>益的协调平衡，诚信对待供应商和客户，坚持与相关利益者互利共赢的原则，共同推动公司</w:t>
      </w:r>
      <w:r>
        <w:rPr>
          <w:spacing w:val="-91"/>
        </w:rPr>
        <w:t> </w:t>
      </w:r>
      <w:r>
        <w:rPr>
          <w:spacing w:val="-91"/>
        </w:rPr>
      </w:r>
      <w:r>
        <w:rPr/>
        <w:t>持续、稳健发展。</w:t>
      </w:r>
    </w:p>
    <w:p>
      <w:pPr>
        <w:spacing w:before="46"/>
        <w:ind w:left="152" w:right="96"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40" w:lineRule="auto" w:before="115"/>
        <w:ind w:left="152" w:right="26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7"/>
        <w:rPr>
          <w:rFonts w:ascii="宋体" w:hAnsi="宋体" w:cs="宋体" w:eastAsia="宋体" w:hint="default"/>
          <w:sz w:val="19"/>
          <w:szCs w:val="19"/>
        </w:rPr>
      </w:pPr>
    </w:p>
    <w:p>
      <w:pPr>
        <w:pStyle w:val="Heading2"/>
        <w:spacing w:line="240" w:lineRule="auto"/>
        <w:ind w:right="96"/>
        <w:jc w:val="left"/>
        <w:rPr>
          <w:b w:val="0"/>
          <w:bCs w:val="0"/>
        </w:rPr>
      </w:pPr>
      <w:r>
        <w:rPr/>
        <w:t>二、公司相对于控股股东在业务、人员、资产、机构、财务等方面的独立情况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96" w:firstLine="480"/>
        <w:jc w:val="left"/>
      </w:pPr>
      <w:r>
        <w:rPr/>
        <w:t>公司控股股东、实际控制人为自然人，公司与控股股东在业务、人员、资产、机构、财 务方面均保持独立。</w:t>
      </w:r>
    </w:p>
    <w:p>
      <w:pPr>
        <w:spacing w:line="240" w:lineRule="auto" w:before="11"/>
        <w:rPr>
          <w:rFonts w:ascii="宋体" w:hAnsi="宋体" w:cs="宋体" w:eastAsia="宋体" w:hint="default"/>
          <w:sz w:val="19"/>
          <w:szCs w:val="19"/>
        </w:rPr>
      </w:pPr>
    </w:p>
    <w:p>
      <w:pPr>
        <w:pStyle w:val="Heading2"/>
        <w:spacing w:line="240" w:lineRule="auto"/>
        <w:ind w:right="96"/>
        <w:jc w:val="left"/>
        <w:rPr>
          <w:b w:val="0"/>
          <w:bCs w:val="0"/>
        </w:rPr>
      </w:pPr>
      <w:r>
        <w:rPr/>
        <w:t>三、同业竞争情况</w:t>
      </w:r>
      <w:r>
        <w:rPr>
          <w:b w:val="0"/>
          <w:bCs w:val="0"/>
        </w:rPr>
      </w:r>
    </w:p>
    <w:p>
      <w:pPr>
        <w:spacing w:line="240" w:lineRule="auto" w:before="6"/>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900"/>
        </w:sectPr>
      </w:pPr>
    </w:p>
    <w:p>
      <w:pPr>
        <w:spacing w:line="240" w:lineRule="auto" w:before="8"/>
        <w:rPr>
          <w:rFonts w:ascii="宋体" w:hAnsi="宋体" w:cs="宋体" w:eastAsia="宋体" w:hint="default"/>
          <w:sz w:val="23"/>
          <w:szCs w:val="23"/>
        </w:rPr>
      </w:pPr>
    </w:p>
    <w:p>
      <w:pPr>
        <w:pStyle w:val="Heading2"/>
        <w:spacing w:line="240" w:lineRule="auto" w:before="26"/>
        <w:ind w:right="153"/>
        <w:jc w:val="left"/>
        <w:rPr>
          <w:b w:val="0"/>
          <w:bCs w:val="0"/>
        </w:rPr>
      </w:pP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37"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39.29%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4"/>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29">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2017-027</w:t>
            </w:r>
          </w:p>
        </w:tc>
      </w:tr>
      <w:tr>
        <w:trPr>
          <w:trHeight w:val="134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6"/>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36.53%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7"/>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29">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2017-066</w:t>
            </w:r>
          </w:p>
        </w:tc>
      </w:tr>
    </w:tbl>
    <w:p>
      <w:pPr>
        <w:spacing w:line="240" w:lineRule="auto" w:before="3"/>
        <w:rPr>
          <w:rFonts w:ascii="宋体" w:hAnsi="宋体" w:cs="宋体" w:eastAsia="宋体" w:hint="default"/>
          <w:b/>
          <w:bCs/>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153"/>
        <w:jc w:val="left"/>
        <w:rPr>
          <w:b w:val="0"/>
          <w:bCs w:val="0"/>
        </w:rPr>
      </w:pP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8"/>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402"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12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1</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12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1</w:t>
            </w:r>
          </w:p>
        </w:tc>
      </w:tr>
    </w:tbl>
    <w:p>
      <w:pPr>
        <w:spacing w:line="357" w:lineRule="auto" w:before="49"/>
        <w:ind w:left="152" w:right="7074"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 无</w:t>
      </w:r>
    </w:p>
    <w:p>
      <w:pPr>
        <w:spacing w:line="240" w:lineRule="auto" w:before="6"/>
        <w:rPr>
          <w:rFonts w:ascii="宋体" w:hAnsi="宋体" w:cs="宋体" w:eastAsia="宋体" w:hint="default"/>
          <w:sz w:val="20"/>
          <w:szCs w:val="20"/>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38" w:lineRule="auto" w:before="117"/>
        <w:ind w:left="152" w:right="59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报告期内独立董事对公司有关事项未提出异议。</w:t>
      </w:r>
    </w:p>
    <w:p>
      <w:pPr>
        <w:spacing w:line="240" w:lineRule="auto" w:before="7"/>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、独立董事履行职责的其他说明</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0" w:firstLine="0"/>
        <w:jc w:val="both"/>
        <w:rPr>
          <w:rFonts w:ascii="宋体" w:hAnsi="宋体" w:cs="宋体" w:eastAsia="宋体" w:hint="default"/>
          <w:sz w:val="18"/>
          <w:szCs w:val="18"/>
        </w:rPr>
      </w:pPr>
      <w:r>
        <w:rPr>
          <w:rFonts w:ascii="宋体" w:hAnsi="宋体" w:cs="宋体" w:eastAsia="宋体" w:hint="default"/>
          <w:sz w:val="18"/>
          <w:szCs w:val="18"/>
        </w:rPr>
        <w:t>独立董事对公司有关建议被采纳或未被采纳的说明</w:t>
      </w:r>
    </w:p>
    <w:p>
      <w:pPr>
        <w:pStyle w:val="BodyText"/>
        <w:spacing w:line="357" w:lineRule="auto" w:before="148"/>
        <w:ind w:right="156" w:firstLine="480"/>
        <w:jc w:val="both"/>
      </w:pPr>
      <w:r>
        <w:rPr/>
        <w:t>公司独立董事勤勉尽责，严格按照中国证监会的相关规定及《公司章程》、《董事会议 事规则》和《独立董事制度》开展工作，关注公司运作，独立履行职责，对公司内部控制建</w:t>
      </w:r>
      <w:r>
        <w:rPr>
          <w:spacing w:val="-89"/>
        </w:rPr>
        <w:t> </w:t>
      </w:r>
      <w:r>
        <w:rPr>
          <w:spacing w:val="-89"/>
        </w:rPr>
      </w:r>
      <w:r>
        <w:rPr/>
        <w:t>设、管理体系建设等重大决策等方面提出了很多宝贵的专业性建议，对公司财务及生产经营</w:t>
      </w:r>
      <w:r>
        <w:rPr>
          <w:spacing w:val="-91"/>
        </w:rPr>
        <w:t> </w:t>
      </w:r>
      <w:r>
        <w:rPr>
          <w:spacing w:val="-91"/>
        </w:rPr>
      </w:r>
      <w:r>
        <w:rPr/>
        <w:t>活动进行了有效监督，对于每个需要发表独立意见的事项会结合自身经验和专业背景提出意</w:t>
      </w:r>
      <w:r>
        <w:rPr>
          <w:spacing w:val="-91"/>
        </w:rPr>
        <w:t> </w:t>
      </w:r>
      <w:r>
        <w:rPr>
          <w:spacing w:val="-91"/>
        </w:rPr>
      </w:r>
      <w:r>
        <w:rPr/>
        <w:t>见，提高了公司决策的科学性，为完善公司监督机制，维护公司和全体股东的合法权益发挥</w:t>
      </w:r>
      <w:r>
        <w:rPr>
          <w:spacing w:val="-91"/>
        </w:rPr>
        <w:t> </w:t>
      </w:r>
      <w:r>
        <w:rPr>
          <w:spacing w:val="-91"/>
        </w:rPr>
      </w:r>
      <w:r>
        <w:rPr/>
        <w:t>了应有的作用。</w:t>
      </w:r>
    </w:p>
    <w:p>
      <w:pPr>
        <w:spacing w:line="240" w:lineRule="auto" w:before="12"/>
        <w:rPr>
          <w:rFonts w:ascii="宋体" w:hAnsi="宋体" w:cs="宋体" w:eastAsia="宋体" w:hint="default"/>
          <w:sz w:val="19"/>
          <w:szCs w:val="19"/>
        </w:rPr>
      </w:pPr>
    </w:p>
    <w:p>
      <w:pPr>
        <w:pStyle w:val="Heading2"/>
        <w:spacing w:line="240" w:lineRule="auto"/>
        <w:ind w:right="0"/>
        <w:jc w:val="both"/>
        <w:rPr>
          <w:b w:val="0"/>
          <w:bCs w:val="0"/>
        </w:rPr>
      </w:pPr>
      <w:r>
        <w:rPr/>
        <w:t>六、董事会下设专门委员会在报告期内履行职责情况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160" w:firstLine="480"/>
        <w:jc w:val="both"/>
      </w:pPr>
      <w:r>
        <w:rPr/>
        <w:t>公司董事会下设发展战略委员会、审计委员会、薪酬与考核委员会和提名委员会四个专 门委员会。</w:t>
      </w:r>
    </w:p>
    <w:p>
      <w:pPr>
        <w:pStyle w:val="BodyText"/>
        <w:spacing w:line="357" w:lineRule="auto"/>
        <w:ind w:left="633" w:right="153"/>
        <w:jc w:val="left"/>
      </w:pPr>
      <w:r>
        <w:rPr>
          <w:rFonts w:ascii="宋体" w:hAnsi="宋体" w:cs="宋体" w:eastAsia="宋体" w:hint="default"/>
        </w:rPr>
        <w:t>1</w:t>
      </w:r>
      <w:r>
        <w:rPr/>
        <w:t>、发展战略委员会 报告期内，公司发展战略委员会按照《董事会发展战略委员会工作规则》的相关要求履</w:t>
      </w:r>
    </w:p>
    <w:p>
      <w:pPr>
        <w:pStyle w:val="BodyText"/>
        <w:spacing w:line="357" w:lineRule="auto"/>
        <w:ind w:right="159"/>
        <w:jc w:val="both"/>
      </w:pPr>
      <w:r>
        <w:rPr/>
        <w:t>行工作职责，召开一次发展战略委员会会议，对公司长期发展战略规划、年度预算、决算登</w:t>
      </w:r>
      <w:r>
        <w:rPr>
          <w:spacing w:val="-91"/>
        </w:rPr>
        <w:t> </w:t>
      </w:r>
      <w:r>
        <w:rPr>
          <w:spacing w:val="-91"/>
        </w:rPr>
      </w:r>
      <w:r>
        <w:rPr/>
        <w:t>进行审议，同时对公司业务、技术和产品的总体发展方向进行规划，对其他影响公司发展的</w:t>
      </w:r>
      <w:r>
        <w:rPr>
          <w:spacing w:val="-91"/>
        </w:rPr>
        <w:t> </w:t>
      </w:r>
      <w:r>
        <w:rPr>
          <w:spacing w:val="-91"/>
        </w:rPr>
      </w:r>
      <w:r>
        <w:rPr/>
        <w:t>重大事项进行研究并提出建议，进一步提高公司战略决策的合理性和科学性。</w:t>
      </w:r>
    </w:p>
    <w:p>
      <w:pPr>
        <w:pStyle w:val="BodyText"/>
        <w:spacing w:line="357" w:lineRule="auto"/>
        <w:ind w:left="633" w:right="153"/>
        <w:jc w:val="left"/>
      </w:pPr>
      <w:r>
        <w:rPr>
          <w:rFonts w:ascii="宋体" w:hAnsi="宋体" w:cs="宋体" w:eastAsia="宋体" w:hint="default"/>
        </w:rPr>
        <w:t>2</w:t>
      </w:r>
      <w:r>
        <w:rPr/>
        <w:t>、审计委员会 报告期内，公司审计委员会按照《审计委员会工作规则》的相关要求，认真履行工作职</w:t>
      </w:r>
    </w:p>
    <w:p>
      <w:pPr>
        <w:pStyle w:val="BodyText"/>
        <w:spacing w:line="357" w:lineRule="auto"/>
        <w:ind w:right="158"/>
        <w:jc w:val="both"/>
      </w:pPr>
      <w:r>
        <w:rPr/>
        <w:t>责。报告期内共召开五次审计委员会会议，认真监督公司内部控制，审核公司财务信息及披</w:t>
      </w:r>
      <w:r>
        <w:rPr>
          <w:spacing w:val="-91"/>
        </w:rPr>
        <w:t> </w:t>
      </w:r>
      <w:r>
        <w:rPr>
          <w:spacing w:val="-91"/>
        </w:rPr>
      </w:r>
      <w:r>
        <w:rPr/>
        <w:t>露情况。年报披露期间与审计会计师进行沟通，制定年度审计计划并对年度审计工作进行安</w:t>
      </w:r>
      <w:r>
        <w:rPr>
          <w:spacing w:val="-91"/>
        </w:rPr>
        <w:t> </w:t>
      </w:r>
      <w:r>
        <w:rPr>
          <w:spacing w:val="-91"/>
        </w:rPr>
      </w:r>
      <w:r>
        <w:rPr/>
        <w:t>排，就审计过程中的问题与相关人员进行了有效沟通，保证公司年报及审计工作顺利完成。</w:t>
      </w:r>
      <w:r>
        <w:rPr>
          <w:spacing w:val="-91"/>
        </w:rPr>
        <w:t> </w:t>
      </w:r>
      <w:r>
        <w:rPr>
          <w:spacing w:val="-91"/>
        </w:rPr>
      </w:r>
      <w:r>
        <w:rPr>
          <w:rFonts w:ascii="宋体" w:hAnsi="宋体" w:cs="宋体" w:eastAsia="宋体" w:hint="default"/>
        </w:rPr>
        <w:t>2017</w:t>
      </w:r>
      <w:r>
        <w:rPr/>
        <w:t>年，审计委员会共召开了四次会议，重点对公司定期财务报告、募集资金使用情况、内</w:t>
      </w:r>
      <w:r>
        <w:rPr>
          <w:spacing w:val="-91"/>
        </w:rPr>
        <w:t> </w:t>
      </w:r>
      <w:r>
        <w:rPr>
          <w:spacing w:val="-91"/>
        </w:rPr>
      </w:r>
      <w:r>
        <w:rPr/>
        <w:t>部控制制度对等事项进行审议。</w:t>
      </w:r>
    </w:p>
    <w:p>
      <w:pPr>
        <w:pStyle w:val="BodyText"/>
        <w:spacing w:line="357" w:lineRule="auto"/>
        <w:ind w:left="633" w:right="153"/>
        <w:jc w:val="left"/>
      </w:pPr>
      <w:r>
        <w:rPr>
          <w:rFonts w:ascii="宋体" w:hAnsi="宋体" w:cs="宋体" w:eastAsia="宋体" w:hint="default"/>
        </w:rPr>
        <w:t>3</w:t>
      </w:r>
      <w:r>
        <w:rPr/>
        <w:t>、薪酬与考核委员会 报告期内，公司薪酬与考核委员会按照《薪酬与考核委员工作规则》的相关要求，召开</w:t>
      </w:r>
    </w:p>
    <w:p>
      <w:pPr>
        <w:pStyle w:val="BodyText"/>
        <w:spacing w:line="357" w:lineRule="auto"/>
        <w:ind w:right="154"/>
        <w:jc w:val="both"/>
      </w:pPr>
      <w:r>
        <w:rPr/>
        <w:t>一次薪酬与考核委员会会议，对公司薪酬及绩效考核情况进行监督，审查董事和高级管理人</w:t>
      </w:r>
      <w:r>
        <w:rPr>
          <w:spacing w:val="-91"/>
        </w:rPr>
        <w:t> </w:t>
      </w:r>
      <w:r>
        <w:rPr>
          <w:spacing w:val="-91"/>
        </w:rPr>
      </w:r>
      <w:r>
        <w:rPr/>
        <w:t>员的薪酬及绩效考核方案，并提交董事会审核。同时组织对董事、高级管理人员进行业绩考</w:t>
      </w:r>
      <w:r>
        <w:rPr>
          <w:spacing w:val="-91"/>
        </w:rPr>
        <w:t> </w:t>
      </w:r>
      <w:r>
        <w:rPr>
          <w:spacing w:val="-91"/>
        </w:rPr>
      </w:r>
      <w:r>
        <w:rPr/>
        <w:t>核，对考核和评价标准提出建议，促进公司进一步提高薪酬与绩效考核工作的科学性和实效</w:t>
      </w:r>
      <w:r>
        <w:rPr>
          <w:spacing w:val="-86"/>
        </w:rPr>
        <w:t> </w:t>
      </w:r>
      <w:r>
        <w:rPr>
          <w:spacing w:val="-86"/>
        </w:rPr>
      </w:r>
      <w:r>
        <w:rPr/>
        <w:t>性。</w:t>
      </w:r>
      <w:r>
        <w:rPr>
          <w:rFonts w:ascii="宋体" w:hAnsi="宋体" w:cs="宋体" w:eastAsia="宋体" w:hint="default"/>
        </w:rPr>
        <w:t>2017</w:t>
      </w:r>
      <w:r>
        <w:rPr/>
        <w:t>年度，薪酬与考核委员会召开了两次会议，对公司高级管理人员的薪酬进行和股权</w:t>
      </w:r>
      <w:r>
        <w:rPr>
          <w:spacing w:val="-91"/>
        </w:rPr>
        <w:t> </w:t>
      </w:r>
      <w:r>
        <w:rPr>
          <w:spacing w:val="-91"/>
        </w:rPr>
      </w:r>
      <w:r>
        <w:rPr/>
        <w:t>激励相关事项进行考核。</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left="633" w:right="153"/>
        <w:jc w:val="left"/>
      </w:pPr>
      <w:r>
        <w:rPr>
          <w:rFonts w:ascii="宋体" w:hAnsi="宋体" w:cs="宋体" w:eastAsia="宋体" w:hint="default"/>
        </w:rPr>
        <w:t>4</w:t>
      </w:r>
      <w:r>
        <w:rPr/>
        <w:t>、提名委员会 报告期内，公司提名委员会按照《提名委员会工作规则》的相关要求认真履职，对公司</w:t>
      </w:r>
    </w:p>
    <w:p>
      <w:pPr>
        <w:pStyle w:val="BodyText"/>
        <w:spacing w:line="357" w:lineRule="auto"/>
        <w:ind w:right="153"/>
        <w:jc w:val="left"/>
      </w:pPr>
      <w:r>
        <w:rPr/>
        <w:t>董事、高级管理人员工作情况进行了评估，认为公司董事会人员结构合理，高管团队具有丰</w:t>
      </w:r>
      <w:r>
        <w:rPr>
          <w:spacing w:val="-91"/>
        </w:rPr>
        <w:t> </w:t>
      </w:r>
      <w:r>
        <w:rPr>
          <w:spacing w:val="-91"/>
        </w:rPr>
      </w:r>
      <w:r>
        <w:rPr/>
        <w:t>富的行业经验和管理经验，完全胜任各自的工作。</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七、监事会工作情况</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5"/>
        <w:ind w:left="152" w:right="63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公司监事会对报告期内的监督事项无异议。</w:t>
      </w:r>
    </w:p>
    <w:p>
      <w:pPr>
        <w:spacing w:line="240" w:lineRule="auto" w:before="6"/>
        <w:rPr>
          <w:rFonts w:ascii="宋体" w:hAnsi="宋体" w:cs="宋体" w:eastAsia="宋体" w:hint="default"/>
          <w:sz w:val="19"/>
          <w:szCs w:val="19"/>
        </w:rPr>
      </w:pPr>
    </w:p>
    <w:p>
      <w:pPr>
        <w:pStyle w:val="Heading2"/>
        <w:spacing w:line="240" w:lineRule="auto"/>
        <w:ind w:right="153"/>
        <w:jc w:val="left"/>
        <w:rPr>
          <w:b w:val="0"/>
          <w:bCs w:val="0"/>
        </w:rPr>
      </w:pPr>
      <w:r>
        <w:rPr/>
        <w:t>八、高级管理人员的考评及激励情况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159" w:firstLine="480"/>
        <w:jc w:val="both"/>
      </w:pPr>
      <w:r>
        <w:rPr/>
        <w:t>公司建立了完善的高级管理人员绩效管理体系，明确了高级管理人员考核、晋升、培训 和奖惩激励机制，有效的提升了公司治理水平，进一步完善高级管理人员绩效评价和激励、</w:t>
      </w:r>
      <w:r>
        <w:rPr>
          <w:spacing w:val="-91"/>
        </w:rPr>
        <w:t> </w:t>
      </w:r>
      <w:r>
        <w:rPr>
          <w:spacing w:val="-91"/>
        </w:rPr>
      </w:r>
      <w:r>
        <w:rPr/>
        <w:t>约束机制，最大限度地调动公司高级管理人员的积极性及创造性，确保公司各项业务的顺利</w:t>
      </w:r>
      <w:r>
        <w:rPr>
          <w:spacing w:val="-91"/>
        </w:rPr>
        <w:t> </w:t>
      </w:r>
      <w:r>
        <w:rPr>
          <w:spacing w:val="-91"/>
        </w:rPr>
      </w:r>
      <w:r>
        <w:rPr/>
        <w:t>开展，促进了公司业绩稳定持续发展，更好维护广大投资者的根本利益。</w:t>
      </w:r>
    </w:p>
    <w:p>
      <w:pPr>
        <w:spacing w:line="240" w:lineRule="auto" w:before="11"/>
        <w:rPr>
          <w:rFonts w:ascii="宋体" w:hAnsi="宋体" w:cs="宋体" w:eastAsia="宋体" w:hint="default"/>
          <w:sz w:val="19"/>
          <w:szCs w:val="19"/>
        </w:rPr>
      </w:pPr>
    </w:p>
    <w:p>
      <w:pPr>
        <w:pStyle w:val="Heading2"/>
        <w:spacing w:line="240" w:lineRule="auto"/>
        <w:ind w:right="153"/>
        <w:jc w:val="left"/>
        <w:rPr>
          <w:b w:val="0"/>
          <w:bCs w:val="0"/>
        </w:rPr>
      </w:pPr>
      <w:r>
        <w:rPr/>
        <w:t>九、内部控制评价报告</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、内控自我评价报告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8"/>
        <w:gridCol w:w="3327"/>
        <w:gridCol w:w="3053"/>
      </w:tblGrid>
      <w:tr>
        <w:trPr>
          <w:trHeight w:val="403"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401"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5"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5"/>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3"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1"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5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2"/>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7"/>
              <w:jc w:val="center"/>
              <w:rPr>
                <w:rFonts w:ascii="宋体" w:hAnsi="宋体" w:cs="宋体" w:eastAsia="宋体" w:hint="default"/>
                <w:sz w:val="18"/>
                <w:szCs w:val="18"/>
              </w:rPr>
            </w:pPr>
            <w:r>
              <w:rPr>
                <w:rFonts w:ascii="宋体" w:hAnsi="宋体" w:cs="宋体" w:eastAsia="宋体" w:hint="default"/>
                <w:sz w:val="18"/>
                <w:szCs w:val="18"/>
              </w:rPr>
              <w:t>类别</w:t>
            </w:r>
          </w:p>
        </w:tc>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454" w:hRule="exact"/>
        </w:trPr>
        <w:tc>
          <w:tcPr>
            <w:tcW w:w="3178"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7" w:type="dxa"/>
            <w:vMerge w:val="restart"/>
            <w:tcBorders>
              <w:top w:val="single" w:sz="4" w:space="0" w:color="000000"/>
              <w:left w:val="single" w:sz="9" w:space="0" w:color="D2D2D2"/>
              <w:right w:val="single" w:sz="4" w:space="0" w:color="000000"/>
            </w:tcBorders>
          </w:tcPr>
          <w:p>
            <w:pPr>
              <w:pStyle w:val="TableParagraph"/>
              <w:spacing w:line="307" w:lineRule="auto" w:before="49"/>
              <w:ind w:left="23" w:right="20"/>
              <w:jc w:val="both"/>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）控制环境无效；（</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）公司董事、监事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和高级管理人员舞弊并给企业造成重大损 </w:t>
            </w:r>
            <w:r>
              <w:rPr>
                <w:rFonts w:ascii="宋体" w:hAnsi="宋体" w:cs="宋体" w:eastAsia="宋体" w:hint="default"/>
                <w:spacing w:val="-5"/>
                <w:sz w:val="18"/>
                <w:szCs w:val="18"/>
              </w:rPr>
              <w:t>失和不利影响；（</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）注册会计师发现当期</w:t>
            </w:r>
            <w:r>
              <w:rPr>
                <w:rFonts w:ascii="宋体" w:hAnsi="宋体" w:cs="宋体" w:eastAsia="宋体" w:hint="default"/>
                <w:spacing w:val="-86"/>
                <w:sz w:val="18"/>
                <w:szCs w:val="18"/>
              </w:rPr>
              <w:t> </w:t>
            </w:r>
            <w:r>
              <w:rPr>
                <w:rFonts w:ascii="宋体" w:hAnsi="宋体" w:cs="宋体" w:eastAsia="宋体" w:hint="default"/>
                <w:sz w:val="18"/>
                <w:szCs w:val="18"/>
              </w:rPr>
              <w:t>财务报告存在重大错报，而内部控制在运</w:t>
            </w:r>
          </w:p>
        </w:tc>
        <w:tc>
          <w:tcPr>
            <w:tcW w:w="3053" w:type="dxa"/>
            <w:vMerge w:val="restart"/>
            <w:tcBorders>
              <w:top w:val="single" w:sz="4" w:space="0" w:color="000000"/>
              <w:left w:val="single" w:sz="4" w:space="0" w:color="000000"/>
              <w:right w:val="single" w:sz="4" w:space="0" w:color="000000"/>
            </w:tcBorders>
          </w:tcPr>
          <w:p>
            <w:pPr>
              <w:pStyle w:val="TableParagraph"/>
              <w:spacing w:line="300" w:lineRule="auto" w:before="49"/>
              <w:ind w:left="26" w:right="-44"/>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）公司经营活动严重违反国家法律 </w:t>
            </w:r>
            <w:r>
              <w:rPr>
                <w:rFonts w:ascii="宋体" w:hAnsi="宋体" w:cs="宋体" w:eastAsia="宋体" w:hint="default"/>
                <w:spacing w:val="-9"/>
                <w:sz w:val="18"/>
                <w:szCs w:val="18"/>
              </w:rPr>
              <w:t>法规；（</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）媒体负面新闻频频曝光，对</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公司声誉造成重大损害；（</w:t>
            </w:r>
            <w:r>
              <w:rPr>
                <w:rFonts w:ascii="Times New Roman" w:hAnsi="Times New Roman" w:cs="Times New Roman" w:eastAsia="Times New Roman" w:hint="default"/>
                <w:spacing w:val="-9"/>
                <w:sz w:val="18"/>
                <w:szCs w:val="18"/>
              </w:rPr>
              <w:t>3</w:t>
            </w:r>
            <w:r>
              <w:rPr>
                <w:rFonts w:ascii="宋体" w:hAnsi="宋体" w:cs="宋体" w:eastAsia="宋体" w:hint="default"/>
                <w:spacing w:val="-9"/>
                <w:sz w:val="18"/>
                <w:szCs w:val="18"/>
              </w:rPr>
              <w:t>）中高级管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理人员和高级技术人员严重流失；（</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w:t>
            </w:r>
          </w:p>
        </w:tc>
      </w:tr>
      <w:tr>
        <w:trPr>
          <w:trHeight w:val="392" w:hRule="exact"/>
        </w:trPr>
        <w:tc>
          <w:tcPr>
            <w:tcW w:w="31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7" w:type="dxa"/>
            <w:vMerge/>
            <w:tcBorders>
              <w:left w:val="single" w:sz="9" w:space="0" w:color="D2D2D2"/>
              <w:right w:val="single" w:sz="4" w:space="0" w:color="000000"/>
            </w:tcBorders>
          </w:tcPr>
          <w:p>
            <w:pPr/>
          </w:p>
        </w:tc>
        <w:tc>
          <w:tcPr>
            <w:tcW w:w="3053" w:type="dxa"/>
            <w:vMerge/>
            <w:tcBorders>
              <w:left w:val="single" w:sz="4" w:space="0" w:color="000000"/>
              <w:right w:val="single" w:sz="4" w:space="0" w:color="000000"/>
            </w:tcBorders>
          </w:tcPr>
          <w:p>
            <w:pPr/>
          </w:p>
        </w:tc>
      </w:tr>
      <w:tr>
        <w:trPr>
          <w:trHeight w:val="454" w:hRule="exact"/>
        </w:trPr>
        <w:tc>
          <w:tcPr>
            <w:tcW w:w="3178"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7" w:type="dxa"/>
            <w:vMerge/>
            <w:tcBorders>
              <w:left w:val="single" w:sz="9" w:space="0" w:color="D2D2D2"/>
              <w:bottom w:val="single" w:sz="4" w:space="0" w:color="000000"/>
              <w:right w:val="single" w:sz="4" w:space="0" w:color="000000"/>
            </w:tcBorders>
          </w:tcPr>
          <w:p>
            <w:pPr/>
          </w:p>
        </w:tc>
        <w:tc>
          <w:tcPr>
            <w:tcW w:w="3053"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194"/>
        <w:gridCol w:w="3322"/>
        <w:gridCol w:w="3053"/>
      </w:tblGrid>
      <w:tr>
        <w:trPr>
          <w:trHeight w:val="1299"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8"/>
              <w:ind w:left="24" w:right="47"/>
              <w:jc w:val="both"/>
              <w:rPr>
                <w:rFonts w:ascii="宋体" w:hAnsi="宋体" w:cs="宋体" w:eastAsia="宋体" w:hint="default"/>
                <w:sz w:val="18"/>
                <w:szCs w:val="18"/>
              </w:rPr>
            </w:pPr>
            <w:r>
              <w:rPr>
                <w:rFonts w:ascii="宋体" w:hAnsi="宋体" w:cs="宋体" w:eastAsia="宋体" w:hint="default"/>
                <w:spacing w:val="-5"/>
                <w:sz w:val="18"/>
                <w:szCs w:val="18"/>
              </w:rPr>
              <w:t>行过程中未能发现该错报；（</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）已经发现</w:t>
            </w:r>
            <w:r>
              <w:rPr>
                <w:rFonts w:ascii="宋体" w:hAnsi="宋体" w:cs="宋体" w:eastAsia="宋体" w:hint="default"/>
                <w:spacing w:val="-86"/>
                <w:sz w:val="18"/>
                <w:szCs w:val="18"/>
              </w:rPr>
              <w:t> </w:t>
            </w:r>
            <w:r>
              <w:rPr>
                <w:rFonts w:ascii="宋体" w:hAnsi="宋体" w:cs="宋体" w:eastAsia="宋体" w:hint="default"/>
                <w:sz w:val="18"/>
                <w:szCs w:val="18"/>
              </w:rPr>
              <w:t>并报告给管理层的重要缺陷在合理的时间 </w:t>
            </w:r>
            <w:r>
              <w:rPr>
                <w:rFonts w:ascii="宋体" w:hAnsi="宋体" w:cs="宋体" w:eastAsia="宋体" w:hint="default"/>
                <w:spacing w:val="-5"/>
                <w:sz w:val="18"/>
                <w:szCs w:val="18"/>
              </w:rPr>
              <w:t>内未加以改正；（</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）审计委员会和内部审</w:t>
            </w:r>
            <w:r>
              <w:rPr>
                <w:rFonts w:ascii="宋体" w:hAnsi="宋体" w:cs="宋体" w:eastAsia="宋体" w:hint="default"/>
                <w:spacing w:val="-86"/>
                <w:sz w:val="18"/>
                <w:szCs w:val="18"/>
              </w:rPr>
              <w:t> </w:t>
            </w:r>
            <w:r>
              <w:rPr>
                <w:rFonts w:ascii="宋体" w:hAnsi="宋体" w:cs="宋体" w:eastAsia="宋体" w:hint="default"/>
                <w:sz w:val="18"/>
                <w:szCs w:val="18"/>
              </w:rPr>
              <w:t>计部对公司的内部控制监督无效。</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26" w:right="20"/>
              <w:jc w:val="left"/>
              <w:rPr>
                <w:rFonts w:ascii="宋体" w:hAnsi="宋体" w:cs="宋体" w:eastAsia="宋体" w:hint="default"/>
                <w:sz w:val="18"/>
                <w:szCs w:val="18"/>
              </w:rPr>
            </w:pPr>
            <w:r>
              <w:rPr>
                <w:rFonts w:ascii="宋体" w:hAnsi="宋体" w:cs="宋体" w:eastAsia="宋体" w:hint="default"/>
                <w:sz w:val="18"/>
                <w:szCs w:val="18"/>
              </w:rPr>
              <w:t>重要业务缺乏制度控制或制度系统性 </w:t>
            </w:r>
            <w:r>
              <w:rPr>
                <w:rFonts w:ascii="宋体" w:hAnsi="宋体" w:cs="宋体" w:eastAsia="宋体" w:hint="default"/>
                <w:spacing w:val="-9"/>
                <w:sz w:val="18"/>
                <w:szCs w:val="18"/>
              </w:rPr>
              <w:t>失效；（</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）内部控制评价的结果特别是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重大缺陷或重要缺陷未得到整改。</w:t>
            </w:r>
          </w:p>
        </w:tc>
      </w:tr>
      <w:tr>
        <w:trPr>
          <w:trHeight w:val="196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以财务报表数据为基准，确定上市公司合 并财务报表错报（包括漏报）重要程度的 定量标准：重大缺陷：错报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税前利润的 </w:t>
            </w:r>
            <w:r>
              <w:rPr>
                <w:rFonts w:ascii="Times New Roman" w:hAnsi="Times New Roman" w:cs="Times New Roman" w:eastAsia="Times New Roman" w:hint="default"/>
                <w:sz w:val="18"/>
                <w:szCs w:val="18"/>
              </w:rPr>
              <w:t>5% </w:t>
            </w:r>
            <w:r>
              <w:rPr>
                <w:rFonts w:ascii="宋体" w:hAnsi="宋体" w:cs="宋体" w:eastAsia="宋体" w:hint="default"/>
                <w:sz w:val="18"/>
                <w:szCs w:val="18"/>
              </w:rPr>
              <w:t>；重要缺陷：税前利润的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错报＜ 税前利润的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；一般缺陷：错报＜税前利</w:t>
            </w:r>
            <w:r>
              <w:rPr>
                <w:rFonts w:ascii="宋体" w:hAnsi="宋体" w:cs="宋体" w:eastAsia="宋体" w:hint="default"/>
                <w:sz w:val="18"/>
                <w:szCs w:val="18"/>
              </w:rPr>
              <w:t> 润的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16"/>
              <w:jc w:val="both"/>
              <w:rPr>
                <w:rFonts w:ascii="Times New Roman" w:hAnsi="Times New Roman" w:cs="Times New Roman" w:eastAsia="Times New Roman" w:hint="default"/>
                <w:sz w:val="18"/>
                <w:szCs w:val="18"/>
              </w:rPr>
            </w:pPr>
            <w:r>
              <w:rPr>
                <w:rFonts w:ascii="宋体" w:hAnsi="宋体" w:cs="宋体" w:eastAsia="宋体" w:hint="default"/>
                <w:sz w:val="18"/>
                <w:szCs w:val="18"/>
              </w:rPr>
              <w:t>重大缺陷：</w:t>
            </w:r>
            <w:r>
              <w:rPr>
                <w:rFonts w:ascii="宋体" w:hAnsi="宋体" w:cs="宋体" w:eastAsia="宋体" w:hint="default"/>
                <w:spacing w:val="1"/>
                <w:sz w:val="18"/>
                <w:szCs w:val="18"/>
              </w:rPr>
              <w:t> </w:t>
            </w:r>
            <w:r>
              <w:rPr>
                <w:rFonts w:ascii="宋体" w:hAnsi="宋体" w:cs="宋体" w:eastAsia="宋体" w:hint="default"/>
                <w:sz w:val="18"/>
                <w:szCs w:val="18"/>
              </w:rPr>
              <w:t>直接损失金额﹥资产总额</w:t>
            </w:r>
            <w:r>
              <w:rPr>
                <w:rFonts w:ascii="宋体" w:hAnsi="宋体" w:cs="宋体" w:eastAsia="宋体" w:hint="default"/>
                <w:sz w:val="18"/>
                <w:szCs w:val="18"/>
              </w:rPr>
              <w:t> 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  </w:t>
            </w:r>
            <w:r>
              <w:rPr>
                <w:rFonts w:ascii="宋体" w:hAnsi="宋体" w:cs="宋体" w:eastAsia="宋体" w:hint="default"/>
                <w:spacing w:val="-9"/>
                <w:sz w:val="18"/>
                <w:szCs w:val="18"/>
              </w:rPr>
              <w:t>；重要缺陷：资产总额的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321" w:lineRule="auto"/>
              <w:ind w:left="26" w:right="36"/>
              <w:jc w:val="both"/>
              <w:rPr>
                <w:rFonts w:ascii="Times New Roman" w:hAnsi="Times New Roman" w:cs="Times New Roman" w:eastAsia="Times New Roman" w:hint="default"/>
                <w:sz w:val="18"/>
                <w:szCs w:val="18"/>
              </w:rPr>
            </w:pPr>
            <w:r>
              <w:rPr>
                <w:rFonts w:ascii="宋体" w:hAnsi="宋体" w:cs="宋体" w:eastAsia="宋体" w:hint="default"/>
                <w:sz w:val="18"/>
                <w:szCs w:val="18"/>
              </w:rPr>
              <w:t>﹤直接损失金额</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 一般缺陷：直接损失金额</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 </w:t>
            </w:r>
            <w:r>
              <w:rPr>
                <w:rFonts w:ascii="Times New Roman" w:hAnsi="Times New Roman" w:cs="Times New Roman" w:eastAsia="Times New Roman" w:hint="default"/>
                <w:sz w:val="18"/>
                <w:szCs w:val="18"/>
              </w:rPr>
              <w:t>0.2%</w:t>
            </w:r>
          </w:p>
        </w:tc>
      </w:tr>
      <w:tr>
        <w:trPr>
          <w:trHeight w:val="40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b/>
          <w:bCs/>
          <w:sz w:val="18"/>
          <w:szCs w:val="18"/>
        </w:rPr>
      </w:pPr>
    </w:p>
    <w:p>
      <w:pPr>
        <w:pStyle w:val="Heading2"/>
        <w:spacing w:line="240" w:lineRule="auto" w:before="26"/>
        <w:ind w:right="153"/>
        <w:jc w:val="left"/>
        <w:rPr>
          <w:b w:val="0"/>
          <w:bCs w:val="0"/>
        </w:rPr>
      </w:pP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1"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6"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2" w:right="83"/>
              <w:jc w:val="left"/>
              <w:rPr>
                <w:rFonts w:ascii="宋体" w:hAnsi="宋体" w:cs="宋体" w:eastAsia="宋体" w:hint="default"/>
                <w:sz w:val="18"/>
                <w:szCs w:val="18"/>
              </w:rPr>
            </w:pPr>
            <w:r>
              <w:rPr>
                <w:rFonts w:ascii="宋体" w:hAnsi="宋体" w:cs="宋体" w:eastAsia="宋体" w:hint="default"/>
                <w:sz w:val="18"/>
                <w:szCs w:val="18"/>
              </w:rPr>
              <w:t>审计师认为，数字政通公司于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日在所有重大方面保持了按照财政部颁布的《内部会计控制规范</w:t>
            </w:r>
            <w:r>
              <w:rPr>
                <w:rFonts w:ascii="Times New Roman" w:hAnsi="Times New Roman" w:cs="Times New Roman" w:eastAsia="Times New Roman" w:hint="default"/>
                <w:sz w:val="18"/>
                <w:szCs w:val="18"/>
              </w:rPr>
              <w:t>—</w:t>
            </w:r>
            <w:r>
              <w:rPr>
                <w:rFonts w:ascii="宋体" w:hAnsi="宋体" w:cs="宋体" w:eastAsia="宋体" w:hint="default"/>
                <w:sz w:val="18"/>
                <w:szCs w:val="18"/>
              </w:rPr>
              <w:t>基本规 </w:t>
            </w:r>
            <w:r>
              <w:rPr>
                <w:rFonts w:ascii="宋体" w:hAnsi="宋体" w:cs="宋体" w:eastAsia="宋体" w:hint="default"/>
                <w:spacing w:val="-3"/>
                <w:sz w:val="18"/>
                <w:szCs w:val="18"/>
              </w:rPr>
              <w:t>范（试行）》的有关规范标准中与财务报表相关的有效的内部控制。</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52" w:right="36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3"/>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125" w:right="153"/>
        <w:jc w:val="left"/>
        <w:rPr>
          <w:b w:val="0"/>
          <w:bCs w:val="0"/>
        </w:rPr>
      </w:pPr>
      <w:bookmarkStart w:name="_bookmark9" w:id="10"/>
      <w:bookmarkEnd w:id="10"/>
      <w:r>
        <w:rPr>
          <w:b w:val="0"/>
          <w:bCs w:val="0"/>
        </w:rPr>
      </w:r>
      <w:r>
        <w:rPr/>
        <w:t>第十节</w:t>
      </w:r>
      <w:r>
        <w:rPr>
          <w:spacing w:val="-6"/>
        </w:rPr>
        <w:t> </w:t>
      </w:r>
      <w:r>
        <w:rPr/>
        <w:t>公司债券相关情况</w:t>
      </w:r>
      <w:r>
        <w:rPr>
          <w:b w:val="0"/>
          <w:bCs w:val="0"/>
        </w:rPr>
      </w:r>
    </w:p>
    <w:p>
      <w:pPr>
        <w:spacing w:line="240" w:lineRule="auto" w:before="9"/>
        <w:rPr>
          <w:rFonts w:ascii="宋体" w:hAnsi="宋体" w:cs="宋体" w:eastAsia="宋体" w:hint="default"/>
          <w:b/>
          <w:bCs/>
          <w:sz w:val="42"/>
          <w:szCs w:val="42"/>
        </w:rPr>
      </w:pPr>
    </w:p>
    <w:p>
      <w:pPr>
        <w:spacing w:line="357" w:lineRule="auto" w:before="0"/>
        <w:ind w:left="152" w:right="1134"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2422"/>
        <w:jc w:val="center"/>
        <w:rPr>
          <w:b w:val="0"/>
          <w:bCs w:val="0"/>
        </w:rPr>
      </w:pPr>
      <w:bookmarkStart w:name="_bookmark10" w:id="11"/>
      <w:bookmarkEnd w:id="11"/>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153"/>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瑞华会计师事务所（特殊普通合伙）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瑞华审字【</w:t>
            </w:r>
            <w:r>
              <w:rPr>
                <w:rFonts w:ascii="Times New Roman" w:hAnsi="Times New Roman" w:cs="Times New Roman" w:eastAsia="Times New Roman" w:hint="default"/>
                <w:sz w:val="18"/>
                <w:szCs w:val="18"/>
              </w:rPr>
              <w:t>2018</w:t>
            </w:r>
            <w:r>
              <w:rPr>
                <w:rFonts w:ascii="宋体" w:hAnsi="宋体" w:cs="宋体" w:eastAsia="宋体" w:hint="default"/>
                <w:sz w:val="18"/>
                <w:szCs w:val="18"/>
              </w:rPr>
              <w:t>】 </w:t>
            </w:r>
            <w:r>
              <w:rPr>
                <w:rFonts w:ascii="Times New Roman" w:hAnsi="Times New Roman" w:cs="Times New Roman" w:eastAsia="Times New Roman" w:hint="default"/>
                <w:sz w:val="18"/>
                <w:szCs w:val="18"/>
              </w:rPr>
              <w:t>01310081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苗策、薛东升</w:t>
            </w:r>
          </w:p>
        </w:tc>
      </w:tr>
    </w:tbl>
    <w:p>
      <w:pPr>
        <w:spacing w:before="49"/>
        <w:ind w:left="2421" w:right="2421"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pStyle w:val="BodyText"/>
        <w:spacing w:line="240" w:lineRule="auto" w:before="145"/>
        <w:ind w:left="2421" w:right="1942"/>
        <w:jc w:val="center"/>
      </w:pPr>
      <w:r>
        <w:rPr/>
        <w:t>审 计 报 告</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5" w:footer="979" w:top="1060" w:bottom="1160" w:left="980" w:right="980"/>
        </w:sectPr>
      </w:pPr>
    </w:p>
    <w:p>
      <w:pPr>
        <w:spacing w:line="240" w:lineRule="auto" w:before="0"/>
        <w:rPr>
          <w:rFonts w:ascii="宋体" w:hAnsi="宋体" w:cs="宋体" w:eastAsia="宋体" w:hint="default"/>
          <w:sz w:val="24"/>
          <w:szCs w:val="24"/>
        </w:rPr>
      </w:pPr>
    </w:p>
    <w:p>
      <w:pPr>
        <w:pStyle w:val="BodyText"/>
        <w:spacing w:line="357" w:lineRule="auto" w:before="180"/>
        <w:ind w:left="633" w:right="-20"/>
        <w:jc w:val="left"/>
      </w:pPr>
      <w:r>
        <w:rPr/>
        <w:t>北京数字政通科技股份有限公司全体股东： 一、审计意见</w:t>
      </w:r>
    </w:p>
    <w:p>
      <w:pPr>
        <w:pStyle w:val="BodyText"/>
        <w:spacing w:line="240" w:lineRule="auto" w:before="26"/>
        <w:ind w:left="633" w:right="0"/>
        <w:jc w:val="left"/>
      </w:pPr>
      <w:r>
        <w:rPr/>
        <w:br w:type="column"/>
      </w:r>
      <w:r>
        <w:rPr/>
        <w:t>瑞华 字</w:t>
      </w:r>
      <w:r>
        <w:rPr>
          <w:rFonts w:ascii="宋体" w:hAnsi="宋体" w:cs="宋体" w:eastAsia="宋体" w:hint="default"/>
        </w:rPr>
        <w:t>[2018]01310081</w:t>
      </w:r>
      <w:r>
        <w:rPr>
          <w:rFonts w:ascii="宋体" w:hAnsi="宋体" w:cs="宋体" w:eastAsia="宋体" w:hint="default"/>
          <w:spacing w:val="-60"/>
        </w:rPr>
        <w:t> </w:t>
      </w:r>
      <w:r>
        <w:rPr/>
        <w:t>号</w:t>
      </w:r>
    </w:p>
    <w:p>
      <w:pPr>
        <w:spacing w:after="0" w:line="240" w:lineRule="auto"/>
        <w:jc w:val="left"/>
        <w:sectPr>
          <w:type w:val="continuous"/>
          <w:pgSz w:w="11910" w:h="16840"/>
          <w:pgMar w:top="1060" w:bottom="1160" w:left="980" w:right="980"/>
          <w:cols w:num="2" w:equalWidth="0">
            <w:col w:w="5194" w:space="1146"/>
            <w:col w:w="3610"/>
          </w:cols>
        </w:sectPr>
      </w:pPr>
    </w:p>
    <w:p>
      <w:pPr>
        <w:pStyle w:val="BodyText"/>
        <w:spacing w:line="357" w:lineRule="auto"/>
        <w:ind w:right="151" w:firstLine="480"/>
        <w:jc w:val="both"/>
      </w:pPr>
      <w:r>
        <w:rPr/>
        <w:t>我们审计了北京数字政通科技股份有限公司（以下简称“数字政通”）财务报表，包括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1"/>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5"/>
        </w:rPr>
        <w:t>日的合并及公司资产负债表，</w:t>
      </w:r>
      <w:r>
        <w:rPr>
          <w:rFonts w:ascii="宋体" w:hAnsi="宋体" w:cs="宋体" w:eastAsia="宋体" w:hint="default"/>
          <w:spacing w:val="-5"/>
        </w:rPr>
        <w:t>2017</w:t>
      </w:r>
      <w:r>
        <w:rPr>
          <w:rFonts w:ascii="宋体" w:hAnsi="宋体" w:cs="宋体" w:eastAsia="宋体" w:hint="default"/>
          <w:spacing w:val="-60"/>
        </w:rPr>
        <w:t> </w:t>
      </w:r>
      <w:r>
        <w:rPr/>
        <w:t>年度的合并及公司利润表合并及公司现金 流量表、合并及公司股东权益变动表以及相关财务报表附注。</w:t>
      </w:r>
    </w:p>
    <w:p>
      <w:pPr>
        <w:pStyle w:val="BodyText"/>
        <w:spacing w:line="357" w:lineRule="auto"/>
        <w:ind w:right="151" w:firstLine="480"/>
        <w:jc w:val="both"/>
      </w:pPr>
      <w:r>
        <w:rPr/>
        <w:t>我们认为，后附的财务报表在所有重大方面按照企业会计准则的规定编制，公允反映了 数字政通</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5"/>
        </w:rPr>
        <w:t> </w:t>
      </w:r>
      <w:r>
        <w:rPr/>
        <w:t>日合并及公司的财务状况以及</w:t>
      </w:r>
      <w:r>
        <w:rPr>
          <w:spacing w:val="-55"/>
        </w:rPr>
        <w:t> </w:t>
      </w:r>
      <w:r>
        <w:rPr>
          <w:rFonts w:ascii="宋体" w:hAnsi="宋体" w:cs="宋体" w:eastAsia="宋体" w:hint="default"/>
        </w:rPr>
        <w:t>2017</w:t>
      </w:r>
      <w:r>
        <w:rPr>
          <w:rFonts w:ascii="宋体" w:hAnsi="宋体" w:cs="宋体" w:eastAsia="宋体" w:hint="default"/>
          <w:spacing w:val="-56"/>
        </w:rPr>
        <w:t> </w:t>
      </w:r>
      <w:r>
        <w:rPr/>
        <w:t>年度合并及公司的经营成果和 现金流量。</w:t>
      </w:r>
    </w:p>
    <w:p>
      <w:pPr>
        <w:pStyle w:val="BodyText"/>
        <w:spacing w:line="357" w:lineRule="auto"/>
        <w:ind w:left="633" w:right="153"/>
        <w:jc w:val="left"/>
      </w:pPr>
      <w:r>
        <w:rPr/>
        <w:t>二、形成审计意见的基础 我们按照中国注册会计师审计准则的规定执行了审计工作。审计报告的“注册会计师对</w:t>
      </w:r>
    </w:p>
    <w:p>
      <w:pPr>
        <w:pStyle w:val="BodyText"/>
        <w:spacing w:line="357" w:lineRule="auto"/>
        <w:ind w:right="159"/>
        <w:jc w:val="both"/>
      </w:pPr>
      <w:r>
        <w:rPr/>
        <w:t>财务报表审计的责任”部分进一步阐述了我们在这些准则下的责任。按照中国注册会计师职</w:t>
      </w:r>
      <w:r>
        <w:rPr>
          <w:spacing w:val="-91"/>
        </w:rPr>
        <w:t> </w:t>
      </w:r>
      <w:r>
        <w:rPr>
          <w:spacing w:val="-91"/>
        </w:rPr>
      </w:r>
      <w:r>
        <w:rPr/>
        <w:t>业道德守则，我们独立于数字政通，并履行了职业道德方面的其他责任。我们相信，我们获</w:t>
      </w:r>
      <w:r>
        <w:rPr>
          <w:spacing w:val="-91"/>
        </w:rPr>
        <w:t> </w:t>
      </w:r>
      <w:r>
        <w:rPr>
          <w:spacing w:val="-91"/>
        </w:rPr>
      </w:r>
      <w:r>
        <w:rPr/>
        <w:t>取的审计证据是充分、适当的，为发表审计意见提供了基础。</w:t>
      </w:r>
    </w:p>
    <w:p>
      <w:pPr>
        <w:spacing w:line="240" w:lineRule="auto" w:before="0"/>
        <w:rPr>
          <w:rFonts w:ascii="宋体" w:hAnsi="宋体" w:cs="宋体" w:eastAsia="宋体" w:hint="default"/>
          <w:sz w:val="24"/>
          <w:szCs w:val="24"/>
        </w:rPr>
      </w:pPr>
    </w:p>
    <w:p>
      <w:pPr>
        <w:pStyle w:val="BodyText"/>
        <w:spacing w:line="357" w:lineRule="auto" w:before="190"/>
        <w:ind w:left="633" w:right="153"/>
        <w:jc w:val="left"/>
      </w:pPr>
      <w:r>
        <w:rPr/>
        <w:t>三、关键审计事项 关键审计事项是我们根据职业判断，认为对本期财务报表审计最为重要的事项。这些事</w:t>
      </w:r>
    </w:p>
    <w:p>
      <w:pPr>
        <w:pStyle w:val="BodyText"/>
        <w:spacing w:line="240" w:lineRule="auto"/>
        <w:ind w:right="0"/>
        <w:jc w:val="both"/>
      </w:pPr>
      <w:r>
        <w:rPr/>
        <w:t>项的应对以对财务报表整体进行审计并形成审计意见为背景，我们不对这些事项单独发表意</w:t>
      </w:r>
    </w:p>
    <w:p>
      <w:pPr>
        <w:spacing w:after="0" w:line="240" w:lineRule="auto"/>
        <w:jc w:val="both"/>
        <w:sectPr>
          <w:type w:val="continuous"/>
          <w:pgSz w:w="11910" w:h="16840"/>
          <w:pgMar w:top="1060" w:bottom="1160" w:left="980" w:right="980"/>
        </w:sectPr>
      </w:pPr>
    </w:p>
    <w:p>
      <w:pPr>
        <w:spacing w:line="240" w:lineRule="auto" w:before="7"/>
        <w:rPr>
          <w:rFonts w:ascii="宋体" w:hAnsi="宋体" w:cs="宋体" w:eastAsia="宋体" w:hint="default"/>
          <w:sz w:val="29"/>
          <w:szCs w:val="29"/>
        </w:rPr>
      </w:pPr>
    </w:p>
    <w:p>
      <w:pPr>
        <w:pStyle w:val="BodyText"/>
        <w:spacing w:line="240" w:lineRule="auto" w:before="26"/>
        <w:ind w:right="0"/>
        <w:jc w:val="both"/>
      </w:pPr>
      <w:r>
        <w:rPr/>
        <w:t>见。 我们确定下列事项是需要在审计报告中沟通的关键审计事项。</w:t>
      </w:r>
    </w:p>
    <w:p>
      <w:pPr>
        <w:pStyle w:val="BodyText"/>
        <w:spacing w:line="357" w:lineRule="auto" w:before="154"/>
        <w:ind w:left="633" w:right="7693"/>
        <w:jc w:val="left"/>
      </w:pPr>
      <w:r>
        <w:rPr/>
        <w:t>（一）收入确认 </w:t>
      </w:r>
      <w:r>
        <w:rPr>
          <w:rFonts w:ascii="宋体" w:hAnsi="宋体" w:cs="宋体" w:eastAsia="宋体" w:hint="default"/>
        </w:rPr>
        <w:t>1</w:t>
      </w:r>
      <w:r>
        <w:rPr/>
        <w:t>、事项描述</w:t>
      </w:r>
    </w:p>
    <w:p>
      <w:pPr>
        <w:pStyle w:val="BodyText"/>
        <w:spacing w:line="357" w:lineRule="auto"/>
        <w:ind w:right="231" w:firstLine="480"/>
        <w:jc w:val="both"/>
      </w:pPr>
      <w:r>
        <w:rPr/>
        <w:t>数字政通主要从事专业智慧城市应用软件的开发和销售，并提供技术支持和后续服务， 收入类型为软件产品销售收入、采集项目收入、集成项目收入、管道探测项目收入、管网检</w:t>
      </w:r>
      <w:r>
        <w:rPr>
          <w:spacing w:val="-91"/>
        </w:rPr>
        <w:t> </w:t>
      </w:r>
      <w:r>
        <w:rPr>
          <w:spacing w:val="-91"/>
        </w:rPr>
      </w:r>
      <w:r>
        <w:rPr/>
        <w:t>测项目收入、商品销售收入等，</w:t>
      </w:r>
      <w:r>
        <w:rPr>
          <w:rFonts w:ascii="宋体" w:hAnsi="宋体" w:cs="宋体" w:eastAsia="宋体" w:hint="default"/>
        </w:rPr>
        <w:t>2017</w:t>
      </w:r>
      <w:r>
        <w:rPr>
          <w:rFonts w:ascii="宋体" w:hAnsi="宋体" w:cs="宋体" w:eastAsia="宋体" w:hint="default"/>
          <w:spacing w:val="-65"/>
        </w:rPr>
        <w:t> </w:t>
      </w:r>
      <w:r>
        <w:rPr/>
        <w:t>年度合并营业收入</w:t>
      </w:r>
      <w:r>
        <w:rPr>
          <w:spacing w:val="-65"/>
        </w:rPr>
        <w:t> </w:t>
      </w:r>
      <w:r>
        <w:rPr>
          <w:rFonts w:ascii="宋体" w:hAnsi="宋体" w:cs="宋体" w:eastAsia="宋体" w:hint="default"/>
        </w:rPr>
        <w:t>120,297.70</w:t>
      </w:r>
      <w:r>
        <w:rPr>
          <w:rFonts w:ascii="宋体" w:hAnsi="宋体" w:cs="宋体" w:eastAsia="宋体" w:hint="default"/>
          <w:spacing w:val="-65"/>
        </w:rPr>
        <w:t> </w:t>
      </w:r>
      <w:r>
        <w:rPr/>
        <w:t>万元，比</w:t>
      </w:r>
      <w:r>
        <w:rPr>
          <w:spacing w:val="-65"/>
        </w:rPr>
        <w:t> </w:t>
      </w:r>
      <w:r>
        <w:rPr>
          <w:rFonts w:ascii="宋体" w:hAnsi="宋体" w:cs="宋体" w:eastAsia="宋体" w:hint="default"/>
        </w:rPr>
        <w:t>2016</w:t>
      </w:r>
      <w:r>
        <w:rPr>
          <w:rFonts w:ascii="宋体" w:hAnsi="宋体" w:cs="宋体" w:eastAsia="宋体" w:hint="default"/>
          <w:spacing w:val="-65"/>
        </w:rPr>
        <w:t> </w:t>
      </w:r>
      <w:r>
        <w:rPr/>
        <w:t>年度增加</w:t>
      </w:r>
    </w:p>
    <w:p>
      <w:pPr>
        <w:pStyle w:val="BodyText"/>
        <w:spacing w:line="357" w:lineRule="auto"/>
        <w:ind w:right="232"/>
        <w:jc w:val="both"/>
      </w:pPr>
      <w:r>
        <w:rPr>
          <w:rFonts w:ascii="宋体" w:hAnsi="宋体" w:cs="宋体" w:eastAsia="宋体" w:hint="default"/>
        </w:rPr>
        <w:t>23,564.09</w:t>
      </w:r>
      <w:r>
        <w:rPr>
          <w:rFonts w:ascii="宋体" w:hAnsi="宋体" w:cs="宋体" w:eastAsia="宋体" w:hint="default"/>
          <w:spacing w:val="28"/>
        </w:rPr>
        <w:t> </w:t>
      </w:r>
      <w:r>
        <w:rPr/>
        <w:t>万元。收入确认的会计政策详情及收入的分析请参阅合并财务报表附注“四、重</w:t>
      </w:r>
      <w:r>
        <w:rPr>
          <w:spacing w:val="-117"/>
        </w:rPr>
        <w:t> </w:t>
      </w:r>
      <w:r>
        <w:rPr>
          <w:spacing w:val="-117"/>
        </w:rPr>
      </w:r>
      <w:r>
        <w:rPr/>
        <w:t>要会计政策和会计估计”</w:t>
      </w:r>
      <w:r>
        <w:rPr>
          <w:rFonts w:ascii="宋体" w:hAnsi="宋体" w:cs="宋体" w:eastAsia="宋体" w:hint="default"/>
        </w:rPr>
        <w:t>22</w:t>
      </w:r>
      <w:r>
        <w:rPr>
          <w:rFonts w:ascii="宋体" w:hAnsi="宋体" w:cs="宋体" w:eastAsia="宋体" w:hint="default"/>
          <w:spacing w:val="-80"/>
        </w:rPr>
        <w:t> </w:t>
      </w:r>
      <w:r>
        <w:rPr/>
        <w:t>所述的会计政策及合并财务报表附注“六、合并财务报表项目注 释”</w:t>
      </w:r>
      <w:r>
        <w:rPr>
          <w:rFonts w:ascii="宋体" w:hAnsi="宋体" w:cs="宋体" w:eastAsia="宋体" w:hint="default"/>
        </w:rPr>
        <w:t>38</w:t>
      </w:r>
      <w:r>
        <w:rPr/>
        <w:t>。由于收入确认是影响数字政通利润的重要因素，从而存在管理层为了达到特定目标</w:t>
      </w:r>
      <w:r>
        <w:rPr>
          <w:spacing w:val="-91"/>
        </w:rPr>
        <w:t> </w:t>
      </w:r>
      <w:r>
        <w:rPr>
          <w:spacing w:val="-91"/>
        </w:rPr>
      </w:r>
      <w:r>
        <w:rPr/>
        <w:t>或期望而操纵收入确认时点的风险，故我们将收入确认识别为关键审计事项。</w:t>
      </w:r>
    </w:p>
    <w:p>
      <w:pPr>
        <w:pStyle w:val="BodyText"/>
        <w:spacing w:line="240" w:lineRule="auto"/>
        <w:ind w:left="633" w:right="96"/>
        <w:jc w:val="left"/>
      </w:pPr>
      <w:r>
        <w:rPr>
          <w:rFonts w:ascii="宋体" w:hAnsi="宋体" w:cs="宋体" w:eastAsia="宋体" w:hint="default"/>
        </w:rPr>
        <w:t>2</w:t>
      </w:r>
      <w:r>
        <w:rPr/>
        <w:t>、审计应对</w:t>
      </w:r>
    </w:p>
    <w:p>
      <w:pPr>
        <w:pStyle w:val="BodyText"/>
        <w:spacing w:line="240" w:lineRule="auto" w:before="154"/>
        <w:ind w:left="633" w:right="96"/>
        <w:jc w:val="left"/>
      </w:pPr>
      <w:r>
        <w:rPr/>
        <w:t>（</w:t>
      </w:r>
      <w:r>
        <w:rPr>
          <w:rFonts w:ascii="宋体" w:hAnsi="宋体" w:cs="宋体" w:eastAsia="宋体" w:hint="default"/>
        </w:rPr>
        <w:t>1</w:t>
      </w:r>
      <w:r>
        <w:rPr/>
        <w:t>）了解、测试数字政通与销售、收款相关的内部控制制度的设计和运行的有效性。</w:t>
      </w:r>
    </w:p>
    <w:p>
      <w:pPr>
        <w:pStyle w:val="BodyText"/>
        <w:spacing w:line="357" w:lineRule="auto" w:before="154"/>
        <w:ind w:right="233" w:firstLine="480"/>
        <w:jc w:val="both"/>
      </w:pPr>
      <w:r>
        <w:rPr>
          <w:spacing w:val="-3"/>
        </w:rPr>
        <w:t>（</w:t>
      </w:r>
      <w:r>
        <w:rPr>
          <w:rFonts w:ascii="宋体" w:hAnsi="宋体" w:cs="宋体" w:eastAsia="宋体" w:hint="default"/>
          <w:spacing w:val="-3"/>
        </w:rPr>
        <w:t>2</w:t>
      </w:r>
      <w:r>
        <w:rPr>
          <w:spacing w:val="-3"/>
        </w:rPr>
        <w:t>）对于软件产品销售，我们核对了软件产品销售业务相关合同、完工进度单，根据完</w:t>
      </w:r>
      <w:r>
        <w:rPr/>
        <w:t> 工进度单所述进度重新计算本期应确认收入金额，复核收入记录的准确性，同时对完工进度</w:t>
      </w:r>
      <w:r>
        <w:rPr>
          <w:spacing w:val="-91"/>
        </w:rPr>
        <w:t> </w:t>
      </w:r>
      <w:r>
        <w:rPr>
          <w:spacing w:val="-91"/>
        </w:rPr>
      </w:r>
      <w:r>
        <w:rPr/>
        <w:t>函证业主方，复核收入的真实性；对于集成项目、管道探测、管网检测项目，我们复核检查</w:t>
      </w:r>
      <w:r>
        <w:rPr>
          <w:spacing w:val="-91"/>
        </w:rPr>
        <w:t> </w:t>
      </w:r>
      <w:r>
        <w:rPr>
          <w:spacing w:val="-91"/>
        </w:rPr>
      </w:r>
      <w:r>
        <w:rPr/>
        <w:t>了相关合同、项目验收单，根据取得的项目验收单追查至账面收入是否记录在恰当的会计期</w:t>
      </w:r>
      <w:r>
        <w:rPr>
          <w:spacing w:val="-91"/>
        </w:rPr>
        <w:t> </w:t>
      </w:r>
      <w:r>
        <w:rPr>
          <w:spacing w:val="-91"/>
        </w:rPr>
      </w:r>
      <w:r>
        <w:rPr/>
        <w:t>间，并根据相关合同金额核对账面已确认收入金额，复核收入的真实性；对于采集项目，我</w:t>
      </w:r>
      <w:r>
        <w:rPr>
          <w:spacing w:val="-91"/>
        </w:rPr>
        <w:t> </w:t>
      </w:r>
      <w:r>
        <w:rPr>
          <w:spacing w:val="-91"/>
        </w:rPr>
      </w:r>
      <w:r>
        <w:rPr/>
        <w:t>们检查了相关合同，重新计算应当分期确认收入的金额。</w:t>
      </w:r>
    </w:p>
    <w:p>
      <w:pPr>
        <w:pStyle w:val="BodyText"/>
        <w:spacing w:line="357" w:lineRule="auto"/>
        <w:ind w:right="233" w:firstLine="480"/>
        <w:jc w:val="both"/>
      </w:pPr>
      <w:r>
        <w:rPr>
          <w:spacing w:val="-3"/>
        </w:rPr>
        <w:t>（</w:t>
      </w:r>
      <w:r>
        <w:rPr>
          <w:rFonts w:ascii="宋体" w:hAnsi="宋体" w:cs="宋体" w:eastAsia="宋体" w:hint="default"/>
          <w:spacing w:val="-3"/>
        </w:rPr>
        <w:t>3</w:t>
      </w:r>
      <w:r>
        <w:rPr>
          <w:spacing w:val="-3"/>
        </w:rPr>
        <w:t>）就资产负债表日前后记录的收入交易，选取样本，核对完工进度单、项目验收单及</w:t>
      </w:r>
      <w:r>
        <w:rPr/>
        <w:t> 其他支持性文件，以评价收入是否被记录于恰当的会计期间。</w:t>
      </w:r>
    </w:p>
    <w:p>
      <w:pPr>
        <w:pStyle w:val="BodyText"/>
        <w:spacing w:line="357" w:lineRule="auto"/>
        <w:ind w:left="633" w:right="7693"/>
        <w:jc w:val="left"/>
      </w:pPr>
      <w:r>
        <w:rPr/>
        <w:t>（二）商誉减值 </w:t>
      </w:r>
      <w:r>
        <w:rPr>
          <w:rFonts w:ascii="宋体" w:hAnsi="宋体" w:cs="宋体" w:eastAsia="宋体" w:hint="default"/>
        </w:rPr>
        <w:t>1</w:t>
      </w:r>
      <w:r>
        <w:rPr/>
        <w:t>、事项描述</w:t>
      </w:r>
    </w:p>
    <w:p>
      <w:pPr>
        <w:pStyle w:val="BodyText"/>
        <w:spacing w:line="240" w:lineRule="auto"/>
        <w:ind w:left="633" w:right="0"/>
        <w:jc w:val="left"/>
      </w:pPr>
      <w:r>
        <w:rPr/>
        <w:t>截止</w:t>
      </w:r>
      <w:r>
        <w:rPr>
          <w:spacing w:val="-70"/>
        </w:rPr>
        <w:t> </w:t>
      </w:r>
      <w:r>
        <w:rPr>
          <w:rFonts w:ascii="宋体" w:hAnsi="宋体" w:cs="宋体" w:eastAsia="宋体" w:hint="default"/>
        </w:rPr>
        <w:t>2017</w:t>
      </w:r>
      <w:r>
        <w:rPr>
          <w:rFonts w:ascii="宋体" w:hAnsi="宋体" w:cs="宋体" w:eastAsia="宋体" w:hint="default"/>
          <w:spacing w:val="-70"/>
        </w:rPr>
        <w:t> </w:t>
      </w:r>
      <w:r>
        <w:rPr/>
        <w:t>年</w:t>
      </w:r>
      <w:r>
        <w:rPr>
          <w:spacing w:val="-70"/>
        </w:rPr>
        <w:t> </w:t>
      </w:r>
      <w:r>
        <w:rPr>
          <w:rFonts w:ascii="宋体" w:hAnsi="宋体" w:cs="宋体" w:eastAsia="宋体" w:hint="default"/>
        </w:rPr>
        <w:t>12</w:t>
      </w:r>
      <w:r>
        <w:rPr>
          <w:rFonts w:ascii="宋体" w:hAnsi="宋体" w:cs="宋体" w:eastAsia="宋体" w:hint="default"/>
          <w:spacing w:val="-70"/>
        </w:rPr>
        <w:t> </w:t>
      </w:r>
      <w:r>
        <w:rPr/>
        <w:t>月</w:t>
      </w:r>
      <w:r>
        <w:rPr>
          <w:spacing w:val="-70"/>
        </w:rPr>
        <w:t> </w:t>
      </w:r>
      <w:r>
        <w:rPr>
          <w:rFonts w:ascii="宋体" w:hAnsi="宋体" w:cs="宋体" w:eastAsia="宋体" w:hint="default"/>
          <w:spacing w:val="-3"/>
        </w:rPr>
        <w:t>3</w:t>
      </w:r>
      <w:r>
        <w:rPr>
          <w:rFonts w:ascii="宋体" w:hAnsi="宋体" w:cs="宋体" w:eastAsia="宋体" w:hint="default"/>
        </w:rPr>
        <w:t>1</w:t>
      </w:r>
      <w:r>
        <w:rPr>
          <w:rFonts w:ascii="宋体" w:hAnsi="宋体" w:cs="宋体" w:eastAsia="宋体" w:hint="default"/>
          <w:spacing w:val="-72"/>
        </w:rPr>
        <w:t> </w:t>
      </w:r>
      <w:r>
        <w:rPr/>
        <w:t>日</w:t>
      </w:r>
      <w:r>
        <w:rPr>
          <w:spacing w:val="-120"/>
        </w:rPr>
        <w:t>，</w:t>
      </w:r>
      <w:r>
        <w:rPr/>
        <w:t>数字政通合并资产负债表中的商誉净值为人民币</w:t>
      </w:r>
      <w:r>
        <w:rPr>
          <w:spacing w:val="-69"/>
        </w:rPr>
        <w:t> </w:t>
      </w:r>
      <w:r>
        <w:rPr>
          <w:rFonts w:ascii="宋体" w:hAnsi="宋体" w:cs="宋体" w:eastAsia="宋体" w:hint="default"/>
        </w:rPr>
        <w:t>46,528.02</w:t>
      </w:r>
      <w:r>
        <w:rPr>
          <w:rFonts w:ascii="宋体" w:hAnsi="宋体" w:cs="宋体" w:eastAsia="宋体" w:hint="default"/>
          <w:spacing w:val="-70"/>
        </w:rPr>
        <w:t> </w:t>
      </w:r>
      <w:r>
        <w:rPr/>
        <w:t>元，</w:t>
      </w:r>
    </w:p>
    <w:p>
      <w:pPr>
        <w:pStyle w:val="BodyText"/>
        <w:spacing w:line="240" w:lineRule="auto" w:before="154"/>
        <w:ind w:right="0"/>
        <w:jc w:val="both"/>
      </w:pPr>
      <w:r>
        <w:rPr>
          <w:rFonts w:ascii="宋体" w:hAnsi="宋体" w:cs="宋体" w:eastAsia="宋体" w:hint="default"/>
        </w:rPr>
        <w:t>2017</w:t>
      </w:r>
      <w:r>
        <w:rPr>
          <w:rFonts w:ascii="宋体" w:hAnsi="宋体" w:cs="宋体" w:eastAsia="宋体" w:hint="default"/>
          <w:spacing w:val="-82"/>
        </w:rPr>
        <w:t> </w:t>
      </w:r>
      <w:r>
        <w:rPr/>
        <w:t>年度，数字政通于合并利润表对子公司北京数字智通科技有限公司计提的商誉减值准备</w:t>
      </w:r>
    </w:p>
    <w:p>
      <w:pPr>
        <w:pStyle w:val="BodyText"/>
        <w:spacing w:line="357" w:lineRule="auto" w:before="154"/>
        <w:ind w:right="113"/>
        <w:jc w:val="both"/>
      </w:pPr>
      <w:r>
        <w:rPr/>
        <w:t>为人民币 </w:t>
      </w:r>
      <w:r>
        <w:rPr>
          <w:rFonts w:ascii="宋体" w:hAnsi="宋体" w:cs="宋体" w:eastAsia="宋体" w:hint="default"/>
        </w:rPr>
        <w:t>278.22 </w:t>
      </w:r>
      <w:r>
        <w:rPr/>
        <w:t>万元。相关信息披露参阅合并财务报表附注“四、重要会计政策和会计估</w:t>
      </w:r>
      <w:r>
        <w:rPr>
          <w:spacing w:val="-93"/>
        </w:rPr>
        <w:t> </w:t>
      </w:r>
      <w:r>
        <w:rPr>
          <w:spacing w:val="-93"/>
        </w:rPr>
      </w:r>
      <w:r>
        <w:rPr/>
        <w:t>计”</w:t>
      </w:r>
      <w:r>
        <w:rPr>
          <w:rFonts w:ascii="宋体" w:hAnsi="宋体" w:cs="宋体" w:eastAsia="宋体" w:hint="default"/>
        </w:rPr>
        <w:t>18</w:t>
      </w:r>
      <w:r>
        <w:rPr>
          <w:rFonts w:ascii="宋体" w:hAnsi="宋体" w:cs="宋体" w:eastAsia="宋体" w:hint="default"/>
          <w:spacing w:val="-68"/>
        </w:rPr>
        <w:t> </w:t>
      </w:r>
      <w:r>
        <w:rPr/>
        <w:t>所述的会计政策及合并财务报表附注“六、合并财务报表项目注释”</w:t>
      </w:r>
      <w:r>
        <w:rPr>
          <w:rFonts w:ascii="宋体" w:hAnsi="宋体" w:cs="宋体" w:eastAsia="宋体" w:hint="default"/>
        </w:rPr>
        <w:t>16</w:t>
      </w:r>
      <w:r>
        <w:rPr/>
        <w:t>。基于商誉的 账面价值对财务报表的重要性，管理层对商誉至少每年进行减值测试。当出现事项或者情况</w:t>
      </w:r>
      <w:r>
        <w:rPr>
          <w:spacing w:val="-91"/>
        </w:rPr>
        <w:t> </w:t>
      </w:r>
      <w:r>
        <w:rPr>
          <w:spacing w:val="-91"/>
        </w:rPr>
      </w:r>
      <w:r>
        <w:rPr/>
        <w:t>发生变化导致出现潜在减值迹象时，需要对商誉进行更加频繁的减值测试。管理层通过比较</w:t>
      </w:r>
      <w:r>
        <w:rPr>
          <w:spacing w:val="-86"/>
        </w:rPr>
        <w:t> </w:t>
      </w:r>
      <w:r>
        <w:rPr>
          <w:spacing w:val="-86"/>
        </w:rPr>
      </w:r>
      <w:r>
        <w:rPr>
          <w:spacing w:val="-2"/>
        </w:rPr>
        <w:t>被分摊商誉的相关资产组的可收回金额与该资产组及商誉的账面价值，对商誉进行减值测试。</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59"/>
        <w:jc w:val="both"/>
      </w:pPr>
      <w:r>
        <w:rPr/>
        <w:t>预测可收回金额涉及对资产组未来现金流量现值的预测，管理层在预测中需要做出重大判断</w:t>
      </w:r>
      <w:r>
        <w:rPr>
          <w:spacing w:val="-91"/>
        </w:rPr>
        <w:t> </w:t>
      </w:r>
      <w:r>
        <w:rPr>
          <w:spacing w:val="-91"/>
        </w:rPr>
      </w:r>
      <w:r>
        <w:rPr/>
        <w:t>和假设，其中可能存在错误或潜在的管理层偏向的情况，因此我们将商誉减值识别为关键审</w:t>
      </w:r>
      <w:r>
        <w:rPr>
          <w:spacing w:val="-91"/>
        </w:rPr>
        <w:t> </w:t>
      </w:r>
      <w:r>
        <w:rPr>
          <w:spacing w:val="-91"/>
        </w:rPr>
      </w:r>
      <w:r>
        <w:rPr/>
        <w:t>计事项。</w:t>
      </w:r>
    </w:p>
    <w:p>
      <w:pPr>
        <w:pStyle w:val="BodyText"/>
        <w:spacing w:line="240" w:lineRule="auto"/>
        <w:ind w:left="633" w:right="153"/>
        <w:jc w:val="left"/>
      </w:pPr>
      <w:r>
        <w:rPr>
          <w:rFonts w:ascii="宋体" w:hAnsi="宋体" w:cs="宋体" w:eastAsia="宋体" w:hint="default"/>
        </w:rPr>
        <w:t>2</w:t>
      </w:r>
      <w:r>
        <w:rPr/>
        <w:t>、审计应对</w:t>
      </w:r>
    </w:p>
    <w:p>
      <w:pPr>
        <w:pStyle w:val="BodyText"/>
        <w:spacing w:line="357" w:lineRule="auto" w:before="154"/>
        <w:ind w:right="152" w:firstLine="480"/>
        <w:jc w:val="both"/>
      </w:pPr>
      <w:r>
        <w:rPr>
          <w:spacing w:val="-3"/>
        </w:rPr>
        <w:t>（</w:t>
      </w:r>
      <w:r>
        <w:rPr>
          <w:rFonts w:ascii="宋体" w:hAnsi="宋体" w:cs="宋体" w:eastAsia="宋体" w:hint="default"/>
          <w:spacing w:val="-3"/>
        </w:rPr>
        <w:t>1</w:t>
      </w:r>
      <w:r>
        <w:rPr>
          <w:spacing w:val="-3"/>
        </w:rPr>
        <w:t>）评估及测试了与商誉减值相关的内部控制的设计和执行有效性，包括关键假设的采</w:t>
      </w:r>
      <w:r>
        <w:rPr/>
        <w:t> 用及减值计提金额的复核与审批；</w:t>
      </w:r>
    </w:p>
    <w:p>
      <w:pPr>
        <w:pStyle w:val="BodyText"/>
        <w:spacing w:line="357" w:lineRule="auto"/>
        <w:ind w:right="152" w:firstLine="480"/>
        <w:jc w:val="both"/>
      </w:pPr>
      <w:r>
        <w:rPr>
          <w:spacing w:val="-3"/>
        </w:rPr>
        <w:t>（</w:t>
      </w:r>
      <w:r>
        <w:rPr>
          <w:rFonts w:ascii="宋体" w:hAnsi="宋体" w:cs="宋体" w:eastAsia="宋体" w:hint="default"/>
          <w:spacing w:val="-3"/>
        </w:rPr>
        <w:t>2</w:t>
      </w:r>
      <w:r>
        <w:rPr>
          <w:spacing w:val="-3"/>
        </w:rPr>
        <w:t>）取得并阅读了管理层为商誉减值测试聘请的评估师出具的资产评估报告，并与评估</w:t>
      </w:r>
      <w:r>
        <w:rPr/>
        <w:t> 师进行了讨论，了解其评估方法及关键假设并复核商誉减值测试方法的恰当性。</w:t>
      </w:r>
    </w:p>
    <w:p>
      <w:pPr>
        <w:pStyle w:val="BodyText"/>
        <w:spacing w:line="357" w:lineRule="auto"/>
        <w:ind w:left="633" w:right="1493"/>
        <w:jc w:val="left"/>
      </w:pPr>
      <w:r>
        <w:rPr/>
        <w:t>（</w:t>
      </w:r>
      <w:r>
        <w:rPr>
          <w:rFonts w:ascii="宋体" w:hAnsi="宋体" w:cs="宋体" w:eastAsia="宋体" w:hint="default"/>
        </w:rPr>
        <w:t>3</w:t>
      </w:r>
      <w:r>
        <w:rPr/>
        <w:t>）检查管理层商誉减值测试过程中所使用基础数据的准确性和相关性。 四、其他信息</w:t>
      </w:r>
    </w:p>
    <w:p>
      <w:pPr>
        <w:pStyle w:val="BodyText"/>
        <w:spacing w:line="357" w:lineRule="auto"/>
        <w:ind w:right="151" w:firstLine="480"/>
        <w:jc w:val="both"/>
      </w:pPr>
      <w:r>
        <w:rPr/>
        <w:t>数字政通管理层对其他信息负责。其他信息包括</w:t>
      </w:r>
      <w:r>
        <w:rPr>
          <w:spacing w:val="-78"/>
        </w:rPr>
        <w:t> </w:t>
      </w:r>
      <w:r>
        <w:rPr>
          <w:rFonts w:ascii="宋体" w:hAnsi="宋体" w:cs="宋体" w:eastAsia="宋体" w:hint="default"/>
        </w:rPr>
        <w:t>2017</w:t>
      </w:r>
      <w:r>
        <w:rPr>
          <w:rFonts w:ascii="宋体" w:hAnsi="宋体" w:cs="宋体" w:eastAsia="宋体" w:hint="default"/>
          <w:spacing w:val="-78"/>
        </w:rPr>
        <w:t> </w:t>
      </w:r>
      <w:r>
        <w:rPr>
          <w:spacing w:val="-3"/>
        </w:rPr>
        <w:t>年年度报告中涵盖的信息，但不包</w:t>
      </w:r>
      <w:r>
        <w:rPr/>
        <w:t> 括财务报表和我们的审计报告。</w:t>
      </w:r>
    </w:p>
    <w:p>
      <w:pPr>
        <w:pStyle w:val="BodyText"/>
        <w:spacing w:line="357" w:lineRule="auto"/>
        <w:ind w:right="160" w:firstLine="480"/>
        <w:jc w:val="both"/>
      </w:pPr>
      <w:r>
        <w:rPr/>
        <w:t>我们对财务报表发表的审计意见不涵盖其他信息，我们也不对其他信息发表任何形式的 鉴证结论。</w:t>
      </w:r>
    </w:p>
    <w:p>
      <w:pPr>
        <w:pStyle w:val="BodyText"/>
        <w:spacing w:line="357" w:lineRule="auto"/>
        <w:ind w:right="157" w:firstLine="480"/>
        <w:jc w:val="right"/>
      </w:pPr>
      <w:r>
        <w:rPr/>
        <w:t>结合我们对财务报表的审计，我们的责任是阅读其他信息，在此过程中，考虑其他信息 是否与财务报表或我们在审计过程中了解到的情况存在重大不一致或者似乎存在重大错报。 基于我们已执行的工作，如果我们确定其他信息存在重大错报，我们应当报告该事实。</w:t>
      </w:r>
    </w:p>
    <w:p>
      <w:pPr>
        <w:pStyle w:val="BodyText"/>
        <w:spacing w:line="357" w:lineRule="auto"/>
        <w:ind w:left="633" w:right="5213" w:hanging="481"/>
        <w:jc w:val="left"/>
      </w:pPr>
      <w:r>
        <w:rPr/>
        <w:t>在这方面，我们无任何事项需要报告。 五、管理层和治理层对财务报表的责任</w:t>
      </w:r>
    </w:p>
    <w:p>
      <w:pPr>
        <w:pStyle w:val="BodyText"/>
        <w:spacing w:line="357" w:lineRule="auto"/>
        <w:ind w:right="153" w:firstLine="480"/>
        <w:jc w:val="both"/>
      </w:pPr>
      <w:r>
        <w:rPr>
          <w:spacing w:val="-6"/>
        </w:rPr>
        <w:t>数字政通管理层（以下简称“管理层”）负责按照企业会计准则的规定编制财务报表，使</w:t>
      </w:r>
      <w:r>
        <w:rPr/>
        <w:t> 其实现公允反映，并设计、执行和维护必要的内部控制，以使财务报表不存在由于舞弊或错</w:t>
      </w:r>
      <w:r>
        <w:rPr>
          <w:spacing w:val="-91"/>
        </w:rPr>
        <w:t> </w:t>
      </w:r>
      <w:r>
        <w:rPr>
          <w:spacing w:val="-91"/>
        </w:rPr>
      </w:r>
      <w:r>
        <w:rPr/>
        <w:t>误导致的重大错报。</w:t>
      </w:r>
    </w:p>
    <w:p>
      <w:pPr>
        <w:pStyle w:val="BodyText"/>
        <w:spacing w:line="357" w:lineRule="auto"/>
        <w:ind w:right="151" w:firstLine="480"/>
        <w:jc w:val="both"/>
      </w:pPr>
      <w:r>
        <w:rPr/>
        <w:t>在编制财务报表时，管理层负责评估数字政通的持续经营能力，披露与持续经营相关的 </w:t>
      </w:r>
      <w:r>
        <w:rPr>
          <w:spacing w:val="-5"/>
        </w:rPr>
        <w:t>事项（如适用），并运用持续经营假设，除非管理层计划清算数字政通、终止运营或别无其他</w:t>
      </w:r>
      <w:r>
        <w:rPr>
          <w:spacing w:val="-117"/>
        </w:rPr>
        <w:t> </w:t>
      </w:r>
      <w:r>
        <w:rPr>
          <w:spacing w:val="-117"/>
        </w:rPr>
      </w:r>
      <w:r>
        <w:rPr/>
        <w:t>现实的选择。</w:t>
      </w:r>
    </w:p>
    <w:p>
      <w:pPr>
        <w:pStyle w:val="BodyText"/>
        <w:spacing w:line="240" w:lineRule="auto"/>
        <w:ind w:left="633" w:right="153"/>
        <w:jc w:val="left"/>
      </w:pPr>
      <w:r>
        <w:rPr/>
        <w:t>治理层负责监督数字政通的财务报告过程。</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873" w:right="153" w:hanging="240"/>
        <w:jc w:val="left"/>
      </w:pPr>
      <w:r>
        <w:rPr/>
        <w:t>六、注册会计师对财务报表审计的责任 我们的目标是对财务报表整体是否不存在由于舞弊或错误导致的重大错报获取合理保</w:t>
      </w:r>
    </w:p>
    <w:p>
      <w:pPr>
        <w:spacing w:after="0" w:line="357"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59"/>
        <w:jc w:val="both"/>
      </w:pPr>
      <w:r>
        <w:rPr/>
        <w:t>证，并出具包含审计意见的审计报告。合理保证是高水平的保证，但并不能保证按照审计准</w:t>
      </w:r>
      <w:r>
        <w:rPr>
          <w:spacing w:val="-91"/>
        </w:rPr>
        <w:t> </w:t>
      </w:r>
      <w:r>
        <w:rPr>
          <w:spacing w:val="-91"/>
        </w:rPr>
      </w:r>
      <w:r>
        <w:rPr/>
        <w:t>则执行的审计在某一重大错报存在时总能发现。错报可能由于舞弊或错误导致，如果合理预</w:t>
      </w:r>
      <w:r>
        <w:rPr>
          <w:spacing w:val="-91"/>
        </w:rPr>
        <w:t> </w:t>
      </w:r>
      <w:r>
        <w:rPr>
          <w:spacing w:val="-91"/>
        </w:rPr>
      </w:r>
      <w:r>
        <w:rPr/>
        <w:t>期错报单独或汇总起来可能影响财务报表使用者依据财务报表作出的经济决策，则通常认为</w:t>
      </w:r>
      <w:r>
        <w:rPr>
          <w:spacing w:val="-91"/>
        </w:rPr>
        <w:t> </w:t>
      </w:r>
      <w:r>
        <w:rPr>
          <w:spacing w:val="-91"/>
        </w:rPr>
      </w:r>
      <w:r>
        <w:rPr/>
        <w:t>错报是重大的。</w:t>
      </w:r>
    </w:p>
    <w:p>
      <w:pPr>
        <w:pStyle w:val="BodyText"/>
        <w:spacing w:line="357" w:lineRule="auto"/>
        <w:ind w:right="160" w:firstLine="480"/>
        <w:jc w:val="both"/>
      </w:pPr>
      <w:r>
        <w:rPr/>
        <w:t>在按照审计准则执行审计工作的过程中，我们运用职业判断，并保持职业怀疑。同时， 我们也执行以下工作：</w:t>
      </w:r>
    </w:p>
    <w:p>
      <w:pPr>
        <w:pStyle w:val="BodyText"/>
        <w:spacing w:line="357" w:lineRule="auto"/>
        <w:ind w:right="156" w:firstLine="480"/>
        <w:jc w:val="both"/>
      </w:pPr>
      <w:r>
        <w:rPr/>
        <w:t>（一）识别和评估由于舞弊或错误导致的财务报表重大错报风险，设计和实施审计程序 以应对这些风险，并获取充分、适当的审计证据，作为发表审计意见的基础。由于舞弊可能</w:t>
      </w:r>
      <w:r>
        <w:rPr>
          <w:spacing w:val="-91"/>
        </w:rPr>
        <w:t> </w:t>
      </w:r>
      <w:r>
        <w:rPr>
          <w:spacing w:val="-91"/>
        </w:rPr>
      </w:r>
      <w:r>
        <w:rPr/>
        <w:t>涉及串通、伪造、故意遗漏、虚假陈述或凌驾于内部控制之上，未能发现由于舞弊导致的重</w:t>
      </w:r>
      <w:r>
        <w:rPr>
          <w:spacing w:val="-91"/>
        </w:rPr>
        <w:t> </w:t>
      </w:r>
      <w:r>
        <w:rPr>
          <w:spacing w:val="-91"/>
        </w:rPr>
      </w:r>
      <w:r>
        <w:rPr/>
        <w:t>大错报的风险高于未能发现由于错误导致的重大错报的风险。</w:t>
      </w:r>
    </w:p>
    <w:p>
      <w:pPr>
        <w:pStyle w:val="BodyText"/>
        <w:spacing w:line="357" w:lineRule="auto"/>
        <w:ind w:right="160" w:firstLine="480"/>
        <w:jc w:val="both"/>
      </w:pPr>
      <w:r>
        <w:rPr/>
        <w:t>（二）了解与审计相关的内部控制，以设计恰当的审计程序，但目的并非对内部控制的 有效性发表意见。</w:t>
      </w:r>
    </w:p>
    <w:p>
      <w:pPr>
        <w:pStyle w:val="BodyText"/>
        <w:spacing w:line="240" w:lineRule="auto"/>
        <w:ind w:left="633" w:right="153"/>
        <w:jc w:val="left"/>
      </w:pPr>
      <w:r>
        <w:rPr/>
        <w:t>（三）评价管理层选用会计政策的恰当性和作出会计估计及相关披露的合理性。</w:t>
      </w:r>
    </w:p>
    <w:p>
      <w:pPr>
        <w:pStyle w:val="BodyText"/>
        <w:spacing w:line="357" w:lineRule="auto" w:before="154"/>
        <w:ind w:right="156" w:firstLine="480"/>
        <w:jc w:val="both"/>
      </w:pPr>
      <w:r>
        <w:rPr/>
        <w:t>（四）对管理层使用持续经营假设的恰当性得出结论。同时，根据获取的审计证据，就 可能导致对数字政通持续经营能力产生重大疑虑的事项或情况是否存在重大不确定性得出结</w:t>
      </w:r>
      <w:r>
        <w:rPr>
          <w:spacing w:val="-88"/>
        </w:rPr>
        <w:t> </w:t>
      </w:r>
      <w:r>
        <w:rPr>
          <w:spacing w:val="-88"/>
        </w:rPr>
      </w:r>
      <w:r>
        <w:rPr/>
        <w:t>论。如果我们得出结论认为存在重大不确定性，审计准则要求我们在审计报告中提请报表使</w:t>
      </w:r>
      <w:r>
        <w:rPr>
          <w:spacing w:val="-91"/>
        </w:rPr>
        <w:t> </w:t>
      </w:r>
      <w:r>
        <w:rPr>
          <w:spacing w:val="-91"/>
        </w:rPr>
      </w:r>
      <w:r>
        <w:rPr/>
        <w:t>用者注意财务报表中的相关披露；如果披露不充分，我们应当发表非无保留意见。我们的结</w:t>
      </w:r>
      <w:r>
        <w:rPr>
          <w:spacing w:val="-91"/>
        </w:rPr>
        <w:t> </w:t>
      </w:r>
      <w:r>
        <w:rPr>
          <w:spacing w:val="-91"/>
        </w:rPr>
      </w:r>
      <w:r>
        <w:rPr/>
        <w:t>论基于截至审计报告日可获得的信息。然而，未来的事项或情况可能导致数字政通不能持续</w:t>
      </w:r>
      <w:r>
        <w:rPr>
          <w:spacing w:val="-91"/>
        </w:rPr>
        <w:t> </w:t>
      </w:r>
      <w:r>
        <w:rPr>
          <w:spacing w:val="-91"/>
        </w:rPr>
      </w:r>
      <w:r>
        <w:rPr/>
        <w:t>经营。</w:t>
      </w:r>
    </w:p>
    <w:p>
      <w:pPr>
        <w:pStyle w:val="BodyText"/>
        <w:spacing w:line="357" w:lineRule="auto"/>
        <w:ind w:left="633" w:right="1505"/>
        <w:jc w:val="left"/>
      </w:pPr>
      <w:r>
        <w:rPr>
          <w:spacing w:val="-4"/>
        </w:rPr>
        <w:t>（五）评价财务报表的总体列报、结构和内容（包括披露），并评价财务报</w:t>
      </w:r>
      <w:r>
        <w:rPr>
          <w:spacing w:val="-108"/>
        </w:rPr>
        <w:t> </w:t>
      </w:r>
      <w:r>
        <w:rPr>
          <w:spacing w:val="-108"/>
        </w:rPr>
      </w:r>
      <w:r>
        <w:rPr/>
        <w:t>表是否公允反映相关交易和事项。</w:t>
      </w:r>
    </w:p>
    <w:p>
      <w:pPr>
        <w:pStyle w:val="BodyText"/>
        <w:spacing w:line="357" w:lineRule="auto" w:before="37"/>
        <w:ind w:right="160" w:firstLine="480"/>
        <w:jc w:val="both"/>
      </w:pPr>
      <w:r>
        <w:rPr/>
        <w:t>（六）就数字政通中实体或业务活动的财务信息获取充分、适当的审计证据，以对财务 报表发表意见。我们负责指导、监督和执行集团审计。我们对审计意见承担全部责任。</w:t>
      </w:r>
    </w:p>
    <w:p>
      <w:pPr>
        <w:pStyle w:val="BodyText"/>
        <w:spacing w:line="357" w:lineRule="auto"/>
        <w:ind w:right="160" w:firstLine="480"/>
        <w:jc w:val="both"/>
      </w:pPr>
      <w:r>
        <w:rPr/>
        <w:t>我们与治理层就计划的审计范围、时间安排和重大审计发现等事项进行沟通，包括沟通 我们在审计中识别出的值得关注的内部控制缺陷。</w:t>
      </w:r>
    </w:p>
    <w:p>
      <w:pPr>
        <w:pStyle w:val="BodyText"/>
        <w:spacing w:line="357" w:lineRule="auto"/>
        <w:ind w:right="160" w:firstLine="480"/>
        <w:jc w:val="both"/>
      </w:pPr>
      <w:r>
        <w:rPr/>
        <w:t>我们还就已遵守与独立性相关的职业道德要求向治理层提供声明，并与治理层沟通可能 </w:t>
      </w:r>
      <w:r>
        <w:rPr>
          <w:spacing w:val="-4"/>
        </w:rPr>
        <w:t>被合理认为影响我们独立性的所有关系和其他事项，以及相关的防范措施（如适用）。</w:t>
      </w:r>
    </w:p>
    <w:p>
      <w:pPr>
        <w:pStyle w:val="BodyText"/>
        <w:spacing w:line="357" w:lineRule="auto"/>
        <w:ind w:right="159" w:firstLine="480"/>
        <w:jc w:val="both"/>
      </w:pPr>
      <w:r>
        <w:rPr/>
        <w:t>从与治理层沟通过的事项中，我们确定哪些事项对本期财务报表审计最为重要，因而构 成关键审计事项。我们在审计报告中描述这些事项，除非法律法规禁止公开披露这些事项，</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53"/>
        <w:jc w:val="left"/>
      </w:pPr>
      <w:r>
        <w:rPr/>
        <w:t>或在极少数情形下，如果合理预期在审计报告中沟通某事项造成的负面后果超过在公众利益</w:t>
      </w:r>
      <w:r>
        <w:rPr>
          <w:spacing w:val="-88"/>
        </w:rPr>
        <w:t> </w:t>
      </w:r>
      <w:r>
        <w:rPr>
          <w:spacing w:val="-88"/>
        </w:rPr>
      </w:r>
      <w:r>
        <w:rPr/>
        <w:t>方面产生的益处，我们确定不应在审计报告中沟通该事项。</w:t>
      </w:r>
    </w:p>
    <w:p>
      <w:pPr>
        <w:spacing w:line="240" w:lineRule="auto" w:before="0"/>
        <w:rPr>
          <w:rFonts w:ascii="宋体" w:hAnsi="宋体" w:cs="宋体" w:eastAsia="宋体" w:hint="default"/>
          <w:sz w:val="24"/>
          <w:szCs w:val="24"/>
        </w:rPr>
      </w:pPr>
    </w:p>
    <w:p>
      <w:pPr>
        <w:pStyle w:val="BodyText"/>
        <w:spacing w:line="240" w:lineRule="auto" w:before="190"/>
        <w:ind w:left="0" w:right="151"/>
        <w:jc w:val="right"/>
      </w:pPr>
      <w:r>
        <w:rPr/>
        <w:t>瑞华会计师事务所（特殊普通合伙）</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tabs>
          <w:tab w:pos="7152" w:val="left" w:leader="none"/>
        </w:tabs>
        <w:spacing w:line="357" w:lineRule="auto" w:before="0"/>
        <w:ind w:left="5532" w:right="151" w:firstLine="300"/>
        <w:jc w:val="right"/>
      </w:pPr>
      <w:r>
        <w:rPr>
          <w:spacing w:val="-8"/>
        </w:rPr>
        <w:t>中国注册会计师（项目合伙人）：苗策</w:t>
      </w:r>
      <w:r>
        <w:rPr/>
        <w:t> 中国·北京</w:t>
        <w:tab/>
        <w:t>中国注册会计师：薛东升</w:t>
      </w:r>
    </w:p>
    <w:p>
      <w:pPr>
        <w:pStyle w:val="BodyText"/>
        <w:spacing w:line="240" w:lineRule="auto" w:before="37"/>
        <w:ind w:left="0" w:right="151"/>
        <w:jc w:val="right"/>
      </w:pP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22</w:t>
      </w:r>
      <w:r>
        <w:rPr>
          <w:rFonts w:ascii="宋体" w:hAnsi="宋体" w:cs="宋体" w:eastAsia="宋体" w:hint="default"/>
          <w:spacing w:val="-60"/>
        </w:rPr>
        <w:t> </w:t>
      </w:r>
      <w:r>
        <w:rPr/>
        <w:t>日</w:t>
      </w:r>
    </w:p>
    <w:p>
      <w:pPr>
        <w:spacing w:after="0" w:line="240" w:lineRule="auto"/>
        <w:jc w:val="righ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pStyle w:val="Heading2"/>
        <w:spacing w:line="240" w:lineRule="auto" w:before="26"/>
        <w:ind w:right="153"/>
        <w:jc w:val="left"/>
        <w:rPr>
          <w:b w:val="0"/>
          <w:bCs w:val="0"/>
        </w:rPr>
      </w:pPr>
      <w:r>
        <w:rPr/>
        <w:t>二、财务报表</w:t>
      </w:r>
      <w:r>
        <w:rPr>
          <w:b w:val="0"/>
          <w:bCs w:val="0"/>
        </w:rPr>
      </w:r>
    </w:p>
    <w:p>
      <w:pPr>
        <w:spacing w:line="240" w:lineRule="auto" w:before="6"/>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编制单位：北京数字政通科技股份有限公司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1"/>
        <w:ind w:left="152"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3" w:equalWidth="0">
            <w:col w:w="3573" w:space="503"/>
            <w:col w:w="1642" w:space="3202"/>
            <w:col w:w="1030"/>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694,675,773.87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400,515,544.35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2,917,031.00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1,024,697,948.34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682,737,784.18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50,443,207.48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26,242,418.26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151,023,861.15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110,891,202.46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185,730,598.74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168,630,732.61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46,315,598.92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52,402,548.77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5,554,722.87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12,013,681.99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2,158,491,711.37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1,456,350,943.62</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15,020,000.00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60,888,996.95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97,607,107.48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11,530,432.97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5,394,677.10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72,595,627.78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78,539,592.15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61,041,560.30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60,016,778.93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123,227,242.43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102,427,375.36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30,882,652.71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41,814,367.01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465,280,246.17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468,062,445.92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36,368.20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986,676.69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35,158,418.85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26,011,957.69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903,661,546.36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895,880,978.33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3,062,153,257.73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2,352,231,921.95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89,790,217.00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112,500,000.00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40"/>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20,351,179.75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3,591,816.44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298,930,488.20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196,930,071.82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125,938,504.19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125,107,975.15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0"/>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20,609,102.40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18,774,513.49</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80,532,654.26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54,078,086.69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22,656.25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22,656.25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7,356,790.00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7,356,790.00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339,021,678.69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355,944,151.20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1,664,008.26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9,138,880.23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984,217,279.00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883,444,941.27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1,664,008.26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10,988,000.00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106,799.47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11,375,904.41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13,278,261.30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22,363,904.41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22,849,069.03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1,006,581,183.41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906,294,010.30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424,626,905.00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395,487,010.00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968,810,608.44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540,953,492.83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75,606,625.00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104,720,400.00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76,261,789.28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63,424,623.62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646,735,486.13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501,844,043.18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2,040,828,163.85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1,396,988,769.63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14,743,910.47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48,949,142.02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2,055,572,074.32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1,445,937,911.65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3,062,153,257.73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2,352,231,921.95</w:t>
            </w:r>
          </w:p>
        </w:tc>
      </w:tr>
    </w:tbl>
    <w:p>
      <w:pPr>
        <w:spacing w:line="240" w:lineRule="auto" w:before="11"/>
        <w:rPr>
          <w:rFonts w:ascii="Times New Roman" w:hAnsi="Times New Roman" w:cs="Times New Roman" w:eastAsia="Times New Roman" w:hint="default"/>
          <w:sz w:val="22"/>
          <w:szCs w:val="22"/>
        </w:rPr>
      </w:pPr>
    </w:p>
    <w:p>
      <w:pPr>
        <w:tabs>
          <w:tab w:pos="3514" w:val="left" w:leader="none"/>
          <w:tab w:pos="7746" w:val="left" w:leader="none"/>
        </w:tabs>
        <w:spacing w:before="44"/>
        <w:ind w:left="0" w:right="244" w:firstLine="0"/>
        <w:jc w:val="right"/>
        <w:rPr>
          <w:rFonts w:ascii="宋体" w:hAnsi="宋体" w:cs="宋体" w:eastAsia="宋体" w:hint="default"/>
          <w:sz w:val="18"/>
          <w:szCs w:val="18"/>
        </w:rPr>
      </w:pPr>
      <w:r>
        <w:rPr>
          <w:rFonts w:ascii="宋体" w:hAnsi="宋体" w:cs="宋体" w:eastAsia="宋体" w:hint="default"/>
          <w:sz w:val="18"/>
          <w:szCs w:val="18"/>
        </w:rPr>
        <w:t>法定代表人：吴强华</w:t>
        <w:tab/>
      </w:r>
      <w:r>
        <w:rPr>
          <w:rFonts w:ascii="宋体" w:hAnsi="宋体" w:cs="宋体" w:eastAsia="宋体" w:hint="default"/>
          <w:spacing w:val="-1"/>
          <w:sz w:val="18"/>
          <w:szCs w:val="18"/>
        </w:rPr>
        <w:t>主管会计工作负责人：殷小敏</w:t>
        <w:tab/>
      </w:r>
      <w:r>
        <w:rPr>
          <w:rFonts w:ascii="宋体" w:hAnsi="宋体" w:cs="宋体" w:eastAsia="宋体" w:hint="default"/>
          <w:sz w:val="18"/>
          <w:szCs w:val="18"/>
        </w:rPr>
        <w:t>会计机构负责人：向华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559,820,495.58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305,890,202.93</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665,246,465.49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385,311,231.34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30,538,568.70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18,139,359.85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307,050,910.22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208,823,949.53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7,018,277.30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24,114,997.07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24,994,661.51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1,586,771,437.06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950,177,682.46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33,878,388.35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47,960,820.53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893,326,563.53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706,444,762.54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50,083,058.31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51,538,076.65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21,197,667.77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23,848,053.70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45,573,717.57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41,140,377.36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26,213,062.08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21,490,908.41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918,083.18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21,266,196.45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15,179,502.69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1,134,538,654.06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923,520,585.06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2,721,310,091.12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1,873,698,267.52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204,085.00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179,620,553.32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104,071,109.58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19,349,277.25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19,925,451.00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7,297,137.04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7,145,639.05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63,709,528.96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43,218,471.21</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332,549,825.65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305,387,533.81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662,730,407.22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509,748,204.65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10,988,000.00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106,799.47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10,988,000.00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7,906,799.47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673,718,407.22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517,655,004.12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424,626,905.00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395,487,010.00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1,065,158,949.73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548,369,592.51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75,606,625.00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104,720,400.00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76,261,789.28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63,424,623.62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557,150,664.89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453,482,437.27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2,047,591,683.90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1,356,043,263.40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2,721,310,091.12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1,873,698,267.52</w:t>
            </w:r>
          </w:p>
        </w:tc>
      </w:tr>
    </w:tbl>
    <w:p>
      <w:pPr>
        <w:spacing w:line="240" w:lineRule="auto" w:before="10"/>
        <w:rPr>
          <w:rFonts w:ascii="Times New Roman" w:hAnsi="Times New Roman" w:cs="Times New Roman" w:eastAsia="Times New Roman" w:hint="default"/>
          <w:sz w:val="21"/>
          <w:szCs w:val="21"/>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7"/>
      </w:tblGrid>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1,202,976,973.86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967,336,066.29</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1,202,976,973.86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967,336,066.29</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1,050,262,186.91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840,159,880.87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211.009995pt;margin-top:440.409973pt;width:158.9pt;height:20.65pt;mso-position-horizontal-relative:page;mso-position-vertical-relative:page;z-index:-868648" coordorigin="4220,8808" coordsize="3178,413">
            <v:group style="position:absolute;left:4231;top:8819;width:2;height:392" coordorigin="4231,8819" coordsize="2,392">
              <v:shape style="position:absolute;left:4231;top:8819;width:2;height:392" coordorigin="4231,8819" coordsize="0,392" path="m4231,8819l4231,9210e" filled="false" stroked="true" strokeweight="1.08pt" strokecolor="#ffffff">
                <v:path arrowok="t"/>
              </v:shape>
            </v:group>
            <v:group style="position:absolute;left:4242;top:8819;width:3157;height:392" coordorigin="4242,8819" coordsize="3157,392">
              <v:shape style="position:absolute;left:4242;top:8819;width:3157;height:392" coordorigin="4242,8819" coordsize="3157,392" path="m4242,9210l7398,9210,7398,8819,4242,8819,4242,9210xe" filled="true" fillcolor="#ffffff" stroked="false">
                <v:path arrowok="t"/>
                <v:fill type="solid"/>
              </v:shape>
            </v:group>
            <w10:wrap type="none"/>
          </v:group>
        </w:pict>
      </w:r>
      <w:r>
        <w:rPr/>
        <w:pict>
          <v:group style="position:absolute;margin-left:211.009995pt;margin-top:596.799988pt;width:158.9pt;height:20.65pt;mso-position-horizontal-relative:page;mso-position-vertical-relative:page;z-index:-868624" coordorigin="4220,11936" coordsize="3178,413">
            <v:group style="position:absolute;left:4231;top:11947;width:2;height:392" coordorigin="4231,11947" coordsize="2,392">
              <v:shape style="position:absolute;left:4231;top:11947;width:2;height:392" coordorigin="4231,11947" coordsize="0,392" path="m4231,11947l4231,12338e" filled="false" stroked="true" strokeweight="1.08pt" strokecolor="#ffffff">
                <v:path arrowok="t"/>
              </v:shape>
            </v:group>
            <v:group style="position:absolute;left:4242;top:11947;width:3157;height:392" coordorigin="4242,11947" coordsize="3157,392">
              <v:shape style="position:absolute;left:4242;top:11947;width:3157;height:392" coordorigin="4242,11947" coordsize="3157,392" path="m4242,12338l7398,12338,7398,11947,4242,11947,4242,12338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068"/>
        <w:gridCol w:w="1071"/>
        <w:gridCol w:w="2151"/>
        <w:gridCol w:w="3277"/>
      </w:tblGrid>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55" w:right="0"/>
              <w:jc w:val="left"/>
              <w:rPr>
                <w:rFonts w:ascii="Times New Roman" w:hAnsi="Times New Roman" w:cs="Times New Roman" w:eastAsia="Times New Roman" w:hint="default"/>
                <w:sz w:val="18"/>
                <w:szCs w:val="18"/>
              </w:rPr>
            </w:pPr>
            <w:r>
              <w:rPr>
                <w:rFonts w:ascii="Times New Roman"/>
                <w:sz w:val="18"/>
              </w:rPr>
              <w:t>780,098,018.18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614,109,673.44</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12,897,779.95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8,649,621.73</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79,342,969.25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67,999,509.92</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55" w:right="0"/>
              <w:jc w:val="left"/>
              <w:rPr>
                <w:rFonts w:ascii="Times New Roman" w:hAnsi="Times New Roman" w:cs="Times New Roman" w:eastAsia="Times New Roman" w:hint="default"/>
                <w:sz w:val="18"/>
                <w:szCs w:val="18"/>
              </w:rPr>
            </w:pPr>
            <w:r>
              <w:rPr>
                <w:rFonts w:ascii="Times New Roman"/>
                <w:sz w:val="18"/>
              </w:rPr>
              <w:t>140,184,432.08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130,675,585.67</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-6,050,159.05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-1,385,276.06</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43,789,146.50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20,110,766.17</w:t>
            </w:r>
          </w:p>
        </w:tc>
      </w:tr>
      <w:tr>
        <w:trPr>
          <w:trHeight w:val="715"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16,874,333.62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-8,532,908.10</w:t>
            </w:r>
          </w:p>
        </w:tc>
      </w:tr>
      <w:tr>
        <w:trPr>
          <w:trHeight w:val="716"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9"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2,114,291.24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-1,157,799.89</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2"/>
              <w:jc w:val="right"/>
              <w:rPr>
                <w:rFonts w:ascii="宋体" w:hAnsi="宋体" w:cs="宋体" w:eastAsia="宋体" w:hint="default"/>
                <w:sz w:val="18"/>
                <w:szCs w:val="18"/>
              </w:rPr>
            </w:pPr>
            <w:r>
              <w:rPr>
                <w:rFonts w:ascii="宋体" w:hAnsi="宋体" w:cs="宋体" w:eastAsia="宋体" w:hint="default"/>
                <w:spacing w:val="-1"/>
                <w:sz w:val="18"/>
                <w:szCs w:val="18"/>
              </w:rPr>
              <w:t>汇兑收益（损失以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132" w:right="0"/>
              <w:jc w:val="left"/>
              <w:rPr>
                <w:rFonts w:ascii="宋体" w:hAnsi="宋体" w:cs="宋体" w:eastAsia="宋体" w:hint="default"/>
                <w:sz w:val="18"/>
                <w:szCs w:val="18"/>
              </w:rPr>
            </w:pPr>
            <w:r>
              <w:rPr>
                <w:rFonts w:ascii="宋体" w:hAnsi="宋体" w:cs="宋体" w:eastAsia="宋体" w:hint="default"/>
                <w:sz w:val="18"/>
                <w:szCs w:val="18"/>
              </w:rPr>
              <w:t>）</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7"/>
                <w:sz w:val="18"/>
                <w:szCs w:val="18"/>
              </w:rPr>
              <w:t>益</w:t>
            </w:r>
            <w:r>
              <w:rPr>
                <w:rFonts w:ascii="宋体" w:hAnsi="宋体" w:cs="宋体" w:eastAsia="宋体" w:hint="default"/>
                <w:sz w:val="18"/>
                <w:szCs w:val="18"/>
              </w:rPr>
              <w:t>（损失</w:t>
            </w:r>
            <w:r>
              <w:rPr>
                <w:rFonts w:ascii="宋体" w:hAnsi="宋体" w:cs="宋体" w:eastAsia="宋体" w:hint="default"/>
                <w:spacing w:val="2"/>
                <w:sz w:val="18"/>
                <w:szCs w:val="18"/>
              </w:rPr>
              <w:t>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号填</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70,666.28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207,460.15</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32,243,489.69</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2055" w:right="0"/>
              <w:jc w:val="left"/>
              <w:rPr>
                <w:rFonts w:ascii="Times New Roman" w:hAnsi="Times New Roman" w:cs="Times New Roman" w:eastAsia="Times New Roman" w:hint="default"/>
                <w:sz w:val="18"/>
                <w:szCs w:val="18"/>
              </w:rPr>
            </w:pPr>
            <w:r>
              <w:rPr>
                <w:rFonts w:ascii="Times New Roman"/>
                <w:sz w:val="18"/>
              </w:rPr>
              <w:t>201,903,276.54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118,850,737.47</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3,885,585.16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36,694,753.85</w:t>
            </w:r>
          </w:p>
        </w:tc>
      </w:tr>
      <w:tr>
        <w:trPr>
          <w:trHeight w:val="404"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w w:val="95"/>
                <w:sz w:val="18"/>
              </w:rPr>
              <w:t>81,711.60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121,753.17</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745"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3222" w:type="dxa"/>
            <w:gridSpan w:val="2"/>
            <w:tcBorders>
              <w:top w:val="single" w:sz="4" w:space="0" w:color="000000"/>
              <w:left w:val="single" w:sz="10" w:space="0" w:color="E0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48,773.22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99,694.25</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1071"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51"/>
              <w:ind w:left="-117" w:right="0"/>
              <w:jc w:val="left"/>
              <w:rPr>
                <w:rFonts w:ascii="宋体" w:hAnsi="宋体" w:cs="宋体" w:eastAsia="宋体" w:hint="default"/>
                <w:sz w:val="18"/>
                <w:szCs w:val="18"/>
              </w:rPr>
            </w:pPr>
            <w:r>
              <w:rPr>
                <w:rFonts w:ascii="宋体" w:hAnsi="宋体" w:cs="宋体" w:eastAsia="宋体" w:hint="default"/>
                <w:sz w:val="18"/>
                <w:szCs w:val="18"/>
              </w:rPr>
              <w:t>）</w:t>
            </w:r>
          </w:p>
        </w:tc>
        <w:tc>
          <w:tcPr>
            <w:tcW w:w="21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3"/>
              <w:ind w:left="996" w:right="0"/>
              <w:jc w:val="left"/>
              <w:rPr>
                <w:rFonts w:ascii="Times New Roman" w:hAnsi="Times New Roman" w:cs="Times New Roman" w:eastAsia="Times New Roman" w:hint="default"/>
                <w:sz w:val="18"/>
                <w:szCs w:val="18"/>
              </w:rPr>
            </w:pPr>
            <w:r>
              <w:rPr>
                <w:rFonts w:ascii="Times New Roman"/>
                <w:sz w:val="18"/>
              </w:rPr>
              <w:t>205,707,150.10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155,423,738.15</w:t>
            </w: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21,249,751.30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13,340,519.58</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2055" w:right="0"/>
              <w:jc w:val="left"/>
              <w:rPr>
                <w:rFonts w:ascii="Times New Roman" w:hAnsi="Times New Roman" w:cs="Times New Roman" w:eastAsia="Times New Roman" w:hint="default"/>
                <w:sz w:val="18"/>
                <w:szCs w:val="18"/>
              </w:rPr>
            </w:pPr>
            <w:r>
              <w:rPr>
                <w:rFonts w:ascii="Times New Roman"/>
                <w:sz w:val="18"/>
              </w:rPr>
              <w:t>184,457,398.80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142,083,218.57</w:t>
            </w:r>
          </w:p>
        </w:tc>
      </w:tr>
      <w:tr>
        <w:trPr>
          <w:trHeight w:val="71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1" w:right="0"/>
              <w:jc w:val="left"/>
              <w:rPr>
                <w:rFonts w:ascii="宋体" w:hAnsi="宋体" w:cs="宋体" w:eastAsia="宋体" w:hint="default"/>
                <w:sz w:val="18"/>
                <w:szCs w:val="18"/>
              </w:rPr>
            </w:pPr>
            <w:r>
              <w:rPr>
                <w:rFonts w:ascii="宋体" w:hAnsi="宋体" w:cs="宋体" w:eastAsia="宋体" w:hint="default"/>
                <w:spacing w:val="-2"/>
                <w:sz w:val="18"/>
                <w:szCs w:val="18"/>
              </w:rPr>
              <w:t>（一）持续经营净利润（净亏损以</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55" w:right="0"/>
              <w:jc w:val="left"/>
              <w:rPr>
                <w:rFonts w:ascii="Times New Roman" w:hAnsi="Times New Roman" w:cs="Times New Roman" w:eastAsia="Times New Roman" w:hint="default"/>
                <w:sz w:val="18"/>
                <w:szCs w:val="18"/>
              </w:rPr>
            </w:pPr>
            <w:r>
              <w:rPr>
                <w:rFonts w:ascii="Times New Roman"/>
                <w:sz w:val="18"/>
              </w:rPr>
              <w:t>184,457,398.80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142,083,218.57</w:t>
            </w:r>
          </w:p>
        </w:tc>
      </w:tr>
      <w:tr>
        <w:trPr>
          <w:trHeight w:val="715"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pacing w:val="-2"/>
                <w:sz w:val="18"/>
                <w:szCs w:val="18"/>
              </w:rPr>
              <w:t>（二）终止经营净利润（净亏损以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gridSpan w:val="2"/>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55" w:right="0"/>
              <w:jc w:val="left"/>
              <w:rPr>
                <w:rFonts w:ascii="Times New Roman" w:hAnsi="Times New Roman" w:cs="Times New Roman" w:eastAsia="Times New Roman" w:hint="default"/>
                <w:sz w:val="18"/>
                <w:szCs w:val="18"/>
              </w:rPr>
            </w:pPr>
            <w:r>
              <w:rPr>
                <w:rFonts w:ascii="Times New Roman"/>
                <w:sz w:val="18"/>
              </w:rPr>
              <w:t>169,594,871.96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131,364,945.12</w:t>
            </w:r>
          </w:p>
        </w:tc>
      </w:tr>
      <w:tr>
        <w:trPr>
          <w:trHeight w:val="403" w:hRule="exact"/>
        </w:trPr>
        <w:tc>
          <w:tcPr>
            <w:tcW w:w="3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22"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14,862,526.84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10,718,273.45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057"/>
        <w:gridCol w:w="3222"/>
        <w:gridCol w:w="3277"/>
      </w:tblGrid>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153"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firstLine="341"/>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firstLine="341"/>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8"/>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53"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22" w:type="dxa"/>
            <w:tcBorders>
              <w:top w:val="single" w:sz="4" w:space="0" w:color="000000"/>
              <w:left w:val="single" w:sz="10"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184,457,398.80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142,083,218.57</w:t>
            </w:r>
          </w:p>
        </w:tc>
      </w:tr>
      <w:tr>
        <w:trPr>
          <w:trHeight w:val="71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169,594,871.96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131,364,945.12</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14,862,526.84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10,718,273.45</w:t>
            </w:r>
          </w:p>
        </w:tc>
      </w:tr>
      <w:tr>
        <w:trPr>
          <w:trHeight w:val="401"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0.42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0.34</w:t>
            </w:r>
          </w:p>
        </w:tc>
      </w:tr>
      <w:tr>
        <w:trPr>
          <w:trHeight w:val="403"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0.34</w:t>
            </w:r>
          </w:p>
        </w:tc>
      </w:tr>
    </w:tbl>
    <w:p>
      <w:pPr>
        <w:tabs>
          <w:tab w:pos="3667" w:val="left" w:leader="none"/>
          <w:tab w:pos="7899" w:val="left" w:leader="none"/>
        </w:tabs>
        <w:spacing w:line="621" w:lineRule="auto" w:before="49"/>
        <w:ind w:left="152" w:right="244"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法定代表人：吴强华</w:t>
        <w:tab/>
      </w:r>
      <w:r>
        <w:rPr>
          <w:rFonts w:ascii="宋体" w:hAnsi="宋体" w:cs="宋体" w:eastAsia="宋体" w:hint="default"/>
          <w:spacing w:val="-1"/>
          <w:sz w:val="18"/>
          <w:szCs w:val="18"/>
        </w:rPr>
        <w:t>主管会计工作负责人：殷小敏</w:t>
        <w:tab/>
      </w:r>
      <w:r>
        <w:rPr>
          <w:rFonts w:ascii="宋体" w:hAnsi="宋体" w:cs="宋体" w:eastAsia="宋体" w:hint="default"/>
          <w:sz w:val="18"/>
          <w:szCs w:val="18"/>
        </w:rPr>
        <w:t>会计机构负责人：向华</w:t>
      </w:r>
    </w:p>
    <w:p>
      <w:pPr>
        <w:spacing w:before="69"/>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874,450,188.41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629,245,636.52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595,639,644.61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396,573,274.81</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8,166,397.94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4,831,060.39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57,959,083.23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48,594,269.86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93,214,442.48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89,763,945.91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-4,674,636.07</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-6,027,225.26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26,737,979.31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10,810,187.76</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6"/>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16,666,473.80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-1,041,237.46</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2,023,488.52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-1,041,237.46</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0"/>
              <w:ind w:left="1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70,666.28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207,460.15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26,171,387.74</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140,315,804.73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83,866,345.74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839,000.00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24,629,402.92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5,406.02</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62"/>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141,154,804.73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108,490,342.64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12,783,148.10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7,202,381.41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128,371,656.63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101,287,961.23</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128,371,656.63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101,287,961.23</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42"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372" w:right="0"/>
              <w:jc w:val="left"/>
              <w:rPr>
                <w:rFonts w:ascii="宋体" w:hAnsi="宋体" w:cs="宋体" w:eastAsia="宋体" w:hint="default"/>
                <w:sz w:val="18"/>
                <w:szCs w:val="18"/>
              </w:rPr>
            </w:pPr>
            <w:r>
              <w:rPr>
                <w:rFonts w:ascii="宋体" w:hAnsi="宋体" w:cs="宋体" w:eastAsia="宋体" w:hint="default"/>
                <w:sz w:val="18"/>
                <w:szCs w:val="18"/>
              </w:rPr>
              <w:t>（二）以后将重分类进损益的其</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42"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 以后将重分类进损益的其他综合收益 中享有的份额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146" w:right="0"/>
              <w:jc w:val="left"/>
              <w:rPr>
                <w:rFonts w:ascii="Times New Roman" w:hAnsi="Times New Roman" w:cs="Times New Roman" w:eastAsia="Times New Roman" w:hint="default"/>
                <w:sz w:val="18"/>
                <w:szCs w:val="18"/>
              </w:rPr>
            </w:pPr>
            <w:r>
              <w:rPr>
                <w:rFonts w:ascii="Times New Roman"/>
                <w:sz w:val="18"/>
              </w:rPr>
              <w:t>128,371,656.63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101,287,961.23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pacing w:val="-1"/>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990,589,596.90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842,218,489.23</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30,962,925.75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33,362,521.87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107,336,526.30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98,906,238.90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1,128,889,048.95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974,487,250.00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465,365,951.03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405,960,665.04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364,847,635.44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275,552,629.60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96,481,406.86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93,689,713.43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238,231,845.52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176,317,207.00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1,164,926,838.85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951,520,215.07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-36,037,789.90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22,967,034.93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15,600,000.00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w w:val="95"/>
                <w:sz w:val="18"/>
              </w:rPr>
              <w:t>3,000.00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80,200.00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859,102.69</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15,687,395.22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15,683,200.00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16,546,497.91</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42,132,938.52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43,049,612.94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28,000,000.00</w:t>
            </w:r>
            <w:r>
              <w:rPr>
                <w:rFonts w:ascii="Times New Roman"/>
                <w:sz w:val="18"/>
              </w:rPr>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21,750,000.00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70,132,938.52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64,799,612.94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-54,449,738.52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-48,253,115.03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530,059,909.53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119,695,183.20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right="40"/>
              <w:jc w:val="right"/>
              <w:rPr>
                <w:rFonts w:ascii="宋体" w:hAnsi="宋体" w:cs="宋体" w:eastAsia="宋体" w:hint="default"/>
                <w:sz w:val="18"/>
                <w:szCs w:val="18"/>
              </w:rPr>
            </w:pPr>
            <w:r>
              <w:rPr>
                <w:rFonts w:ascii="宋体" w:hAnsi="宋体" w:cs="宋体" w:eastAsia="宋体" w:hint="default"/>
                <w:sz w:val="18"/>
                <w:szCs w:val="18"/>
              </w:rPr>
              <w:t>其中：子公司吸收少数股东投资</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36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收到的现金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89,790,217.00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112,500,000.00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619,850,126.53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232,195,183.20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119,838,880.23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353,638,381.70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16,916,676.15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25,292,875.87</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110,818,226.87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5,121,792.88</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247,573,783.25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384,053,050.45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372,276,343.28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-151,857,867.25</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281,788,814.86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-177,143,947.35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398,193,141.60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575,337,088.95</w:t>
            </w: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679,981,956.46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398,193,141.60</w:t>
            </w:r>
          </w:p>
        </w:tc>
      </w:tr>
    </w:tbl>
    <w:p>
      <w:pPr>
        <w:spacing w:line="240" w:lineRule="auto" w:before="10"/>
        <w:rPr>
          <w:rFonts w:ascii="Times New Roman" w:hAnsi="Times New Roman" w:cs="Times New Roman" w:eastAsia="Times New Roman" w:hint="default"/>
          <w:sz w:val="21"/>
          <w:szCs w:val="21"/>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666,601,162.50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561,519,762.30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26,064,588.27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22,717,342.17</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137,531,416.62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150,658,783.79</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830,197,167.39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734,895,888.26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525,906,461.67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363,257,048.03</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110,877,596.46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116,902,341.64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52,742,700.87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54,532,579.00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239,246,628.83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270,873,117.76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928,773,387.83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805,565,086.43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-98,576,220.44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-70,669,198.17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80,200.00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857,102.69</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15,080,200.00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857,102.69</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26,260,513.38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24,561,207.37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140,000,300.00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83,371,792.88</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166,260,813.38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107,933,000.25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-151,180,613.38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-107,075,897.56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528,059,909.53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117,695,183.20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588,059,909.53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147,695,183.20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183,600,000.00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14,197,476.68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16,860,814.22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40,818,226.87</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85,015,703.55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200,460,814.22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503,044,205.98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-52,765,631.02</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253,287,372.16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-230,510,726.75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305,028,450.04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535,539,176.79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558,315,822.20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305,028,450.04</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after="0"/>
        <w:jc w:val="left"/>
        <w:rPr>
          <w:rFonts w:ascii="宋体" w:hAnsi="宋体" w:cs="宋体" w:eastAsia="宋体" w:hint="default"/>
          <w:sz w:val="18"/>
          <w:szCs w:val="18"/>
        </w:rPr>
        <w:sectPr>
          <w:footerReference w:type="default" r:id="rId30"/>
          <w:pgSz w:w="11910" w:h="16840"/>
          <w:pgMar w:footer="979" w:header="745" w:top="1060" w:bottom="1160" w:left="980" w:right="980"/>
        </w:sectPr>
      </w:pPr>
    </w:p>
    <w:p>
      <w:pPr>
        <w:spacing w:line="240" w:lineRule="auto" w:before="10"/>
        <w:rPr>
          <w:rFonts w:ascii="宋体" w:hAnsi="宋体" w:cs="宋体" w:eastAsia="宋体" w:hint="default"/>
          <w:sz w:val="25"/>
          <w:szCs w:val="25"/>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15"/>
        <w:gridCol w:w="572"/>
        <w:gridCol w:w="533"/>
        <w:gridCol w:w="531"/>
        <w:gridCol w:w="530"/>
        <w:gridCol w:w="665"/>
        <w:gridCol w:w="665"/>
        <w:gridCol w:w="665"/>
        <w:gridCol w:w="665"/>
        <w:gridCol w:w="665"/>
        <w:gridCol w:w="665"/>
        <w:gridCol w:w="665"/>
        <w:gridCol w:w="665"/>
        <w:gridCol w:w="660"/>
      </w:tblGrid>
      <w:tr>
        <w:trPr>
          <w:trHeight w:val="401"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6"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2" w:hRule="exact"/>
        </w:trPr>
        <w:tc>
          <w:tcPr>
            <w:tcW w:w="1415" w:type="dxa"/>
            <w:vMerge/>
            <w:tcBorders>
              <w:left w:val="single" w:sz="4" w:space="0" w:color="000000"/>
              <w:right w:val="single" w:sz="4" w:space="0" w:color="000000"/>
            </w:tcBorders>
            <w:shd w:val="clear" w:color="auto" w:fill="D2D2D2"/>
          </w:tcPr>
          <w:p>
            <w:pPr/>
          </w:p>
        </w:tc>
        <w:tc>
          <w:tcPr>
            <w:tcW w:w="6821"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6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21"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5"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72"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53"/>
              <w:ind w:left="57" w:right="55"/>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60" w:type="dxa"/>
            <w:vMerge/>
            <w:tcBorders>
              <w:left w:val="single" w:sz="4" w:space="0" w:color="000000"/>
              <w:right w:val="single" w:sz="4" w:space="0" w:color="000000"/>
            </w:tcBorders>
            <w:shd w:val="clear" w:color="auto" w:fill="D2D2D2"/>
          </w:tcPr>
          <w:p>
            <w:pPr/>
          </w:p>
        </w:tc>
      </w:tr>
      <w:tr>
        <w:trPr>
          <w:trHeight w:val="172"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2" w:type="dxa"/>
            <w:vMerge/>
            <w:tcBorders>
              <w:left w:val="single" w:sz="4" w:space="0" w:color="000000"/>
              <w:bottom w:val="nil" w:sz="6" w:space="0" w:color="auto"/>
              <w:right w:val="single" w:sz="4" w:space="0" w:color="000000"/>
            </w:tcBorders>
            <w:shd w:val="clear" w:color="auto" w:fill="D2D2D2"/>
          </w:tcPr>
          <w:p>
            <w:pPr/>
          </w:p>
        </w:tc>
        <w:tc>
          <w:tcPr>
            <w:tcW w:w="1594"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7"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48" w:right="56"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10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70" w:right="79"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71" w:right="7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69" w:hRule="exact"/>
        </w:trPr>
        <w:tc>
          <w:tcPr>
            <w:tcW w:w="1415" w:type="dxa"/>
            <w:vMerge/>
            <w:tcBorders>
              <w:left w:val="single" w:sz="4" w:space="0" w:color="000000"/>
              <w:right w:val="single" w:sz="4" w:space="0" w:color="000000"/>
            </w:tcBorders>
            <w:shd w:val="clear" w:color="auto" w:fill="D2D2D2"/>
          </w:tcPr>
          <w:p>
            <w:pPr/>
          </w:p>
        </w:tc>
        <w:tc>
          <w:tcPr>
            <w:tcW w:w="572" w:type="dxa"/>
            <w:vMerge/>
            <w:tcBorders>
              <w:left w:val="single" w:sz="4" w:space="0" w:color="000000"/>
              <w:bottom w:val="nil" w:sz="6" w:space="0" w:color="auto"/>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2" w:type="dxa"/>
            <w:vMerge w:val="restart"/>
            <w:tcBorders>
              <w:top w:val="nil" w:sz="6" w:space="0" w:color="auto"/>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60"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2"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31"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10" w:space="0" w:color="D2D2D2"/>
              <w:right w:val="single" w:sz="4" w:space="0" w:color="000000"/>
            </w:tcBorders>
          </w:tcPr>
          <w:p>
            <w:pPr>
              <w:pStyle w:val="TableParagraph"/>
              <w:spacing w:line="240" w:lineRule="auto" w:before="91"/>
              <w:ind w:left="39" w:right="0"/>
              <w:jc w:val="left"/>
              <w:rPr>
                <w:rFonts w:ascii="Times New Roman" w:hAnsi="Times New Roman" w:cs="Times New Roman" w:eastAsia="Times New Roman" w:hint="default"/>
                <w:sz w:val="18"/>
                <w:szCs w:val="18"/>
              </w:rPr>
            </w:pPr>
            <w:r>
              <w:rPr>
                <w:rFonts w:ascii="Times New Roman"/>
                <w:sz w:val="18"/>
              </w:rPr>
              <w:t>395,48</w:t>
            </w:r>
          </w:p>
          <w:p>
            <w:pPr>
              <w:pStyle w:val="TableParagraph"/>
              <w:spacing w:line="240" w:lineRule="auto" w:before="102"/>
              <w:ind w:left="82" w:right="0"/>
              <w:jc w:val="left"/>
              <w:rPr>
                <w:rFonts w:ascii="Times New Roman" w:hAnsi="Times New Roman" w:cs="Times New Roman" w:eastAsia="Times New Roman" w:hint="default"/>
                <w:sz w:val="18"/>
                <w:szCs w:val="18"/>
              </w:rPr>
            </w:pPr>
            <w:r>
              <w:rPr>
                <w:rFonts w:ascii="Times New Roman"/>
                <w:sz w:val="18"/>
              </w:rPr>
              <w:t>7,010.</w:t>
            </w:r>
          </w:p>
          <w:p>
            <w:pPr>
              <w:pStyle w:val="TableParagraph"/>
              <w:spacing w:line="240" w:lineRule="auto" w:before="105"/>
              <w:ind w:left="354"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540,953</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,492.83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,400.00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63,424,</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623.62</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501,844</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,043.18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48,949,</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142.02</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pacing w:val="-1"/>
                <w:w w:val="95"/>
                <w:sz w:val="18"/>
              </w:rPr>
              <w:t>37,911.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65</w:t>
            </w:r>
          </w:p>
        </w:tc>
      </w:tr>
      <w:tr>
        <w:trPr>
          <w:trHeight w:val="391"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10" w:space="0" w:color="D2D2D2"/>
              <w:right w:val="single" w:sz="4" w:space="0" w:color="000000"/>
            </w:tcBorders>
          </w:tcPr>
          <w:p>
            <w:pPr>
              <w:pStyle w:val="TableParagraph"/>
              <w:spacing w:line="240" w:lineRule="auto" w:before="91"/>
              <w:ind w:left="39" w:right="0"/>
              <w:jc w:val="left"/>
              <w:rPr>
                <w:rFonts w:ascii="Times New Roman" w:hAnsi="Times New Roman" w:cs="Times New Roman" w:eastAsia="Times New Roman" w:hint="default"/>
                <w:sz w:val="18"/>
                <w:szCs w:val="18"/>
              </w:rPr>
            </w:pPr>
            <w:r>
              <w:rPr>
                <w:rFonts w:ascii="Times New Roman"/>
                <w:sz w:val="18"/>
              </w:rPr>
              <w:t>395,48</w:t>
            </w:r>
          </w:p>
          <w:p>
            <w:pPr>
              <w:pStyle w:val="TableParagraph"/>
              <w:spacing w:line="240" w:lineRule="auto" w:before="105"/>
              <w:ind w:left="82" w:right="0"/>
              <w:jc w:val="left"/>
              <w:rPr>
                <w:rFonts w:ascii="Times New Roman" w:hAnsi="Times New Roman" w:cs="Times New Roman" w:eastAsia="Times New Roman" w:hint="default"/>
                <w:sz w:val="18"/>
                <w:szCs w:val="18"/>
              </w:rPr>
            </w:pPr>
            <w:r>
              <w:rPr>
                <w:rFonts w:ascii="Times New Roman"/>
                <w:sz w:val="18"/>
              </w:rPr>
              <w:t>7,010.</w:t>
            </w:r>
          </w:p>
          <w:p>
            <w:pPr>
              <w:pStyle w:val="TableParagraph"/>
              <w:spacing w:line="240" w:lineRule="auto" w:before="105"/>
              <w:ind w:left="354"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540,953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,492.83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,400.00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63,424,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623.62</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501,844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,043.18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48,949,</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142.02</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pacing w:val="-1"/>
                <w:w w:val="95"/>
                <w:sz w:val="18"/>
              </w:rPr>
              <w:t>37,911.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65</w:t>
            </w:r>
          </w:p>
        </w:tc>
      </w:tr>
      <w:tr>
        <w:trPr>
          <w:trHeight w:val="394"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7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025"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49"/>
              <w:ind w:left="12"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7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29,139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427,857</w:t>
            </w:r>
          </w:p>
          <w:p>
            <w:pPr>
              <w:pStyle w:val="TableParagraph"/>
              <w:spacing w:line="240" w:lineRule="auto" w:before="102"/>
              <w:ind w:left="98" w:right="0"/>
              <w:jc w:val="left"/>
              <w:rPr>
                <w:rFonts w:ascii="Times New Roman" w:hAnsi="Times New Roman" w:cs="Times New Roman" w:eastAsia="Times New Roman" w:hint="default"/>
                <w:sz w:val="18"/>
                <w:szCs w:val="18"/>
              </w:rPr>
            </w:pPr>
            <w:r>
              <w:rPr>
                <w:rFonts w:ascii="Times New Roman"/>
                <w:sz w:val="18"/>
              </w:rPr>
              <w:t>,115.61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775.00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144,891</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,442.95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-34,205,</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231.55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609,634</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,162.67</w:t>
            </w:r>
          </w:p>
        </w:tc>
      </w:tr>
      <w:tr>
        <w:trPr>
          <w:trHeight w:val="715"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169,594</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,871.96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14,862,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526.84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184,457</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,398.80</w:t>
            </w: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10"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29,139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427,857</w:t>
            </w:r>
          </w:p>
          <w:p>
            <w:pPr>
              <w:pStyle w:val="TableParagraph"/>
              <w:spacing w:line="240" w:lineRule="auto" w:before="102"/>
              <w:ind w:left="98" w:right="0"/>
              <w:jc w:val="left"/>
              <w:rPr>
                <w:rFonts w:ascii="Times New Roman" w:hAnsi="Times New Roman" w:cs="Times New Roman" w:eastAsia="Times New Roman" w:hint="default"/>
                <w:sz w:val="18"/>
                <w:szCs w:val="18"/>
              </w:rPr>
            </w:pPr>
            <w:r>
              <w:rPr>
                <w:rFonts w:ascii="Times New Roman"/>
                <w:sz w:val="18"/>
              </w:rPr>
              <w:t>,115.61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775.00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-49,067,</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758.39</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437,043</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,027.22</w:t>
            </w:r>
          </w:p>
        </w:tc>
      </w:tr>
      <w:tr>
        <w:trPr>
          <w:trHeight w:val="703"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12"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7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10"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29,039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497,420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,514.53</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207" w:right="0"/>
              <w:jc w:val="center"/>
              <w:rPr>
                <w:rFonts w:ascii="Times New Roman" w:hAnsi="Times New Roman" w:cs="Times New Roman" w:eastAsia="Times New Roman" w:hint="default"/>
                <w:sz w:val="18"/>
                <w:szCs w:val="18"/>
              </w:rPr>
            </w:pPr>
            <w:r>
              <w:rPr>
                <w:rFonts w:ascii="Times New Roman"/>
                <w:sz w:val="18"/>
              </w:rPr>
              <w:t>00.00</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528,459</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,909.53</w:t>
            </w:r>
          </w:p>
        </w:tc>
      </w:tr>
      <w:tr>
        <w:trPr>
          <w:trHeight w:val="706"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0" w:lineRule="auto" w:before="49"/>
              <w:ind w:left="12" w:right="4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7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3"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12" w:right="4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4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7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 w:right="0"/>
              <w:jc w:val="center"/>
              <w:rPr>
                <w:rFonts w:ascii="Times New Roman" w:hAnsi="Times New Roman" w:cs="Times New Roman" w:eastAsia="Times New Roman" w:hint="default"/>
                <w:sz w:val="18"/>
                <w:szCs w:val="18"/>
              </w:rPr>
            </w:pPr>
            <w:r>
              <w:rPr>
                <w:rFonts w:ascii="Times New Roman"/>
                <w:sz w:val="18"/>
              </w:rPr>
              <w:t>100,50</w:t>
            </w:r>
          </w:p>
          <w:p>
            <w:pPr>
              <w:pStyle w:val="TableParagraph"/>
              <w:spacing w:line="240" w:lineRule="auto" w:before="105"/>
              <w:ind w:left="198" w:right="0"/>
              <w:jc w:val="center"/>
              <w:rPr>
                <w:rFonts w:ascii="Times New Roman" w:hAnsi="Times New Roman" w:cs="Times New Roman" w:eastAsia="Times New Roman" w:hint="default"/>
                <w:sz w:val="18"/>
                <w:szCs w:val="18"/>
              </w:rPr>
            </w:pPr>
            <w:r>
              <w:rPr>
                <w:rFonts w:ascii="Times New Roman"/>
                <w:sz w:val="18"/>
              </w:rPr>
              <w:t>0.00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14,403,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815.50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775.00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43,618,</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090.50</w:t>
            </w: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10" w:space="0" w:color="D2D2D2"/>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 w:right="0"/>
              <w:jc w:val="center"/>
              <w:rPr>
                <w:rFonts w:ascii="Times New Roman" w:hAnsi="Times New Roman" w:cs="Times New Roman" w:eastAsia="Times New Roman" w:hint="default"/>
                <w:sz w:val="18"/>
                <w:szCs w:val="18"/>
              </w:rPr>
            </w:pPr>
            <w:r>
              <w:rPr>
                <w:rFonts w:ascii="Times New Roman"/>
                <w:sz w:val="18"/>
              </w:rPr>
              <w:t>-83,967,</w:t>
            </w:r>
          </w:p>
          <w:p>
            <w:pPr>
              <w:pStyle w:val="TableParagraph"/>
              <w:spacing w:line="240" w:lineRule="auto" w:before="102"/>
              <w:ind w:left="113" w:right="0"/>
              <w:jc w:val="center"/>
              <w:rPr>
                <w:rFonts w:ascii="Times New Roman" w:hAnsi="Times New Roman" w:cs="Times New Roman" w:eastAsia="Times New Roman" w:hint="default"/>
                <w:sz w:val="18"/>
                <w:szCs w:val="18"/>
              </w:rPr>
            </w:pPr>
            <w:r>
              <w:rPr>
                <w:rFonts w:ascii="Times New Roman"/>
                <w:sz w:val="18"/>
              </w:rPr>
              <w:t>214.42</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-51,067,</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758.39</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-135,03</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pacing w:val="-1"/>
                <w:sz w:val="18"/>
              </w:rPr>
              <w:t>4,972.8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r>
      <w:tr>
        <w:trPr>
          <w:trHeight w:val="391"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403"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7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91" w:right="0"/>
              <w:jc w:val="left"/>
              <w:rPr>
                <w:rFonts w:ascii="Times New Roman" w:hAnsi="Times New Roman" w:cs="Times New Roman" w:eastAsia="Times New Roman" w:hint="default"/>
                <w:sz w:val="18"/>
                <w:szCs w:val="18"/>
              </w:rPr>
            </w:pPr>
            <w:r>
              <w:rPr>
                <w:rFonts w:ascii="Times New Roman"/>
                <w:sz w:val="18"/>
              </w:rPr>
              <w:t>12,837,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33" w:right="0"/>
              <w:jc w:val="left"/>
              <w:rPr>
                <w:rFonts w:ascii="Times New Roman" w:hAnsi="Times New Roman" w:cs="Times New Roman" w:eastAsia="Times New Roman" w:hint="default"/>
                <w:sz w:val="18"/>
                <w:szCs w:val="18"/>
              </w:rPr>
            </w:pPr>
            <w:r>
              <w:rPr>
                <w:rFonts w:ascii="Times New Roman"/>
                <w:sz w:val="18"/>
              </w:rPr>
              <w:t>-24,703,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33" w:right="0"/>
              <w:jc w:val="left"/>
              <w:rPr>
                <w:rFonts w:ascii="Times New Roman" w:hAnsi="Times New Roman" w:cs="Times New Roman" w:eastAsia="Times New Roman" w:hint="default"/>
                <w:sz w:val="18"/>
                <w:szCs w:val="18"/>
              </w:rPr>
            </w:pPr>
            <w:r>
              <w:rPr>
                <w:rFonts w:ascii="Times New Roman"/>
                <w:sz w:val="18"/>
              </w:rPr>
              <w:t>-11,866,</w:t>
            </w:r>
          </w:p>
        </w:tc>
      </w:tr>
    </w:tbl>
    <w:p>
      <w:pPr>
        <w:spacing w:after="0" w:line="240" w:lineRule="auto"/>
        <w:jc w:val="left"/>
        <w:rPr>
          <w:rFonts w:ascii="Times New Roman" w:hAnsi="Times New Roman" w:cs="Times New Roman" w:eastAsia="Times New Roman" w:hint="default"/>
          <w:sz w:val="18"/>
          <w:szCs w:val="18"/>
        </w:rPr>
        <w:sectPr>
          <w:footerReference w:type="default" r:id="rId31"/>
          <w:pgSz w:w="11910" w:h="16840"/>
          <w:pgMar w:footer="979" w:header="745" w:top="1060" w:bottom="1160" w:left="980" w:right="980"/>
          <w:pgNumType w:start="101"/>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3"/>
        <w:gridCol w:w="531"/>
        <w:gridCol w:w="530"/>
        <w:gridCol w:w="665"/>
        <w:gridCol w:w="665"/>
        <w:gridCol w:w="665"/>
        <w:gridCol w:w="665"/>
        <w:gridCol w:w="665"/>
        <w:gridCol w:w="665"/>
        <w:gridCol w:w="665"/>
        <w:gridCol w:w="665"/>
        <w:gridCol w:w="660"/>
      </w:tblGrid>
      <w:tr>
        <w:trPr>
          <w:trHeight w:val="36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9" w:right="0"/>
              <w:jc w:val="left"/>
              <w:rPr>
                <w:rFonts w:ascii="Times New Roman" w:hAnsi="Times New Roman" w:cs="Times New Roman" w:eastAsia="Times New Roman" w:hint="default"/>
                <w:sz w:val="18"/>
                <w:szCs w:val="18"/>
              </w:rPr>
            </w:pPr>
            <w:r>
              <w:rPr>
                <w:rFonts w:ascii="Times New Roman"/>
                <w:sz w:val="18"/>
              </w:rPr>
              <w:t>429.01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1" w:right="0"/>
              <w:jc w:val="left"/>
              <w:rPr>
                <w:rFonts w:ascii="Times New Roman" w:hAnsi="Times New Roman" w:cs="Times New Roman" w:eastAsia="Times New Roman" w:hint="default"/>
                <w:sz w:val="18"/>
                <w:szCs w:val="18"/>
              </w:rPr>
            </w:pPr>
            <w:r>
              <w:rPr>
                <w:rFonts w:ascii="Times New Roman"/>
                <w:sz w:val="18"/>
              </w:rPr>
              <w:t>263.35</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5"/>
              <w:ind w:left="117" w:right="0"/>
              <w:jc w:val="center"/>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263.35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263.35</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424,62</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6,905.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968,810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,608.44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75,606,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625.00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76,261,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789.28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646,735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,486.13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14,743,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910.47</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2,055,5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72,074.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6"/>
        <w:gridCol w:w="562"/>
        <w:gridCol w:w="530"/>
        <w:gridCol w:w="531"/>
        <w:gridCol w:w="533"/>
        <w:gridCol w:w="662"/>
        <w:gridCol w:w="665"/>
        <w:gridCol w:w="668"/>
        <w:gridCol w:w="665"/>
        <w:gridCol w:w="662"/>
        <w:gridCol w:w="665"/>
        <w:gridCol w:w="680"/>
        <w:gridCol w:w="653"/>
        <w:gridCol w:w="658"/>
      </w:tblGrid>
      <w:tr>
        <w:trPr>
          <w:trHeight w:val="403" w:hRule="exact"/>
        </w:trPr>
        <w:tc>
          <w:tcPr>
            <w:tcW w:w="1426" w:type="dxa"/>
            <w:vMerge w:val="restart"/>
            <w:tcBorders>
              <w:top w:val="single" w:sz="4" w:space="0" w:color="000000"/>
              <w:left w:val="single" w:sz="4" w:space="0" w:color="000000"/>
              <w:right w:val="single" w:sz="4" w:space="0" w:color="000000"/>
            </w:tcBorders>
            <w:shd w:val="clear" w:color="auto" w:fill="D2D2D2"/>
          </w:tcPr>
          <w:p>
            <w:pP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6"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3" w:type="dxa"/>
            <w:vMerge w:val="restart"/>
            <w:tcBorders>
              <w:top w:val="single" w:sz="4" w:space="0" w:color="000000"/>
              <w:left w:val="single" w:sz="4" w:space="0" w:color="000000"/>
              <w:right w:val="single" w:sz="4" w:space="0" w:color="000000"/>
            </w:tcBorders>
            <w:shd w:val="clear" w:color="auto" w:fill="D2D2D2"/>
          </w:tcPr>
          <w:p>
            <w:pPr/>
          </w:p>
        </w:tc>
        <w:tc>
          <w:tcPr>
            <w:tcW w:w="65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6"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5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5" w:right="50"/>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8"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80"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3"/>
              <w:ind w:left="50" w:right="50"/>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8" w:type="dxa"/>
            <w:vMerge/>
            <w:tcBorders>
              <w:left w:val="single" w:sz="4" w:space="0" w:color="000000"/>
              <w:right w:val="single" w:sz="4" w:space="0" w:color="000000"/>
            </w:tcBorders>
            <w:shd w:val="clear" w:color="auto" w:fill="D2D2D2"/>
          </w:tcPr>
          <w:p>
            <w:pPr/>
          </w:p>
        </w:tc>
      </w:tr>
      <w:tr>
        <w:trPr>
          <w:trHeight w:val="174" w:hRule="exact"/>
        </w:trPr>
        <w:tc>
          <w:tcPr>
            <w:tcW w:w="1426"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4" w:type="dxa"/>
            <w:gridSpan w:val="3"/>
            <w:vMerge/>
            <w:tcBorders>
              <w:left w:val="single" w:sz="4" w:space="0" w:color="000000"/>
              <w:bottom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9"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3"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8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53" w:right="63"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84" w:hRule="exact"/>
        </w:trPr>
        <w:tc>
          <w:tcPr>
            <w:tcW w:w="1426"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1"/>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1"/>
              <w:ind w:left="170" w:right="77"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71"/>
              <w:ind w:left="171" w:right="7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8"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80"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67" w:hRule="exact"/>
        </w:trPr>
        <w:tc>
          <w:tcPr>
            <w:tcW w:w="1426"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8"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80" w:type="dxa"/>
            <w:vMerge/>
            <w:tcBorders>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56" w:hRule="exact"/>
        </w:trPr>
        <w:tc>
          <w:tcPr>
            <w:tcW w:w="1426"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8"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80"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
        </w:tc>
        <w:tc>
          <w:tcPr>
            <w:tcW w:w="658"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26"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1" w:type="dxa"/>
            <w:vMerge/>
            <w:tcBorders>
              <w:left w:val="single" w:sz="4" w:space="0" w:color="000000"/>
              <w:bottom w:val="single" w:sz="4" w:space="0" w:color="000000"/>
              <w:right w:val="single" w:sz="4" w:space="0" w:color="000000"/>
            </w:tcBorders>
            <w:shd w:val="clear" w:color="auto" w:fill="D2D2D2"/>
          </w:tcPr>
          <w:p>
            <w:pPr/>
          </w:p>
        </w:tc>
        <w:tc>
          <w:tcPr>
            <w:tcW w:w="53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8"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80"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5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1"/>
              <w:ind w:left="29" w:right="0"/>
              <w:jc w:val="left"/>
              <w:rPr>
                <w:rFonts w:ascii="Times New Roman" w:hAnsi="Times New Roman" w:cs="Times New Roman" w:eastAsia="Times New Roman" w:hint="default"/>
                <w:sz w:val="18"/>
                <w:szCs w:val="18"/>
              </w:rPr>
            </w:pPr>
            <w:r>
              <w:rPr>
                <w:rFonts w:ascii="Times New Roman"/>
                <w:sz w:val="18"/>
              </w:rPr>
              <w:t>382,49</w:t>
            </w:r>
          </w:p>
          <w:p>
            <w:pPr>
              <w:pStyle w:val="TableParagraph"/>
              <w:spacing w:line="240" w:lineRule="auto" w:before="105"/>
              <w:ind w:left="73" w:right="0"/>
              <w:jc w:val="left"/>
              <w:rPr>
                <w:rFonts w:ascii="Times New Roman" w:hAnsi="Times New Roman" w:cs="Times New Roman" w:eastAsia="Times New Roman" w:hint="default"/>
                <w:sz w:val="18"/>
                <w:szCs w:val="18"/>
              </w:rPr>
            </w:pPr>
            <w:r>
              <w:rPr>
                <w:rFonts w:ascii="Times New Roman"/>
                <w:sz w:val="18"/>
              </w:rPr>
              <w:t>3,310.</w:t>
            </w:r>
          </w:p>
          <w:p>
            <w:pPr>
              <w:pStyle w:val="TableParagraph"/>
              <w:spacing w:line="240" w:lineRule="auto" w:before="105"/>
              <w:ind w:left="344"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423,692</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,651.56</w:t>
            </w:r>
          </w:p>
        </w:tc>
        <w:tc>
          <w:tcPr>
            <w:tcW w:w="665" w:type="dxa"/>
            <w:vMerge w:val="restart"/>
            <w:tcBorders>
              <w:top w:val="single" w:sz="4" w:space="0" w:color="000000"/>
              <w:left w:val="single" w:sz="4" w:space="0" w:color="000000"/>
              <w:right w:val="single" w:sz="4" w:space="0" w:color="000000"/>
            </w:tcBorders>
          </w:tcPr>
          <w:p>
            <w:pPr/>
          </w:p>
        </w:tc>
        <w:tc>
          <w:tcPr>
            <w:tcW w:w="668"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53,295,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827.50</w:t>
            </w:r>
          </w:p>
        </w:tc>
        <w:tc>
          <w:tcPr>
            <w:tcW w:w="665" w:type="dxa"/>
            <w:vMerge w:val="restart"/>
            <w:tcBorders>
              <w:top w:val="single" w:sz="4" w:space="0" w:color="000000"/>
              <w:left w:val="single" w:sz="4" w:space="0" w:color="000000"/>
              <w:right w:val="single" w:sz="4" w:space="0" w:color="000000"/>
            </w:tcBorders>
          </w:tcPr>
          <w:p>
            <w:pPr/>
          </w:p>
        </w:tc>
        <w:tc>
          <w:tcPr>
            <w:tcW w:w="6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395,911</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,324.02</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11,227,</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063.55</w:t>
            </w:r>
          </w:p>
        </w:tc>
        <w:tc>
          <w:tcPr>
            <w:tcW w:w="6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1,266,6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20,176.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63</w:t>
            </w: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80"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658"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80"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658" w:type="dxa"/>
            <w:vMerge/>
            <w:tcBorders>
              <w:left w:val="single" w:sz="4" w:space="0" w:color="000000"/>
              <w:bottom w:val="single" w:sz="4" w:space="0" w:color="000000"/>
              <w:right w:val="single" w:sz="4" w:space="0" w:color="000000"/>
            </w:tcBorders>
          </w:tcPr>
          <w:p>
            <w:pPr/>
          </w:p>
        </w:tc>
      </w:tr>
      <w:tr>
        <w:trPr>
          <w:trHeight w:val="716"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562" w:type="dxa"/>
            <w:tcBorders>
              <w:top w:val="single" w:sz="4" w:space="0" w:color="000000"/>
              <w:left w:val="single" w:sz="12"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2"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4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382,49</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3,310.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423,692</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,651.56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53,295,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827.50</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395,911</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,324.02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11,227,</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063.55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1,266,6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20,176.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63</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12,993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117,260</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,841.27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10,128,</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796.12</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105,932</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,719.16</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37,722,</w:t>
            </w:r>
          </w:p>
          <w:p>
            <w:pPr>
              <w:pStyle w:val="TableParagraph"/>
              <w:spacing w:line="240" w:lineRule="auto" w:before="102"/>
              <w:ind w:left="124" w:right="0"/>
              <w:jc w:val="left"/>
              <w:rPr>
                <w:rFonts w:ascii="Times New Roman" w:hAnsi="Times New Roman" w:cs="Times New Roman" w:eastAsia="Times New Roman" w:hint="default"/>
                <w:sz w:val="18"/>
                <w:szCs w:val="18"/>
              </w:rPr>
            </w:pPr>
            <w:r>
              <w:rPr>
                <w:rFonts w:ascii="Times New Roman"/>
                <w:sz w:val="18"/>
              </w:rPr>
              <w:t>078.47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179,317</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,735.02</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131,364</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,945.12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10,718,</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273.45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142,083</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,218.57</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12,993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,700.0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117,260</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,841.27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27,003,</w:t>
            </w:r>
          </w:p>
          <w:p>
            <w:pPr>
              <w:pStyle w:val="TableParagraph"/>
              <w:spacing w:line="240" w:lineRule="auto" w:before="102"/>
              <w:ind w:left="124" w:right="0"/>
              <w:jc w:val="left"/>
              <w:rPr>
                <w:rFonts w:ascii="Times New Roman" w:hAnsi="Times New Roman" w:cs="Times New Roman" w:eastAsia="Times New Roman" w:hint="default"/>
                <w:sz w:val="18"/>
                <w:szCs w:val="18"/>
              </w:rPr>
            </w:pPr>
            <w:r>
              <w:rPr>
                <w:rFonts w:ascii="Times New Roman"/>
                <w:sz w:val="18"/>
              </w:rPr>
              <w:t>805.02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52,537,</w:t>
            </w:r>
          </w:p>
          <w:p>
            <w:pPr>
              <w:pStyle w:val="TableParagraph"/>
              <w:spacing w:line="240" w:lineRule="auto" w:before="102"/>
              <w:ind w:left="131" w:right="0"/>
              <w:jc w:val="left"/>
              <w:rPr>
                <w:rFonts w:ascii="Times New Roman" w:hAnsi="Times New Roman" w:cs="Times New Roman" w:eastAsia="Times New Roman" w:hint="default"/>
                <w:sz w:val="18"/>
                <w:szCs w:val="18"/>
              </w:rPr>
            </w:pPr>
            <w:r>
              <w:rPr>
                <w:rFonts w:ascii="Times New Roman"/>
                <w:sz w:val="18"/>
              </w:rPr>
              <w:t>946.29</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12,993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110,198</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,320.84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30,016,</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458.59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153,208</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,479.43</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11,135,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866.86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-93,584,</w:t>
            </w:r>
          </w:p>
          <w:p>
            <w:pPr>
              <w:pStyle w:val="TableParagraph"/>
              <w:spacing w:line="240" w:lineRule="auto" w:before="105"/>
              <w:ind w:left="110" w:right="0"/>
              <w:jc w:val="center"/>
              <w:rPr>
                <w:rFonts w:ascii="Times New Roman" w:hAnsi="Times New Roman" w:cs="Times New Roman" w:eastAsia="Times New Roman" w:hint="default"/>
                <w:sz w:val="18"/>
                <w:szCs w:val="18"/>
              </w:rPr>
            </w:pPr>
            <w:r>
              <w:rPr>
                <w:rFonts w:ascii="Times New Roman"/>
                <w:sz w:val="18"/>
              </w:rPr>
              <w:t>533.14</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 w:right="0"/>
              <w:jc w:val="center"/>
              <w:rPr>
                <w:rFonts w:ascii="Times New Roman" w:hAnsi="Times New Roman" w:cs="Times New Roman" w:eastAsia="Times New Roman" w:hint="default"/>
                <w:sz w:val="18"/>
                <w:szCs w:val="18"/>
              </w:rPr>
            </w:pPr>
            <w:r>
              <w:rPr>
                <w:rFonts w:ascii="Times New Roman"/>
                <w:sz w:val="18"/>
              </w:rPr>
              <w:t>-4,073,3</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46.43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0" w:right="0"/>
              <w:jc w:val="left"/>
              <w:rPr>
                <w:rFonts w:ascii="Times New Roman" w:hAnsi="Times New Roman" w:cs="Times New Roman" w:eastAsia="Times New Roman" w:hint="default"/>
                <w:sz w:val="18"/>
                <w:szCs w:val="18"/>
              </w:rPr>
            </w:pPr>
            <w:r>
              <w:rPr>
                <w:rFonts w:ascii="Times New Roman"/>
                <w:sz w:val="18"/>
              </w:rPr>
              <w:t>-3,012,</w:t>
            </w:r>
          </w:p>
          <w:p>
            <w:pPr>
              <w:pStyle w:val="TableParagraph"/>
              <w:spacing w:line="240" w:lineRule="auto" w:before="102"/>
              <w:ind w:left="124" w:right="0"/>
              <w:jc w:val="left"/>
              <w:rPr>
                <w:rFonts w:ascii="Times New Roman" w:hAnsi="Times New Roman" w:cs="Times New Roman" w:eastAsia="Times New Roman" w:hint="default"/>
                <w:sz w:val="18"/>
                <w:szCs w:val="18"/>
              </w:rPr>
            </w:pPr>
            <w:r>
              <w:rPr>
                <w:rFonts w:ascii="Times New Roman"/>
                <w:sz w:val="18"/>
              </w:rPr>
              <w:t>653.57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-7,086,0</w:t>
            </w:r>
          </w:p>
          <w:p>
            <w:pPr>
              <w:pStyle w:val="TableParagraph"/>
              <w:spacing w:line="240" w:lineRule="auto" w:before="102"/>
              <w:ind w:left="200" w:right="0"/>
              <w:jc w:val="center"/>
              <w:rPr>
                <w:rFonts w:ascii="Times New Roman" w:hAnsi="Times New Roman" w:cs="Times New Roman" w:eastAsia="Times New Roman" w:hint="default"/>
                <w:sz w:val="18"/>
                <w:szCs w:val="18"/>
              </w:rPr>
            </w:pPr>
            <w:r>
              <w:rPr>
                <w:rFonts w:ascii="Times New Roman"/>
                <w:sz w:val="18"/>
              </w:rPr>
              <w:t>00.00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10,128,</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796.12</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-25,432,</w:t>
            </w:r>
          </w:p>
          <w:p>
            <w:pPr>
              <w:pStyle w:val="TableParagraph"/>
              <w:spacing w:line="240" w:lineRule="auto" w:before="105"/>
              <w:ind w:left="127" w:right="0"/>
              <w:jc w:val="center"/>
              <w:rPr>
                <w:rFonts w:ascii="Times New Roman" w:hAnsi="Times New Roman" w:cs="Times New Roman" w:eastAsia="Times New Roman" w:hint="default"/>
                <w:sz w:val="18"/>
                <w:szCs w:val="18"/>
              </w:rPr>
            </w:pPr>
            <w:r>
              <w:rPr>
                <w:rFonts w:ascii="Times New Roman"/>
                <w:sz w:val="18"/>
              </w:rPr>
              <w:t>225.96</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-15,303,</w:t>
            </w:r>
          </w:p>
          <w:p>
            <w:pPr>
              <w:pStyle w:val="TableParagraph"/>
              <w:spacing w:line="240" w:lineRule="auto" w:before="105"/>
              <w:ind w:left="110" w:right="0"/>
              <w:jc w:val="center"/>
              <w:rPr>
                <w:rFonts w:ascii="Times New Roman" w:hAnsi="Times New Roman" w:cs="Times New Roman" w:eastAsia="Times New Roman" w:hint="default"/>
                <w:sz w:val="18"/>
                <w:szCs w:val="18"/>
              </w:rPr>
            </w:pPr>
            <w:r>
              <w:rPr>
                <w:rFonts w:ascii="Times New Roman"/>
                <w:sz w:val="18"/>
              </w:rPr>
              <w:t>429.84</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left"/>
              <w:rPr>
                <w:rFonts w:ascii="Times New Roman" w:hAnsi="Times New Roman" w:cs="Times New Roman" w:eastAsia="Times New Roman" w:hint="default"/>
                <w:sz w:val="18"/>
                <w:szCs w:val="18"/>
              </w:rPr>
            </w:pPr>
            <w:r>
              <w:rPr>
                <w:rFonts w:ascii="Times New Roman"/>
                <w:sz w:val="18"/>
              </w:rPr>
              <w:t>10,128,</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796.12</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-10,128,</w:t>
            </w:r>
          </w:p>
          <w:p>
            <w:pPr>
              <w:pStyle w:val="TableParagraph"/>
              <w:spacing w:line="240" w:lineRule="auto" w:before="102"/>
              <w:ind w:left="127" w:right="0"/>
              <w:jc w:val="center"/>
              <w:rPr>
                <w:rFonts w:ascii="Times New Roman" w:hAnsi="Times New Roman" w:cs="Times New Roman" w:eastAsia="Times New Roman" w:hint="default"/>
                <w:sz w:val="18"/>
                <w:szCs w:val="18"/>
              </w:rPr>
            </w:pPr>
            <w:r>
              <w:rPr>
                <w:rFonts w:ascii="Times New Roman"/>
                <w:sz w:val="18"/>
              </w:rPr>
              <w:t>796.12</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-15,303,</w:t>
            </w:r>
          </w:p>
          <w:p>
            <w:pPr>
              <w:pStyle w:val="TableParagraph"/>
              <w:spacing w:line="240" w:lineRule="auto" w:before="102"/>
              <w:ind w:left="127" w:right="0"/>
              <w:jc w:val="center"/>
              <w:rPr>
                <w:rFonts w:ascii="Times New Roman" w:hAnsi="Times New Roman" w:cs="Times New Roman" w:eastAsia="Times New Roman" w:hint="default"/>
                <w:sz w:val="18"/>
                <w:szCs w:val="18"/>
              </w:rPr>
            </w:pPr>
            <w:r>
              <w:rPr>
                <w:rFonts w:ascii="Times New Roman"/>
                <w:sz w:val="18"/>
              </w:rPr>
              <w:t>429.84</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 w:right="0"/>
              <w:jc w:val="center"/>
              <w:rPr>
                <w:rFonts w:ascii="Times New Roman" w:hAnsi="Times New Roman" w:cs="Times New Roman" w:eastAsia="Times New Roman" w:hint="default"/>
                <w:sz w:val="18"/>
                <w:szCs w:val="18"/>
              </w:rPr>
            </w:pPr>
            <w:r>
              <w:rPr>
                <w:rFonts w:ascii="Times New Roman"/>
                <w:sz w:val="18"/>
              </w:rPr>
              <w:t>-15,303,</w:t>
            </w:r>
          </w:p>
          <w:p>
            <w:pPr>
              <w:pStyle w:val="TableParagraph"/>
              <w:spacing w:line="240" w:lineRule="auto" w:before="102"/>
              <w:ind w:left="110" w:right="0"/>
              <w:jc w:val="center"/>
              <w:rPr>
                <w:rFonts w:ascii="Times New Roman" w:hAnsi="Times New Roman" w:cs="Times New Roman" w:eastAsia="Times New Roman" w:hint="default"/>
                <w:sz w:val="18"/>
                <w:szCs w:val="18"/>
              </w:rPr>
            </w:pPr>
            <w:r>
              <w:rPr>
                <w:rFonts w:ascii="Times New Roman"/>
                <w:sz w:val="18"/>
              </w:rPr>
              <w:t>429.84</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395,48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7,010.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540,953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,492.83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63,424,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623.62</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501,844</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,043.18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48,949,</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142.02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w w:val="95"/>
                <w:sz w:val="18"/>
              </w:rPr>
              <w:t>37,911.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65</w:t>
            </w:r>
          </w:p>
        </w:tc>
      </w:tr>
    </w:tbl>
    <w:p>
      <w:pPr>
        <w:spacing w:line="240" w:lineRule="auto" w:before="10"/>
        <w:rPr>
          <w:rFonts w:ascii="Times New Roman" w:hAnsi="Times New Roman" w:cs="Times New Roman" w:eastAsia="Times New Roman" w:hint="default"/>
          <w:sz w:val="21"/>
          <w:szCs w:val="21"/>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8"/>
        <w:gridCol w:w="691"/>
        <w:gridCol w:w="665"/>
        <w:gridCol w:w="667"/>
        <w:gridCol w:w="665"/>
        <w:gridCol w:w="797"/>
        <w:gridCol w:w="797"/>
        <w:gridCol w:w="797"/>
        <w:gridCol w:w="799"/>
        <w:gridCol w:w="797"/>
        <w:gridCol w:w="677"/>
        <w:gridCol w:w="780"/>
      </w:tblGrid>
      <w:tr>
        <w:trPr>
          <w:trHeight w:val="396"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8"/>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305"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428"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199" w:hRule="exact"/>
        </w:trPr>
        <w:tc>
          <w:tcPr>
            <w:tcW w:w="1428"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6" w:hRule="exact"/>
        </w:trPr>
        <w:tc>
          <w:tcPr>
            <w:tcW w:w="1428"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395,487,</w:t>
            </w:r>
          </w:p>
          <w:p>
            <w:pPr>
              <w:pStyle w:val="TableParagraph"/>
              <w:spacing w:line="240" w:lineRule="auto" w:before="105"/>
              <w:ind w:left="142" w:right="0"/>
              <w:jc w:val="center"/>
              <w:rPr>
                <w:rFonts w:ascii="Times New Roman" w:hAnsi="Times New Roman" w:cs="Times New Roman" w:eastAsia="Times New Roman" w:hint="default"/>
                <w:sz w:val="18"/>
                <w:szCs w:val="18"/>
              </w:rPr>
            </w:pPr>
            <w:r>
              <w:rPr>
                <w:rFonts w:ascii="Times New Roman"/>
                <w:sz w:val="18"/>
              </w:rPr>
              <w:t>010.00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548,369,5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92.51</w:t>
            </w:r>
          </w:p>
        </w:tc>
        <w:tc>
          <w:tcPr>
            <w:tcW w:w="797" w:type="dxa"/>
            <w:vMerge w:val="restart"/>
            <w:tcBorders>
              <w:top w:val="single" w:sz="22" w:space="0" w:color="D2D2D2"/>
              <w:left w:val="single" w:sz="4" w:space="0" w:color="000000"/>
              <w:right w:val="single" w:sz="4" w:space="0" w:color="000000"/>
            </w:tcBorders>
          </w:tcPr>
          <w:p>
            <w:pPr>
              <w:pStyle w:val="TableParagraph"/>
              <w:spacing w:line="240" w:lineRule="auto" w:before="68"/>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vMerge w:val="restart"/>
            <w:tcBorders>
              <w:top w:val="single" w:sz="22" w:space="0" w:color="D2D2D2"/>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63,424,62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3.62</w:t>
            </w:r>
          </w:p>
        </w:tc>
        <w:tc>
          <w:tcPr>
            <w:tcW w:w="677" w:type="dxa"/>
            <w:vMerge w:val="restart"/>
            <w:tcBorders>
              <w:top w:val="single" w:sz="22" w:space="0" w:color="D2D2D2"/>
              <w:left w:val="single" w:sz="4" w:space="0" w:color="000000"/>
              <w:right w:val="single" w:sz="4" w:space="0" w:color="000000"/>
            </w:tcBorders>
          </w:tcPr>
          <w:p>
            <w:pPr>
              <w:pStyle w:val="TableParagraph"/>
              <w:spacing w:line="240" w:lineRule="auto" w:before="68"/>
              <w:ind w:left="57" w:right="0"/>
              <w:jc w:val="left"/>
              <w:rPr>
                <w:rFonts w:ascii="Times New Roman" w:hAnsi="Times New Roman" w:cs="Times New Roman" w:eastAsia="Times New Roman" w:hint="default"/>
                <w:sz w:val="18"/>
                <w:szCs w:val="18"/>
              </w:rPr>
            </w:pPr>
            <w:r>
              <w:rPr>
                <w:rFonts w:ascii="Times New Roman"/>
                <w:sz w:val="18"/>
              </w:rPr>
              <w:t>453,482</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,437.27</w:t>
            </w:r>
          </w:p>
        </w:tc>
        <w:tc>
          <w:tcPr>
            <w:tcW w:w="780" w:type="dxa"/>
            <w:vMerge w:val="restart"/>
            <w:tcBorders>
              <w:top w:val="single" w:sz="22" w:space="0" w:color="D2D2D2"/>
              <w:left w:val="single" w:sz="4" w:space="0" w:color="000000"/>
              <w:right w:val="single" w:sz="4" w:space="0" w:color="000000"/>
            </w:tcBorders>
          </w:tcPr>
          <w:p>
            <w:pPr>
              <w:pStyle w:val="TableParagraph"/>
              <w:spacing w:line="240" w:lineRule="auto" w:before="68"/>
              <w:ind w:left="7" w:right="0"/>
              <w:jc w:val="center"/>
              <w:rPr>
                <w:rFonts w:ascii="Times New Roman" w:hAnsi="Times New Roman" w:cs="Times New Roman" w:eastAsia="Times New Roman" w:hint="default"/>
                <w:sz w:val="18"/>
                <w:szCs w:val="18"/>
              </w:rPr>
            </w:pPr>
            <w:r>
              <w:rPr>
                <w:rFonts w:ascii="Times New Roman"/>
                <w:sz w:val="18"/>
              </w:rPr>
              <w:t>1,356,043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,263.40</w:t>
            </w: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395,487,</w:t>
            </w:r>
          </w:p>
          <w:p>
            <w:pPr>
              <w:pStyle w:val="TableParagraph"/>
              <w:spacing w:line="240" w:lineRule="auto" w:before="105"/>
              <w:ind w:left="142" w:right="0"/>
              <w:jc w:val="center"/>
              <w:rPr>
                <w:rFonts w:ascii="Times New Roman" w:hAnsi="Times New Roman" w:cs="Times New Roman" w:eastAsia="Times New Roman" w:hint="default"/>
                <w:sz w:val="18"/>
                <w:szCs w:val="18"/>
              </w:rPr>
            </w:pPr>
            <w:r>
              <w:rPr>
                <w:rFonts w:ascii="Times New Roman"/>
                <w:sz w:val="18"/>
              </w:rPr>
              <w:t>010.00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548,369,5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92.51</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63,424,62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3.62</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453,482</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,437.27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1,356,043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,263.40</w:t>
            </w:r>
          </w:p>
        </w:tc>
      </w:tr>
      <w:tr>
        <w:trPr>
          <w:trHeight w:val="394"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49"/>
              <w:ind w:left="1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29,139,8</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516,789,3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57.22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103,668</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,227.62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691,548,4</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20.50</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128,371</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,656.63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56.63</w:t>
            </w: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29,139,8</w:t>
            </w:r>
          </w:p>
          <w:p>
            <w:pPr>
              <w:pStyle w:val="TableParagraph"/>
              <w:spacing w:line="240" w:lineRule="auto" w:before="102"/>
              <w:ind w:left="249"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516,789,3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57.22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575,043,0</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27.22</w:t>
            </w: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29,039,3</w:t>
            </w:r>
          </w:p>
          <w:p>
            <w:pPr>
              <w:pStyle w:val="TableParagraph"/>
              <w:spacing w:line="240" w:lineRule="auto" w:before="105"/>
              <w:ind w:left="249"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497,420,5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14.53</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526,459,9</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09.53</w:t>
            </w:r>
          </w:p>
        </w:tc>
      </w:tr>
      <w:tr>
        <w:trPr>
          <w:trHeight w:val="716"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7"/>
        <w:gridCol w:w="665"/>
        <w:gridCol w:w="797"/>
        <w:gridCol w:w="797"/>
        <w:gridCol w:w="797"/>
        <w:gridCol w:w="799"/>
        <w:gridCol w:w="797"/>
        <w:gridCol w:w="677"/>
        <w:gridCol w:w="780"/>
      </w:tblGrid>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100,500.</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14,403,81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43,618,09</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0.50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.19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.19</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-24,703,</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429.01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-11,866,2</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63.35</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 w:right="0"/>
              <w:jc w:val="center"/>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2"/>
              <w:ind w:left="125" w:right="0"/>
              <w:jc w:val="center"/>
              <w:rPr>
                <w:rFonts w:ascii="Times New Roman" w:hAnsi="Times New Roman" w:cs="Times New Roman" w:eastAsia="Times New Roman" w:hint="default"/>
                <w:sz w:val="18"/>
                <w:szCs w:val="18"/>
              </w:rPr>
            </w:pPr>
            <w:r>
              <w:rPr>
                <w:rFonts w:ascii="Times New Roman"/>
                <w:sz w:val="18"/>
              </w:rPr>
              <w:t>165.66</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263.35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-11,866,2</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63.35</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 w:right="0"/>
              <w:jc w:val="center"/>
              <w:rPr>
                <w:rFonts w:ascii="Times New Roman" w:hAnsi="Times New Roman" w:cs="Times New Roman" w:eastAsia="Times New Roman" w:hint="default"/>
                <w:sz w:val="18"/>
                <w:szCs w:val="18"/>
              </w:rPr>
            </w:pPr>
            <w:r>
              <w:rPr>
                <w:rFonts w:ascii="Times New Roman"/>
                <w:sz w:val="18"/>
              </w:rPr>
              <w:t>424,626,</w:t>
            </w:r>
          </w:p>
          <w:p>
            <w:pPr>
              <w:pStyle w:val="TableParagraph"/>
              <w:spacing w:line="240" w:lineRule="auto" w:before="102"/>
              <w:ind w:left="149" w:right="0"/>
              <w:jc w:val="center"/>
              <w:rPr>
                <w:rFonts w:ascii="Times New Roman" w:hAnsi="Times New Roman" w:cs="Times New Roman" w:eastAsia="Times New Roman" w:hint="default"/>
                <w:sz w:val="18"/>
                <w:szCs w:val="18"/>
              </w:rPr>
            </w:pPr>
            <w:r>
              <w:rPr>
                <w:rFonts w:ascii="Times New Roman"/>
                <w:sz w:val="18"/>
              </w:rPr>
              <w:t>905.00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1,065,158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,949.73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75,606,62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76,261,78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9.28</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557,150</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,664.89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2,047,591</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,683.90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31"/>
        <w:gridCol w:w="689"/>
        <w:gridCol w:w="665"/>
        <w:gridCol w:w="667"/>
        <w:gridCol w:w="665"/>
        <w:gridCol w:w="797"/>
        <w:gridCol w:w="797"/>
        <w:gridCol w:w="797"/>
        <w:gridCol w:w="799"/>
        <w:gridCol w:w="797"/>
        <w:gridCol w:w="677"/>
        <w:gridCol w:w="780"/>
      </w:tblGrid>
      <w:tr>
        <w:trPr>
          <w:trHeight w:val="398" w:hRule="exact"/>
        </w:trPr>
        <w:tc>
          <w:tcPr>
            <w:tcW w:w="143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8"/>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6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305"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9"/>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0" w:hRule="exact"/>
        </w:trPr>
        <w:tc>
          <w:tcPr>
            <w:tcW w:w="1431" w:type="dxa"/>
            <w:vMerge/>
            <w:tcBorders>
              <w:left w:val="single" w:sz="4" w:space="0" w:color="000000"/>
              <w:bottom w:val="nil" w:sz="6" w:space="0" w:color="auto"/>
              <w:right w:val="single" w:sz="4" w:space="0" w:color="000000"/>
            </w:tcBorders>
            <w:shd w:val="clear" w:color="auto" w:fill="D2D2D2"/>
          </w:tcPr>
          <w:p>
            <w:pPr/>
          </w:p>
        </w:tc>
        <w:tc>
          <w:tcPr>
            <w:tcW w:w="6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2" w:hRule="exact"/>
        </w:trPr>
        <w:tc>
          <w:tcPr>
            <w:tcW w:w="1431" w:type="dxa"/>
            <w:vMerge w:val="restart"/>
            <w:tcBorders>
              <w:top w:val="nil" w:sz="6" w:space="0" w:color="auto"/>
              <w:left w:val="single" w:sz="4" w:space="0" w:color="000000"/>
              <w:right w:val="single" w:sz="4" w:space="0" w:color="000000"/>
            </w:tcBorders>
            <w:shd w:val="clear" w:color="auto" w:fill="D2D2D2"/>
          </w:tcPr>
          <w:p>
            <w:pPr/>
          </w:p>
        </w:tc>
        <w:tc>
          <w:tcPr>
            <w:tcW w:w="689"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6" w:hRule="exact"/>
        </w:trPr>
        <w:tc>
          <w:tcPr>
            <w:tcW w:w="1431" w:type="dxa"/>
            <w:vMerge/>
            <w:tcBorders>
              <w:left w:val="single" w:sz="4" w:space="0" w:color="000000"/>
              <w:bottom w:val="single" w:sz="4" w:space="0" w:color="000000"/>
              <w:right w:val="single" w:sz="4" w:space="0" w:color="000000"/>
            </w:tcBorders>
            <w:shd w:val="clear" w:color="auto" w:fill="D2D2D2"/>
          </w:tcPr>
          <w:p>
            <w:pPr/>
          </w:p>
        </w:tc>
        <w:tc>
          <w:tcPr>
            <w:tcW w:w="689"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31" w:type="dxa"/>
            <w:tcBorders>
              <w:top w:val="single" w:sz="4" w:space="0" w:color="000000"/>
              <w:left w:val="single" w:sz="4" w:space="0" w:color="000000"/>
              <w:bottom w:val="nil" w:sz="6" w:space="0" w:color="auto"/>
              <w:right w:val="single" w:sz="4" w:space="0" w:color="000000"/>
            </w:tcBorders>
            <w:shd w:val="clear" w:color="auto" w:fill="D2D2D2"/>
          </w:tcPr>
          <w:p>
            <w:pPr/>
          </w:p>
        </w:tc>
        <w:tc>
          <w:tcPr>
            <w:tcW w:w="689" w:type="dxa"/>
            <w:vMerge w:val="restart"/>
            <w:tcBorders>
              <w:top w:val="single" w:sz="4" w:space="0" w:color="000000"/>
              <w:left w:val="single" w:sz="10" w:space="0" w:color="D2D2D2"/>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382,493,</w:t>
            </w:r>
          </w:p>
          <w:p>
            <w:pPr>
              <w:pStyle w:val="TableParagraph"/>
              <w:spacing w:line="240" w:lineRule="auto" w:before="102"/>
              <w:ind w:left="139" w:right="0"/>
              <w:jc w:val="center"/>
              <w:rPr>
                <w:rFonts w:ascii="Times New Roman" w:hAnsi="Times New Roman" w:cs="Times New Roman" w:eastAsia="Times New Roman" w:hint="default"/>
                <w:sz w:val="18"/>
                <w:szCs w:val="18"/>
              </w:rPr>
            </w:pPr>
            <w:r>
              <w:rPr>
                <w:rFonts w:ascii="Times New Roman"/>
                <w:sz w:val="18"/>
              </w:rPr>
              <w:t>310.00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427,035,4</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04.81</w:t>
            </w:r>
          </w:p>
        </w:tc>
        <w:tc>
          <w:tcPr>
            <w:tcW w:w="797" w:type="dxa"/>
            <w:vMerge w:val="restart"/>
            <w:tcBorders>
              <w:top w:val="single" w:sz="22" w:space="0" w:color="D2D2D2"/>
              <w:left w:val="single" w:sz="4" w:space="0" w:color="000000"/>
              <w:right w:val="single" w:sz="4" w:space="0" w:color="000000"/>
            </w:tcBorders>
          </w:tcPr>
          <w:p>
            <w:pPr/>
          </w:p>
        </w:tc>
        <w:tc>
          <w:tcPr>
            <w:tcW w:w="797" w:type="dxa"/>
            <w:vMerge w:val="restart"/>
            <w:tcBorders>
              <w:top w:val="single" w:sz="22" w:space="0" w:color="D2D2D2"/>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53,295,82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7.50</w:t>
            </w:r>
          </w:p>
        </w:tc>
        <w:tc>
          <w:tcPr>
            <w:tcW w:w="677" w:type="dxa"/>
            <w:vMerge w:val="restart"/>
            <w:tcBorders>
              <w:top w:val="single" w:sz="22" w:space="0" w:color="D2D2D2"/>
              <w:left w:val="single" w:sz="4" w:space="0" w:color="000000"/>
              <w:right w:val="single" w:sz="4" w:space="0" w:color="000000"/>
            </w:tcBorders>
          </w:tcPr>
          <w:p>
            <w:pPr>
              <w:pStyle w:val="TableParagraph"/>
              <w:spacing w:line="240" w:lineRule="auto" w:before="68"/>
              <w:ind w:left="57" w:right="0"/>
              <w:jc w:val="left"/>
              <w:rPr>
                <w:rFonts w:ascii="Times New Roman" w:hAnsi="Times New Roman" w:cs="Times New Roman" w:eastAsia="Times New Roman" w:hint="default"/>
                <w:sz w:val="18"/>
                <w:szCs w:val="18"/>
              </w:rPr>
            </w:pPr>
            <w:r>
              <w:rPr>
                <w:rFonts w:ascii="Times New Roman"/>
                <w:sz w:val="18"/>
              </w:rPr>
              <w:t>377,626</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,702.00</w:t>
            </w:r>
          </w:p>
        </w:tc>
        <w:tc>
          <w:tcPr>
            <w:tcW w:w="780" w:type="dxa"/>
            <w:vMerge w:val="restart"/>
            <w:tcBorders>
              <w:top w:val="single" w:sz="22" w:space="0" w:color="D2D2D2"/>
              <w:left w:val="single" w:sz="4" w:space="0" w:color="000000"/>
              <w:right w:val="single" w:sz="4" w:space="0" w:color="000000"/>
            </w:tcBorders>
          </w:tcPr>
          <w:p>
            <w:pPr>
              <w:pStyle w:val="TableParagraph"/>
              <w:spacing w:line="240" w:lineRule="auto" w:before="68"/>
              <w:ind w:left="7" w:right="0"/>
              <w:jc w:val="center"/>
              <w:rPr>
                <w:rFonts w:ascii="Times New Roman" w:hAnsi="Times New Roman" w:cs="Times New Roman" w:eastAsia="Times New Roman" w:hint="default"/>
                <w:sz w:val="18"/>
                <w:szCs w:val="18"/>
              </w:rPr>
            </w:pPr>
            <w:r>
              <w:rPr>
                <w:rFonts w:ascii="Times New Roman"/>
                <w:sz w:val="18"/>
              </w:rPr>
              <w:t>1,240,451</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,244.31</w:t>
            </w:r>
          </w:p>
        </w:tc>
      </w:tr>
      <w:tr>
        <w:trPr>
          <w:trHeight w:val="391" w:hRule="exact"/>
        </w:trPr>
        <w:tc>
          <w:tcPr>
            <w:tcW w:w="143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89"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31" w:type="dxa"/>
            <w:tcBorders>
              <w:top w:val="nil" w:sz="6" w:space="0" w:color="auto"/>
              <w:left w:val="single" w:sz="4" w:space="0" w:color="000000"/>
              <w:bottom w:val="single" w:sz="4" w:space="0" w:color="000000"/>
              <w:right w:val="single" w:sz="4" w:space="0" w:color="000000"/>
            </w:tcBorders>
            <w:shd w:val="clear" w:color="auto" w:fill="D2D2D2"/>
          </w:tcPr>
          <w:p>
            <w:pPr/>
          </w:p>
        </w:tc>
        <w:tc>
          <w:tcPr>
            <w:tcW w:w="689"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6" w:hRule="exact"/>
        </w:trPr>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689"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732" w:right="0"/>
              <w:jc w:val="left"/>
              <w:rPr>
                <w:rFonts w:ascii="宋体" w:hAnsi="宋体" w:cs="宋体" w:eastAsia="宋体" w:hint="default"/>
                <w:sz w:val="18"/>
                <w:szCs w:val="18"/>
              </w:rPr>
            </w:pPr>
            <w:r>
              <w:rPr>
                <w:rFonts w:ascii="宋体" w:hAnsi="宋体" w:cs="宋体" w:eastAsia="宋体" w:hint="default"/>
                <w:sz w:val="18"/>
                <w:szCs w:val="18"/>
              </w:rPr>
              <w:t>前期差</w:t>
            </w:r>
          </w:p>
        </w:tc>
        <w:tc>
          <w:tcPr>
            <w:tcW w:w="689"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7"/>
        <w:gridCol w:w="665"/>
        <w:gridCol w:w="797"/>
        <w:gridCol w:w="797"/>
        <w:gridCol w:w="797"/>
        <w:gridCol w:w="799"/>
        <w:gridCol w:w="797"/>
        <w:gridCol w:w="677"/>
        <w:gridCol w:w="780"/>
      </w:tblGrid>
      <w:tr>
        <w:trPr>
          <w:trHeight w:val="36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382,493,</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310.00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427,035,4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04.81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53,295,82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7.50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377,626</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,702.00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1,240,451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,244.31</w:t>
            </w: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12,993,7</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121,334,1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87.70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10,128,79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6.12</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75,855,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735.27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115,592,0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19.09</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101,287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,961.23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101,287,9</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61.23</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12,993,7</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121,334,1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87.70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29,607,48</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7.70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12,993,7</w:t>
            </w:r>
          </w:p>
          <w:p>
            <w:pPr>
              <w:pStyle w:val="TableParagraph"/>
              <w:spacing w:line="240" w:lineRule="auto" w:before="105"/>
              <w:ind w:left="256"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110,198,3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20.84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123,192,0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20.84</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11,135,86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-93,584,5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33.14</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10,128,79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6.12</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-25,432,</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225.96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-15,303,4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29.84</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10,128,79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6.12</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-10,128,</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796.12</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-15,303,</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429.84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-15,303,4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29.84</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7"/>
        <w:gridCol w:w="665"/>
        <w:gridCol w:w="797"/>
        <w:gridCol w:w="797"/>
        <w:gridCol w:w="797"/>
        <w:gridCol w:w="799"/>
        <w:gridCol w:w="797"/>
        <w:gridCol w:w="677"/>
        <w:gridCol w:w="780"/>
      </w:tblGrid>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 w:right="0"/>
              <w:jc w:val="center"/>
              <w:rPr>
                <w:rFonts w:ascii="Times New Roman" w:hAnsi="Times New Roman" w:cs="Times New Roman" w:eastAsia="Times New Roman" w:hint="default"/>
                <w:sz w:val="18"/>
                <w:szCs w:val="18"/>
              </w:rPr>
            </w:pPr>
            <w:r>
              <w:rPr>
                <w:rFonts w:ascii="Times New Roman"/>
                <w:sz w:val="18"/>
              </w:rPr>
              <w:t>395,487,</w:t>
            </w:r>
          </w:p>
          <w:p>
            <w:pPr>
              <w:pStyle w:val="TableParagraph"/>
              <w:spacing w:line="240" w:lineRule="auto" w:before="102"/>
              <w:ind w:left="149" w:right="0"/>
              <w:jc w:val="center"/>
              <w:rPr>
                <w:rFonts w:ascii="Times New Roman" w:hAnsi="Times New Roman" w:cs="Times New Roman" w:eastAsia="Times New Roman" w:hint="default"/>
                <w:sz w:val="18"/>
                <w:szCs w:val="18"/>
              </w:rPr>
            </w:pPr>
            <w:r>
              <w:rPr>
                <w:rFonts w:ascii="Times New Roman"/>
                <w:sz w:val="18"/>
              </w:rPr>
              <w:t>010.00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548,369,5</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92.51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63,424,62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3.62</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453,482</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,437.27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1,356,043</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,263.40</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96"/>
        <w:jc w:val="left"/>
        <w:rPr>
          <w:b w:val="0"/>
          <w:bCs w:val="0"/>
        </w:rPr>
      </w:pPr>
      <w:r>
        <w:rPr/>
        <w:t>三、公司基本情况</w:t>
      </w:r>
      <w:r>
        <w:rPr>
          <w:b w:val="0"/>
          <w:bCs w:val="0"/>
        </w:rPr>
      </w:r>
    </w:p>
    <w:p>
      <w:pPr>
        <w:spacing w:line="240" w:lineRule="auto" w:before="11"/>
        <w:rPr>
          <w:rFonts w:ascii="宋体" w:hAnsi="宋体" w:cs="宋体" w:eastAsia="宋体" w:hint="default"/>
          <w:b/>
          <w:bCs/>
          <w:sz w:val="28"/>
          <w:szCs w:val="28"/>
        </w:rPr>
      </w:pPr>
    </w:p>
    <w:p>
      <w:pPr>
        <w:pStyle w:val="BodyText"/>
        <w:spacing w:line="345" w:lineRule="auto" w:before="0"/>
        <w:ind w:right="231" w:firstLine="480"/>
        <w:jc w:val="both"/>
      </w:pPr>
      <w:r>
        <w:rPr>
          <w:spacing w:val="-1"/>
        </w:rPr>
        <w:t>北京数字政通科技股份有限公司（以下简称</w:t>
      </w:r>
      <w:r>
        <w:rPr>
          <w:rFonts w:ascii="Times New Roman" w:hAnsi="Times New Roman" w:cs="Times New Roman" w:eastAsia="Times New Roman" w:hint="default"/>
          <w:spacing w:val="-1"/>
        </w:rPr>
        <w:t>“</w:t>
      </w:r>
      <w:r>
        <w:rPr>
          <w:spacing w:val="-1"/>
        </w:rPr>
        <w:t>公司</w:t>
      </w:r>
      <w:r>
        <w:rPr>
          <w:rFonts w:ascii="Times New Roman" w:hAnsi="Times New Roman" w:cs="Times New Roman" w:eastAsia="Times New Roman" w:hint="default"/>
          <w:spacing w:val="-1"/>
        </w:rPr>
        <w:t>”</w:t>
      </w:r>
      <w:r>
        <w:rPr>
          <w:spacing w:val="-1"/>
        </w:rPr>
        <w:t>或</w:t>
      </w:r>
      <w:r>
        <w:rPr>
          <w:rFonts w:ascii="Times New Roman" w:hAnsi="Times New Roman" w:cs="Times New Roman" w:eastAsia="Times New Roman" w:hint="default"/>
          <w:spacing w:val="-1"/>
        </w:rPr>
        <w:t>“</w:t>
      </w:r>
      <w:r>
        <w:rPr>
          <w:spacing w:val="-1"/>
        </w:rPr>
        <w:t>本公司</w:t>
      </w:r>
      <w:r>
        <w:rPr>
          <w:rFonts w:ascii="Times New Roman" w:hAnsi="Times New Roman" w:cs="Times New Roman" w:eastAsia="Times New Roman" w:hint="default"/>
          <w:spacing w:val="-1"/>
        </w:rPr>
        <w:t>”</w:t>
      </w:r>
      <w:r>
        <w:rPr>
          <w:spacing w:val="-1"/>
        </w:rPr>
        <w:t>）是</w:t>
      </w:r>
      <w:r>
        <w:rPr>
          <w:rFonts w:ascii="Times New Roman" w:hAnsi="Times New Roman" w:cs="Times New Roman" w:eastAsia="Times New Roman" w:hint="default"/>
          <w:spacing w:val="-1"/>
        </w:rPr>
        <w:t>2001</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6</w:t>
      </w:r>
      <w:r>
        <w:rPr>
          <w:spacing w:val="-1"/>
        </w:rPr>
        <w:t>日经北京</w:t>
      </w:r>
      <w:r>
        <w:rPr/>
        <w:t> 市工商行政管理局批准成立的有限责任公司，成立时注册公司名称为北京数字通图科技有限</w:t>
      </w:r>
      <w:r>
        <w:rPr>
          <w:spacing w:val="-91"/>
        </w:rPr>
        <w:t> </w:t>
      </w:r>
      <w:r>
        <w:rPr>
          <w:spacing w:val="-91"/>
        </w:rPr>
      </w:r>
      <w:r>
        <w:rPr>
          <w:spacing w:val="-2"/>
        </w:rPr>
        <w:t>公司，</w:t>
      </w:r>
      <w:r>
        <w:rPr>
          <w:rFonts w:ascii="Times New Roman" w:hAnsi="Times New Roman" w:cs="Times New Roman" w:eastAsia="Times New Roman" w:hint="default"/>
          <w:spacing w:val="-2"/>
        </w:rPr>
        <w:t>2003</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7</w:t>
      </w:r>
      <w:r>
        <w:rPr>
          <w:spacing w:val="-2"/>
        </w:rPr>
        <w:t>日更名为北京数字政通科技有限公司。</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10</w:t>
      </w:r>
      <w:r>
        <w:rPr>
          <w:spacing w:val="-2"/>
        </w:rPr>
        <w:t>日经整体变更设立股份</w:t>
      </w:r>
      <w:r>
        <w:rPr>
          <w:spacing w:val="-108"/>
        </w:rPr>
        <w:t> </w:t>
      </w:r>
      <w:r>
        <w:rPr/>
        <w:t>有限公司，更名为北京数字政通科技股份有限公司，注册资本</w:t>
      </w:r>
      <w:r>
        <w:rPr>
          <w:rFonts w:ascii="Times New Roman" w:hAnsi="Times New Roman" w:cs="Times New Roman" w:eastAsia="Times New Roman" w:hint="default"/>
        </w:rPr>
        <w:t>4,200</w:t>
      </w:r>
      <w:r>
        <w:rPr/>
        <w:t>万元。</w:t>
      </w:r>
    </w:p>
    <w:p>
      <w:pPr>
        <w:pStyle w:val="BodyText"/>
        <w:spacing w:line="338" w:lineRule="auto" w:before="19"/>
        <w:ind w:right="237" w:firstLine="480"/>
        <w:jc w:val="both"/>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14</w:t>
      </w:r>
      <w:r>
        <w:rPr/>
        <w:t>日公司向社会公众公开发行流通股</w:t>
      </w:r>
      <w:r>
        <w:rPr>
          <w:rFonts w:ascii="Times New Roman" w:hAnsi="Times New Roman" w:cs="Times New Roman" w:eastAsia="Times New Roman" w:hint="default"/>
        </w:rPr>
        <w:t>1,400</w:t>
      </w:r>
      <w:r>
        <w:rPr/>
        <w:t>万股，并在深圳证券交易所上市交 易，股票代码为</w:t>
      </w:r>
      <w:r>
        <w:rPr>
          <w:rFonts w:ascii="Times New Roman" w:hAnsi="Times New Roman" w:cs="Times New Roman" w:eastAsia="Times New Roman" w:hint="default"/>
        </w:rPr>
        <w:t>300075</w:t>
      </w:r>
      <w:r>
        <w:rPr/>
        <w:t>。</w:t>
      </w:r>
    </w:p>
    <w:p>
      <w:pPr>
        <w:pStyle w:val="BodyText"/>
        <w:spacing w:line="338" w:lineRule="auto" w:before="27"/>
        <w:ind w:right="226" w:firstLine="48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10</w:t>
      </w:r>
      <w:r>
        <w:rPr>
          <w:spacing w:val="-2"/>
        </w:rPr>
        <w:t>日，经公司</w:t>
      </w:r>
      <w:r>
        <w:rPr>
          <w:rFonts w:ascii="Times New Roman" w:hAnsi="Times New Roman" w:cs="Times New Roman" w:eastAsia="Times New Roman" w:hint="default"/>
          <w:spacing w:val="-2"/>
        </w:rPr>
        <w:t>2010</w:t>
      </w:r>
      <w:r>
        <w:rPr>
          <w:spacing w:val="-2"/>
        </w:rPr>
        <w:t>年年度股东大会审议通过了《</w:t>
      </w:r>
      <w:r>
        <w:rPr>
          <w:rFonts w:ascii="Times New Roman" w:hAnsi="Times New Roman" w:cs="Times New Roman" w:eastAsia="Times New Roman" w:hint="default"/>
          <w:spacing w:val="-2"/>
        </w:rPr>
        <w:t>2010</w:t>
      </w:r>
      <w:r>
        <w:rPr>
          <w:spacing w:val="-2"/>
        </w:rPr>
        <w:t>年度利润分配和资本公积</w:t>
      </w:r>
      <w:r>
        <w:rPr/>
        <w:t> 金转增股本的议案》，以</w:t>
      </w:r>
      <w:r>
        <w:rPr>
          <w:rFonts w:ascii="Times New Roman" w:hAnsi="Times New Roman" w:cs="Times New Roman" w:eastAsia="Times New Roman" w:hint="default"/>
        </w:rPr>
        <w:t>2010</w:t>
      </w:r>
      <w:r>
        <w:rPr/>
        <w:t>年末总股本</w:t>
      </w:r>
      <w:r>
        <w:rPr>
          <w:rFonts w:ascii="Times New Roman" w:hAnsi="Times New Roman" w:cs="Times New Roman" w:eastAsia="Times New Roman" w:hint="default"/>
        </w:rPr>
        <w:t>5,600</w:t>
      </w:r>
      <w:r>
        <w:rPr/>
        <w:t>万股为基数，以资本公积金每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w:t>
      </w:r>
      <w:r>
        <w:rPr>
          <w:spacing w:val="-32"/>
        </w:rPr>
        <w:t> </w:t>
      </w:r>
      <w:r>
        <w:rPr/>
        <w:t>共计</w:t>
      </w:r>
      <w:r>
        <w:rPr>
          <w:rFonts w:ascii="Times New Roman" w:hAnsi="Times New Roman" w:cs="Times New Roman" w:eastAsia="Times New Roman" w:hint="default"/>
        </w:rPr>
        <w:t>2,800</w:t>
      </w:r>
      <w:r>
        <w:rPr/>
        <w:t>万股。</w:t>
      </w:r>
    </w:p>
    <w:p>
      <w:pPr>
        <w:pStyle w:val="BodyText"/>
        <w:spacing w:line="338" w:lineRule="auto" w:before="27"/>
        <w:ind w:right="228" w:firstLine="480"/>
        <w:jc w:val="both"/>
      </w:pP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16</w:t>
      </w:r>
      <w:r>
        <w:rPr>
          <w:spacing w:val="-2"/>
        </w:rPr>
        <w:t>日，经公司董事会决议审议通过了《</w:t>
      </w:r>
      <w:r>
        <w:rPr>
          <w:rFonts w:ascii="Times New Roman" w:hAnsi="Times New Roman" w:cs="Times New Roman" w:eastAsia="Times New Roman" w:hint="default"/>
          <w:spacing w:val="-2"/>
        </w:rPr>
        <w:t>2012</w:t>
      </w:r>
      <w:r>
        <w:rPr>
          <w:spacing w:val="-2"/>
        </w:rPr>
        <w:t>年度利润分配预案》，以</w:t>
      </w:r>
      <w:r>
        <w:rPr>
          <w:rFonts w:ascii="Times New Roman" w:hAnsi="Times New Roman" w:cs="Times New Roman" w:eastAsia="Times New Roman" w:hint="default"/>
          <w:spacing w:val="-2"/>
        </w:rPr>
        <w:t>2012</w:t>
      </w:r>
      <w:r>
        <w:rPr>
          <w:spacing w:val="-2"/>
        </w:rPr>
        <w:t>年末</w:t>
      </w:r>
      <w:r>
        <w:rPr/>
        <w:t> </w:t>
      </w:r>
      <w:r>
        <w:rPr>
          <w:spacing w:val="-2"/>
        </w:rPr>
        <w:t>总股本</w:t>
      </w:r>
      <w:r>
        <w:rPr>
          <w:rFonts w:ascii="Times New Roman" w:hAnsi="Times New Roman" w:cs="Times New Roman" w:eastAsia="Times New Roman" w:hint="default"/>
          <w:spacing w:val="-2"/>
        </w:rPr>
        <w:t>8,400</w:t>
      </w:r>
      <w:r>
        <w:rPr>
          <w:spacing w:val="-2"/>
        </w:rPr>
        <w:t>万股为基数，以资本公积金每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5</w:t>
      </w:r>
      <w:r>
        <w:rPr>
          <w:spacing w:val="-2"/>
        </w:rPr>
        <w:t>股，共计</w:t>
      </w:r>
      <w:r>
        <w:rPr>
          <w:rFonts w:ascii="Times New Roman" w:hAnsi="Times New Roman" w:cs="Times New Roman" w:eastAsia="Times New Roman" w:hint="default"/>
          <w:spacing w:val="-2"/>
        </w:rPr>
        <w:t>4,200</w:t>
      </w:r>
      <w:r>
        <w:rPr>
          <w:spacing w:val="-2"/>
        </w:rPr>
        <w:t>万股。</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5</w:t>
      </w:r>
      <w:r>
        <w:rPr>
          <w:spacing w:val="-2"/>
        </w:rPr>
        <w:t>月，经公司</w:t>
      </w:r>
      <w:r>
        <w:rPr>
          <w:spacing w:val="-103"/>
        </w:rPr>
        <w:t> </w:t>
      </w:r>
      <w:r>
        <w:rPr>
          <w:spacing w:val="-103"/>
        </w:rPr>
      </w:r>
      <w:r>
        <w:rPr/>
        <w:t>董事会决议审议通过了《</w:t>
      </w:r>
      <w:r>
        <w:rPr>
          <w:rFonts w:ascii="Times New Roman" w:hAnsi="Times New Roman" w:cs="Times New Roman" w:eastAsia="Times New Roman" w:hint="default"/>
        </w:rPr>
        <w:t>2014</w:t>
      </w:r>
      <w:r>
        <w:rPr/>
        <w:t>年度利润分配方案》，以</w:t>
      </w:r>
      <w:r>
        <w:rPr>
          <w:rFonts w:ascii="Times New Roman" w:hAnsi="Times New Roman" w:cs="Times New Roman" w:eastAsia="Times New Roman" w:hint="default"/>
        </w:rPr>
        <w:t>2013</w:t>
      </w:r>
      <w:r>
        <w:rPr/>
        <w:t>年末总股本</w:t>
      </w:r>
      <w:r>
        <w:rPr>
          <w:rFonts w:ascii="Times New Roman" w:hAnsi="Times New Roman" w:cs="Times New Roman" w:eastAsia="Times New Roman" w:hint="default"/>
        </w:rPr>
        <w:t>12,600</w:t>
      </w:r>
      <w:r>
        <w:rPr/>
        <w:t>万股为基数，</w:t>
      </w:r>
      <w:r>
        <w:rPr>
          <w:spacing w:val="-31"/>
        </w:rPr>
        <w:t> </w:t>
      </w:r>
      <w:r>
        <w:rPr/>
        <w:t>以资本公积金每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股，共计</w:t>
      </w:r>
      <w:r>
        <w:rPr>
          <w:rFonts w:ascii="Times New Roman" w:hAnsi="Times New Roman" w:cs="Times New Roman" w:eastAsia="Times New Roman" w:hint="default"/>
        </w:rPr>
        <w:t>6,300</w:t>
      </w:r>
      <w:r>
        <w:rPr/>
        <w:t>万股。</w:t>
      </w:r>
    </w:p>
    <w:p>
      <w:pPr>
        <w:pStyle w:val="BodyText"/>
        <w:spacing w:line="240" w:lineRule="auto" w:before="27"/>
        <w:ind w:left="633" w:right="96"/>
        <w:jc w:val="left"/>
      </w:pPr>
      <w:r>
        <w:rPr>
          <w:rFonts w:ascii="Times New Roman" w:hAnsi="Times New Roman" w:cs="Times New Roman" w:eastAsia="Times New Roman" w:hint="default"/>
        </w:rPr>
        <w:t>2014</w:t>
      </w:r>
      <w:r>
        <w:rPr/>
        <w:t>年股票期权行权增加股本</w:t>
      </w:r>
      <w:r>
        <w:rPr>
          <w:rFonts w:ascii="Times New Roman" w:hAnsi="Times New Roman" w:cs="Times New Roman" w:eastAsia="Times New Roman" w:hint="default"/>
        </w:rPr>
        <w:t>114.28</w:t>
      </w:r>
      <w:r>
        <w:rPr/>
        <w:t>万股。</w:t>
      </w:r>
    </w:p>
    <w:p>
      <w:pPr>
        <w:pStyle w:val="BodyText"/>
        <w:spacing w:line="240" w:lineRule="auto" w:before="135"/>
        <w:ind w:left="633" w:right="96"/>
        <w:jc w:val="left"/>
      </w:pPr>
      <w:r>
        <w:rPr>
          <w:rFonts w:ascii="Times New Roman" w:hAnsi="Times New Roman" w:cs="Times New Roman" w:eastAsia="Times New Roman" w:hint="default"/>
        </w:rPr>
        <w:t>2015</w:t>
      </w:r>
      <w:r>
        <w:rPr>
          <w:rFonts w:ascii="Times New Roman" w:hAnsi="Times New Roman" w:cs="Times New Roman" w:eastAsia="Times New Roman" w:hint="default"/>
          <w:spacing w:val="-33"/>
        </w:rPr>
        <w:t> </w:t>
      </w:r>
      <w:r>
        <w:rPr/>
        <w:t>年</w:t>
      </w:r>
      <w:r>
        <w:rPr>
          <w:spacing w:val="-93"/>
        </w:rPr>
        <w:t> </w:t>
      </w:r>
      <w:r>
        <w:rPr>
          <w:rFonts w:ascii="Times New Roman" w:hAnsi="Times New Roman" w:cs="Times New Roman" w:eastAsia="Times New Roman" w:hint="default"/>
        </w:rPr>
        <w:t>5</w:t>
      </w:r>
      <w:r>
        <w:rPr>
          <w:rFonts w:ascii="Times New Roman" w:hAnsi="Times New Roman" w:cs="Times New Roman" w:eastAsia="Times New Roman" w:hint="default"/>
          <w:spacing w:val="-31"/>
        </w:rPr>
        <w:t> </w:t>
      </w:r>
      <w:r>
        <w:rPr>
          <w:spacing w:val="13"/>
        </w:rPr>
        <w:t>月，</w:t>
      </w:r>
      <w:r>
        <w:rPr>
          <w:spacing w:val="-91"/>
        </w:rPr>
        <w:t> </w:t>
      </w:r>
      <w:r>
        <w:rPr>
          <w:spacing w:val="25"/>
        </w:rPr>
        <w:t>经公司股东大会决议审计通过了《</w:t>
      </w:r>
      <w:r>
        <w:rPr>
          <w:spacing w:val="-88"/>
        </w:rPr>
        <w:t> </w:t>
      </w:r>
      <w:r>
        <w:rPr>
          <w:rFonts w:ascii="Times New Roman" w:hAnsi="Times New Roman" w:cs="Times New Roman" w:eastAsia="Times New Roman" w:hint="default"/>
        </w:rPr>
        <w:t>2014</w:t>
      </w:r>
      <w:r>
        <w:rPr>
          <w:rFonts w:ascii="Times New Roman" w:hAnsi="Times New Roman" w:cs="Times New Roman" w:eastAsia="Times New Roman" w:hint="default"/>
          <w:spacing w:val="-33"/>
        </w:rPr>
        <w:t> </w:t>
      </w:r>
      <w:r>
        <w:rPr>
          <w:spacing w:val="23"/>
        </w:rPr>
        <w:t>年利润分配方案》</w:t>
      </w:r>
      <w:r>
        <w:rPr>
          <w:spacing w:val="-93"/>
        </w:rPr>
        <w:t> </w:t>
      </w:r>
      <w:r>
        <w:rPr>
          <w:spacing w:val="20"/>
        </w:rPr>
        <w:t>以总股本</w:t>
      </w:r>
    </w:p>
    <w:p>
      <w:pPr>
        <w:pStyle w:val="BodyText"/>
        <w:spacing w:line="338" w:lineRule="auto" w:before="135"/>
        <w:ind w:right="96"/>
        <w:jc w:val="left"/>
      </w:pPr>
      <w:r>
        <w:rPr>
          <w:rFonts w:ascii="Times New Roman" w:hAnsi="Times New Roman" w:cs="Times New Roman" w:eastAsia="Times New Roman" w:hint="default"/>
          <w:spacing w:val="-1"/>
        </w:rPr>
        <w:t>190,157,455.00</w:t>
      </w:r>
      <w:r>
        <w:rPr>
          <w:spacing w:val="-1"/>
        </w:rPr>
        <w:t>为基数，以资本公积向全体股东每</w:t>
      </w:r>
      <w:r>
        <w:rPr>
          <w:rFonts w:ascii="Times New Roman" w:hAnsi="Times New Roman" w:cs="Times New Roman" w:eastAsia="Times New Roman" w:hint="default"/>
          <w:spacing w:val="-1"/>
        </w:rPr>
        <w:t>10</w:t>
      </w:r>
      <w:r>
        <w:rPr>
          <w:spacing w:val="-1"/>
        </w:rPr>
        <w:t>股转增</w:t>
      </w:r>
      <w:r>
        <w:rPr>
          <w:rFonts w:ascii="Times New Roman" w:hAnsi="Times New Roman" w:cs="Times New Roman" w:eastAsia="Times New Roman" w:hint="default"/>
          <w:spacing w:val="-1"/>
        </w:rPr>
        <w:t>10</w:t>
      </w:r>
      <w:r>
        <w:rPr>
          <w:spacing w:val="-1"/>
        </w:rPr>
        <w:t>股，</w:t>
      </w:r>
      <w:r>
        <w:rPr>
          <w:rFonts w:ascii="Times New Roman" w:hAnsi="Times New Roman" w:cs="Times New Roman" w:eastAsia="Times New Roman" w:hint="default"/>
          <w:spacing w:val="-1"/>
        </w:rPr>
        <w:t>2015</w:t>
      </w:r>
      <w:r>
        <w:rPr>
          <w:spacing w:val="-1"/>
        </w:rPr>
        <w:t>年度股票期权行权增加</w:t>
      </w:r>
      <w:r>
        <w:rPr>
          <w:spacing w:val="-92"/>
        </w:rPr>
        <w:t> </w:t>
      </w:r>
      <w:r>
        <w:rPr/>
        <w:t>股份</w:t>
      </w:r>
      <w:r>
        <w:rPr>
          <w:rFonts w:ascii="Times New Roman" w:hAnsi="Times New Roman" w:cs="Times New Roman" w:eastAsia="Times New Roman" w:hint="default"/>
        </w:rPr>
        <w:t>2,193,055.00</w:t>
      </w:r>
      <w:r>
        <w:rPr/>
        <w:t>股。</w:t>
      </w:r>
    </w:p>
    <w:p>
      <w:pPr>
        <w:pStyle w:val="BodyText"/>
        <w:spacing w:line="345" w:lineRule="auto" w:before="27"/>
        <w:ind w:right="96" w:firstLine="480"/>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10</w:t>
      </w:r>
      <w:r>
        <w:rPr/>
        <w:t>日公司召开</w:t>
      </w:r>
      <w:r>
        <w:rPr>
          <w:rFonts w:ascii="Times New Roman" w:hAnsi="Times New Roman" w:cs="Times New Roman" w:eastAsia="Times New Roman" w:hint="default"/>
        </w:rPr>
        <w:t>2016</w:t>
      </w:r>
      <w:r>
        <w:rPr/>
        <w:t>年第一次临时股东大会，审议并通过《关于</w:t>
      </w:r>
      <w:r>
        <w:rPr>
          <w:rFonts w:ascii="Times New Roman" w:hAnsi="Times New Roman" w:cs="Times New Roman" w:eastAsia="Times New Roman" w:hint="default"/>
        </w:rPr>
        <w:t>&lt;</w:t>
      </w:r>
      <w:r>
        <w:rPr/>
        <w:t>北京数字政通 </w:t>
      </w:r>
      <w:r>
        <w:rPr>
          <w:spacing w:val="2"/>
        </w:rPr>
        <w:t>科技股份有限公司</w:t>
      </w:r>
      <w:r>
        <w:rPr>
          <w:rFonts w:ascii="Times New Roman" w:hAnsi="Times New Roman" w:cs="Times New Roman" w:eastAsia="Times New Roman" w:hint="default"/>
          <w:spacing w:val="2"/>
        </w:rPr>
        <w:t>2016</w:t>
      </w:r>
      <w:r>
        <w:rPr>
          <w:spacing w:val="2"/>
        </w:rPr>
        <w:t>年限制性股票激励计划（草案）</w:t>
      </w:r>
      <w:r>
        <w:rPr>
          <w:rFonts w:ascii="Times New Roman" w:hAnsi="Times New Roman" w:cs="Times New Roman" w:eastAsia="Times New Roman" w:hint="default"/>
          <w:spacing w:val="2"/>
        </w:rPr>
        <w:t>&gt;</w:t>
      </w:r>
      <w:r>
        <w:rPr>
          <w:spacing w:val="2"/>
        </w:rPr>
        <w:t>及其摘要》的议案，及</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23"/>
        </w:rPr>
        <w:t> </w:t>
      </w:r>
      <w:r>
        <w:rPr>
          <w:spacing w:val="-2"/>
        </w:rPr>
        <w:t>日召开的第三届董事会第十三次会议审议通过的《关于向激励对象授予限制性股票》的议案，</w:t>
      </w:r>
      <w:r>
        <w:rPr/>
        <w:t> 向授予对象定向增发股票</w:t>
      </w:r>
      <w:r>
        <w:rPr>
          <w:rFonts w:ascii="Times New Roman" w:hAnsi="Times New Roman" w:cs="Times New Roman" w:eastAsia="Times New Roman" w:hint="default"/>
        </w:rPr>
        <w:t>8,980,000.00</w:t>
      </w:r>
      <w:r>
        <w:rPr/>
        <w:t>股，</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10</w:t>
      </w:r>
      <w:r>
        <w:rPr/>
        <w:t>日召开的第三届董事会第十九次会议 </w:t>
      </w:r>
      <w:r>
        <w:rPr>
          <w:spacing w:val="13"/>
        </w:rPr>
        <w:t>审议通过的《关于向激励对象授予预留限制性股票的议案》，向授予对象定向增发股票</w:t>
      </w:r>
      <w:r>
        <w:rPr>
          <w:spacing w:val="-107"/>
        </w:rPr>
        <w:t> </w:t>
      </w:r>
      <w:r>
        <w:rPr>
          <w:spacing w:val="-107"/>
        </w:rPr>
      </w:r>
      <w:r>
        <w:rPr>
          <w:rFonts w:ascii="Times New Roman" w:hAnsi="Times New Roman" w:cs="Times New Roman" w:eastAsia="Times New Roman" w:hint="default"/>
        </w:rPr>
        <w:t>1,030,000.00</w:t>
      </w:r>
      <w:r>
        <w:rPr/>
        <w:t>股；</w:t>
      </w:r>
      <w:r>
        <w:rPr>
          <w:rFonts w:ascii="Times New Roman" w:hAnsi="Times New Roman" w:cs="Times New Roman" w:eastAsia="Times New Roman" w:hint="default"/>
        </w:rPr>
        <w:t>2016</w:t>
      </w:r>
      <w:r>
        <w:rPr/>
        <w:t>年度股票期权行权增加股份</w:t>
      </w:r>
      <w:r>
        <w:rPr>
          <w:rFonts w:ascii="Times New Roman" w:hAnsi="Times New Roman" w:cs="Times New Roman" w:eastAsia="Times New Roman" w:hint="default"/>
        </w:rPr>
        <w:t>2,983,700.00</w:t>
      </w:r>
      <w:r>
        <w:rPr/>
        <w:t>股。</w:t>
      </w:r>
    </w:p>
    <w:p>
      <w:pPr>
        <w:pStyle w:val="BodyText"/>
        <w:spacing w:line="338" w:lineRule="auto" w:before="19"/>
        <w:ind w:right="231" w:firstLine="48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24</w:t>
      </w:r>
      <w:r>
        <w:rPr>
          <w:spacing w:val="-2"/>
        </w:rPr>
        <w:t>日召开的第三届董事会第二十一次会议审议通过了《关于回购注销已不符合</w:t>
      </w:r>
      <w:r>
        <w:rPr/>
        <w:t> </w:t>
      </w:r>
      <w:r>
        <w:rPr>
          <w:spacing w:val="-2"/>
        </w:rPr>
        <w:t>激励条件的激励对象已获授但尚未解锁的限制性股票的议案》，于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17</w:t>
      </w:r>
      <w:r>
        <w:rPr>
          <w:spacing w:val="-2"/>
        </w:rPr>
        <w:t>日在中国登记</w:t>
      </w:r>
    </w:p>
    <w:p>
      <w:pPr>
        <w:spacing w:after="0" w:line="338"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38" w:lineRule="auto" w:before="26"/>
        <w:ind w:right="228"/>
        <w:jc w:val="both"/>
      </w:pPr>
      <w:r>
        <w:rPr>
          <w:spacing w:val="2"/>
        </w:rPr>
        <w:t>结算有限责任公司深圳分公司完成回购注销登记，回购注销限制性股票</w:t>
      </w:r>
      <w:r>
        <w:rPr>
          <w:rFonts w:ascii="Times New Roman" w:hAnsi="Times New Roman" w:cs="Times New Roman" w:eastAsia="Times New Roman" w:hint="default"/>
          <w:spacing w:val="2"/>
        </w:rPr>
        <w:t>23.5</w:t>
      </w:r>
      <w:r>
        <w:rPr>
          <w:spacing w:val="2"/>
        </w:rPr>
        <w:t>万股，回购价格</w:t>
      </w:r>
      <w:r>
        <w:rPr>
          <w:spacing w:val="-117"/>
        </w:rPr>
        <w:t> </w:t>
      </w:r>
      <w:r>
        <w:rPr>
          <w:rFonts w:ascii="Times New Roman" w:hAnsi="Times New Roman" w:cs="Times New Roman" w:eastAsia="Times New Roman" w:hint="default"/>
          <w:spacing w:val="-1"/>
        </w:rPr>
        <w:t>10.37</w:t>
      </w:r>
      <w:r>
        <w:rPr>
          <w:spacing w:val="-1"/>
        </w:rPr>
        <w:t>元</w:t>
      </w:r>
      <w:r>
        <w:rPr>
          <w:rFonts w:ascii="Times New Roman" w:hAnsi="Times New Roman" w:cs="Times New Roman" w:eastAsia="Times New Roman" w:hint="default"/>
          <w:spacing w:val="-1"/>
        </w:rPr>
        <w:t>/</w:t>
      </w:r>
      <w:r>
        <w:rPr>
          <w:spacing w:val="-1"/>
        </w:rPr>
        <w:t>股。</w:t>
      </w:r>
      <w:r>
        <w:rPr>
          <w:rFonts w:ascii="Times New Roman" w:hAnsi="Times New Roman" w:cs="Times New Roman" w:eastAsia="Times New Roman" w:hint="default"/>
          <w:spacing w:val="-1"/>
        </w:rPr>
        <w:t>2017</w:t>
      </w:r>
      <w:r>
        <w:rPr>
          <w:spacing w:val="-1"/>
        </w:rPr>
        <w:t>年股票期权行权增加股本</w:t>
      </w:r>
      <w:r>
        <w:rPr>
          <w:rFonts w:ascii="Times New Roman" w:hAnsi="Times New Roman" w:cs="Times New Roman" w:eastAsia="Times New Roman" w:hint="default"/>
          <w:spacing w:val="-1"/>
        </w:rPr>
        <w:t>33.55</w:t>
      </w:r>
      <w:r>
        <w:rPr>
          <w:spacing w:val="-1"/>
        </w:rPr>
        <w:t>万股。</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21</w:t>
      </w:r>
      <w:r>
        <w:rPr>
          <w:spacing w:val="-1"/>
        </w:rPr>
        <w:t>日，采用非公开发行方式</w:t>
      </w:r>
      <w:r>
        <w:rPr>
          <w:spacing w:val="-98"/>
        </w:rPr>
        <w:t> </w:t>
      </w:r>
      <w:r>
        <w:rPr>
          <w:spacing w:val="-98"/>
        </w:rPr>
      </w:r>
      <w:r>
        <w:rPr/>
        <w:t>公开发行人民币普通股（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29,039,395.00</w:t>
      </w:r>
      <w:r>
        <w:rPr/>
        <w:t>股，每股面值人民币</w:t>
      </w:r>
      <w:r>
        <w:rPr>
          <w:rFonts w:ascii="Times New Roman" w:hAnsi="Times New Roman" w:cs="Times New Roman" w:eastAsia="Times New Roman" w:hint="default"/>
        </w:rPr>
        <w:t>1</w:t>
      </w:r>
      <w:r>
        <w:rPr/>
        <w:t>元，每股发行价格为人民</w:t>
      </w:r>
      <w:r>
        <w:rPr>
          <w:spacing w:val="-82"/>
        </w:rPr>
        <w:t> </w:t>
      </w:r>
      <w:r>
        <w:rPr>
          <w:spacing w:val="-82"/>
        </w:rPr>
      </w:r>
      <w:r>
        <w:rPr/>
        <w:t>币</w:t>
      </w:r>
      <w:r>
        <w:rPr>
          <w:rFonts w:ascii="Times New Roman" w:hAnsi="Times New Roman" w:cs="Times New Roman" w:eastAsia="Times New Roman" w:hint="default"/>
        </w:rPr>
        <w:t>18.53</w:t>
      </w:r>
      <w:r>
        <w:rPr/>
        <w:t>元。截至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18</w:t>
      </w:r>
      <w:r>
        <w:rPr/>
        <w:t>日止，本公司已收到投资者缴入的出资款人民币</w:t>
      </w:r>
      <w:r>
        <w:rPr>
          <w:rFonts w:ascii="Times New Roman" w:hAnsi="Times New Roman" w:cs="Times New Roman" w:eastAsia="Times New Roman" w:hint="default"/>
        </w:rPr>
        <w:t>538,099,989.35</w:t>
      </w:r>
      <w:r>
        <w:rPr>
          <w:rFonts w:ascii="Times New Roman" w:hAnsi="Times New Roman" w:cs="Times New Roman" w:eastAsia="Times New Roman" w:hint="default"/>
          <w:spacing w:val="-24"/>
        </w:rPr>
        <w:t> </w:t>
      </w:r>
      <w:r>
        <w:rPr>
          <w:rFonts w:ascii="Times New Roman" w:hAnsi="Times New Roman" w:cs="Times New Roman" w:eastAsia="Times New Roman" w:hint="default"/>
          <w:spacing w:val="-24"/>
        </w:rPr>
      </w:r>
      <w:r>
        <w:rPr>
          <w:spacing w:val="4"/>
        </w:rPr>
        <w:t>元，扣除发行费用后实际募集资金净额人民币</w:t>
      </w:r>
      <w:r>
        <w:rPr>
          <w:rFonts w:ascii="Times New Roman" w:hAnsi="Times New Roman" w:cs="Times New Roman" w:eastAsia="Times New Roman" w:hint="default"/>
          <w:spacing w:val="4"/>
        </w:rPr>
        <w:t>526,459,909.53</w:t>
      </w:r>
      <w:r>
        <w:rPr>
          <w:spacing w:val="4"/>
        </w:rPr>
        <w:t>元，其中新增注册资本人民币</w:t>
      </w:r>
      <w:r>
        <w:rPr>
          <w:spacing w:val="-118"/>
        </w:rPr>
        <w:t> </w:t>
      </w:r>
      <w:r>
        <w:rPr>
          <w:spacing w:val="-118"/>
        </w:rPr>
      </w:r>
      <w:r>
        <w:rPr>
          <w:rFonts w:ascii="Times New Roman" w:hAnsi="Times New Roman" w:cs="Times New Roman" w:eastAsia="Times New Roman" w:hint="default"/>
        </w:rPr>
        <w:t>29,039,395.00</w:t>
      </w:r>
      <w:r>
        <w:rPr/>
        <w:t>元，余额人民币</w:t>
      </w:r>
      <w:r>
        <w:rPr>
          <w:rFonts w:ascii="Times New Roman" w:hAnsi="Times New Roman" w:cs="Times New Roman" w:eastAsia="Times New Roman" w:hint="default"/>
        </w:rPr>
        <w:t>497,420,514.53</w:t>
      </w:r>
      <w:r>
        <w:rPr/>
        <w:t>元转入资本公积。</w:t>
      </w:r>
    </w:p>
    <w:p>
      <w:pPr>
        <w:pStyle w:val="BodyText"/>
        <w:spacing w:line="338" w:lineRule="auto" w:before="27"/>
        <w:ind w:right="96" w:firstLine="480"/>
        <w:jc w:val="left"/>
      </w:pPr>
      <w:r>
        <w:rPr>
          <w:spacing w:val="-1"/>
        </w:rPr>
        <w:t>公司的法定代表人为吴强华，统一社会信用代码：</w:t>
      </w:r>
      <w:r>
        <w:rPr>
          <w:rFonts w:ascii="Times New Roman" w:hAnsi="Times New Roman" w:cs="Times New Roman" w:eastAsia="Times New Roman" w:hint="default"/>
          <w:spacing w:val="-1"/>
        </w:rPr>
        <w:t>91110000801160143K</w:t>
      </w:r>
      <w:r>
        <w:rPr>
          <w:spacing w:val="-1"/>
        </w:rPr>
        <w:t>，住所：北京市</w:t>
      </w:r>
      <w:r>
        <w:rPr/>
        <w:t> 海淀区西直门北大街</w:t>
      </w:r>
      <w:r>
        <w:rPr>
          <w:rFonts w:ascii="Times New Roman" w:hAnsi="Times New Roman" w:cs="Times New Roman" w:eastAsia="Times New Roman" w:hint="default"/>
        </w:rPr>
        <w:t>32</w:t>
      </w:r>
      <w:r>
        <w:rPr/>
        <w:t>号枫蓝国际中心</w:t>
      </w:r>
      <w:r>
        <w:rPr>
          <w:rFonts w:ascii="Times New Roman" w:hAnsi="Times New Roman" w:cs="Times New Roman" w:eastAsia="Times New Roman" w:hint="default"/>
        </w:rPr>
        <w:t>A</w:t>
      </w:r>
      <w:r>
        <w:rPr/>
        <w:t>座</w:t>
      </w:r>
      <w:r>
        <w:rPr>
          <w:rFonts w:ascii="Times New Roman" w:hAnsi="Times New Roman" w:cs="Times New Roman" w:eastAsia="Times New Roman" w:hint="default"/>
        </w:rPr>
        <w:t>18</w:t>
      </w:r>
      <w:r>
        <w:rPr/>
        <w:t>层</w:t>
      </w:r>
      <w:r>
        <w:rPr>
          <w:rFonts w:ascii="Times New Roman" w:hAnsi="Times New Roman" w:cs="Times New Roman" w:eastAsia="Times New Roman" w:hint="default"/>
        </w:rPr>
        <w:t>1805</w:t>
      </w:r>
      <w:r>
        <w:rPr/>
        <w:t>室。</w:t>
      </w:r>
    </w:p>
    <w:p>
      <w:pPr>
        <w:pStyle w:val="BodyText"/>
        <w:spacing w:line="357" w:lineRule="auto" w:before="27"/>
        <w:ind w:right="96" w:firstLine="480"/>
        <w:jc w:val="left"/>
      </w:pPr>
      <w:r>
        <w:rPr/>
        <w:t>公司经营范围为：专业承包：基础软件服务、应用软件服务、技术开发、技术转让、技 </w:t>
      </w:r>
      <w:r>
        <w:rPr>
          <w:spacing w:val="-3"/>
        </w:rPr>
        <w:t>术咨询、技术推广；产品设计；计算机系统服务；数据处理；出租办公用房；机械设备租赁；</w:t>
      </w:r>
      <w:r>
        <w:rPr>
          <w:spacing w:val="-83"/>
        </w:rPr>
        <w:t> </w:t>
      </w:r>
      <w:r>
        <w:rPr>
          <w:spacing w:val="-83"/>
        </w:rPr>
      </w:r>
      <w:r>
        <w:rPr/>
        <w:t>经营贸易咨询；技术咨询；项目投资；投资管理；资产管理；货物进出口、技术进出口、代</w:t>
      </w:r>
      <w:r>
        <w:rPr>
          <w:spacing w:val="-91"/>
        </w:rPr>
        <w:t> </w:t>
      </w:r>
      <w:r>
        <w:rPr>
          <w:spacing w:val="-91"/>
        </w:rPr>
      </w:r>
      <w:r>
        <w:rPr/>
        <w:t>理进出口；销售通讯设备、电子产品、计算机、软件及辅助设备。</w:t>
      </w:r>
    </w:p>
    <w:p>
      <w:pPr>
        <w:pStyle w:val="BodyText"/>
        <w:spacing w:line="338" w:lineRule="auto"/>
        <w:ind w:left="633" w:right="236"/>
        <w:jc w:val="left"/>
      </w:pPr>
      <w:r>
        <w:rPr/>
        <w:t>本财务报表业经本公司董事会于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22</w:t>
      </w:r>
      <w:r>
        <w:rPr/>
        <w:t>日决议批准报出。 本公司</w:t>
      </w:r>
      <w:r>
        <w:rPr>
          <w:rFonts w:ascii="Times New Roman" w:hAnsi="Times New Roman" w:cs="Times New Roman" w:eastAsia="Times New Roman" w:hint="default"/>
        </w:rPr>
        <w:t>2017</w:t>
      </w:r>
      <w:r>
        <w:rPr/>
        <w:t>年度纳入合并范围的子公司共</w:t>
      </w:r>
      <w:r>
        <w:rPr>
          <w:rFonts w:ascii="Times New Roman" w:hAnsi="Times New Roman" w:cs="Times New Roman" w:eastAsia="Times New Roman" w:hint="default"/>
        </w:rPr>
        <w:t>13</w:t>
      </w:r>
      <w:r>
        <w:rPr/>
        <w:t>户，详见本附注</w:t>
      </w:r>
      <w:r>
        <w:rPr>
          <w:spacing w:val="-37"/>
        </w:rPr>
        <w:t> </w:t>
      </w:r>
      <w:r>
        <w:rPr>
          <w:rFonts w:ascii="Times New Roman" w:hAnsi="Times New Roman" w:cs="Times New Roman" w:eastAsia="Times New Roman" w:hint="default"/>
          <w:spacing w:val="-3"/>
        </w:rPr>
        <w:t>“</w:t>
      </w:r>
      <w:r>
        <w:rPr>
          <w:spacing w:val="-3"/>
        </w:rPr>
        <w:t>在其他主体中的权益</w:t>
      </w:r>
      <w:r>
        <w:rPr>
          <w:rFonts w:ascii="Times New Roman" w:hAnsi="Times New Roman" w:cs="Times New Roman" w:eastAsia="Times New Roman" w:hint="default"/>
          <w:spacing w:val="-3"/>
        </w:rPr>
        <w:t>”</w:t>
      </w:r>
      <w:r>
        <w:rPr>
          <w:spacing w:val="-3"/>
        </w:rPr>
        <w:t>。本</w:t>
      </w:r>
      <w:r>
        <w:rPr/>
      </w:r>
    </w:p>
    <w:p>
      <w:pPr>
        <w:spacing w:line="499" w:lineRule="auto" w:before="27"/>
        <w:ind w:left="152" w:right="2321" w:firstLine="0"/>
        <w:jc w:val="left"/>
        <w:rPr>
          <w:rFonts w:ascii="宋体" w:hAnsi="宋体" w:cs="宋体" w:eastAsia="宋体" w:hint="default"/>
          <w:sz w:val="24"/>
          <w:szCs w:val="24"/>
        </w:rPr>
      </w:pPr>
      <w:r>
        <w:rPr>
          <w:rFonts w:ascii="宋体" w:hAnsi="宋体" w:cs="宋体" w:eastAsia="宋体" w:hint="default"/>
          <w:sz w:val="24"/>
          <w:szCs w:val="24"/>
        </w:rPr>
        <w:t>公司本年度合并范围比上年度增加</w:t>
      </w:r>
      <w:r>
        <w:rPr>
          <w:rFonts w:ascii="Times New Roman" w:hAnsi="Times New Roman" w:cs="Times New Roman" w:eastAsia="Times New Roman" w:hint="default"/>
          <w:sz w:val="24"/>
          <w:szCs w:val="24"/>
        </w:rPr>
        <w:t>1</w:t>
      </w:r>
      <w:r>
        <w:rPr>
          <w:rFonts w:ascii="宋体" w:hAnsi="宋体" w:cs="宋体" w:eastAsia="宋体" w:hint="default"/>
          <w:sz w:val="24"/>
          <w:szCs w:val="24"/>
        </w:rPr>
        <w:t>户，详见本附注</w:t>
      </w:r>
      <w:r>
        <w:rPr>
          <w:rFonts w:ascii="Times New Roman" w:hAnsi="Times New Roman" w:cs="Times New Roman" w:eastAsia="Times New Roman" w:hint="default"/>
          <w:sz w:val="24"/>
          <w:szCs w:val="24"/>
        </w:rPr>
        <w:t>“</w:t>
      </w:r>
      <w:r>
        <w:rPr>
          <w:rFonts w:ascii="宋体" w:hAnsi="宋体" w:cs="宋体" w:eastAsia="宋体" w:hint="default"/>
          <w:sz w:val="24"/>
          <w:szCs w:val="24"/>
        </w:rPr>
        <w:t>合并范围的变更</w:t>
      </w:r>
      <w:r>
        <w:rPr>
          <w:rFonts w:ascii="Times New Roman" w:hAnsi="Times New Roman" w:cs="Times New Roman" w:eastAsia="Times New Roman" w:hint="default"/>
          <w:sz w:val="24"/>
          <w:szCs w:val="24"/>
        </w:rPr>
        <w:t>”</w:t>
      </w:r>
      <w:r>
        <w:rPr>
          <w:rFonts w:ascii="宋体" w:hAnsi="宋体" w:cs="宋体" w:eastAsia="宋体" w:hint="default"/>
          <w:sz w:val="24"/>
          <w:szCs w:val="24"/>
        </w:rPr>
        <w:t>。 </w:t>
      </w:r>
      <w:r>
        <w:rPr>
          <w:rFonts w:ascii="宋体" w:hAnsi="宋体" w:cs="宋体" w:eastAsia="宋体" w:hint="default"/>
          <w:b/>
          <w:bCs/>
          <w:sz w:val="24"/>
          <w:szCs w:val="24"/>
        </w:rPr>
        <w:t>四、财务报表的编制基础</w:t>
      </w:r>
      <w:r>
        <w:rPr>
          <w:rFonts w:ascii="宋体" w:hAnsi="宋体" w:cs="宋体" w:eastAsia="宋体" w:hint="default"/>
          <w:sz w:val="24"/>
          <w:szCs w:val="24"/>
        </w:rPr>
      </w:r>
    </w:p>
    <w:p>
      <w:pPr>
        <w:spacing w:before="64"/>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232" w:firstLine="480"/>
        <w:jc w:val="both"/>
      </w:pPr>
      <w:r>
        <w:rPr/>
        <w:t>本公司财务报表以持续经营假设为基础，根据实际发生的交易和事项，按照财政部发布 的《企业会计准则——基本准则》（财政部令第</w:t>
      </w:r>
      <w:r>
        <w:rPr>
          <w:rFonts w:ascii="宋体" w:hAnsi="宋体" w:cs="宋体" w:eastAsia="宋体" w:hint="default"/>
        </w:rPr>
        <w:t>33</w:t>
      </w:r>
      <w:r>
        <w:rPr/>
        <w:t>号发布、财政部令第</w:t>
      </w:r>
      <w:r>
        <w:rPr>
          <w:rFonts w:ascii="宋体" w:hAnsi="宋体" w:cs="宋体" w:eastAsia="宋体" w:hint="default"/>
        </w:rPr>
        <w:t>76</w:t>
      </w:r>
      <w:r>
        <w:rPr/>
        <w:t>号修订）、于</w:t>
      </w:r>
      <w:r>
        <w:rPr>
          <w:rFonts w:ascii="宋体" w:hAnsi="宋体" w:cs="宋体" w:eastAsia="宋体" w:hint="default"/>
        </w:rPr>
        <w:t>2006</w:t>
      </w:r>
      <w:r>
        <w:rPr>
          <w:rFonts w:ascii="宋体" w:hAnsi="宋体" w:cs="宋体" w:eastAsia="宋体" w:hint="default"/>
          <w:spacing w:val="-90"/>
        </w:rPr>
        <w:t> </w:t>
      </w:r>
      <w:r>
        <w:rPr>
          <w:spacing w:val="-2"/>
        </w:rPr>
        <w:t>年</w:t>
      </w:r>
      <w:r>
        <w:rPr>
          <w:rFonts w:ascii="宋体" w:hAnsi="宋体" w:cs="宋体" w:eastAsia="宋体" w:hint="default"/>
          <w:spacing w:val="-2"/>
        </w:rPr>
        <w:t>2</w:t>
      </w:r>
      <w:r>
        <w:rPr>
          <w:spacing w:val="-2"/>
        </w:rPr>
        <w:t>月</w:t>
      </w:r>
      <w:r>
        <w:rPr>
          <w:rFonts w:ascii="宋体" w:hAnsi="宋体" w:cs="宋体" w:eastAsia="宋体" w:hint="default"/>
          <w:spacing w:val="-2"/>
        </w:rPr>
        <w:t>15</w:t>
      </w:r>
      <w:r>
        <w:rPr>
          <w:spacing w:val="-2"/>
        </w:rPr>
        <w:t>日及其后颁布和修订的</w:t>
      </w:r>
      <w:r>
        <w:rPr>
          <w:rFonts w:ascii="宋体" w:hAnsi="宋体" w:cs="宋体" w:eastAsia="宋体" w:hint="default"/>
          <w:spacing w:val="-2"/>
        </w:rPr>
        <w:t>42</w:t>
      </w:r>
      <w:r>
        <w:rPr>
          <w:spacing w:val="-2"/>
        </w:rPr>
        <w:t>项具体会计准则、企业会计准则应用指南、企业会计准则解</w:t>
      </w:r>
      <w:r>
        <w:rPr>
          <w:spacing w:val="-116"/>
        </w:rPr>
        <w:t> </w:t>
      </w:r>
      <w:r>
        <w:rPr>
          <w:spacing w:val="-116"/>
        </w:rPr>
      </w:r>
      <w:r>
        <w:rPr/>
        <w:t>释及其他相关规定（以下合称“企业会计准则”），以及中国证券监督管理委员会《公开发</w:t>
      </w:r>
      <w:r>
        <w:rPr>
          <w:spacing w:val="-88"/>
        </w:rPr>
        <w:t> </w:t>
      </w:r>
      <w:r>
        <w:rPr>
          <w:spacing w:val="-88"/>
        </w:rPr>
      </w:r>
      <w:r>
        <w:rPr/>
        <w:t>行证券的公司信息披露编报规则第</w:t>
      </w:r>
      <w:r>
        <w:rPr>
          <w:rFonts w:ascii="宋体" w:hAnsi="宋体" w:cs="宋体" w:eastAsia="宋体" w:hint="default"/>
        </w:rPr>
        <w:t>15</w:t>
      </w:r>
      <w:r>
        <w:rPr/>
        <w:t>号——财务报告的一般规定》（</w:t>
      </w:r>
      <w:r>
        <w:rPr>
          <w:rFonts w:ascii="宋体" w:hAnsi="宋体" w:cs="宋体" w:eastAsia="宋体" w:hint="default"/>
        </w:rPr>
        <w:t>2014</w:t>
      </w:r>
      <w:r>
        <w:rPr/>
        <w:t>年修订）的披露规</w:t>
      </w:r>
      <w:r>
        <w:rPr>
          <w:spacing w:val="-90"/>
        </w:rPr>
        <w:t> </w:t>
      </w:r>
      <w:r>
        <w:rPr>
          <w:spacing w:val="-90"/>
        </w:rPr>
      </w:r>
      <w:r>
        <w:rPr/>
        <w:t>定编制。</w:t>
      </w:r>
    </w:p>
    <w:p>
      <w:pPr>
        <w:pStyle w:val="BodyText"/>
        <w:spacing w:line="357" w:lineRule="auto"/>
        <w:ind w:right="96" w:firstLine="480"/>
        <w:jc w:val="left"/>
      </w:pPr>
      <w:r>
        <w:rPr/>
        <w:t>根据企业会计准则的相关规定，本公司会计核算以权责发生制为基础。本财务报表均以 历史成本为计量基础。资产如果发生减值，则按照相关规定计提相应的减值准备。</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本财务报表以持续经营为基础列报。</w:t>
      </w:r>
    </w:p>
    <w:p>
      <w:pPr>
        <w:spacing w:after="0"/>
        <w:jc w:val="both"/>
        <w:rPr>
          <w:rFonts w:ascii="宋体" w:hAnsi="宋体" w:cs="宋体" w:eastAsia="宋体" w:hint="default"/>
          <w:sz w:val="18"/>
          <w:szCs w:val="18"/>
        </w:rPr>
        <w:sectPr>
          <w:pgSz w:w="11910" w:h="16840"/>
          <w:pgMar w:header="745" w:footer="979" w:top="1060" w:bottom="1160" w:left="980" w:right="900"/>
        </w:sectPr>
      </w:pPr>
    </w:p>
    <w:p>
      <w:pPr>
        <w:spacing w:line="240" w:lineRule="auto" w:before="8"/>
        <w:rPr>
          <w:rFonts w:ascii="宋体" w:hAnsi="宋体" w:cs="宋体" w:eastAsia="宋体" w:hint="default"/>
          <w:sz w:val="23"/>
          <w:szCs w:val="23"/>
        </w:rPr>
      </w:pPr>
    </w:p>
    <w:p>
      <w:pPr>
        <w:pStyle w:val="Heading2"/>
        <w:spacing w:line="240" w:lineRule="auto" w:before="26"/>
        <w:ind w:right="153"/>
        <w:jc w:val="left"/>
        <w:rPr>
          <w:b w:val="0"/>
          <w:bCs w:val="0"/>
        </w:rPr>
      </w:pPr>
      <w:r>
        <w:rPr/>
        <w:t>五、重要会计政策及会计估计</w:t>
      </w:r>
      <w:r>
        <w:rPr>
          <w:b w:val="0"/>
          <w:bCs w:val="0"/>
        </w:rPr>
      </w:r>
    </w:p>
    <w:p>
      <w:pPr>
        <w:spacing w:line="240" w:lineRule="auto" w:before="6"/>
        <w:rPr>
          <w:rFonts w:ascii="宋体" w:hAnsi="宋体" w:cs="宋体" w:eastAsia="宋体" w:hint="default"/>
          <w:b/>
          <w:bCs/>
          <w:sz w:val="26"/>
          <w:szCs w:val="26"/>
        </w:rPr>
      </w:pPr>
    </w:p>
    <w:p>
      <w:pPr>
        <w:spacing w:line="357" w:lineRule="auto" w:before="0"/>
        <w:ind w:left="152" w:right="671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spacing w:before="29"/>
        <w:ind w:left="152" w:right="153"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w:t>
      </w:r>
    </w:p>
    <w:p>
      <w:pPr>
        <w:pStyle w:val="BodyText"/>
        <w:spacing w:line="357" w:lineRule="auto" w:before="148"/>
        <w:ind w:right="155" w:firstLine="480"/>
        <w:jc w:val="both"/>
      </w:pPr>
      <w:r>
        <w:rPr/>
        <w:t>本公司及各子公司从事计算机软件经营。本公司及各子公司根据实际生产经营特点，依 据相关企业会计准则的规定，对收入确认、研究开发支出等交易和事项制定了若干项具体会</w:t>
      </w:r>
      <w:r>
        <w:rPr>
          <w:spacing w:val="-88"/>
        </w:rPr>
        <w:t> </w:t>
      </w:r>
      <w:r>
        <w:rPr>
          <w:spacing w:val="-88"/>
        </w:rPr>
      </w:r>
      <w:r>
        <w:rPr/>
        <w:t>计政策和会计估计，详见本附注、“收入”、“无形资产”各项描述。关于管理层所作出的</w:t>
      </w:r>
      <w:r>
        <w:rPr>
          <w:spacing w:val="-89"/>
        </w:rPr>
        <w:t> </w:t>
      </w:r>
      <w:r>
        <w:rPr>
          <w:spacing w:val="-89"/>
        </w:rPr>
      </w:r>
      <w:r>
        <w:rPr/>
        <w:t>重大会计判断和估计的说明，请参阅附注</w:t>
      </w:r>
      <w:r>
        <w:rPr>
          <w:spacing w:val="1"/>
        </w:rPr>
        <w:t> </w:t>
      </w:r>
      <w:r>
        <w:rPr/>
        <w:t>“重大会计判断和估计”。</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5" w:firstLine="480"/>
        <w:jc w:val="both"/>
      </w:pPr>
      <w:r>
        <w:rPr/>
        <w:t>本公司编制的财务报表符合企业会计准则的要求，真实、完整地反映了本公司</w:t>
      </w:r>
      <w:r>
        <w:rPr>
          <w:rFonts w:ascii="宋体" w:hAnsi="宋体" w:cs="宋体" w:eastAsia="宋体" w:hint="default"/>
        </w:rPr>
        <w:t>2017</w:t>
      </w:r>
      <w:r>
        <w:rPr/>
        <w:t>年</w:t>
      </w:r>
      <w:r>
        <w:rPr>
          <w:rFonts w:ascii="宋体" w:hAnsi="宋体" w:cs="宋体" w:eastAsia="宋体" w:hint="default"/>
        </w:rPr>
        <w:t>12 </w:t>
      </w:r>
      <w:r>
        <w:rPr/>
        <w:t>月</w:t>
      </w:r>
      <w:r>
        <w:rPr>
          <w:rFonts w:ascii="宋体" w:hAnsi="宋体" w:cs="宋体" w:eastAsia="宋体" w:hint="default"/>
        </w:rPr>
        <w:t>31</w:t>
      </w:r>
      <w:r>
        <w:rPr/>
        <w:t>日的财务状况及</w:t>
      </w:r>
      <w:r>
        <w:rPr>
          <w:rFonts w:ascii="宋体" w:hAnsi="宋体" w:cs="宋体" w:eastAsia="宋体" w:hint="default"/>
        </w:rPr>
        <w:t>2017</w:t>
      </w:r>
      <w:r>
        <w:rPr/>
        <w:t>年度的经营成果和现金流量等有关信息。此外，本公司的财务报表</w:t>
      </w:r>
      <w:r>
        <w:rPr>
          <w:spacing w:val="-91"/>
        </w:rPr>
        <w:t> </w:t>
      </w:r>
      <w:r>
        <w:rPr>
          <w:spacing w:val="-91"/>
        </w:rPr>
      </w:r>
      <w:r>
        <w:rPr/>
        <w:t>在所有重大方面符合中国证券监督管理委员会</w:t>
      </w:r>
      <w:r>
        <w:rPr>
          <w:rFonts w:ascii="宋体" w:hAnsi="宋体" w:cs="宋体" w:eastAsia="宋体" w:hint="default"/>
        </w:rPr>
        <w:t>2014</w:t>
      </w:r>
      <w:r>
        <w:rPr/>
        <w:t>年修订的《公开发行证券的公司信息披露</w:t>
      </w:r>
      <w:r>
        <w:rPr>
          <w:spacing w:val="-88"/>
        </w:rPr>
        <w:t> </w:t>
      </w:r>
      <w:r>
        <w:rPr>
          <w:spacing w:val="-88"/>
        </w:rPr>
      </w:r>
      <w:r>
        <w:rPr/>
        <w:t>编报规则第</w:t>
      </w:r>
      <w:r>
        <w:rPr>
          <w:rFonts w:ascii="宋体" w:hAnsi="宋体" w:cs="宋体" w:eastAsia="宋体" w:hint="default"/>
        </w:rPr>
        <w:t>15</w:t>
      </w:r>
      <w:r>
        <w:rPr/>
        <w:t>号－财务报告的一般规定》有关财务报表及其附注的披露要求。</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60" w:firstLine="480"/>
        <w:jc w:val="both"/>
      </w:pPr>
      <w:r>
        <w:rPr/>
        <w:t>本公司的会计期间分为年度和中期，会计中期指短于一个完整的会计年度的报告期间。 本公司会计年度采用公历年度，即每年自</w:t>
      </w:r>
      <w:r>
        <w:rPr>
          <w:rFonts w:ascii="宋体" w:hAnsi="宋体" w:cs="宋体" w:eastAsia="宋体" w:hint="default"/>
        </w:rPr>
        <w:t>1</w:t>
      </w:r>
      <w:r>
        <w:rPr/>
        <w:t>月</w:t>
      </w:r>
      <w:r>
        <w:rPr>
          <w:rFonts w:ascii="宋体" w:hAnsi="宋体" w:cs="宋体" w:eastAsia="宋体" w:hint="default"/>
        </w:rPr>
        <w:t>1</w:t>
      </w:r>
      <w:r>
        <w:rPr/>
        <w:t>日起至</w:t>
      </w:r>
      <w:r>
        <w:rPr>
          <w:rFonts w:ascii="宋体" w:hAnsi="宋体" w:cs="宋体" w:eastAsia="宋体" w:hint="default"/>
        </w:rPr>
        <w:t>12</w:t>
      </w:r>
      <w:r>
        <w:rPr/>
        <w:t>月</w:t>
      </w:r>
      <w:r>
        <w:rPr>
          <w:rFonts w:ascii="宋体" w:hAnsi="宋体" w:cs="宋体" w:eastAsia="宋体" w:hint="default"/>
        </w:rPr>
        <w:t>31</w:t>
      </w:r>
      <w:r>
        <w:rPr/>
        <w:t>日止。</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60" w:firstLine="480"/>
        <w:jc w:val="both"/>
      </w:pPr>
      <w:r>
        <w:rPr/>
        <w:t>正常营业周期是指本公司从购买用于加工的资产起至实现现金或现金等价物的期间。本 公司以</w:t>
      </w:r>
      <w:r>
        <w:rPr>
          <w:rFonts w:ascii="宋体" w:hAnsi="宋体" w:cs="宋体" w:eastAsia="宋体" w:hint="default"/>
        </w:rPr>
        <w:t>12</w:t>
      </w:r>
      <w:r>
        <w:rPr/>
        <w:t>个月作为一个营业周期，并以其作为资产和负债的流动性划分标准。</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60" w:firstLine="480"/>
        <w:jc w:val="both"/>
      </w:pPr>
      <w:r>
        <w:rPr/>
        <w:t>人民币为本公司及境内子公司经营所处的主要经济环境中的货币，本公司及境内子公司 以人民币为记账本位币。本公司编制本财务报表时所采用的货币为人民币。</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60" w:firstLine="480"/>
        <w:jc w:val="both"/>
      </w:pPr>
      <w:r>
        <w:rPr/>
        <w:t>企业合并，是指将两个或两个以上单独的企业合并形成一个报告主体的交易或事项。企 业合并分为同一控制下企业合并和非同一控制下企业合并。</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left="633" w:right="96"/>
        <w:jc w:val="left"/>
      </w:pPr>
      <w:r>
        <w:rPr/>
        <w:t>（</w:t>
      </w:r>
      <w:r>
        <w:rPr>
          <w:rFonts w:ascii="宋体" w:hAnsi="宋体" w:cs="宋体" w:eastAsia="宋体" w:hint="default"/>
        </w:rPr>
        <w:t>1</w:t>
      </w:r>
      <w:r>
        <w:rPr/>
        <w:t>）同一控制下企业合并 </w:t>
      </w:r>
      <w:r>
        <w:rPr>
          <w:spacing w:val="-3"/>
        </w:rPr>
        <w:t>参与合并的企业在合并前后均受同一方或相同的多方最终控制，且该控制并非暂时性的，</w:t>
      </w:r>
    </w:p>
    <w:p>
      <w:pPr>
        <w:pStyle w:val="BodyText"/>
        <w:spacing w:line="357" w:lineRule="auto"/>
        <w:ind w:right="239"/>
        <w:jc w:val="both"/>
      </w:pPr>
      <w:r>
        <w:rPr/>
        <w:t>为同一控制下的企业合并。同一控制下的企业合并，在合并日取得对其他参与合并企业控制</w:t>
      </w:r>
      <w:r>
        <w:rPr>
          <w:spacing w:val="-91"/>
        </w:rPr>
        <w:t> </w:t>
      </w:r>
      <w:r>
        <w:rPr>
          <w:spacing w:val="-91"/>
        </w:rPr>
      </w:r>
      <w:r>
        <w:rPr/>
        <w:t>权的一方为合并方，参与合并的其他企业为被合并方。合并日，是指合并方实际取得对被合</w:t>
      </w:r>
      <w:r>
        <w:rPr>
          <w:spacing w:val="-91"/>
        </w:rPr>
        <w:t> </w:t>
      </w:r>
      <w:r>
        <w:rPr>
          <w:spacing w:val="-91"/>
        </w:rPr>
      </w:r>
      <w:r>
        <w:rPr/>
        <w:t>并方控制权的日期。</w:t>
      </w:r>
    </w:p>
    <w:p>
      <w:pPr>
        <w:pStyle w:val="BodyText"/>
        <w:spacing w:line="357" w:lineRule="auto"/>
        <w:ind w:right="238" w:firstLine="480"/>
        <w:jc w:val="both"/>
      </w:pPr>
      <w:r>
        <w:rPr/>
        <w:t>合并方取得的资产和负债均按合并日在被合并方的账面价值计量。合并方取得的净资产 账面价值与支付的合并对价账面价值（或发行股份面值总额）的差额，调整资本公积（股本</w:t>
      </w:r>
      <w:r>
        <w:rPr>
          <w:spacing w:val="-91"/>
        </w:rPr>
        <w:t> </w:t>
      </w:r>
      <w:r>
        <w:rPr>
          <w:spacing w:val="-91"/>
        </w:rPr>
      </w:r>
      <w:r>
        <w:rPr/>
        <w:t>溢价）；资本公积（股本溢价）不足以冲减的，调整留存收益。</w:t>
      </w:r>
    </w:p>
    <w:p>
      <w:pPr>
        <w:pStyle w:val="BodyText"/>
        <w:spacing w:line="240" w:lineRule="auto"/>
        <w:ind w:left="633" w:right="96"/>
        <w:jc w:val="left"/>
      </w:pPr>
      <w:r>
        <w:rPr/>
        <w:t>合并方为进行企业合并发生的各项直接费用，于发生时计入当期损益。</w:t>
      </w:r>
    </w:p>
    <w:p>
      <w:pPr>
        <w:pStyle w:val="BodyText"/>
        <w:spacing w:line="357" w:lineRule="auto" w:before="154"/>
        <w:ind w:left="633" w:right="96"/>
        <w:jc w:val="left"/>
      </w:pPr>
      <w:r>
        <w:rPr/>
        <w:t>（</w:t>
      </w:r>
      <w:r>
        <w:rPr>
          <w:rFonts w:ascii="宋体" w:hAnsi="宋体" w:cs="宋体" w:eastAsia="宋体" w:hint="default"/>
        </w:rPr>
        <w:t>2</w:t>
      </w:r>
      <w:r>
        <w:rPr/>
        <w:t>）非同一控制下企业合并 参与合并的企业在合并前后不受同一方或相同的多方最终控制的，为非同一控制下的企</w:t>
      </w:r>
    </w:p>
    <w:p>
      <w:pPr>
        <w:pStyle w:val="BodyText"/>
        <w:spacing w:line="357" w:lineRule="auto"/>
        <w:ind w:right="239"/>
        <w:jc w:val="both"/>
      </w:pPr>
      <w:r>
        <w:rPr/>
        <w:t>业合并。非同一控制下的企业合并，在购买日取得对其他参与合并企业控制权的一方为购买</w:t>
      </w:r>
      <w:r>
        <w:rPr>
          <w:spacing w:val="-91"/>
        </w:rPr>
        <w:t> </w:t>
      </w:r>
      <w:r>
        <w:rPr>
          <w:spacing w:val="-91"/>
        </w:rPr>
      </w:r>
      <w:r>
        <w:rPr/>
        <w:t>方，参与合并的其他企业为被购买方。购买日，是指为购买方实际取得对被购买方控制权的</w:t>
      </w:r>
      <w:r>
        <w:rPr>
          <w:spacing w:val="-91"/>
        </w:rPr>
        <w:t> </w:t>
      </w:r>
      <w:r>
        <w:rPr>
          <w:spacing w:val="-91"/>
        </w:rPr>
      </w:r>
      <w:r>
        <w:rPr/>
        <w:t>日期。</w:t>
      </w:r>
    </w:p>
    <w:p>
      <w:pPr>
        <w:pStyle w:val="BodyText"/>
        <w:spacing w:line="357" w:lineRule="auto"/>
        <w:ind w:right="233" w:firstLine="480"/>
        <w:jc w:val="both"/>
      </w:pPr>
      <w:r>
        <w:rPr/>
        <w:t>对于非同一控制下的企业合并，合并成本包含购买日购买方为取得对被购买方的控制权 而付出的资产、发生或承担的负债以及发行的权益性证券的公允价值，为企业合并发生的审</w:t>
      </w:r>
      <w:r>
        <w:rPr>
          <w:spacing w:val="-91"/>
        </w:rPr>
        <w:t> </w:t>
      </w:r>
      <w:r>
        <w:rPr>
          <w:spacing w:val="-91"/>
        </w:rPr>
      </w:r>
      <w:r>
        <w:rPr/>
        <w:t>计、法律服务、评估咨询等中介费用以及其他管理费用于发生时计入当期损益。购买方作为</w:t>
      </w:r>
      <w:r>
        <w:rPr>
          <w:spacing w:val="-91"/>
        </w:rPr>
        <w:t> </w:t>
      </w:r>
      <w:r>
        <w:rPr>
          <w:spacing w:val="-91"/>
        </w:rPr>
      </w:r>
      <w:r>
        <w:rPr/>
        <w:t>合并对价发行的权益性证券或债务性证券的交易费用，计入权益性证券或债务性证券的初始</w:t>
      </w:r>
      <w:r>
        <w:rPr>
          <w:spacing w:val="-91"/>
        </w:rPr>
        <w:t> </w:t>
      </w:r>
      <w:r>
        <w:rPr>
          <w:spacing w:val="-91"/>
        </w:rPr>
      </w:r>
      <w:r>
        <w:rPr/>
        <w:t>确认金额。所涉及的或有对价按其在购买日的公允价值计入合并成本，购买日后</w:t>
      </w:r>
      <w:r>
        <w:rPr>
          <w:rFonts w:ascii="宋体" w:hAnsi="宋体" w:cs="宋体" w:eastAsia="宋体" w:hint="default"/>
        </w:rPr>
        <w:t>12</w:t>
      </w:r>
      <w:r>
        <w:rPr/>
        <w:t>个月内出</w:t>
      </w:r>
      <w:r>
        <w:rPr>
          <w:spacing w:val="-86"/>
        </w:rPr>
        <w:t> </w:t>
      </w:r>
      <w:r>
        <w:rPr>
          <w:spacing w:val="-86"/>
        </w:rPr>
      </w:r>
      <w:r>
        <w:rPr/>
        <w:t>现对购买日已存在情况的新的或进一步证据而需要调整或有对价的，相应调整合并商誉。购</w:t>
      </w:r>
      <w:r>
        <w:rPr>
          <w:spacing w:val="-91"/>
        </w:rPr>
        <w:t> </w:t>
      </w:r>
      <w:r>
        <w:rPr>
          <w:spacing w:val="-91"/>
        </w:rPr>
      </w:r>
      <w:r>
        <w:rPr/>
        <w:t>买方发生的合并成本及在合并中取得的可辨认净资产按购买日的公允价值计量。合并成本大</w:t>
      </w:r>
      <w:r>
        <w:rPr>
          <w:spacing w:val="-89"/>
        </w:rPr>
        <w:t> </w:t>
      </w:r>
      <w:r>
        <w:rPr>
          <w:spacing w:val="-89"/>
        </w:rPr>
      </w:r>
      <w:r>
        <w:rPr/>
        <w:t>于合并中取得的被购买方于购买日可辨认净资产公允价值份额的差额，确认为商誉。合并成</w:t>
      </w:r>
      <w:r>
        <w:rPr>
          <w:spacing w:val="-91"/>
        </w:rPr>
        <w:t> </w:t>
      </w:r>
      <w:r>
        <w:rPr>
          <w:spacing w:val="-91"/>
        </w:rPr>
      </w:r>
      <w:r>
        <w:rPr/>
        <w:t>本小于合并中取得的被购买方可辨认净资产公允价值份额的，首先对取得的被购买方各项可</w:t>
      </w:r>
      <w:r>
        <w:rPr>
          <w:spacing w:val="-91"/>
        </w:rPr>
        <w:t> </w:t>
      </w:r>
      <w:r>
        <w:rPr>
          <w:spacing w:val="-91"/>
        </w:rPr>
      </w:r>
      <w:r>
        <w:rPr/>
        <w:t>辨认资产、负债及或有负债的公允价值以及合并成本的计量进行复核，复核后合并成本仍小</w:t>
      </w:r>
      <w:r>
        <w:rPr>
          <w:spacing w:val="-91"/>
        </w:rPr>
        <w:t> </w:t>
      </w:r>
      <w:r>
        <w:rPr>
          <w:spacing w:val="-91"/>
        </w:rPr>
      </w:r>
      <w:r>
        <w:rPr/>
        <w:t>于合并中取得的被购买方可辨认净资产公允价值份额的，其差额计入当期损益。</w:t>
      </w:r>
    </w:p>
    <w:p>
      <w:pPr>
        <w:pStyle w:val="BodyText"/>
        <w:spacing w:line="357" w:lineRule="auto"/>
        <w:ind w:right="233" w:firstLine="480"/>
        <w:jc w:val="both"/>
      </w:pPr>
      <w:r>
        <w:rPr/>
        <w:t>购买方取得被购买方的可抵扣暂时性差异，在购买日因不符合递延所得税资产确认条件 而未予确认的，在购买日后</w:t>
      </w:r>
      <w:r>
        <w:rPr>
          <w:rFonts w:ascii="宋体" w:hAnsi="宋体" w:cs="宋体" w:eastAsia="宋体" w:hint="default"/>
        </w:rPr>
        <w:t>12</w:t>
      </w:r>
      <w:r>
        <w:rPr/>
        <w:t>个月内，如取得新的或进一步的信息表明购买日的相关情况已</w:t>
      </w:r>
      <w:r>
        <w:rPr>
          <w:spacing w:val="-87"/>
        </w:rPr>
        <w:t> </w:t>
      </w:r>
      <w:r>
        <w:rPr>
          <w:spacing w:val="-87"/>
        </w:rPr>
      </w:r>
      <w:r>
        <w:rPr/>
        <w:t>经存在，预期被购买方在购买日可抵扣暂时性差异带来的经济利益能够实现的，则确认相关</w:t>
      </w:r>
      <w:r>
        <w:rPr>
          <w:spacing w:val="-91"/>
        </w:rPr>
        <w:t> </w:t>
      </w:r>
      <w:r>
        <w:rPr>
          <w:spacing w:val="-91"/>
        </w:rPr>
      </w:r>
      <w:r>
        <w:rPr/>
        <w:t>的递延所得税资产，同时减少商誉，商誉不足冲减的，差额部分确认为当期损益；除上述情</w:t>
      </w:r>
    </w:p>
    <w:p>
      <w:pPr>
        <w:spacing w:after="0" w:line="357" w:lineRule="auto"/>
        <w:jc w:val="both"/>
        <w:sectPr>
          <w:footerReference w:type="default" r:id="rId32"/>
          <w:pgSz w:w="11910" w:h="16840"/>
          <w:pgMar w:footer="979" w:header="745" w:top="1060" w:bottom="1160" w:left="980" w:right="900"/>
          <w:pgNumType w:start="110"/>
        </w:sectPr>
      </w:pPr>
    </w:p>
    <w:p>
      <w:pPr>
        <w:spacing w:line="240" w:lineRule="auto" w:before="7"/>
        <w:rPr>
          <w:rFonts w:ascii="宋体" w:hAnsi="宋体" w:cs="宋体" w:eastAsia="宋体" w:hint="default"/>
          <w:sz w:val="29"/>
          <w:szCs w:val="29"/>
        </w:rPr>
      </w:pPr>
    </w:p>
    <w:p>
      <w:pPr>
        <w:pStyle w:val="BodyText"/>
        <w:spacing w:line="357" w:lineRule="auto" w:before="26"/>
        <w:ind w:left="633" w:right="153" w:hanging="481"/>
        <w:jc w:val="left"/>
      </w:pPr>
      <w:r>
        <w:rPr/>
        <w:t>况以外，确认与企业合并相关的递延所得税资产的，计入当期损益。 通过多次交易分步实现的非同一控制下企业合并，根据《财政部关于印发企业会计准则</w:t>
      </w:r>
    </w:p>
    <w:p>
      <w:pPr>
        <w:pStyle w:val="BodyText"/>
        <w:spacing w:line="357" w:lineRule="auto"/>
        <w:ind w:right="151"/>
        <w:jc w:val="both"/>
      </w:pPr>
      <w:r>
        <w:rPr>
          <w:spacing w:val="-2"/>
        </w:rPr>
        <w:t>解释第</w:t>
      </w:r>
      <w:r>
        <w:rPr>
          <w:rFonts w:ascii="宋体" w:hAnsi="宋体" w:cs="宋体" w:eastAsia="宋体" w:hint="default"/>
          <w:spacing w:val="-2"/>
        </w:rPr>
        <w:t>5</w:t>
      </w:r>
      <w:r>
        <w:rPr>
          <w:spacing w:val="-2"/>
        </w:rPr>
        <w:t>号的通知》（财会〔</w:t>
      </w:r>
      <w:r>
        <w:rPr>
          <w:rFonts w:ascii="宋体" w:hAnsi="宋体" w:cs="宋体" w:eastAsia="宋体" w:hint="default"/>
          <w:spacing w:val="-2"/>
        </w:rPr>
        <w:t>2012</w:t>
      </w:r>
      <w:r>
        <w:rPr>
          <w:spacing w:val="-2"/>
        </w:rPr>
        <w:t>〕</w:t>
      </w:r>
      <w:r>
        <w:rPr>
          <w:rFonts w:ascii="宋体" w:hAnsi="宋体" w:cs="宋体" w:eastAsia="宋体" w:hint="default"/>
          <w:spacing w:val="-2"/>
        </w:rPr>
        <w:t>19</w:t>
      </w:r>
      <w:r>
        <w:rPr>
          <w:spacing w:val="-2"/>
        </w:rPr>
        <w:t>号）和《企业会计准则第</w:t>
      </w:r>
      <w:r>
        <w:rPr>
          <w:rFonts w:ascii="宋体" w:hAnsi="宋体" w:cs="宋体" w:eastAsia="宋体" w:hint="default"/>
          <w:spacing w:val="-2"/>
        </w:rPr>
        <w:t>33</w:t>
      </w:r>
      <w:r>
        <w:rPr>
          <w:spacing w:val="-2"/>
        </w:rPr>
        <w:t>号——合并财务报表》第五</w:t>
      </w:r>
      <w:r>
        <w:rPr>
          <w:spacing w:val="-114"/>
        </w:rPr>
        <w:t> </w:t>
      </w:r>
      <w:r>
        <w:rPr>
          <w:spacing w:val="-114"/>
        </w:rPr>
      </w:r>
      <w:r>
        <w:rPr>
          <w:spacing w:val="-5"/>
        </w:rPr>
        <w:t>十一条关于“一揽子交易”的判断标准，判断该多次交易是否属于“一揽子交易”。属于“一</w:t>
      </w:r>
      <w:r>
        <w:rPr>
          <w:spacing w:val="-117"/>
        </w:rPr>
        <w:t> </w:t>
      </w:r>
      <w:r>
        <w:rPr>
          <w:spacing w:val="-117"/>
        </w:rPr>
      </w:r>
      <w:r>
        <w:rPr/>
        <w:t>揽子交易”的，参考本部分前面各段描述及本附注四、12“长期股权投资”进行会计处理；</w:t>
      </w:r>
      <w:r>
        <w:rPr>
          <w:spacing w:val="-88"/>
        </w:rPr>
        <w:t> </w:t>
      </w:r>
      <w:r>
        <w:rPr>
          <w:spacing w:val="-88"/>
        </w:rPr>
      </w:r>
      <w:r>
        <w:rPr/>
        <w:t>不属于“一揽子交易”的，区分个别财务报表和合并财务报表进行相关会计处理：</w:t>
      </w:r>
    </w:p>
    <w:p>
      <w:pPr>
        <w:pStyle w:val="BodyText"/>
        <w:spacing w:line="357" w:lineRule="auto"/>
        <w:ind w:right="159" w:firstLine="480"/>
        <w:jc w:val="both"/>
      </w:pPr>
      <w:r>
        <w:rPr/>
        <w:t>在个别财务报表中，以购买日之前所持被购买方的股权投资的账面价值与购买日新增投 资成本之和，作为该项投资的初始投资成本；购买日之前持有的被购买方的股权涉及其他综</w:t>
      </w:r>
      <w:r>
        <w:rPr>
          <w:spacing w:val="-91"/>
        </w:rPr>
        <w:t> </w:t>
      </w:r>
      <w:r>
        <w:rPr>
          <w:spacing w:val="-91"/>
        </w:rPr>
      </w:r>
      <w:r>
        <w:rPr/>
        <w:t>合收益的，在处置该项投资时将与其相关的其他综合收益采用与被购买方直接处置相关资产</w:t>
      </w:r>
      <w:r>
        <w:rPr>
          <w:spacing w:val="-91"/>
        </w:rPr>
        <w:t> </w:t>
      </w:r>
      <w:r>
        <w:rPr>
          <w:spacing w:val="-91"/>
        </w:rPr>
      </w:r>
      <w:r>
        <w:rPr/>
        <w:t>或负债相同的基础进行会计处理（即，除了按照权益法核算的在被购买方重新计量设定受益</w:t>
      </w:r>
      <w:r>
        <w:rPr>
          <w:spacing w:val="-91"/>
        </w:rPr>
        <w:t> </w:t>
      </w:r>
      <w:r>
        <w:rPr>
          <w:spacing w:val="-91"/>
        </w:rPr>
      </w:r>
      <w:r>
        <w:rPr/>
        <w:t>计划净负债或净资产导致的变动中的相应份额以外，其余转入当期投资收益）。</w:t>
      </w:r>
    </w:p>
    <w:p>
      <w:pPr>
        <w:pStyle w:val="BodyText"/>
        <w:spacing w:line="357" w:lineRule="auto"/>
        <w:ind w:right="159" w:firstLine="480"/>
        <w:jc w:val="both"/>
      </w:pPr>
      <w:r>
        <w:rPr/>
        <w:t>在合并财务报表中，对于购买日之前持有的被购买方的股权，按照该股权在购买日的公 允价值进行重新计量，公允价值与其账面价值的差额计入当期投资收益；购买日之前持有的</w:t>
      </w:r>
      <w:r>
        <w:rPr>
          <w:spacing w:val="-91"/>
        </w:rPr>
        <w:t> </w:t>
      </w:r>
      <w:r>
        <w:rPr>
          <w:spacing w:val="-91"/>
        </w:rPr>
      </w:r>
      <w:r>
        <w:rPr/>
        <w:t>被购买方的股权涉及其他综合收益的，与其相关的其他综合收益应当采用与被购买方直接处</w:t>
      </w:r>
      <w:r>
        <w:rPr>
          <w:spacing w:val="-91"/>
        </w:rPr>
        <w:t> </w:t>
      </w:r>
      <w:r>
        <w:rPr>
          <w:spacing w:val="-91"/>
        </w:rPr>
      </w:r>
      <w:r>
        <w:rPr/>
        <w:t>置相关资产或负债相同的基础进行会计处理（即，除了按照权益法核算的在被购买方重新计</w:t>
      </w:r>
      <w:r>
        <w:rPr>
          <w:spacing w:val="-91"/>
        </w:rPr>
        <w:t> </w:t>
      </w:r>
      <w:r>
        <w:rPr>
          <w:spacing w:val="-91"/>
        </w:rPr>
      </w:r>
      <w:r>
        <w:rPr/>
        <w:t>量设定受益计划净负债或净资产导致的变动中的相应份额以外，其余转为购买日所属当期投</w:t>
      </w:r>
      <w:r>
        <w:rPr>
          <w:spacing w:val="-91"/>
        </w:rPr>
        <w:t> </w:t>
      </w:r>
      <w:r>
        <w:rPr>
          <w:spacing w:val="-91"/>
        </w:rPr>
      </w:r>
      <w:r>
        <w:rPr/>
        <w:t>资收益）。</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、合并财务报表的编制方法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left="633" w:right="153"/>
        <w:jc w:val="left"/>
      </w:pPr>
      <w:r>
        <w:rPr/>
        <w:t>（</w:t>
      </w:r>
      <w:r>
        <w:rPr>
          <w:rFonts w:ascii="宋体" w:hAnsi="宋体" w:cs="宋体" w:eastAsia="宋体" w:hint="default"/>
        </w:rPr>
        <w:t>1</w:t>
      </w:r>
      <w:r>
        <w:rPr/>
        <w:t>）合并财务报表范围的确定原则 合并财务报表的合并范围以控制为基础予以确定。控制是指本公司拥有对被投资方的权</w:t>
      </w:r>
    </w:p>
    <w:p>
      <w:pPr>
        <w:pStyle w:val="BodyText"/>
        <w:spacing w:line="357" w:lineRule="auto" w:before="37"/>
        <w:ind w:right="159"/>
        <w:jc w:val="both"/>
      </w:pPr>
      <w:r>
        <w:rPr/>
        <w:t>力，通过参与被投资方的相关活动而享有可变回报，并且有能力运用对被投资方的权力影响</w:t>
      </w:r>
      <w:r>
        <w:rPr>
          <w:spacing w:val="-91"/>
        </w:rPr>
        <w:t> </w:t>
      </w:r>
      <w:r>
        <w:rPr>
          <w:spacing w:val="-91"/>
        </w:rPr>
      </w:r>
      <w:r>
        <w:rPr/>
        <w:t>该回报金额。合并范围包括本公司及全部子公司。子公司，是指被本公司控制的主体。</w:t>
      </w:r>
    </w:p>
    <w:p>
      <w:pPr>
        <w:pStyle w:val="BodyText"/>
        <w:spacing w:line="357" w:lineRule="auto"/>
        <w:ind w:right="160" w:firstLine="480"/>
        <w:jc w:val="both"/>
      </w:pPr>
      <w:r>
        <w:rPr/>
        <w:t>一旦相关事实和情况的变化导致上述控制定义涉及的相关要素发生了变化，本公司将进 行重新评估。</w:t>
      </w:r>
    </w:p>
    <w:p>
      <w:pPr>
        <w:pStyle w:val="BodyText"/>
        <w:spacing w:line="357" w:lineRule="auto"/>
        <w:ind w:left="633" w:right="153"/>
        <w:jc w:val="left"/>
      </w:pPr>
      <w:r>
        <w:rPr/>
        <w:t>（</w:t>
      </w:r>
      <w:r>
        <w:rPr>
          <w:rFonts w:ascii="宋体" w:hAnsi="宋体" w:cs="宋体" w:eastAsia="宋体" w:hint="default"/>
        </w:rPr>
        <w:t>2</w:t>
      </w:r>
      <w:r>
        <w:rPr/>
        <w:t>）合并财务报表编制的方法 从取得子公司的净资产和生产经营决策的实际控制权之日起，本公司开始将其纳入合并</w:t>
      </w:r>
    </w:p>
    <w:p>
      <w:pPr>
        <w:pStyle w:val="BodyText"/>
        <w:spacing w:line="357" w:lineRule="auto"/>
        <w:ind w:right="155"/>
        <w:jc w:val="both"/>
      </w:pPr>
      <w:r>
        <w:rPr/>
        <w:t>范围；从丧失实际控制权之日起停止纳入合并范围。对于处置的子公司，处置日前的经营成</w:t>
      </w:r>
      <w:r>
        <w:rPr>
          <w:spacing w:val="-91"/>
        </w:rPr>
        <w:t> </w:t>
      </w:r>
      <w:r>
        <w:rPr>
          <w:spacing w:val="-91"/>
        </w:rPr>
      </w:r>
      <w:r>
        <w:rPr/>
        <w:t>果和现金流量已经适当地包括在合并利润表和合并现金流量表中；当期处置的子公司，不调</w:t>
      </w:r>
      <w:r>
        <w:rPr>
          <w:spacing w:val="-88"/>
        </w:rPr>
        <w:t> </w:t>
      </w:r>
      <w:r>
        <w:rPr>
          <w:spacing w:val="-88"/>
        </w:rPr>
      </w:r>
      <w:r>
        <w:rPr/>
        <w:t>整合并资产负债表的期初数。非同一控制下企业合并增加的子公司，其购买日后的经营成果</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59"/>
        <w:jc w:val="both"/>
      </w:pPr>
      <w:r>
        <w:rPr/>
        <w:t>及现金流量已经适当地包括在合并利润表和合并现金流量表中，且不调整合并财务报表的期</w:t>
      </w:r>
      <w:r>
        <w:rPr>
          <w:spacing w:val="-91"/>
        </w:rPr>
        <w:t> </w:t>
      </w:r>
      <w:r>
        <w:rPr>
          <w:spacing w:val="-91"/>
        </w:rPr>
      </w:r>
      <w:r>
        <w:rPr/>
        <w:t>初数和对比数。同一控制下企业合并增加的子公司及吸收合并下的被合并方，其自合并当期</w:t>
      </w:r>
      <w:r>
        <w:rPr>
          <w:spacing w:val="-91"/>
        </w:rPr>
        <w:t> </w:t>
      </w:r>
      <w:r>
        <w:rPr>
          <w:spacing w:val="-91"/>
        </w:rPr>
      </w:r>
      <w:r>
        <w:rPr/>
        <w:t>期初至合并日的经营成果和现金流量已经适当地包括在合并利润表和合并现金流量表中，并</w:t>
      </w:r>
      <w:r>
        <w:rPr>
          <w:spacing w:val="-91"/>
        </w:rPr>
        <w:t> </w:t>
      </w:r>
      <w:r>
        <w:rPr>
          <w:spacing w:val="-91"/>
        </w:rPr>
      </w:r>
      <w:r>
        <w:rPr/>
        <w:t>且同时调整合并财务报表的对比数。</w:t>
      </w:r>
    </w:p>
    <w:p>
      <w:pPr>
        <w:pStyle w:val="BodyText"/>
        <w:spacing w:line="357" w:lineRule="auto"/>
        <w:ind w:right="155" w:firstLine="480"/>
        <w:jc w:val="both"/>
      </w:pPr>
      <w:r>
        <w:rPr/>
        <w:t>在编制合并财务报表时，子公司与本公司采用的会计政策或会计期间不一致的，按照本 公司的会计政策和会计期间对子公司财务报表进行必要的调整。对于非同一控制下企业合并</w:t>
      </w:r>
      <w:r>
        <w:rPr>
          <w:spacing w:val="-88"/>
        </w:rPr>
        <w:t> </w:t>
      </w:r>
      <w:r>
        <w:rPr>
          <w:spacing w:val="-88"/>
        </w:rPr>
      </w:r>
      <w:r>
        <w:rPr/>
        <w:t>取得的子公司，以购买日可辨认净资产公允价值为基础对其财务报表进行调整。</w:t>
      </w:r>
    </w:p>
    <w:p>
      <w:pPr>
        <w:pStyle w:val="BodyText"/>
        <w:spacing w:line="357" w:lineRule="auto" w:before="37"/>
        <w:ind w:left="633" w:right="153"/>
        <w:jc w:val="left"/>
      </w:pPr>
      <w:r>
        <w:rPr/>
        <w:t>公司内所有重大往来余额、交易及未实现利润在合并财务报表编制时予以抵销。 子公司的股东权益及当期净损益中不属于本公司所拥有的部分分别作为少数股东权益及</w:t>
      </w:r>
    </w:p>
    <w:p>
      <w:pPr>
        <w:pStyle w:val="BodyText"/>
        <w:spacing w:line="357" w:lineRule="auto"/>
        <w:ind w:right="154"/>
        <w:jc w:val="both"/>
      </w:pPr>
      <w:r>
        <w:rPr/>
        <w:t>少数股东损益在合并财务报表中股东权益及净利润项下单独列示。子公司当期净损益中属于</w:t>
      </w:r>
      <w:r>
        <w:rPr>
          <w:spacing w:val="-91"/>
        </w:rPr>
        <w:t> </w:t>
      </w:r>
      <w:r>
        <w:rPr>
          <w:spacing w:val="-91"/>
        </w:rPr>
      </w:r>
      <w:r>
        <w:rPr/>
        <w:t>少数股东权益的份额，在合并利润表中净利润项目下以“少数股东损益”项目列示。少数股</w:t>
      </w:r>
      <w:r>
        <w:rPr>
          <w:spacing w:val="-88"/>
        </w:rPr>
        <w:t> </w:t>
      </w:r>
      <w:r>
        <w:rPr>
          <w:spacing w:val="-88"/>
        </w:rPr>
      </w:r>
      <w:r>
        <w:rPr/>
        <w:t>东分担的子公司的亏损超过了少数股东在该子公司期初股东权益中所享有的份额，仍冲减少</w:t>
      </w:r>
      <w:r>
        <w:rPr>
          <w:spacing w:val="-91"/>
        </w:rPr>
        <w:t> </w:t>
      </w:r>
      <w:r>
        <w:rPr>
          <w:spacing w:val="-91"/>
        </w:rPr>
      </w:r>
      <w:r>
        <w:rPr/>
        <w:t>数股东权益。</w:t>
      </w:r>
    </w:p>
    <w:p>
      <w:pPr>
        <w:pStyle w:val="BodyText"/>
        <w:spacing w:line="357" w:lineRule="auto"/>
        <w:ind w:right="151" w:firstLine="480"/>
        <w:jc w:val="both"/>
      </w:pPr>
      <w:r>
        <w:rPr/>
        <w:t>当因处置部分股权投资或其他原因丧失了对原有子公司的控制权时，对于剩余股权，按 照其在丧失控制权日的公允价值进行重新计量。处置股权取得的对价与剩余股权公允价值之</w:t>
      </w:r>
      <w:r>
        <w:rPr>
          <w:spacing w:val="-91"/>
        </w:rPr>
        <w:t> </w:t>
      </w:r>
      <w:r>
        <w:rPr>
          <w:spacing w:val="-91"/>
        </w:rPr>
      </w:r>
      <w:r>
        <w:rPr/>
        <w:t>和，减去按原持股比例计算应享有原有子公司自购买日开始持续计算的净资产的份额之间的</w:t>
      </w:r>
      <w:r>
        <w:rPr>
          <w:spacing w:val="-91"/>
        </w:rPr>
        <w:t> </w:t>
      </w:r>
      <w:r>
        <w:rPr>
          <w:spacing w:val="-91"/>
        </w:rPr>
      </w:r>
      <w:r>
        <w:rPr/>
        <w:t>差额，计入丧失控制权当期的投资收益。与原有子公司股权投资相关的其他综合收益，在丧</w:t>
      </w:r>
      <w:r>
        <w:rPr>
          <w:spacing w:val="-91"/>
        </w:rPr>
        <w:t> </w:t>
      </w:r>
      <w:r>
        <w:rPr>
          <w:spacing w:val="-91"/>
        </w:rPr>
      </w:r>
      <w:r>
        <w:rPr/>
        <w:t>失控制权时采用与被购买方直接处置相关资产或负债相同的基础进行会计处理（即，除了在</w:t>
      </w:r>
      <w:r>
        <w:rPr>
          <w:spacing w:val="-91"/>
        </w:rPr>
        <w:t> </w:t>
      </w:r>
      <w:r>
        <w:rPr>
          <w:spacing w:val="-91"/>
        </w:rPr>
      </w:r>
      <w:r>
        <w:rPr/>
        <w:t>该原有子公司重新计量设定受益计划净负债或净资产导致的变动以外，其余一并转为当期投</w:t>
      </w:r>
      <w:r>
        <w:rPr>
          <w:spacing w:val="-91"/>
        </w:rPr>
        <w:t> </w:t>
      </w:r>
      <w:r>
        <w:rPr>
          <w:spacing w:val="-91"/>
        </w:rPr>
      </w:r>
      <w:r>
        <w:rPr>
          <w:spacing w:val="-3"/>
        </w:rPr>
        <w:t>资收益）。其后，对该部分剩余股权按照《企业会计准则第</w:t>
      </w:r>
      <w:r>
        <w:rPr>
          <w:rFonts w:ascii="宋体" w:hAnsi="宋体" w:cs="宋体" w:eastAsia="宋体" w:hint="default"/>
          <w:spacing w:val="-3"/>
        </w:rPr>
        <w:t>2</w:t>
      </w:r>
      <w:r>
        <w:rPr>
          <w:spacing w:val="-3"/>
        </w:rPr>
        <w:t>号——长期股权投资》或《企业</w:t>
      </w:r>
      <w:r>
        <w:rPr>
          <w:spacing w:val="-82"/>
        </w:rPr>
        <w:t> </w:t>
      </w:r>
      <w:r>
        <w:rPr>
          <w:spacing w:val="-82"/>
        </w:rPr>
      </w:r>
      <w:r>
        <w:rPr>
          <w:spacing w:val="-3"/>
        </w:rPr>
        <w:t>会计准则第</w:t>
      </w:r>
      <w:r>
        <w:rPr>
          <w:rFonts w:ascii="宋体" w:hAnsi="宋体" w:cs="宋体" w:eastAsia="宋体" w:hint="default"/>
          <w:spacing w:val="-3"/>
        </w:rPr>
        <w:t>22</w:t>
      </w:r>
      <w:r>
        <w:rPr>
          <w:spacing w:val="-3"/>
        </w:rPr>
        <w:t>号——金融工具确认和计量》等相关规定进行后续计量，详见本附注</w:t>
      </w:r>
      <w:r>
        <w:rPr>
          <w:spacing w:val="28"/>
        </w:rPr>
        <w:t> </w:t>
      </w:r>
      <w:r>
        <w:rPr/>
        <w:t>“长期股</w:t>
      </w:r>
      <w:r>
        <w:rPr/>
        <w:t> 权投资”或本附注</w:t>
      </w:r>
      <w:r>
        <w:rPr>
          <w:spacing w:val="-1"/>
        </w:rPr>
        <w:t> </w:t>
      </w:r>
      <w:r>
        <w:rPr/>
        <w:t>“金融工具”。</w:t>
      </w:r>
    </w:p>
    <w:p>
      <w:pPr>
        <w:pStyle w:val="BodyText"/>
        <w:spacing w:line="357" w:lineRule="auto"/>
        <w:ind w:right="156" w:firstLine="480"/>
        <w:jc w:val="both"/>
      </w:pPr>
      <w:r>
        <w:rPr/>
        <w:t>本公司通过多次交易分步处置对子公司股权投资直至丧失控制权的，需区分处置对子公 司股权投资直至丧失控制权的各项交易是否属于一揽子交易。处置对子公司股权投资的各项</w:t>
      </w:r>
      <w:r>
        <w:rPr>
          <w:spacing w:val="-91"/>
        </w:rPr>
        <w:t> </w:t>
      </w:r>
      <w:r>
        <w:rPr>
          <w:spacing w:val="-91"/>
        </w:rPr>
      </w:r>
      <w:r>
        <w:rPr/>
        <w:t>交易的条款、条件以及经济影响符合以下一种或多种情况，通常表明应将多次交易事项作为</w:t>
      </w:r>
      <w:r>
        <w:rPr>
          <w:spacing w:val="-91"/>
        </w:rPr>
        <w:t> </w:t>
      </w:r>
      <w:r>
        <w:rPr>
          <w:spacing w:val="-91"/>
        </w:rPr>
      </w:r>
      <w:r>
        <w:rPr/>
        <w:t>一揽子交易进行会计处理：①这些交易是同时或者在考虑了彼此影响的情况下订立的；②这</w:t>
      </w:r>
      <w:r>
        <w:rPr>
          <w:spacing w:val="-91"/>
        </w:rPr>
        <w:t> </w:t>
      </w:r>
      <w:r>
        <w:rPr>
          <w:spacing w:val="-91"/>
        </w:rPr>
      </w:r>
      <w:r>
        <w:rPr/>
        <w:t>些交易整体才能达成一项完整的商业结果；③一项交易的发生取决于其他至少一项交易的发</w:t>
      </w:r>
      <w:r>
        <w:rPr>
          <w:spacing w:val="-89"/>
        </w:rPr>
        <w:t> </w:t>
      </w:r>
      <w:r>
        <w:rPr>
          <w:spacing w:val="-89"/>
        </w:rPr>
      </w:r>
      <w:r>
        <w:rPr/>
        <w:t>生；④一项交易单独看是不经济的，但是和其他交易一并考虑时是经济的。不属于一揽子交</w:t>
      </w:r>
      <w:r>
        <w:rPr>
          <w:spacing w:val="-91"/>
        </w:rPr>
        <w:t> </w:t>
      </w:r>
      <w:r>
        <w:rPr>
          <w:spacing w:val="-91"/>
        </w:rPr>
      </w:r>
      <w:r>
        <w:rPr/>
        <w:t>易的，对其中的每一项交易视情况分别按照“不丧失控制权的情况下部分处置对子公司的长</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93"/>
        <w:jc w:val="both"/>
      </w:pPr>
      <w:r>
        <w:rPr/>
        <w:t>期股权投资”和“因处置部分股权投资或其他原因丧失了对原有子公司的控制权”（详见前</w:t>
      </w:r>
      <w:r>
        <w:rPr>
          <w:spacing w:val="-87"/>
        </w:rPr>
        <w:t> </w:t>
      </w:r>
      <w:r>
        <w:rPr>
          <w:spacing w:val="-87"/>
        </w:rPr>
      </w:r>
      <w:r>
        <w:rPr/>
        <w:t>段）适用的原则进行会计处理。处置对子公司股权投资直至丧失控制权的各项交易属于一揽</w:t>
      </w:r>
      <w:r>
        <w:rPr>
          <w:spacing w:val="-91"/>
        </w:rPr>
        <w:t> </w:t>
      </w:r>
      <w:r>
        <w:rPr>
          <w:spacing w:val="-91"/>
        </w:rPr>
      </w:r>
      <w:r>
        <w:rPr/>
        <w:t>子交易的，将各项交易作为一项处置子公司并丧失控制权的交易进行会计处理；但是，在丧</w:t>
      </w:r>
      <w:r>
        <w:rPr>
          <w:spacing w:val="-91"/>
        </w:rPr>
        <w:t> </w:t>
      </w:r>
      <w:r>
        <w:rPr>
          <w:spacing w:val="-91"/>
        </w:rPr>
      </w:r>
      <w:r>
        <w:rPr/>
        <w:t>失控制权之前每一次处置价款与处置投资对应的享有该子公司净资产份额的差额，在合并财</w:t>
      </w:r>
      <w:r>
        <w:rPr>
          <w:spacing w:val="-86"/>
        </w:rPr>
        <w:t> </w:t>
      </w:r>
      <w:r>
        <w:rPr>
          <w:spacing w:val="-86"/>
        </w:rPr>
      </w:r>
      <w:r>
        <w:rPr/>
        <w:t>务报表中确认为其他综合收益，在丧失控制权时一并转入丧失控制权当期的损益。</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99" w:firstLine="480"/>
        <w:jc w:val="both"/>
      </w:pPr>
      <w:r>
        <w:rPr/>
        <w:t>合营安排，是指一项由两个或两个以上的参与方共同控制的安排。本公司根据在合营安 排中享有的权利和承担的义务，将合营安排分为共同经营和合营企业。共同经营，是指本公</w:t>
      </w:r>
      <w:r>
        <w:rPr>
          <w:spacing w:val="-91"/>
        </w:rPr>
        <w:t> </w:t>
      </w:r>
      <w:r>
        <w:rPr>
          <w:spacing w:val="-91"/>
        </w:rPr>
      </w:r>
      <w:r>
        <w:rPr/>
        <w:t>司享有该安排相关资产且承担该安排相关负债的合营安排。合营企业，是指本公司仅对该安</w:t>
      </w:r>
      <w:r>
        <w:rPr>
          <w:spacing w:val="-91"/>
        </w:rPr>
        <w:t> </w:t>
      </w:r>
      <w:r>
        <w:rPr>
          <w:spacing w:val="-91"/>
        </w:rPr>
      </w:r>
      <w:r>
        <w:rPr/>
        <w:t>排的净资产享有权利的合营安排。</w:t>
      </w:r>
    </w:p>
    <w:p>
      <w:pPr>
        <w:pStyle w:val="BodyText"/>
        <w:spacing w:line="357" w:lineRule="auto"/>
        <w:ind w:right="196" w:firstLine="480"/>
        <w:jc w:val="both"/>
      </w:pPr>
      <w:r>
        <w:rPr/>
        <w:t>本公司对合营企业的投资采用权益法核算，按照本附注“权益法核算的长期股权投资” 中所述的会计政策处理。</w:t>
      </w:r>
    </w:p>
    <w:p>
      <w:pPr>
        <w:pStyle w:val="BodyText"/>
        <w:spacing w:line="357" w:lineRule="auto"/>
        <w:ind w:right="199" w:firstLine="480"/>
        <w:jc w:val="both"/>
      </w:pPr>
      <w:r>
        <w:rPr/>
        <w:t>本公司作为合营方对共同经营，确认本公司单独持有的资产、单独所承担的负债，以及 按本公司份额确认共同持有的资产和共同承担的负债；确认出售本公司享有的共同经营产出</w:t>
      </w:r>
      <w:r>
        <w:rPr>
          <w:spacing w:val="-91"/>
        </w:rPr>
        <w:t> </w:t>
      </w:r>
      <w:r>
        <w:rPr>
          <w:spacing w:val="-91"/>
        </w:rPr>
      </w:r>
      <w:r>
        <w:rPr/>
        <w:t>份额所产生的收入；按本公司份额确认共同经营因出售产出所产生的收入；确认本公司单独</w:t>
      </w:r>
      <w:r>
        <w:rPr>
          <w:spacing w:val="-91"/>
        </w:rPr>
        <w:t> </w:t>
      </w:r>
      <w:r>
        <w:rPr>
          <w:spacing w:val="-91"/>
        </w:rPr>
      </w:r>
      <w:r>
        <w:rPr/>
        <w:t>所发生的费用，以及按本公司份额确认共同经营发生的费用。</w:t>
      </w:r>
    </w:p>
    <w:p>
      <w:pPr>
        <w:pStyle w:val="BodyText"/>
        <w:spacing w:line="357" w:lineRule="auto" w:before="34"/>
        <w:ind w:right="94" w:firstLine="480"/>
        <w:jc w:val="left"/>
      </w:pPr>
      <w:r>
        <w:rPr/>
        <w:t>当本公司作为合营方向共同经营投出或出售资产（该资产不构成业务，下同）、或者自 共同经营购买资产时，在该等资产出售给第三方之前，本公司仅确认因该交易产生的损益中</w:t>
      </w:r>
      <w:r>
        <w:rPr>
          <w:spacing w:val="-91"/>
        </w:rPr>
        <w:t> </w:t>
      </w:r>
      <w:r>
        <w:rPr>
          <w:spacing w:val="-91"/>
        </w:rPr>
      </w:r>
      <w:r>
        <w:rPr/>
        <w:t>归属于共同经营其他参与方的部分。该等资产发生符合《企业会计准则第</w:t>
      </w:r>
      <w:r>
        <w:rPr>
          <w:rFonts w:ascii="宋体" w:hAnsi="宋体" w:cs="宋体" w:eastAsia="宋体" w:hint="default"/>
        </w:rPr>
        <w:t>8</w:t>
      </w:r>
      <w:r>
        <w:rPr/>
        <w:t>号——资产减值》 等规定的资产减值损失的，对于由本公司向共同经营投出或出售资产的情况，本公司全额确</w:t>
      </w:r>
      <w:r>
        <w:rPr>
          <w:spacing w:val="-91"/>
        </w:rPr>
        <w:t> </w:t>
      </w:r>
      <w:r>
        <w:rPr>
          <w:spacing w:val="-91"/>
        </w:rPr>
      </w:r>
      <w:r>
        <w:rPr/>
        <w:t>认该损失；对于本公司自共同经营购买资产的情况，本公司按承担的份额确认该损失。</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99" w:firstLine="480"/>
        <w:jc w:val="both"/>
      </w:pPr>
      <w:r>
        <w:rPr/>
        <w:t>本公司现金及现金等价物包括库存现金、可以随时用于支付的存款以及本公司持有的期 限短（一般为从购买日起三个月内到期）、流动性强、易于转换为已知金额现金、价值变动</w:t>
      </w:r>
      <w:r>
        <w:rPr>
          <w:spacing w:val="-91"/>
        </w:rPr>
        <w:t> </w:t>
      </w:r>
      <w:r>
        <w:rPr>
          <w:spacing w:val="-91"/>
        </w:rPr>
      </w:r>
      <w:r>
        <w:rPr/>
        <w:t>风险很小的投资。</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、金融工具</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240" w:lineRule="auto" w:before="0"/>
        <w:ind w:left="633" w:right="94"/>
        <w:jc w:val="left"/>
      </w:pPr>
      <w:r>
        <w:rPr/>
        <w:t>在本公司成为金融工具合同的一方时确认一项金融资产或金融负债。金融资产和金融负</w:t>
      </w:r>
    </w:p>
    <w:p>
      <w:pPr>
        <w:spacing w:after="0" w:line="240" w:lineRule="auto"/>
        <w:jc w:val="left"/>
        <w:sectPr>
          <w:pgSz w:w="11910" w:h="16840"/>
          <w:pgMar w:header="745" w:footer="979" w:top="1060" w:bottom="1160" w:left="980" w:right="940"/>
        </w:sectPr>
      </w:pPr>
    </w:p>
    <w:p>
      <w:pPr>
        <w:spacing w:line="240" w:lineRule="auto" w:before="7"/>
        <w:rPr>
          <w:rFonts w:ascii="宋体" w:hAnsi="宋体" w:cs="宋体" w:eastAsia="宋体" w:hint="default"/>
          <w:sz w:val="29"/>
          <w:szCs w:val="29"/>
        </w:rPr>
      </w:pPr>
    </w:p>
    <w:p>
      <w:pPr>
        <w:pStyle w:val="BodyText"/>
        <w:spacing w:line="357" w:lineRule="auto" w:before="26"/>
        <w:ind w:right="154"/>
        <w:jc w:val="both"/>
      </w:pPr>
      <w:r>
        <w:rPr/>
        <w:t>债在初始确认时以公允价值计量。对于以公允价值计量且其变动计入当期损益的金融资产和</w:t>
      </w:r>
      <w:r>
        <w:rPr>
          <w:spacing w:val="-87"/>
        </w:rPr>
        <w:t> </w:t>
      </w:r>
      <w:r>
        <w:rPr>
          <w:spacing w:val="-87"/>
        </w:rPr>
      </w:r>
      <w:r>
        <w:rPr/>
        <w:t>金融负债，相关的交易费用直接计入损益；对于其他类别的金融资产和金融负债，相关交易</w:t>
      </w:r>
      <w:r>
        <w:rPr>
          <w:spacing w:val="-91"/>
        </w:rPr>
        <w:t> </w:t>
      </w:r>
      <w:r>
        <w:rPr>
          <w:spacing w:val="-91"/>
        </w:rPr>
      </w:r>
      <w:r>
        <w:rPr/>
        <w:t>费用计入初始确认金额。</w:t>
      </w:r>
    </w:p>
    <w:p>
      <w:pPr>
        <w:pStyle w:val="BodyText"/>
        <w:spacing w:line="357" w:lineRule="auto"/>
        <w:ind w:left="633" w:right="153"/>
        <w:jc w:val="left"/>
      </w:pPr>
      <w:r>
        <w:rPr/>
        <w:t>（</w:t>
      </w:r>
      <w:r>
        <w:rPr>
          <w:rFonts w:ascii="宋体" w:hAnsi="宋体" w:cs="宋体" w:eastAsia="宋体" w:hint="default"/>
        </w:rPr>
        <w:t>1</w:t>
      </w:r>
      <w:r>
        <w:rPr/>
        <w:t>）金融资产和金融负债的公允价值确定方法 公允价值，是指市场参与者在计量日发生的有序交易中，出售一项资产所能收到或者转</w:t>
      </w:r>
    </w:p>
    <w:p>
      <w:pPr>
        <w:pStyle w:val="BodyText"/>
        <w:spacing w:line="357" w:lineRule="auto"/>
        <w:ind w:right="158"/>
        <w:jc w:val="both"/>
      </w:pPr>
      <w:r>
        <w:rPr/>
        <w:t>移一项负债所需支付的价格。金融工具存在活跃市场的，本公司采用活跃市场中的报价确定</w:t>
      </w:r>
      <w:r>
        <w:rPr>
          <w:spacing w:val="-91"/>
        </w:rPr>
        <w:t> </w:t>
      </w:r>
      <w:r>
        <w:rPr>
          <w:spacing w:val="-91"/>
        </w:rPr>
      </w:r>
      <w:r>
        <w:rPr/>
        <w:t>其公允价值。活跃市场中的报价是指易于定期从交易所、经纪商、行业协会、定价服务机构</w:t>
      </w:r>
      <w:r>
        <w:rPr>
          <w:spacing w:val="-91"/>
        </w:rPr>
        <w:t> </w:t>
      </w:r>
      <w:r>
        <w:rPr>
          <w:spacing w:val="-91"/>
        </w:rPr>
      </w:r>
      <w:r>
        <w:rPr/>
        <w:t>等获得的价格，且代表了在公平交易中实际发生的市场交易的价格。金融工具不存在活跃市</w:t>
      </w:r>
      <w:r>
        <w:rPr>
          <w:spacing w:val="-91"/>
        </w:rPr>
        <w:t> </w:t>
      </w:r>
      <w:r>
        <w:rPr>
          <w:spacing w:val="-91"/>
        </w:rPr>
      </w:r>
      <w:r>
        <w:rPr/>
        <w:t>场的，本公司采用估值技术确定其公允价值。估值技术包括参考熟悉情况并自愿交易的各方</w:t>
      </w:r>
      <w:r>
        <w:rPr>
          <w:spacing w:val="-89"/>
        </w:rPr>
        <w:t> </w:t>
      </w:r>
      <w:r>
        <w:rPr>
          <w:spacing w:val="-89"/>
        </w:rPr>
      </w:r>
      <w:r>
        <w:rPr/>
        <w:t>最近进行的市场交易中使用的价格、参照实质上相同的其他金融工具当前的公允价值、现金</w:t>
      </w:r>
      <w:r>
        <w:rPr>
          <w:spacing w:val="-91"/>
        </w:rPr>
        <w:t> </w:t>
      </w:r>
      <w:r>
        <w:rPr>
          <w:spacing w:val="-91"/>
        </w:rPr>
      </w:r>
      <w:r>
        <w:rPr/>
        <w:t>流量折现法和期权定价模型等。</w:t>
      </w:r>
    </w:p>
    <w:p>
      <w:pPr>
        <w:pStyle w:val="BodyText"/>
        <w:spacing w:line="357" w:lineRule="auto"/>
        <w:ind w:left="633" w:right="153"/>
        <w:jc w:val="left"/>
      </w:pPr>
      <w:r>
        <w:rPr/>
        <w:t>（</w:t>
      </w:r>
      <w:r>
        <w:rPr>
          <w:rFonts w:ascii="宋体" w:hAnsi="宋体" w:cs="宋体" w:eastAsia="宋体" w:hint="default"/>
        </w:rPr>
        <w:t>2</w:t>
      </w:r>
      <w:r>
        <w:rPr/>
        <w:t>）金融资产的分类、确认和计量 以常规方式买卖金融资产，按交易日进行会计确认和终止确认。金融资产在初始确认时</w:t>
      </w:r>
    </w:p>
    <w:p>
      <w:pPr>
        <w:pStyle w:val="BodyText"/>
        <w:spacing w:line="357" w:lineRule="auto"/>
        <w:ind w:right="159"/>
        <w:jc w:val="both"/>
      </w:pPr>
      <w:r>
        <w:rPr/>
        <w:t>划分为以公允价值计量且其变动计入当期损益的金融资产、持有至到期投资、贷款和应收款</w:t>
      </w:r>
      <w:r>
        <w:rPr>
          <w:spacing w:val="-91"/>
        </w:rPr>
        <w:t> </w:t>
      </w:r>
      <w:r>
        <w:rPr>
          <w:spacing w:val="-91"/>
        </w:rPr>
      </w:r>
      <w:r>
        <w:rPr/>
        <w:t>项以及可供出售金融资产。</w:t>
      </w:r>
    </w:p>
    <w:p>
      <w:pPr>
        <w:pStyle w:val="BodyText"/>
        <w:spacing w:line="357" w:lineRule="auto"/>
        <w:ind w:left="633" w:right="153"/>
        <w:jc w:val="left"/>
      </w:pPr>
      <w:r>
        <w:rPr/>
        <w:t>① 以公允价值计量且其变动计入当期损益的金融资产 包括交易性金融资产和指定为以公允价值计量且其变动计入当期损益的金融资产。 交易性金融资产是指满足下列条件之一的金融资产：</w:t>
      </w:r>
      <w:r>
        <w:rPr>
          <w:rFonts w:ascii="宋体" w:hAnsi="宋体" w:cs="宋体" w:eastAsia="宋体" w:hint="default"/>
        </w:rPr>
        <w:t>A.</w:t>
      </w:r>
      <w:r>
        <w:rPr/>
        <w:t>取得该金融资产的目的，主要是</w:t>
      </w:r>
    </w:p>
    <w:p>
      <w:pPr>
        <w:pStyle w:val="BodyText"/>
        <w:spacing w:line="357" w:lineRule="auto"/>
        <w:ind w:right="155"/>
        <w:jc w:val="both"/>
      </w:pPr>
      <w:r>
        <w:rPr/>
        <w:t>为了近期内出售；</w:t>
      </w:r>
      <w:r>
        <w:rPr>
          <w:rFonts w:ascii="宋体" w:hAnsi="宋体" w:cs="宋体" w:eastAsia="宋体" w:hint="default"/>
        </w:rPr>
        <w:t>B.</w:t>
      </w:r>
      <w:r>
        <w:rPr/>
        <w:t>属于进行集中管理的可辨认金融工具组合的一部分，且有客观证据表明</w:t>
      </w:r>
      <w:r>
        <w:rPr>
          <w:spacing w:val="-91"/>
        </w:rPr>
        <w:t> </w:t>
      </w:r>
      <w:r>
        <w:rPr>
          <w:spacing w:val="-91"/>
        </w:rPr>
      </w:r>
      <w:r>
        <w:rPr/>
        <w:t>本公司近期采用短期获利方式对该组合进行管理；</w:t>
      </w:r>
      <w:r>
        <w:rPr>
          <w:rFonts w:ascii="宋体" w:hAnsi="宋体" w:cs="宋体" w:eastAsia="宋体" w:hint="default"/>
        </w:rPr>
        <w:t>C.</w:t>
      </w:r>
      <w:r>
        <w:rPr/>
        <w:t>属于衍生工具，但是，被指定且为有效</w:t>
      </w:r>
      <w:r>
        <w:rPr>
          <w:spacing w:val="-88"/>
        </w:rPr>
        <w:t> </w:t>
      </w:r>
      <w:r>
        <w:rPr>
          <w:spacing w:val="-88"/>
        </w:rPr>
      </w:r>
      <w:r>
        <w:rPr/>
        <w:t>套期工具的衍生工具、属于财务担保合同的衍生工具、与在活跃市场中没有报价且其公允价</w:t>
      </w:r>
      <w:r>
        <w:rPr>
          <w:spacing w:val="-91"/>
        </w:rPr>
        <w:t> </w:t>
      </w:r>
      <w:r>
        <w:rPr>
          <w:spacing w:val="-91"/>
        </w:rPr>
      </w:r>
      <w:r>
        <w:rPr/>
        <w:t>值不能可靠计量的权益工具投资挂钩并须通过交付该权益工具结算的衍生工具除外。</w:t>
      </w:r>
    </w:p>
    <w:p>
      <w:pPr>
        <w:pStyle w:val="BodyText"/>
        <w:spacing w:line="357" w:lineRule="auto"/>
        <w:ind w:right="155" w:firstLine="480"/>
        <w:jc w:val="both"/>
      </w:pPr>
      <w:r>
        <w:rPr/>
        <w:t>符合下述条件之一的金融资产，在初始确认时可指定为以公允价值计量且其变动计入当 期损益的金融资产：</w:t>
      </w:r>
      <w:r>
        <w:rPr>
          <w:rFonts w:ascii="宋体" w:hAnsi="宋体" w:cs="宋体" w:eastAsia="宋体" w:hint="default"/>
        </w:rPr>
        <w:t>A.</w:t>
      </w:r>
      <w:r>
        <w:rPr/>
        <w:t>该指定可以消除或明显减少由于该金融资产的计量基础不同所导致的</w:t>
      </w:r>
      <w:r>
        <w:rPr>
          <w:spacing w:val="-88"/>
        </w:rPr>
        <w:t> </w:t>
      </w:r>
      <w:r>
        <w:rPr>
          <w:spacing w:val="-88"/>
        </w:rPr>
      </w:r>
      <w:r>
        <w:rPr/>
        <w:t>相关利得或损失在确认或计量方面不一致的情况；</w:t>
      </w:r>
      <w:r>
        <w:rPr>
          <w:rFonts w:ascii="宋体" w:hAnsi="宋体" w:cs="宋体" w:eastAsia="宋体" w:hint="default"/>
        </w:rPr>
        <w:t>B.</w:t>
      </w:r>
      <w:r>
        <w:rPr/>
        <w:t>本公司风险管理或投资策略的正式书面</w:t>
      </w:r>
      <w:r>
        <w:rPr>
          <w:spacing w:val="-88"/>
        </w:rPr>
        <w:t> </w:t>
      </w:r>
      <w:r>
        <w:rPr>
          <w:spacing w:val="-88"/>
        </w:rPr>
      </w:r>
      <w:r>
        <w:rPr/>
        <w:t>文件已载明，对该金融资产所在的金融资产组合或金融资产和金融负债组合以公允价值为基</w:t>
      </w:r>
      <w:r>
        <w:rPr>
          <w:spacing w:val="-91"/>
        </w:rPr>
        <w:t> </w:t>
      </w:r>
      <w:r>
        <w:rPr>
          <w:spacing w:val="-91"/>
        </w:rPr>
      </w:r>
      <w:r>
        <w:rPr/>
        <w:t>础进行管理、评价并向关键管理人员报告。</w:t>
      </w:r>
    </w:p>
    <w:p>
      <w:pPr>
        <w:pStyle w:val="BodyText"/>
        <w:spacing w:line="357" w:lineRule="auto"/>
        <w:ind w:right="160" w:firstLine="480"/>
        <w:jc w:val="both"/>
      </w:pPr>
      <w:r>
        <w:rPr/>
        <w:t>以公允价值计量且其变动计入当期损益的金融资产采用公允价值进行后续计量，公允价 值变动形成的利得或损失以及与该等金融资产相关的股利和利息收入计入当期损益。</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left="633" w:right="153"/>
        <w:jc w:val="left"/>
      </w:pPr>
      <w:r>
        <w:rPr/>
        <w:t>② 持有至到期投资 是指到期日固定、回收金额固定或可确定，且本公司有明确意图和能力持有至到期的非</w:t>
      </w:r>
    </w:p>
    <w:p>
      <w:pPr>
        <w:pStyle w:val="BodyText"/>
        <w:spacing w:line="357" w:lineRule="auto"/>
        <w:ind w:left="633" w:right="153" w:hanging="481"/>
        <w:jc w:val="left"/>
      </w:pPr>
      <w:r>
        <w:rPr/>
        <w:t>衍生金融资产。 持有至到期投资采用实际利率法，按摊余成本进行后续计量，在终止确认、发生减值或</w:t>
      </w:r>
    </w:p>
    <w:p>
      <w:pPr>
        <w:pStyle w:val="BodyText"/>
        <w:spacing w:line="357" w:lineRule="auto"/>
        <w:ind w:left="633" w:right="153" w:hanging="481"/>
        <w:jc w:val="left"/>
      </w:pPr>
      <w:r>
        <w:rPr/>
        <w:t>摊销时产生的利得或损失，计入当期损益。 实际利率法是指按照金融资产或金融负债（含一组金融资产或金融负债）的实际利率计</w:t>
      </w:r>
    </w:p>
    <w:p>
      <w:pPr>
        <w:pStyle w:val="BodyText"/>
        <w:spacing w:line="357" w:lineRule="auto"/>
        <w:ind w:right="159"/>
        <w:jc w:val="both"/>
      </w:pPr>
      <w:r>
        <w:rPr/>
        <w:t>算其摊余成本及各期利息收入或支出的方法。实际利率是指将金融资产或金融负债在预期存</w:t>
      </w:r>
      <w:r>
        <w:rPr>
          <w:spacing w:val="-91"/>
        </w:rPr>
        <w:t> </w:t>
      </w:r>
      <w:r>
        <w:rPr>
          <w:spacing w:val="-91"/>
        </w:rPr>
      </w:r>
      <w:r>
        <w:rPr/>
        <w:t>续期间或适用的更短期间内的未来现金流量，折现为该金融资产或金融负债当前账面价值所</w:t>
      </w:r>
      <w:r>
        <w:rPr>
          <w:spacing w:val="-91"/>
        </w:rPr>
        <w:t> </w:t>
      </w:r>
      <w:r>
        <w:rPr>
          <w:spacing w:val="-91"/>
        </w:rPr>
      </w:r>
      <w:r>
        <w:rPr/>
        <w:t>使用的利率。</w:t>
      </w:r>
    </w:p>
    <w:p>
      <w:pPr>
        <w:pStyle w:val="BodyText"/>
        <w:spacing w:line="357" w:lineRule="auto"/>
        <w:ind w:right="159" w:firstLine="480"/>
        <w:jc w:val="both"/>
      </w:pPr>
      <w:r>
        <w:rPr/>
        <w:t>在计算实际利率时，本公司将在考虑金融资产或金融负债所有合同条款的基础上预计未 来现金流量（不考虑未来的信用损失），同时还将考虑金融资产或金融负债合同各方之间支</w:t>
      </w:r>
      <w:r>
        <w:rPr>
          <w:spacing w:val="-91"/>
        </w:rPr>
        <w:t> </w:t>
      </w:r>
      <w:r>
        <w:rPr>
          <w:spacing w:val="-91"/>
        </w:rPr>
      </w:r>
      <w:r>
        <w:rPr/>
        <w:t>付或收取的、属于实际利率组成部分的各项收费、交易费用及折价或溢价等。</w:t>
      </w:r>
    </w:p>
    <w:p>
      <w:pPr>
        <w:pStyle w:val="BodyText"/>
        <w:spacing w:line="357" w:lineRule="auto"/>
        <w:ind w:left="633" w:right="153"/>
        <w:jc w:val="left"/>
      </w:pPr>
      <w:r>
        <w:rPr/>
        <w:t>③ 贷款和应收款项 是指在活跃市场中没有报价、回收金额固定或可确定的非衍生金融资产。本公司划分为</w:t>
      </w:r>
    </w:p>
    <w:p>
      <w:pPr>
        <w:pStyle w:val="BodyText"/>
        <w:spacing w:line="357" w:lineRule="auto"/>
        <w:ind w:left="633" w:right="153" w:hanging="481"/>
        <w:jc w:val="left"/>
      </w:pPr>
      <w:r>
        <w:rPr/>
        <w:t>贷款和应收款的金融资产包括应收票据、应收账款、应收利息、应收股利及其他应收款等。 贷款和应收款项采用实际利率法，按摊余成本进行后续计量，在终止确认、发生减值或</w:t>
      </w:r>
    </w:p>
    <w:p>
      <w:pPr>
        <w:pStyle w:val="BodyText"/>
        <w:spacing w:line="240" w:lineRule="auto"/>
        <w:ind w:right="0"/>
        <w:jc w:val="both"/>
      </w:pPr>
      <w:r>
        <w:rPr/>
        <w:t>摊销时产生的利得或损失，计入当期损益。</w:t>
      </w:r>
    </w:p>
    <w:p>
      <w:pPr>
        <w:pStyle w:val="BodyText"/>
        <w:spacing w:line="357" w:lineRule="auto" w:before="154"/>
        <w:ind w:left="633" w:right="153"/>
        <w:jc w:val="left"/>
      </w:pPr>
      <w:r>
        <w:rPr/>
        <w:t>④ 可供出售金融资产 包括初始确认时即被指定为可供出售的非衍生金融资产，以及除了以公允价值计量且其</w:t>
      </w:r>
    </w:p>
    <w:p>
      <w:pPr>
        <w:pStyle w:val="BodyText"/>
        <w:spacing w:line="357" w:lineRule="auto"/>
        <w:ind w:left="633" w:right="153" w:hanging="481"/>
        <w:jc w:val="left"/>
      </w:pPr>
      <w:r>
        <w:rPr/>
        <w:t>变动计入当期损益的金融资产、贷款和应收款项、持有至到期投资以外的金融资产。 可供出售债务工具投资的期末成本按照摊余成本法确定，即初始确认金额扣除已偿还的</w:t>
      </w:r>
    </w:p>
    <w:p>
      <w:pPr>
        <w:pStyle w:val="BodyText"/>
        <w:spacing w:line="357" w:lineRule="auto" w:before="37"/>
        <w:ind w:right="159"/>
        <w:jc w:val="both"/>
      </w:pPr>
      <w:r>
        <w:rPr/>
        <w:t>本金，加上或减去采用实际利率法将该初始确认金额与到期日金额之间的差额进行摊销形成</w:t>
      </w:r>
      <w:r>
        <w:rPr>
          <w:spacing w:val="-91"/>
        </w:rPr>
        <w:t> </w:t>
      </w:r>
      <w:r>
        <w:rPr>
          <w:spacing w:val="-91"/>
        </w:rPr>
      </w:r>
      <w:r>
        <w:rPr/>
        <w:t>的累计摊销额，并扣除已发生的减值损失后的金额。可供出售权益工具投资的期末成本为其</w:t>
      </w:r>
      <w:r>
        <w:rPr>
          <w:spacing w:val="-91"/>
        </w:rPr>
        <w:t> </w:t>
      </w:r>
      <w:r>
        <w:rPr>
          <w:spacing w:val="-91"/>
        </w:rPr>
      </w:r>
      <w:r>
        <w:rPr/>
        <w:t>初始取得成本。</w:t>
      </w:r>
    </w:p>
    <w:p>
      <w:pPr>
        <w:pStyle w:val="BodyText"/>
        <w:spacing w:line="357" w:lineRule="auto"/>
        <w:ind w:right="159" w:firstLine="480"/>
        <w:jc w:val="both"/>
      </w:pPr>
      <w:r>
        <w:rPr/>
        <w:t>可供出售金融资产采用公允价值进行后续计量，公允价值变动形成的利得或损失，除减 值损失和外币货币性金融资产与摊余成本相关的汇兑差额计入当期损益外，确认为其他综合</w:t>
      </w:r>
      <w:r>
        <w:rPr>
          <w:spacing w:val="-91"/>
        </w:rPr>
        <w:t> </w:t>
      </w:r>
      <w:r>
        <w:rPr>
          <w:spacing w:val="-91"/>
        </w:rPr>
      </w:r>
      <w:r>
        <w:rPr/>
        <w:t>收益，在该金融资产终止确认时转出，计入当期损益。但是，在活跃市场中没有报价且其公</w:t>
      </w:r>
      <w:r>
        <w:rPr>
          <w:spacing w:val="-91"/>
        </w:rPr>
        <w:t> </w:t>
      </w:r>
      <w:r>
        <w:rPr>
          <w:spacing w:val="-91"/>
        </w:rPr>
      </w:r>
      <w:r>
        <w:rPr/>
        <w:t>允价值不能可靠计量的权益工具投资，以及与该权益工具挂钩并须通过交付该权益工具结算</w:t>
      </w:r>
      <w:r>
        <w:rPr>
          <w:spacing w:val="-91"/>
        </w:rPr>
        <w:t> </w:t>
      </w:r>
      <w:r>
        <w:rPr>
          <w:spacing w:val="-91"/>
        </w:rPr>
      </w:r>
      <w:r>
        <w:rPr/>
        <w:t>的衍生金融资产，按照成本进行后续计量。</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240" w:lineRule="auto" w:before="26"/>
        <w:ind w:left="633" w:right="96"/>
        <w:jc w:val="left"/>
      </w:pPr>
      <w:r>
        <w:rPr/>
        <w:t>可供出售金融资产持有期间取得的利息及被投资单位宣告发放的现金股利，计入投资收</w:t>
      </w:r>
    </w:p>
    <w:p>
      <w:pPr>
        <w:pStyle w:val="BodyText"/>
        <w:spacing w:line="240" w:lineRule="auto" w:before="154"/>
        <w:ind w:right="96"/>
        <w:jc w:val="left"/>
      </w:pPr>
      <w:r>
        <w:rPr/>
        <w:t>益。</w:t>
      </w:r>
    </w:p>
    <w:p>
      <w:pPr>
        <w:pStyle w:val="BodyText"/>
        <w:spacing w:line="357" w:lineRule="auto" w:before="154"/>
        <w:ind w:left="633" w:right="96"/>
        <w:jc w:val="left"/>
      </w:pPr>
      <w:r>
        <w:rPr/>
        <w:t>（</w:t>
      </w:r>
      <w:r>
        <w:rPr>
          <w:rFonts w:ascii="宋体" w:hAnsi="宋体" w:cs="宋体" w:eastAsia="宋体" w:hint="default"/>
        </w:rPr>
        <w:t>3</w:t>
      </w:r>
      <w:r>
        <w:rPr/>
        <w:t>）金融资产减值 除了以公允价值计量且其变动计入当期损益的金融资产外，本公司在每个资产负债表日</w:t>
      </w:r>
    </w:p>
    <w:p>
      <w:pPr>
        <w:pStyle w:val="BodyText"/>
        <w:spacing w:line="357" w:lineRule="auto"/>
        <w:ind w:left="633" w:right="96" w:hanging="481"/>
        <w:jc w:val="left"/>
      </w:pPr>
      <w:r>
        <w:rPr>
          <w:spacing w:val="-2"/>
        </w:rPr>
        <w:t>对其他金融资产的账面价值进行检查，有客观证据表明金融资产发生减值的，计提减值准备。</w:t>
      </w:r>
      <w:r>
        <w:rPr/>
        <w:t> 本公司对单项金额重大的金融资产单独进行减值测试；对单项金额不重大的金融资产，</w:t>
      </w:r>
    </w:p>
    <w:p>
      <w:pPr>
        <w:pStyle w:val="BodyText"/>
        <w:spacing w:line="357" w:lineRule="auto"/>
        <w:ind w:right="235"/>
        <w:jc w:val="both"/>
      </w:pPr>
      <w:r>
        <w:rPr/>
        <w:t>单独进行减值测试或包括在具有类似信用风险特征的金融资产组合中进行减值测试。单独测</w:t>
      </w:r>
      <w:r>
        <w:rPr>
          <w:spacing w:val="-88"/>
        </w:rPr>
        <w:t> </w:t>
      </w:r>
      <w:r>
        <w:rPr>
          <w:spacing w:val="-88"/>
        </w:rPr>
      </w:r>
      <w:r>
        <w:rPr/>
        <w:t>试未发生减值的金融资产（包括单项金额重大和不重大的金融资产），包括在具有类似信用</w:t>
      </w:r>
      <w:r>
        <w:rPr>
          <w:spacing w:val="-91"/>
        </w:rPr>
        <w:t> </w:t>
      </w:r>
      <w:r>
        <w:rPr>
          <w:spacing w:val="-91"/>
        </w:rPr>
      </w:r>
      <w:r>
        <w:rPr/>
        <w:t>风险特征的金融资产组合中再进行减值测试。已单项确认减值损失的金融资产，不包括在具</w:t>
      </w:r>
      <w:r>
        <w:rPr>
          <w:spacing w:val="-91"/>
        </w:rPr>
        <w:t> </w:t>
      </w:r>
      <w:r>
        <w:rPr>
          <w:spacing w:val="-91"/>
        </w:rPr>
      </w:r>
      <w:r>
        <w:rPr/>
        <w:t>有类似信用风险特征的金融资产组合中进行减值测试。</w:t>
      </w:r>
    </w:p>
    <w:p>
      <w:pPr>
        <w:pStyle w:val="BodyText"/>
        <w:spacing w:line="357" w:lineRule="auto"/>
        <w:ind w:left="633" w:right="96"/>
        <w:jc w:val="left"/>
      </w:pPr>
      <w:r>
        <w:rPr/>
        <w:t>① 持有至到期投资、贷款和应收款项减值 以成本或摊余成本计量的金融资产将其账面价值减记至预计未来现金流量现值，减记金</w:t>
      </w:r>
    </w:p>
    <w:p>
      <w:pPr>
        <w:pStyle w:val="BodyText"/>
        <w:spacing w:line="357" w:lineRule="auto"/>
        <w:ind w:right="239"/>
        <w:jc w:val="both"/>
      </w:pPr>
      <w:r>
        <w:rPr/>
        <w:t>额确认为减值损失，计入当期损益。金融资产在确认减值损失后，如有客观证据表明该金融</w:t>
      </w:r>
      <w:r>
        <w:rPr>
          <w:spacing w:val="-91"/>
        </w:rPr>
        <w:t> </w:t>
      </w:r>
      <w:r>
        <w:rPr>
          <w:spacing w:val="-91"/>
        </w:rPr>
      </w:r>
      <w:r>
        <w:rPr/>
        <w:t>资产价值已恢复，且客观上与确认该损失后发生的事项有关，原确认的减值损失予以转回，</w:t>
      </w:r>
      <w:r>
        <w:rPr>
          <w:spacing w:val="-91"/>
        </w:rPr>
        <w:t> </w:t>
      </w:r>
      <w:r>
        <w:rPr>
          <w:spacing w:val="-91"/>
        </w:rPr>
      </w:r>
      <w:r>
        <w:rPr/>
        <w:t>金融资产转回减值损失后的账面价值不超过假定不计提减值准备情况下该金融资产在转回日</w:t>
      </w:r>
      <w:r>
        <w:rPr>
          <w:spacing w:val="-91"/>
        </w:rPr>
        <w:t> </w:t>
      </w:r>
      <w:r>
        <w:rPr>
          <w:spacing w:val="-91"/>
        </w:rPr>
      </w:r>
      <w:r>
        <w:rPr/>
        <w:t>的摊余成本。</w:t>
      </w:r>
    </w:p>
    <w:p>
      <w:pPr>
        <w:pStyle w:val="BodyText"/>
        <w:spacing w:line="357" w:lineRule="auto"/>
        <w:ind w:left="633" w:right="96"/>
        <w:jc w:val="left"/>
      </w:pPr>
      <w:r>
        <w:rPr/>
        <w:t>② 可供出售金融资产减值 当综合相关因素判断可供出售权益工具投资公允价值下跌是严重或非暂时性下跌时，表</w:t>
      </w:r>
    </w:p>
    <w:p>
      <w:pPr>
        <w:pStyle w:val="BodyText"/>
        <w:spacing w:line="357" w:lineRule="auto"/>
        <w:ind w:right="232"/>
        <w:jc w:val="both"/>
      </w:pPr>
      <w:r>
        <w:rPr>
          <w:spacing w:val="6"/>
        </w:rPr>
        <w:t>明该可供出售权益工具投资发生减值。其中“严重下跌”是指公允价值下跌幅度累计超过</w:t>
      </w:r>
      <w:r>
        <w:rPr>
          <w:spacing w:val="-93"/>
        </w:rPr>
        <w:t> </w:t>
      </w:r>
      <w:r>
        <w:rPr>
          <w:spacing w:val="-93"/>
        </w:rPr>
      </w:r>
      <w:r>
        <w:rPr>
          <w:rFonts w:ascii="宋体" w:hAnsi="宋体" w:cs="宋体" w:eastAsia="宋体" w:hint="default"/>
        </w:rPr>
        <w:t>20%</w:t>
      </w:r>
      <w:r>
        <w:rPr/>
        <w:t>；“非暂时性下跌”是指公允价值连续下跌时间超过</w:t>
      </w:r>
      <w:r>
        <w:rPr>
          <w:rFonts w:ascii="宋体" w:hAnsi="宋体" w:cs="宋体" w:eastAsia="宋体" w:hint="default"/>
        </w:rPr>
        <w:t>12</w:t>
      </w:r>
      <w:r>
        <w:rPr/>
        <w:t>个月。</w:t>
      </w:r>
    </w:p>
    <w:p>
      <w:pPr>
        <w:pStyle w:val="BodyText"/>
        <w:spacing w:line="357" w:lineRule="auto"/>
        <w:ind w:right="239" w:firstLine="480"/>
        <w:jc w:val="both"/>
      </w:pPr>
      <w:r>
        <w:rPr/>
        <w:t>可供出售金融资产发生减值时，将原计入其他综合收益的因公允价值下降形成的累计损 失予以转出并计入当期损益，该转出的累计损失为该资产初始取得成本扣除已收回本金和已</w:t>
      </w:r>
      <w:r>
        <w:rPr>
          <w:spacing w:val="-91"/>
        </w:rPr>
        <w:t> </w:t>
      </w:r>
      <w:r>
        <w:rPr>
          <w:spacing w:val="-91"/>
        </w:rPr>
      </w:r>
      <w:r>
        <w:rPr/>
        <w:t>摊销金额、当前公允价值和原已计入损益的减值损失后的余额。</w:t>
      </w:r>
    </w:p>
    <w:p>
      <w:pPr>
        <w:pStyle w:val="BodyText"/>
        <w:spacing w:line="357" w:lineRule="auto"/>
        <w:ind w:right="239" w:firstLine="480"/>
        <w:jc w:val="both"/>
      </w:pPr>
      <w:r>
        <w:rPr/>
        <w:t>在确认减值损失后，期后如有客观证据表明该金融资产价值已恢复，且客观上与确认该 损失后发生的事项有关，原确认的减值损失予以转回，可供出售权益工具投资的减值损失转</w:t>
      </w:r>
      <w:r>
        <w:rPr>
          <w:spacing w:val="-91"/>
        </w:rPr>
        <w:t> </w:t>
      </w:r>
      <w:r>
        <w:rPr>
          <w:spacing w:val="-91"/>
        </w:rPr>
      </w:r>
      <w:r>
        <w:rPr/>
        <w:t>回确认为其他综合收益，可供出售债务工具的减值损失转回计入当期损益。</w:t>
      </w:r>
    </w:p>
    <w:p>
      <w:pPr>
        <w:pStyle w:val="BodyText"/>
        <w:spacing w:line="357" w:lineRule="auto"/>
        <w:ind w:right="240" w:firstLine="480"/>
        <w:jc w:val="both"/>
      </w:pPr>
      <w:r>
        <w:rPr/>
        <w:t>在活跃市场中没有报价且其公允价值不能可靠计量的权益工具投资，或与该权益工具挂 钩并须通过交付该权益工具结算的衍生金融资产的减值损失，不予转回。</w:t>
      </w:r>
    </w:p>
    <w:p>
      <w:pPr>
        <w:pStyle w:val="BodyText"/>
        <w:spacing w:line="240" w:lineRule="auto"/>
        <w:ind w:left="633" w:right="96"/>
        <w:jc w:val="left"/>
      </w:pPr>
      <w:r>
        <w:rPr/>
        <w:t>（</w:t>
      </w:r>
      <w:r>
        <w:rPr>
          <w:rFonts w:ascii="宋体" w:hAnsi="宋体" w:cs="宋体" w:eastAsia="宋体" w:hint="default"/>
        </w:rPr>
        <w:t>4</w:t>
      </w:r>
      <w:r>
        <w:rPr/>
        <w:t>）金融资产转移的确认依据和计量方法</w:t>
      </w:r>
    </w:p>
    <w:p>
      <w:pPr>
        <w:spacing w:after="0" w:line="240"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11" w:firstLine="480"/>
        <w:jc w:val="both"/>
      </w:pPr>
      <w:r>
        <w:rPr>
          <w:spacing w:val="-4"/>
        </w:rPr>
        <w:t>满足下列条件之一的金融资产，予以终止确认：①</w:t>
      </w:r>
      <w:r>
        <w:rPr>
          <w:spacing w:val="3"/>
        </w:rPr>
        <w:t> </w:t>
      </w:r>
      <w:r>
        <w:rPr/>
        <w:t>收取该金融资产现金流量的合同权利</w:t>
      </w:r>
      <w:r>
        <w:rPr/>
        <w:t> 终止；② 该金融资产已转移，且将金融资产所有权上几乎所有的风险和报酬转移给转入方；</w:t>
      </w:r>
    </w:p>
    <w:p>
      <w:pPr>
        <w:pStyle w:val="BodyText"/>
        <w:spacing w:line="357" w:lineRule="auto"/>
        <w:ind w:right="94"/>
        <w:jc w:val="left"/>
      </w:pPr>
      <w:r>
        <w:rPr/>
        <w:t>③该金融资产已转移，虽然企业既没有转移也没有保留金融资产所有权上几乎所有的风险和</w:t>
      </w:r>
      <w:r>
        <w:rPr>
          <w:spacing w:val="-91"/>
        </w:rPr>
        <w:t> </w:t>
      </w:r>
      <w:r>
        <w:rPr>
          <w:spacing w:val="-91"/>
        </w:rPr>
      </w:r>
      <w:r>
        <w:rPr/>
        <w:t>报酬，但是放弃了对该金融资产的控制。</w:t>
      </w:r>
    </w:p>
    <w:p>
      <w:pPr>
        <w:pStyle w:val="BodyText"/>
        <w:spacing w:line="357" w:lineRule="auto"/>
        <w:ind w:right="199" w:firstLine="480"/>
        <w:jc w:val="both"/>
      </w:pPr>
      <w:r>
        <w:rPr/>
        <w:t>若企业既没有转移也没有保留金融资产所有权上几乎所有的风险和报酬，且未放弃对该 金融资产的控制的，则按照继续涉入所转移金融资产的程度确认有关金融资产，并相应确认</w:t>
      </w:r>
      <w:r>
        <w:rPr>
          <w:spacing w:val="-91"/>
        </w:rPr>
        <w:t> </w:t>
      </w:r>
      <w:r>
        <w:rPr>
          <w:spacing w:val="-91"/>
        </w:rPr>
      </w:r>
      <w:r>
        <w:rPr/>
        <w:t>有关负债。继续涉入所转移金融资产的程度，是指该金融资产价值变动使企业面临的风险水</w:t>
      </w:r>
      <w:r>
        <w:rPr>
          <w:spacing w:val="-91"/>
        </w:rPr>
        <w:t> </w:t>
      </w:r>
      <w:r>
        <w:rPr>
          <w:spacing w:val="-91"/>
        </w:rPr>
      </w:r>
      <w:r>
        <w:rPr/>
        <w:t>平。</w:t>
      </w:r>
    </w:p>
    <w:p>
      <w:pPr>
        <w:pStyle w:val="BodyText"/>
        <w:spacing w:line="357" w:lineRule="auto"/>
        <w:ind w:right="197" w:firstLine="480"/>
        <w:jc w:val="both"/>
      </w:pPr>
      <w:r>
        <w:rPr/>
        <w:t>金融资产整体转移满足终止确认条件的，将所转移金融资产的账面价值及因转移而收到 的对价与原计入其他综合收益的公允价值变动累计额之和的差额计入当期损益。</w:t>
      </w:r>
    </w:p>
    <w:p>
      <w:pPr>
        <w:pStyle w:val="BodyText"/>
        <w:spacing w:line="357" w:lineRule="auto"/>
        <w:ind w:right="199" w:firstLine="480"/>
        <w:jc w:val="both"/>
      </w:pPr>
      <w:r>
        <w:rPr/>
        <w:t>金融资产部分转移满足终止确认条件的，将所转移金融资产的账面价值在终止确认及未 终止确认部分之间按其相对的公允价值进行分摊，并将因转移而收到的对价与应分摊至终止</w:t>
      </w:r>
      <w:r>
        <w:rPr>
          <w:spacing w:val="-91"/>
        </w:rPr>
        <w:t> </w:t>
      </w:r>
      <w:r>
        <w:rPr>
          <w:spacing w:val="-91"/>
        </w:rPr>
      </w:r>
      <w:r>
        <w:rPr/>
        <w:t>确认部分的原计入其他综合收益的公允价值变动累计额之和与分摊的前述账面金额之差额计</w:t>
      </w:r>
      <w:r>
        <w:rPr>
          <w:spacing w:val="-91"/>
        </w:rPr>
        <w:t> </w:t>
      </w:r>
      <w:r>
        <w:rPr>
          <w:spacing w:val="-91"/>
        </w:rPr>
      </w:r>
      <w:r>
        <w:rPr/>
        <w:t>入当期损益。</w:t>
      </w:r>
    </w:p>
    <w:p>
      <w:pPr>
        <w:pStyle w:val="BodyText"/>
        <w:spacing w:line="357" w:lineRule="auto"/>
        <w:ind w:right="198" w:firstLine="480"/>
        <w:jc w:val="both"/>
      </w:pPr>
      <w:r>
        <w:rPr/>
        <w:t>本公司对采用附追索权方式出售的金融资产，或将持有的金融资产背书转让，需确定该 金融资产所有权上几乎所有的风险和报酬是否已经转移。已将该金融资产所有权上几乎所有</w:t>
      </w:r>
      <w:r>
        <w:rPr>
          <w:spacing w:val="-91"/>
        </w:rPr>
        <w:t> </w:t>
      </w:r>
      <w:r>
        <w:rPr>
          <w:spacing w:val="-91"/>
        </w:rPr>
      </w:r>
      <w:r>
        <w:rPr/>
        <w:t>的风险和报酬转移给转入方的，终止确认该金融资产；保留了金融资产所有权上几乎所有的</w:t>
      </w:r>
      <w:r>
        <w:rPr>
          <w:spacing w:val="-90"/>
        </w:rPr>
        <w:t> </w:t>
      </w:r>
      <w:r>
        <w:rPr>
          <w:spacing w:val="-90"/>
        </w:rPr>
      </w:r>
      <w:r>
        <w:rPr/>
        <w:t>风险和报酬的，不终止确认该金融资产；既没有转移也没有保留金融资产所有权上几乎所有</w:t>
      </w:r>
      <w:r>
        <w:rPr>
          <w:spacing w:val="-91"/>
        </w:rPr>
        <w:t> </w:t>
      </w:r>
      <w:r>
        <w:rPr>
          <w:spacing w:val="-91"/>
        </w:rPr>
      </w:r>
      <w:r>
        <w:rPr/>
        <w:t>的风险和报酬的，则继续判断企业是否对该资产保留了控制，并根据前面各段所述的原则进</w:t>
      </w:r>
      <w:r>
        <w:rPr>
          <w:spacing w:val="-91"/>
        </w:rPr>
        <w:t> </w:t>
      </w:r>
      <w:r>
        <w:rPr>
          <w:spacing w:val="-91"/>
        </w:rPr>
      </w:r>
      <w:r>
        <w:rPr/>
        <w:t>行会计处理。</w:t>
      </w:r>
    </w:p>
    <w:p>
      <w:pPr>
        <w:pStyle w:val="BodyText"/>
        <w:spacing w:line="357" w:lineRule="auto"/>
        <w:ind w:left="633" w:right="94"/>
        <w:jc w:val="left"/>
      </w:pPr>
      <w:r>
        <w:rPr/>
        <w:t>（</w:t>
      </w:r>
      <w:r>
        <w:rPr>
          <w:rFonts w:ascii="宋体" w:hAnsi="宋体" w:cs="宋体" w:eastAsia="宋体" w:hint="default"/>
        </w:rPr>
        <w:t>5</w:t>
      </w:r>
      <w:r>
        <w:rPr/>
        <w:t>）金融负债的分类和计量 金融负债在初始确认时划分为以公允价值计量且其变动计入当期损益的金融负债和其他</w:t>
      </w:r>
    </w:p>
    <w:p>
      <w:pPr>
        <w:pStyle w:val="BodyText"/>
        <w:spacing w:line="357" w:lineRule="auto"/>
        <w:ind w:right="199"/>
        <w:jc w:val="both"/>
      </w:pPr>
      <w:r>
        <w:rPr/>
        <w:t>金融负债。初始确认金融负债，以公允价值计量。对于以公允价值计量且其变动计入当期损</w:t>
      </w:r>
      <w:r>
        <w:rPr>
          <w:spacing w:val="-91"/>
        </w:rPr>
        <w:t> </w:t>
      </w:r>
      <w:r>
        <w:rPr>
          <w:spacing w:val="-91"/>
        </w:rPr>
      </w:r>
      <w:r>
        <w:rPr/>
        <w:t>益的金融负债，相关的交易费用直接计入当期损益；对于其他金融负债，相关交易费用计入</w:t>
      </w:r>
      <w:r>
        <w:rPr>
          <w:spacing w:val="-91"/>
        </w:rPr>
        <w:t> </w:t>
      </w:r>
      <w:r>
        <w:rPr>
          <w:spacing w:val="-91"/>
        </w:rPr>
      </w:r>
      <w:r>
        <w:rPr/>
        <w:t>初始确认金额。</w:t>
      </w:r>
    </w:p>
    <w:p>
      <w:pPr>
        <w:pStyle w:val="BodyText"/>
        <w:spacing w:line="357" w:lineRule="auto"/>
        <w:ind w:left="633" w:right="94"/>
        <w:jc w:val="left"/>
      </w:pPr>
      <w:r>
        <w:rPr/>
        <w:t>① 以公允价值计量且其变动计入当期损益的金融负债 分类为交易性金融负债和在初始确认时指定为以公允价值计量且其变动计入当期损益的</w:t>
      </w:r>
    </w:p>
    <w:p>
      <w:pPr>
        <w:pStyle w:val="BodyText"/>
        <w:spacing w:line="357" w:lineRule="auto"/>
        <w:ind w:right="199"/>
        <w:jc w:val="both"/>
      </w:pPr>
      <w:r>
        <w:rPr/>
        <w:t>金融负债的条件与分类为交易性金融资产和在初始确认时指定为以公允价值计量且其变动计</w:t>
      </w:r>
      <w:r>
        <w:rPr>
          <w:spacing w:val="-91"/>
        </w:rPr>
        <w:t> </w:t>
      </w:r>
      <w:r>
        <w:rPr>
          <w:spacing w:val="-91"/>
        </w:rPr>
      </w:r>
      <w:r>
        <w:rPr/>
        <w:t>入当期损益的金融资产的条件一致。</w:t>
      </w:r>
    </w:p>
    <w:p>
      <w:pPr>
        <w:spacing w:after="0" w:line="357" w:lineRule="auto"/>
        <w:jc w:val="both"/>
        <w:sectPr>
          <w:pgSz w:w="11910" w:h="16840"/>
          <w:pgMar w:header="745" w:footer="979" w:top="1060" w:bottom="1160" w:left="980" w:right="940"/>
        </w:sectPr>
      </w:pPr>
    </w:p>
    <w:p>
      <w:pPr>
        <w:spacing w:line="240" w:lineRule="auto" w:before="7"/>
        <w:rPr>
          <w:rFonts w:ascii="宋体" w:hAnsi="宋体" w:cs="宋体" w:eastAsia="宋体" w:hint="default"/>
          <w:sz w:val="29"/>
          <w:szCs w:val="29"/>
        </w:rPr>
      </w:pPr>
    </w:p>
    <w:p>
      <w:pPr>
        <w:pStyle w:val="BodyText"/>
        <w:spacing w:line="357" w:lineRule="auto" w:before="26"/>
        <w:ind w:right="96" w:firstLine="480"/>
        <w:jc w:val="left"/>
      </w:pPr>
      <w:r>
        <w:rPr/>
        <w:t>以公允价值计量且其变动计入当期损益的金融负债采用公允价值进行后续计量，公允价 值的变动形成的利得或损失以及与该等金融负债相关的股利和利息支出计入当期损益。</w:t>
      </w:r>
    </w:p>
    <w:p>
      <w:pPr>
        <w:pStyle w:val="BodyText"/>
        <w:spacing w:line="357" w:lineRule="auto"/>
        <w:ind w:left="633" w:right="96"/>
        <w:jc w:val="left"/>
      </w:pPr>
      <w:r>
        <w:rPr/>
        <w:t>② 其他金融负债 与在活跃市场中没有报价、公允价值不能可靠计量的权益工具挂钩并须通过交付该权益</w:t>
      </w:r>
    </w:p>
    <w:p>
      <w:pPr>
        <w:pStyle w:val="BodyText"/>
        <w:spacing w:line="357" w:lineRule="auto"/>
        <w:ind w:right="238"/>
        <w:jc w:val="both"/>
      </w:pPr>
      <w:r>
        <w:rPr/>
        <w:t>工具结算的衍生金融负债，按照成本进行后续计量。其他金融负债采用实际利率法，按摊余</w:t>
      </w:r>
      <w:r>
        <w:rPr>
          <w:spacing w:val="-90"/>
        </w:rPr>
        <w:t> </w:t>
      </w:r>
      <w:r>
        <w:rPr>
          <w:spacing w:val="-90"/>
        </w:rPr>
      </w:r>
      <w:r>
        <w:rPr/>
        <w:t>成本进行后续计量，终止确认或摊销产生的利得或损失计入当期损益。</w:t>
      </w:r>
    </w:p>
    <w:p>
      <w:pPr>
        <w:pStyle w:val="BodyText"/>
        <w:spacing w:line="357" w:lineRule="auto"/>
        <w:ind w:left="633" w:right="96"/>
        <w:jc w:val="left"/>
      </w:pPr>
      <w:r>
        <w:rPr/>
        <w:t>③ 财务担保合同 不属于指定为以公允价值计量且其变动计入当期损益的金融负债的财务担保合同，以公</w:t>
      </w:r>
    </w:p>
    <w:p>
      <w:pPr>
        <w:pStyle w:val="BodyText"/>
        <w:spacing w:line="357" w:lineRule="auto"/>
        <w:ind w:right="235"/>
        <w:jc w:val="both"/>
      </w:pPr>
      <w:r>
        <w:rPr/>
        <w:t>允价值进行初始确认，在初始确认后按照《企业会计准则第</w:t>
      </w:r>
      <w:r>
        <w:rPr>
          <w:rFonts w:ascii="宋体" w:hAnsi="宋体" w:cs="宋体" w:eastAsia="宋体" w:hint="default"/>
        </w:rPr>
        <w:t>13</w:t>
      </w:r>
      <w:r>
        <w:rPr/>
        <w:t>号—或有事项》确定的金额和</w:t>
      </w:r>
      <w:r>
        <w:rPr>
          <w:spacing w:val="-88"/>
        </w:rPr>
        <w:t> </w:t>
      </w:r>
      <w:r>
        <w:rPr>
          <w:spacing w:val="-88"/>
        </w:rPr>
      </w:r>
      <w:r>
        <w:rPr/>
        <w:t>初始确认金额扣除按照《企业会计准则第</w:t>
      </w:r>
      <w:r>
        <w:rPr>
          <w:rFonts w:ascii="宋体" w:hAnsi="宋体" w:cs="宋体" w:eastAsia="宋体" w:hint="default"/>
        </w:rPr>
        <w:t>14</w:t>
      </w:r>
      <w:r>
        <w:rPr/>
        <w:t>号—收入》的原则确定的累计摊销额后的余额之</w:t>
      </w:r>
      <w:r>
        <w:rPr>
          <w:spacing w:val="-89"/>
        </w:rPr>
        <w:t> </w:t>
      </w:r>
      <w:r>
        <w:rPr>
          <w:spacing w:val="-89"/>
        </w:rPr>
      </w:r>
      <w:r>
        <w:rPr/>
        <w:t>中的较高者进行后续计量。</w:t>
      </w:r>
    </w:p>
    <w:p>
      <w:pPr>
        <w:pStyle w:val="BodyText"/>
        <w:spacing w:line="357" w:lineRule="auto"/>
        <w:ind w:left="633" w:right="96"/>
        <w:jc w:val="left"/>
      </w:pPr>
      <w:r>
        <w:rPr/>
        <w:t>（</w:t>
      </w:r>
      <w:r>
        <w:rPr>
          <w:rFonts w:ascii="宋体" w:hAnsi="宋体" w:cs="宋体" w:eastAsia="宋体" w:hint="default"/>
        </w:rPr>
        <w:t>6</w:t>
      </w:r>
      <w:r>
        <w:rPr/>
        <w:t>）金融负债的终止确认 金融负债的现时义务全部或部分已经解除的，才能终止确认该金融负债或其一部分。本</w:t>
      </w:r>
    </w:p>
    <w:p>
      <w:pPr>
        <w:pStyle w:val="BodyText"/>
        <w:spacing w:line="357" w:lineRule="auto"/>
        <w:ind w:right="239"/>
        <w:jc w:val="both"/>
      </w:pPr>
      <w:r>
        <w:rPr/>
        <w:t>公司（债务人）与债权人之间签订协议，以承担新金融负债方式替换现存金融负债，且新金</w:t>
      </w:r>
      <w:r>
        <w:rPr>
          <w:spacing w:val="-91"/>
        </w:rPr>
        <w:t> </w:t>
      </w:r>
      <w:r>
        <w:rPr>
          <w:spacing w:val="-91"/>
        </w:rPr>
      </w:r>
      <w:r>
        <w:rPr/>
        <w:t>融负债与现存金融负债的合同条款实质上不同的，终止确认现存金融负债，并同时确认新金</w:t>
      </w:r>
      <w:r>
        <w:rPr>
          <w:spacing w:val="-91"/>
        </w:rPr>
        <w:t> </w:t>
      </w:r>
      <w:r>
        <w:rPr>
          <w:spacing w:val="-91"/>
        </w:rPr>
      </w:r>
      <w:r>
        <w:rPr/>
        <w:t>融负债。</w:t>
      </w:r>
    </w:p>
    <w:p>
      <w:pPr>
        <w:pStyle w:val="BodyText"/>
        <w:spacing w:line="357" w:lineRule="auto"/>
        <w:ind w:right="96" w:firstLine="480"/>
        <w:jc w:val="left"/>
      </w:pPr>
      <w:r>
        <w:rPr/>
        <w:t>金融负债全部或部分终止确认的，将终止确认部分的账面价值与支付的对价（包括转出 的非现金资产或承担的新金融负债）之间的差额，计入当期损益。</w:t>
      </w:r>
    </w:p>
    <w:p>
      <w:pPr>
        <w:pStyle w:val="BodyText"/>
        <w:spacing w:line="357" w:lineRule="auto"/>
        <w:ind w:left="633" w:right="96"/>
        <w:jc w:val="left"/>
      </w:pPr>
      <w:r>
        <w:rPr/>
        <w:t>（</w:t>
      </w:r>
      <w:r>
        <w:rPr>
          <w:rFonts w:ascii="宋体" w:hAnsi="宋体" w:cs="宋体" w:eastAsia="宋体" w:hint="default"/>
        </w:rPr>
        <w:t>7</w:t>
      </w:r>
      <w:r>
        <w:rPr/>
        <w:t>）衍生工具及嵌入衍生工具 衍生工具于相关合同签署日以公允价值进行初始计量，并以公允价值进行后续计量。衍</w:t>
      </w:r>
    </w:p>
    <w:p>
      <w:pPr>
        <w:pStyle w:val="BodyText"/>
        <w:spacing w:line="357" w:lineRule="auto"/>
        <w:ind w:left="633" w:right="96" w:hanging="481"/>
        <w:jc w:val="left"/>
      </w:pPr>
      <w:r>
        <w:rPr/>
        <w:t>生工具的公允价值变动计入当期损益。 对包含嵌入衍生工具的混合工具，如未指定为以公允价值计量且其变动计入当期损益的</w:t>
      </w:r>
    </w:p>
    <w:p>
      <w:pPr>
        <w:pStyle w:val="BodyText"/>
        <w:spacing w:line="357" w:lineRule="auto"/>
        <w:ind w:right="239"/>
        <w:jc w:val="both"/>
      </w:pPr>
      <w:r>
        <w:rPr/>
        <w:t>金融资产或金融负债，嵌入衍生工具与该主合同在经济特征及风险方面不存在紧密关系，且</w:t>
      </w:r>
      <w:r>
        <w:rPr>
          <w:spacing w:val="-91"/>
        </w:rPr>
        <w:t> </w:t>
      </w:r>
      <w:r>
        <w:rPr>
          <w:spacing w:val="-91"/>
        </w:rPr>
      </w:r>
      <w:r>
        <w:rPr/>
        <w:t>与嵌入衍生工具条件相同，单独存在的工具符合衍生工具定义的，嵌入衍生工具从混合工具</w:t>
      </w:r>
      <w:r>
        <w:rPr>
          <w:spacing w:val="-91"/>
        </w:rPr>
        <w:t> </w:t>
      </w:r>
      <w:r>
        <w:rPr>
          <w:spacing w:val="-91"/>
        </w:rPr>
      </w:r>
      <w:r>
        <w:rPr/>
        <w:t>中分拆，作为单独的衍生金融工具处理。如果无法在取得时或后续的资产负债表日对嵌入衍</w:t>
      </w:r>
      <w:r>
        <w:rPr>
          <w:spacing w:val="-91"/>
        </w:rPr>
        <w:t> </w:t>
      </w:r>
      <w:r>
        <w:rPr>
          <w:spacing w:val="-91"/>
        </w:rPr>
      </w:r>
      <w:r>
        <w:rPr/>
        <w:t>生工具进行单独计量，则将混合工具整体指定为以公允价值计量且其变动计入当期损益的金</w:t>
      </w:r>
      <w:r>
        <w:rPr>
          <w:spacing w:val="-91"/>
        </w:rPr>
        <w:t> </w:t>
      </w:r>
      <w:r>
        <w:rPr>
          <w:spacing w:val="-91"/>
        </w:rPr>
      </w:r>
      <w:r>
        <w:rPr/>
        <w:t>融资产或金融负债。</w:t>
      </w:r>
    </w:p>
    <w:p>
      <w:pPr>
        <w:pStyle w:val="BodyText"/>
        <w:spacing w:line="357" w:lineRule="auto"/>
        <w:ind w:left="633" w:right="96"/>
        <w:jc w:val="left"/>
      </w:pPr>
      <w:r>
        <w:rPr/>
        <w:t>（</w:t>
      </w:r>
      <w:r>
        <w:rPr>
          <w:rFonts w:ascii="宋体" w:hAnsi="宋体" w:cs="宋体" w:eastAsia="宋体" w:hint="default"/>
        </w:rPr>
        <w:t>8</w:t>
      </w:r>
      <w:r>
        <w:rPr/>
        <w:t>）金融资产和金融负债的抵销 </w:t>
      </w:r>
      <w:r>
        <w:rPr>
          <w:spacing w:val="-3"/>
        </w:rPr>
        <w:t>当本公司具有抵销已确认金融资产和金融负债的法定权利，且目前可执行该种法定权利，</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55"/>
        <w:jc w:val="both"/>
      </w:pPr>
      <w:r>
        <w:rPr/>
        <w:t>同时本公司计划以净额结算或同时变现该金融资产和清偿该金融负债时，金融资产和金融负</w:t>
      </w:r>
      <w:r>
        <w:rPr>
          <w:spacing w:val="-88"/>
        </w:rPr>
        <w:t> </w:t>
      </w:r>
      <w:r>
        <w:rPr>
          <w:spacing w:val="-88"/>
        </w:rPr>
      </w:r>
      <w:r>
        <w:rPr/>
        <w:t>债以相互抵销后的金额在资产负债表内列示。除此以外，金融资产和金融负债在资产负债表</w:t>
      </w:r>
      <w:r>
        <w:rPr>
          <w:spacing w:val="-91"/>
        </w:rPr>
        <w:t> </w:t>
      </w:r>
      <w:r>
        <w:rPr>
          <w:spacing w:val="-91"/>
        </w:rPr>
      </w:r>
      <w:r>
        <w:rPr/>
        <w:t>内分别列示，不予相互抵销。</w:t>
      </w:r>
    </w:p>
    <w:p>
      <w:pPr>
        <w:pStyle w:val="BodyText"/>
        <w:spacing w:line="357" w:lineRule="auto"/>
        <w:ind w:left="633" w:right="153"/>
        <w:jc w:val="left"/>
      </w:pPr>
      <w:r>
        <w:rPr/>
        <w:t>（</w:t>
      </w:r>
      <w:r>
        <w:rPr>
          <w:rFonts w:ascii="宋体" w:hAnsi="宋体" w:cs="宋体" w:eastAsia="宋体" w:hint="default"/>
        </w:rPr>
        <w:t>9</w:t>
      </w:r>
      <w:r>
        <w:rPr/>
        <w:t>）权益工具 权益工具是指能证明拥有本公司在扣除所有负债后的资产中的剩余权益的合同。本公司</w:t>
      </w:r>
    </w:p>
    <w:p>
      <w:pPr>
        <w:pStyle w:val="BodyText"/>
        <w:spacing w:line="357" w:lineRule="auto"/>
        <w:ind w:right="159"/>
        <w:jc w:val="both"/>
      </w:pPr>
      <w:r>
        <w:rPr/>
        <w:t>发行（含再融资）、回购、出售或注销权益工具作为权益的变动处理。本公司不确认权益工</w:t>
      </w:r>
      <w:r>
        <w:rPr>
          <w:spacing w:val="-91"/>
        </w:rPr>
        <w:t> </w:t>
      </w:r>
      <w:r>
        <w:rPr>
          <w:spacing w:val="-91"/>
        </w:rPr>
      </w:r>
      <w:r>
        <w:rPr/>
        <w:t>具的公允价值变动。与权益性交易相关的交易费用从权益中扣减。</w:t>
      </w:r>
    </w:p>
    <w:p>
      <w:pPr>
        <w:pStyle w:val="BodyText"/>
        <w:spacing w:line="357" w:lineRule="auto" w:before="37"/>
        <w:ind w:right="153" w:firstLine="480"/>
        <w:jc w:val="left"/>
      </w:pPr>
      <w:r>
        <w:rPr/>
        <w:t>本公司对权益工具持有方的各种分配（不包括股票股利），减少股东权益。本公司不确 认权益工具的公允价值变动额。</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、应收款项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）单项金额重大并单独计提坏账准备的应收款项</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71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22"/>
              <w:jc w:val="left"/>
              <w:rPr>
                <w:rFonts w:ascii="宋体" w:hAnsi="宋体" w:cs="宋体" w:eastAsia="宋体" w:hint="default"/>
                <w:sz w:val="18"/>
                <w:szCs w:val="18"/>
              </w:rPr>
            </w:pPr>
            <w:r>
              <w:rPr>
                <w:rFonts w:ascii="宋体" w:hAnsi="宋体" w:cs="宋体" w:eastAsia="宋体" w:hint="default"/>
                <w:sz w:val="18"/>
                <w:szCs w:val="18"/>
              </w:rPr>
              <w:t>本公司将金额为人民币</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万元以上的应收款项确认为单项金 额重大的应收款项。</w:t>
            </w:r>
          </w:p>
        </w:tc>
      </w:tr>
      <w:tr>
        <w:trPr>
          <w:trHeight w:val="1649"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2"/>
              <w:jc w:val="both"/>
              <w:rPr>
                <w:rFonts w:ascii="宋体" w:hAnsi="宋体" w:cs="宋体" w:eastAsia="宋体" w:hint="default"/>
                <w:sz w:val="18"/>
                <w:szCs w:val="18"/>
              </w:rPr>
            </w:pPr>
            <w:r>
              <w:rPr>
                <w:rFonts w:ascii="宋体" w:hAnsi="宋体" w:cs="宋体" w:eastAsia="宋体" w:hint="default"/>
                <w:sz w:val="18"/>
                <w:szCs w:val="18"/>
              </w:rPr>
              <w:t>本公司对单项金额重大的应收款项单独进行减值测试，单独 测试未发生减值的金融资产，包括在具有类似信用风险特征 的金融资产组合中进行减值测试。单项测试已确认减值损失 的应收款项，不再包括在具有类似信用风险特征的应收款项 组合中进行减值测试。</w:t>
            </w:r>
          </w:p>
        </w:tc>
      </w:tr>
    </w:tbl>
    <w:p>
      <w:pPr>
        <w:spacing w:line="240" w:lineRule="auto" w:before="3"/>
        <w:rPr>
          <w:rFonts w:ascii="宋体" w:hAnsi="宋体" w:cs="宋体" w:eastAsia="宋体" w:hint="default"/>
          <w:b/>
          <w:bCs/>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）按信用风险特征组合计提坏账准备的应收款项</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w:t>
      </w:r>
    </w:p>
    <w:p>
      <w:pPr>
        <w:spacing w:before="115"/>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80.00%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w:t>
      </w:r>
    </w:p>
    <w:p>
      <w:pPr>
        <w:spacing w:line="340" w:lineRule="auto" w:before="115"/>
        <w:ind w:left="152" w:right="65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w:t>
      </w:r>
    </w:p>
    <w:p>
      <w:pPr>
        <w:spacing w:before="39"/>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）单项金额不重大但单独计提坏账准备的应收款项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spacing w:before="44"/>
        <w:ind w:left="0" w:right="161" w:firstLine="0"/>
        <w:jc w:val="right"/>
        <w:rPr>
          <w:rFonts w:ascii="宋体" w:hAnsi="宋体" w:cs="宋体" w:eastAsia="宋体" w:hint="default"/>
          <w:sz w:val="18"/>
          <w:szCs w:val="18"/>
        </w:rPr>
      </w:pPr>
      <w:r>
        <w:rPr/>
        <w:pict>
          <v:shape style="position:absolute;margin-left:56.459999pt;margin-top:-31.928312pt;width:479.2pt;height:98.6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3"/>
                    <w:gridCol w:w="4787"/>
                  </w:tblGrid>
                  <w:tr>
                    <w:trPr>
                      <w:trHeight w:val="196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本公司对于单项金额虽不重大但具备以下特征的应收款项， 单独进行减值测试，有客观证据表明其发生了减值的，根据 </w:t>
                        </w:r>
                        <w:r>
                          <w:rPr>
                            <w:rFonts w:ascii="宋体" w:hAnsi="宋体" w:cs="宋体" w:eastAsia="宋体" w:hint="default"/>
                            <w:spacing w:val="-2"/>
                            <w:sz w:val="18"/>
                            <w:szCs w:val="18"/>
                          </w:rPr>
                          <w:t>其未来现金流量现值低于其账面价值的差额，确认减值损失</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计提坏账准备</w:t>
                        </w:r>
                        <w:r>
                          <w:rPr>
                            <w:rFonts w:ascii="Times New Roman" w:hAnsi="Times New Roman" w:cs="Times New Roman" w:eastAsia="Times New Roman" w:hint="default"/>
                            <w:sz w:val="18"/>
                            <w:szCs w:val="18"/>
                          </w:rPr>
                          <w:t>:</w:t>
                        </w:r>
                        <w:r>
                          <w:rPr>
                            <w:rFonts w:ascii="宋体" w:hAnsi="宋体" w:cs="宋体" w:eastAsia="宋体" w:hint="default"/>
                            <w:sz w:val="18"/>
                            <w:szCs w:val="18"/>
                          </w:rPr>
                          <w:t>应收关联方款项；与对方存在争议或涉及诉 讼、仲裁的应收款项；已有明显迹象表明债务人很可能无法 履行还款义务的应收款项等。</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671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8"/>
        <w:ind w:left="633" w:right="2333"/>
        <w:jc w:val="left"/>
      </w:pPr>
      <w:r>
        <w:rPr/>
        <w:t>（</w:t>
      </w:r>
      <w:r>
        <w:rPr>
          <w:rFonts w:ascii="宋体" w:hAnsi="宋体" w:cs="宋体" w:eastAsia="宋体" w:hint="default"/>
        </w:rPr>
        <w:t>1</w:t>
      </w:r>
      <w:r>
        <w:rPr/>
        <w:t>）存货的分类 存货主要包括原材料、在产品、周转材料、产成品、库存商品等。</w:t>
      </w:r>
    </w:p>
    <w:p>
      <w:pPr>
        <w:pStyle w:val="BodyText"/>
        <w:spacing w:line="357" w:lineRule="auto"/>
        <w:ind w:left="633" w:right="153"/>
        <w:jc w:val="left"/>
      </w:pPr>
      <w:r>
        <w:rPr/>
        <w:t>（</w:t>
      </w:r>
      <w:r>
        <w:rPr>
          <w:rFonts w:ascii="宋体" w:hAnsi="宋体" w:cs="宋体" w:eastAsia="宋体" w:hint="default"/>
        </w:rPr>
        <w:t>2</w:t>
      </w:r>
      <w:r>
        <w:rPr/>
        <w:t>）存货取得和发出的计价方法 存货在取得时按实际成本计价，存货成本包括采购成本、加工成本和其他成本。领用和</w:t>
      </w:r>
    </w:p>
    <w:p>
      <w:pPr>
        <w:pStyle w:val="BodyText"/>
        <w:spacing w:line="240" w:lineRule="auto"/>
        <w:ind w:right="153"/>
        <w:jc w:val="left"/>
      </w:pPr>
      <w:r>
        <w:rPr/>
        <w:t>发出时按个别认定法等计价。</w:t>
      </w:r>
    </w:p>
    <w:p>
      <w:pPr>
        <w:pStyle w:val="BodyText"/>
        <w:spacing w:line="357" w:lineRule="auto" w:before="154"/>
        <w:ind w:left="633" w:right="153"/>
        <w:jc w:val="left"/>
      </w:pPr>
      <w:r>
        <w:rPr/>
        <w:t>（</w:t>
      </w:r>
      <w:r>
        <w:rPr>
          <w:rFonts w:ascii="宋体" w:hAnsi="宋体" w:cs="宋体" w:eastAsia="宋体" w:hint="default"/>
        </w:rPr>
        <w:t>3</w:t>
      </w:r>
      <w:r>
        <w:rPr/>
        <w:t>）存货可变现净值的确认和跌价准备的计提方法 可变现净值是指在日常活动中，存货的估计售价减去至完工时估计将要发生的成本、估</w:t>
      </w:r>
    </w:p>
    <w:p>
      <w:pPr>
        <w:pStyle w:val="BodyText"/>
        <w:spacing w:line="357" w:lineRule="auto"/>
        <w:ind w:right="153"/>
        <w:jc w:val="left"/>
      </w:pPr>
      <w:r>
        <w:rPr/>
        <w:t>计的销售费用以及相关税费后的金额。在确定存货的可变现净值时，以取得的确凿证据为基</w:t>
      </w:r>
      <w:r>
        <w:rPr>
          <w:spacing w:val="-91"/>
        </w:rPr>
        <w:t> </w:t>
      </w:r>
      <w:r>
        <w:rPr>
          <w:spacing w:val="-91"/>
        </w:rPr>
      </w:r>
      <w:r>
        <w:rPr/>
        <w:t>础，同时考虑持有存货的目的以及资产负债表日后事项的影响。</w:t>
      </w:r>
    </w:p>
    <w:p>
      <w:pPr>
        <w:pStyle w:val="BodyText"/>
        <w:spacing w:line="357" w:lineRule="auto"/>
        <w:ind w:right="153" w:firstLine="480"/>
        <w:jc w:val="left"/>
      </w:pPr>
      <w:r>
        <w:rPr/>
        <w:t>在资产负债表日，存货按照成本与可变现净值孰低计量。当其可变现净值低于成本时， 提取存货跌价准备。存货跌价准备按单个存货项目的成本高于其可变现净值的差额提取。</w:t>
      </w:r>
    </w:p>
    <w:p>
      <w:pPr>
        <w:pStyle w:val="BodyText"/>
        <w:spacing w:line="240" w:lineRule="auto"/>
        <w:ind w:left="633" w:right="153"/>
        <w:jc w:val="left"/>
      </w:pPr>
      <w:r>
        <w:rPr/>
        <w:t>（</w:t>
      </w:r>
      <w:r>
        <w:rPr>
          <w:rFonts w:ascii="宋体" w:hAnsi="宋体" w:cs="宋体" w:eastAsia="宋体" w:hint="default"/>
        </w:rPr>
        <w:t>4</w:t>
      </w:r>
      <w:r>
        <w:rPr/>
        <w:t>）存货的盘存制度为永续盘存制。</w:t>
      </w:r>
    </w:p>
    <w:p>
      <w:pPr>
        <w:pStyle w:val="BodyText"/>
        <w:spacing w:line="240" w:lineRule="auto" w:before="154"/>
        <w:ind w:left="633" w:right="153"/>
        <w:jc w:val="left"/>
      </w:pPr>
      <w:r>
        <w:rPr/>
        <w:t>（</w:t>
      </w:r>
      <w:r>
        <w:rPr>
          <w:rFonts w:ascii="宋体" w:hAnsi="宋体" w:cs="宋体" w:eastAsia="宋体" w:hint="default"/>
        </w:rPr>
        <w:t>5</w:t>
      </w:r>
      <w:r>
        <w:rPr/>
        <w:t>）低值易耗品和包装物的摊销方法</w:t>
      </w:r>
    </w:p>
    <w:p>
      <w:pPr>
        <w:spacing w:after="0" w:line="240" w:lineRule="auto"/>
        <w:jc w:val="left"/>
        <w:sectPr>
          <w:footerReference w:type="default" r:id="rId33"/>
          <w:pgSz w:w="11910" w:h="16840"/>
          <w:pgMar w:footer="979" w:header="745" w:top="1060" w:bottom="1160" w:left="980" w:right="980"/>
          <w:pgNumType w:start="120"/>
        </w:sectPr>
      </w:pPr>
    </w:p>
    <w:p>
      <w:pPr>
        <w:spacing w:line="240" w:lineRule="auto" w:before="7"/>
        <w:rPr>
          <w:rFonts w:ascii="宋体" w:hAnsi="宋体" w:cs="宋体" w:eastAsia="宋体" w:hint="default"/>
          <w:sz w:val="29"/>
          <w:szCs w:val="29"/>
        </w:rPr>
      </w:pPr>
    </w:p>
    <w:p>
      <w:pPr>
        <w:pStyle w:val="BodyText"/>
        <w:spacing w:line="240" w:lineRule="auto" w:before="26"/>
        <w:ind w:left="633" w:right="96"/>
        <w:jc w:val="left"/>
      </w:pPr>
      <w:r>
        <w:rPr/>
        <w:t>低值易耗品于领用时按一次摊销法摊销；包装物于领用时按一次摊销法摊销。</w:t>
      </w:r>
    </w:p>
    <w:p>
      <w:pPr>
        <w:spacing w:line="240" w:lineRule="auto" w:before="10"/>
        <w:rPr>
          <w:rFonts w:ascii="宋体" w:hAnsi="宋体" w:cs="宋体" w:eastAsia="宋体" w:hint="default"/>
          <w:sz w:val="30"/>
          <w:szCs w:val="30"/>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229" w:firstLine="480"/>
        <w:jc w:val="both"/>
      </w:pPr>
      <w:r>
        <w:rPr/>
        <w:t>本公司若主要通过出售（包括具有商业实质的非货币性资产交换，下同）而非持续使用 一项非流动资产或处置组收回其账面价值的，则将其划分为持有待售类别。具体标准为同时</w:t>
      </w:r>
      <w:r>
        <w:rPr>
          <w:spacing w:val="-86"/>
        </w:rPr>
        <w:t> </w:t>
      </w:r>
      <w:r>
        <w:rPr>
          <w:spacing w:val="-86"/>
        </w:rPr>
      </w:r>
      <w:r>
        <w:rPr/>
        <w:t>满足以下条件：某项非流动资产或处置组根据类似交易中出售此类资产或处置组的惯例，在</w:t>
      </w:r>
      <w:r>
        <w:rPr>
          <w:spacing w:val="-91"/>
        </w:rPr>
        <w:t> </w:t>
      </w:r>
      <w:r>
        <w:rPr>
          <w:spacing w:val="-91"/>
        </w:rPr>
      </w:r>
      <w:r>
        <w:rPr/>
        <w:t>当前状况下即可立即出售；本公司已经就出售计划作出决议且获得确定的购买承诺；预计出</w:t>
      </w:r>
      <w:r>
        <w:rPr>
          <w:spacing w:val="-91"/>
        </w:rPr>
        <w:t> </w:t>
      </w:r>
      <w:r>
        <w:rPr>
          <w:spacing w:val="-91"/>
        </w:rPr>
      </w:r>
      <w:r>
        <w:rPr/>
        <w:t>售将在一年内完成。其中，处置组是指在一项交易中作为整体通过出售或其他方式一并处置</w:t>
      </w:r>
      <w:r>
        <w:rPr>
          <w:spacing w:val="-91"/>
        </w:rPr>
        <w:t> </w:t>
      </w:r>
      <w:r>
        <w:rPr>
          <w:spacing w:val="-91"/>
        </w:rPr>
      </w:r>
      <w:r>
        <w:rPr/>
        <w:t>的一组资产，以及在该交易中转让的与这些资产直接相关的负债。处置组所属的资产组或资</w:t>
      </w:r>
      <w:r>
        <w:rPr>
          <w:spacing w:val="-91"/>
        </w:rPr>
        <w:t> </w:t>
      </w:r>
      <w:r>
        <w:rPr>
          <w:spacing w:val="-91"/>
        </w:rPr>
      </w:r>
      <w:r>
        <w:rPr/>
        <w:t>产组组合按照《企业会计准则第 </w:t>
      </w:r>
      <w:r>
        <w:rPr>
          <w:rFonts w:ascii="宋体" w:hAnsi="宋体" w:cs="宋体" w:eastAsia="宋体" w:hint="default"/>
        </w:rPr>
        <w:t>8</w:t>
      </w:r>
      <w:r>
        <w:rPr>
          <w:rFonts w:ascii="宋体" w:hAnsi="宋体" w:cs="宋体" w:eastAsia="宋体" w:hint="default"/>
          <w:spacing w:val="-5"/>
        </w:rPr>
        <w:t> </w:t>
      </w:r>
      <w:r>
        <w:rPr>
          <w:spacing w:val="-3"/>
        </w:rPr>
        <w:t>号——资产减值》分摊了企业合并中取得的商誉的，该处</w:t>
      </w:r>
      <w:r>
        <w:rPr/>
        <w:t> 置组应当包含分摊至处置组的商誉。</w:t>
      </w:r>
    </w:p>
    <w:p>
      <w:pPr>
        <w:pStyle w:val="BodyText"/>
        <w:spacing w:line="357" w:lineRule="auto"/>
        <w:ind w:right="231" w:firstLine="480"/>
        <w:jc w:val="both"/>
      </w:pPr>
      <w:r>
        <w:rPr/>
        <w:t>本公司初始计量或在资产负债表日重新计量划分为持有待售的非流动资产和处置组时， 其账面价值高于公允价值减去出售费用后的净额的，将账面价值减记至公允价值减去出售费</w:t>
      </w:r>
      <w:r>
        <w:rPr>
          <w:spacing w:val="-91"/>
        </w:rPr>
        <w:t> </w:t>
      </w:r>
      <w:r>
        <w:rPr>
          <w:spacing w:val="-91"/>
        </w:rPr>
      </w:r>
      <w:r>
        <w:rPr/>
        <w:t>用后的净额，减记的金额确认为资产减值损失，计入当期损益，同时计提持有待售资产减值</w:t>
      </w:r>
      <w:r>
        <w:rPr>
          <w:spacing w:val="-91"/>
        </w:rPr>
        <w:t> </w:t>
      </w:r>
      <w:r>
        <w:rPr>
          <w:spacing w:val="-91"/>
        </w:rPr>
      </w:r>
      <w:r>
        <w:rPr/>
        <w:t>准备。对于处置组，所确认的资产减值损失先抵减处置组中商誉的账面价值，再按比例抵减</w:t>
      </w:r>
      <w:r>
        <w:rPr>
          <w:spacing w:val="-91"/>
        </w:rPr>
        <w:t> </w:t>
      </w:r>
      <w:r>
        <w:rPr>
          <w:spacing w:val="-91"/>
        </w:rPr>
      </w:r>
      <w:r>
        <w:rPr>
          <w:spacing w:val="-5"/>
        </w:rPr>
        <w:t>该处置组内适用《企业会计准则第</w:t>
      </w:r>
      <w:r>
        <w:rPr>
          <w:rFonts w:ascii="宋体" w:hAnsi="宋体" w:cs="宋体" w:eastAsia="宋体" w:hint="default"/>
          <w:spacing w:val="-5"/>
        </w:rPr>
        <w:t>42</w:t>
      </w:r>
      <w:r>
        <w:rPr>
          <w:spacing w:val="-5"/>
        </w:rPr>
        <w:t>号——持有待售的非流动资产、处置组和终止经营》（以</w:t>
      </w:r>
      <w:r>
        <w:rPr>
          <w:spacing w:val="-112"/>
        </w:rPr>
        <w:t> </w:t>
      </w:r>
      <w:r>
        <w:rPr>
          <w:spacing w:val="-112"/>
        </w:rPr>
      </w:r>
      <w:r>
        <w:rPr/>
        <w:t>下简称“持有待售准则”）的计量规定的各项非流动资产的账面价值。后续资产负债表日持</w:t>
      </w:r>
      <w:r>
        <w:rPr>
          <w:spacing w:val="-92"/>
        </w:rPr>
        <w:t> </w:t>
      </w:r>
      <w:r>
        <w:rPr>
          <w:spacing w:val="-92"/>
        </w:rPr>
      </w:r>
      <w:r>
        <w:rPr/>
        <w:t>有待售的处置组公允价值减去出售费用后的净额增加的，以前减记的金额应当予以恢复，并</w:t>
      </w:r>
      <w:r>
        <w:rPr>
          <w:spacing w:val="-91"/>
        </w:rPr>
        <w:t> </w:t>
      </w:r>
      <w:r>
        <w:rPr>
          <w:spacing w:val="-91"/>
        </w:rPr>
      </w:r>
      <w:r>
        <w:rPr/>
        <w:t>在划分为持有待售类别后适用持有待售准则计量规定的非流动资产确认的资产减值损失金额</w:t>
      </w:r>
      <w:r>
        <w:rPr>
          <w:spacing w:val="-91"/>
        </w:rPr>
        <w:t> </w:t>
      </w:r>
      <w:r>
        <w:rPr>
          <w:spacing w:val="-91"/>
        </w:rPr>
      </w:r>
      <w:r>
        <w:rPr/>
        <w:t>内转回，转回金额计入当期损益，并根据处置组中除商誉外适用持有待售准则计量规定的各</w:t>
      </w:r>
      <w:r>
        <w:rPr>
          <w:spacing w:val="-91"/>
        </w:rPr>
        <w:t> </w:t>
      </w:r>
      <w:r>
        <w:rPr>
          <w:spacing w:val="-91"/>
        </w:rPr>
      </w:r>
      <w:r>
        <w:rPr/>
        <w:t>项非流动资产账面价值所占比重按比例增加其账面价值；已抵减的商誉账面价值，以及适用</w:t>
      </w:r>
      <w:r>
        <w:rPr>
          <w:spacing w:val="-91"/>
        </w:rPr>
        <w:t> </w:t>
      </w:r>
      <w:r>
        <w:rPr>
          <w:spacing w:val="-91"/>
        </w:rPr>
      </w:r>
      <w:r>
        <w:rPr>
          <w:spacing w:val="6"/>
        </w:rPr>
        <w:t>持有待售准则计量规定的非流动资产在划分为持有待售类别前确认的资产减值损失不得转</w:t>
      </w:r>
      <w:r>
        <w:rPr>
          <w:spacing w:val="-84"/>
        </w:rPr>
        <w:t> </w:t>
      </w:r>
      <w:r>
        <w:rPr>
          <w:spacing w:val="-84"/>
        </w:rPr>
      </w:r>
      <w:r>
        <w:rPr/>
        <w:t>回。</w:t>
      </w:r>
    </w:p>
    <w:p>
      <w:pPr>
        <w:pStyle w:val="BodyText"/>
        <w:spacing w:line="357" w:lineRule="auto"/>
        <w:ind w:right="96" w:firstLine="480"/>
        <w:jc w:val="left"/>
      </w:pPr>
      <w:r>
        <w:rPr/>
        <w:t>持有待售的非流动资产或处置组中的非流动资产不计提折旧或摊销，持有待售的处置组 中负债的利息和其他费用继续予以确认。</w:t>
      </w:r>
    </w:p>
    <w:p>
      <w:pPr>
        <w:pStyle w:val="BodyText"/>
        <w:spacing w:line="357" w:lineRule="auto"/>
        <w:ind w:right="96" w:firstLine="480"/>
        <w:jc w:val="left"/>
      </w:pPr>
      <w:r>
        <w:rPr/>
        <w:t>非流动资产或处置组不再满足持有待售类别的划分条件时，本公司不再将其继续划分为 持有待售类别或将非流动资产从持有待售的处置组中移除，并按照以下两者孰低计量：（</w:t>
      </w:r>
      <w:r>
        <w:rPr>
          <w:rFonts w:ascii="宋体" w:hAnsi="宋体" w:cs="宋体" w:eastAsia="宋体" w:hint="default"/>
        </w:rPr>
        <w:t>1</w:t>
      </w:r>
      <w:r>
        <w:rPr/>
        <w:t>） </w:t>
      </w:r>
      <w:r>
        <w:rPr>
          <w:spacing w:val="-2"/>
        </w:rPr>
        <w:t>划分为持有待售类别前的账面价值，按照假定不划分为持有待售类别情况下本应确认的折旧、</w:t>
      </w:r>
      <w:r>
        <w:rPr/>
        <w:t> 摊销或减值等进行调整后的金额；（</w:t>
      </w:r>
      <w:r>
        <w:rPr>
          <w:rFonts w:ascii="宋体" w:hAnsi="宋体" w:cs="宋体" w:eastAsia="宋体" w:hint="default"/>
        </w:rPr>
        <w:t>2</w:t>
      </w:r>
      <w:r>
        <w:rPr/>
        <w:t>）可收回金额。</w:t>
      </w:r>
    </w:p>
    <w:p>
      <w:pPr>
        <w:spacing w:after="0" w:line="357" w:lineRule="auto"/>
        <w:jc w:val="left"/>
        <w:sectPr>
          <w:pgSz w:w="11910" w:h="16840"/>
          <w:pgMar w:header="745" w:footer="979" w:top="1060" w:bottom="1160" w:left="980" w:right="900"/>
        </w:sectPr>
      </w:pPr>
    </w:p>
    <w:p>
      <w:pPr>
        <w:spacing w:line="240" w:lineRule="auto" w:before="10"/>
        <w:rPr>
          <w:rFonts w:ascii="宋体" w:hAnsi="宋体" w:cs="宋体" w:eastAsia="宋体" w:hint="default"/>
          <w:sz w:val="24"/>
          <w:szCs w:val="24"/>
        </w:rPr>
      </w:pPr>
    </w:p>
    <w:p>
      <w:pPr>
        <w:spacing w:before="36"/>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59" w:firstLine="480"/>
        <w:jc w:val="both"/>
      </w:pPr>
      <w:r>
        <w:rPr/>
        <w:t>本部分所指的长期股权投资是指本公司对被投资单位具有控制、共同控制或重大影响的 长期股权投资。本公司对被投资单位不具有控制、共同控制或重大影响的长期股权投资，作</w:t>
      </w:r>
      <w:r>
        <w:rPr>
          <w:spacing w:val="-91"/>
        </w:rPr>
        <w:t> </w:t>
      </w:r>
      <w:r>
        <w:rPr>
          <w:spacing w:val="-91"/>
        </w:rPr>
      </w:r>
      <w:r>
        <w:rPr/>
        <w:t>为可供出售金融资产或以公允价值计量且其变动计入当期损益的金融资产核算，其会计政策</w:t>
      </w:r>
      <w:r>
        <w:rPr>
          <w:spacing w:val="-91"/>
        </w:rPr>
        <w:t> </w:t>
      </w:r>
      <w:r>
        <w:rPr>
          <w:spacing w:val="-91"/>
        </w:rPr>
      </w:r>
      <w:r>
        <w:rPr/>
        <w:t>详见附注 “金融工具”。</w:t>
      </w:r>
    </w:p>
    <w:p>
      <w:pPr>
        <w:pStyle w:val="BodyText"/>
        <w:spacing w:line="357" w:lineRule="auto"/>
        <w:ind w:right="159" w:firstLine="480"/>
        <w:jc w:val="both"/>
      </w:pPr>
      <w:r>
        <w:rPr/>
        <w:t>共同控制，是指本公司按照相关约定对某项安排所共有的控制，并且该安排的相关活动 必须经过分享控制权的参与方一致同意后才能决策。重大影响，是指本公司对被投资单位的</w:t>
      </w:r>
      <w:r>
        <w:rPr>
          <w:spacing w:val="-91"/>
        </w:rPr>
        <w:t> </w:t>
      </w:r>
      <w:r>
        <w:rPr>
          <w:spacing w:val="-91"/>
        </w:rPr>
      </w:r>
      <w:r>
        <w:rPr/>
        <w:t>财务和经营政策有参与决策的权力，但并不能够控制或者与其他方一起共同控制这些政策的</w:t>
      </w:r>
      <w:r>
        <w:rPr>
          <w:spacing w:val="-91"/>
        </w:rPr>
        <w:t> </w:t>
      </w:r>
      <w:r>
        <w:rPr>
          <w:spacing w:val="-91"/>
        </w:rPr>
      </w:r>
      <w:r>
        <w:rPr/>
        <w:t>制定。</w:t>
      </w:r>
    </w:p>
    <w:p>
      <w:pPr>
        <w:pStyle w:val="BodyText"/>
        <w:spacing w:line="357" w:lineRule="auto"/>
        <w:ind w:left="633" w:right="153"/>
        <w:jc w:val="left"/>
      </w:pPr>
      <w:r>
        <w:rPr/>
        <w:t>（</w:t>
      </w:r>
      <w:r>
        <w:rPr>
          <w:rFonts w:ascii="宋体" w:hAnsi="宋体" w:cs="宋体" w:eastAsia="宋体" w:hint="default"/>
        </w:rPr>
        <w:t>1</w:t>
      </w:r>
      <w:r>
        <w:rPr/>
        <w:t>）投资成本的确定 对于同一控制下的企业合并取得的长期股权投资，在合并日按照被合并方股东权益在最</w:t>
      </w:r>
    </w:p>
    <w:p>
      <w:pPr>
        <w:pStyle w:val="BodyText"/>
        <w:spacing w:line="357" w:lineRule="auto"/>
        <w:ind w:right="156"/>
        <w:jc w:val="both"/>
      </w:pPr>
      <w:r>
        <w:rPr/>
        <w:t>终控制方合并财务报表中的账面价值的份额作为长期股权投资的初始投资成本。长期股权投</w:t>
      </w:r>
      <w:r>
        <w:rPr>
          <w:spacing w:val="-91"/>
        </w:rPr>
        <w:t> </w:t>
      </w:r>
      <w:r>
        <w:rPr>
          <w:spacing w:val="-91"/>
        </w:rPr>
      </w:r>
      <w:r>
        <w:rPr/>
        <w:t>资初始投资成本与支付的现金、转让的非现金资产以及所承担债务账面价值之间的差额，调</w:t>
      </w:r>
      <w:r>
        <w:rPr>
          <w:spacing w:val="-91"/>
        </w:rPr>
        <w:t> </w:t>
      </w:r>
      <w:r>
        <w:rPr>
          <w:spacing w:val="-91"/>
        </w:rPr>
      </w:r>
      <w:r>
        <w:rPr/>
        <w:t>整资本公积；资本公积不足冲减的，调整留存收益。以发行权益性证券作为合并对价的，在</w:t>
      </w:r>
      <w:r>
        <w:rPr>
          <w:spacing w:val="-89"/>
        </w:rPr>
        <w:t> </w:t>
      </w:r>
      <w:r>
        <w:rPr>
          <w:spacing w:val="-89"/>
        </w:rPr>
      </w:r>
      <w:r>
        <w:rPr/>
        <w:t>合并日按照被合并方股东权益在最终控制方合并财务报表中的账面价值的份额作为长期股权</w:t>
      </w:r>
      <w:r>
        <w:rPr>
          <w:spacing w:val="-91"/>
        </w:rPr>
        <w:t> </w:t>
      </w:r>
      <w:r>
        <w:rPr>
          <w:spacing w:val="-91"/>
        </w:rPr>
      </w:r>
      <w:r>
        <w:rPr/>
        <w:t>投资的初始投资成本，按照发行股份的面值总额作为股本，长期股权投资初始投资成本与所</w:t>
      </w:r>
      <w:r>
        <w:rPr>
          <w:spacing w:val="-91"/>
        </w:rPr>
        <w:t> </w:t>
      </w:r>
      <w:r>
        <w:rPr>
          <w:spacing w:val="-91"/>
        </w:rPr>
      </w:r>
      <w:r>
        <w:rPr/>
        <w:t>发行股份面值总额之间的差额，调整资本公积；资本公积不足冲减的，调整留存收益。</w:t>
      </w:r>
    </w:p>
    <w:p>
      <w:pPr>
        <w:pStyle w:val="BodyText"/>
        <w:spacing w:line="357" w:lineRule="auto"/>
        <w:ind w:right="153" w:firstLine="480"/>
        <w:jc w:val="both"/>
      </w:pPr>
      <w:r>
        <w:rPr/>
        <w:t>对于非同一控制下的企业合并取得的长期股权投资，在购买日按照合并成本作为长期股 权投资的初始投资成本，合并成本包括购买方付出的资产、发生或承担的负债、发行的权益</w:t>
      </w:r>
      <w:r>
        <w:rPr>
          <w:spacing w:val="-91"/>
        </w:rPr>
        <w:t> </w:t>
      </w:r>
      <w:r>
        <w:rPr>
          <w:spacing w:val="-91"/>
        </w:rPr>
      </w:r>
      <w:r>
        <w:rPr/>
        <w:t>性证券的公允价值之和。通过多次交易分步取得被购买方的股权，最终形成非同一控制下的</w:t>
      </w:r>
      <w:r>
        <w:rPr>
          <w:spacing w:val="-86"/>
        </w:rPr>
        <w:t> </w:t>
      </w:r>
      <w:r>
        <w:rPr>
          <w:spacing w:val="-86"/>
        </w:rPr>
      </w:r>
      <w:r>
        <w:rPr/>
        <w:t>企业合并的，应分别是否属于“一揽子交易”进行处理：属于“一揽子交易”的，将各项交</w:t>
      </w:r>
      <w:r>
        <w:rPr>
          <w:spacing w:val="-88"/>
        </w:rPr>
        <w:t> </w:t>
      </w:r>
      <w:r>
        <w:rPr>
          <w:spacing w:val="-88"/>
        </w:rPr>
      </w:r>
      <w:r>
        <w:rPr/>
        <w:t>易作为一项取得控制权的交易进行会计处理。不属于“一揽子交易”的，按照原持有被购买</w:t>
      </w:r>
      <w:r>
        <w:rPr>
          <w:spacing w:val="-88"/>
        </w:rPr>
        <w:t> </w:t>
      </w:r>
      <w:r>
        <w:rPr>
          <w:spacing w:val="-88"/>
        </w:rPr>
      </w:r>
      <w:r>
        <w:rPr/>
        <w:t>方的股权投资账面价值加上新增投资成本之和，作为改按成本法核算的长期股权投资的初始</w:t>
      </w:r>
      <w:r>
        <w:rPr>
          <w:spacing w:val="-91"/>
        </w:rPr>
        <w:t> </w:t>
      </w:r>
      <w:r>
        <w:rPr>
          <w:spacing w:val="-91"/>
        </w:rPr>
      </w:r>
      <w:r>
        <w:rPr/>
        <w:t>投资成本。原持有的股权采用权益法核算的，相关其他综合收益暂不进行会计处理。原持有</w:t>
      </w:r>
      <w:r>
        <w:rPr>
          <w:spacing w:val="-91"/>
        </w:rPr>
        <w:t> </w:t>
      </w:r>
      <w:r>
        <w:rPr>
          <w:spacing w:val="-91"/>
        </w:rPr>
      </w:r>
      <w:r>
        <w:rPr/>
        <w:t>股权投资为可供出售金融资产的，其公允价值与账面价值之间的差额，以及原计入其他综合</w:t>
      </w:r>
      <w:r>
        <w:rPr>
          <w:spacing w:val="-91"/>
        </w:rPr>
        <w:t> </w:t>
      </w:r>
      <w:r>
        <w:rPr>
          <w:spacing w:val="-91"/>
        </w:rPr>
      </w:r>
      <w:r>
        <w:rPr/>
        <w:t>收益的累计公允价值变动转入当期损益。</w:t>
      </w:r>
    </w:p>
    <w:p>
      <w:pPr>
        <w:pStyle w:val="BodyText"/>
        <w:spacing w:line="357" w:lineRule="auto"/>
        <w:ind w:right="156" w:firstLine="480"/>
        <w:jc w:val="both"/>
      </w:pPr>
      <w:r>
        <w:rPr/>
        <w:t>合并方或购买方为企业合并发生的审计、法律服务、评估咨询等中介费用以及其他相关 管理费用，于发生时计入当期损益。</w:t>
      </w:r>
    </w:p>
    <w:p>
      <w:pPr>
        <w:pStyle w:val="BodyText"/>
        <w:spacing w:line="240" w:lineRule="auto"/>
        <w:ind w:left="633" w:right="153"/>
        <w:jc w:val="left"/>
      </w:pPr>
      <w:r>
        <w:rPr/>
        <w:t>除企业合并形成的长期股权投资外的其他股权投资，按成本进行初始计量，该成本视长</w:t>
      </w:r>
    </w:p>
    <w:p>
      <w:pPr>
        <w:spacing w:after="0" w:line="240"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239"/>
        <w:jc w:val="both"/>
      </w:pPr>
      <w:r>
        <w:rPr/>
        <w:t>期股权投资取得方式的不同，分别按照本公司实际支付的现金购买价款、本公司发行的权益</w:t>
      </w:r>
      <w:r>
        <w:rPr>
          <w:spacing w:val="-91"/>
        </w:rPr>
        <w:t> </w:t>
      </w:r>
      <w:r>
        <w:rPr>
          <w:spacing w:val="-91"/>
        </w:rPr>
      </w:r>
      <w:r>
        <w:rPr/>
        <w:t>性证券的公允价值、投资合同或协议约定的价值、非货币性资产交换交易中换出资产的公允</w:t>
      </w:r>
      <w:r>
        <w:rPr>
          <w:spacing w:val="-91"/>
        </w:rPr>
        <w:t> </w:t>
      </w:r>
      <w:r>
        <w:rPr>
          <w:spacing w:val="-91"/>
        </w:rPr>
      </w:r>
      <w:r>
        <w:rPr/>
        <w:t>价值或原账面价值、该项长期股权投资自身的公允价值等方式确定。与取得长期股权投资直</w:t>
      </w:r>
      <w:r>
        <w:rPr>
          <w:spacing w:val="-91"/>
        </w:rPr>
        <w:t> </w:t>
      </w:r>
      <w:r>
        <w:rPr>
          <w:spacing w:val="-91"/>
        </w:rPr>
      </w:r>
      <w:r>
        <w:rPr/>
        <w:t>接相关的费用、税金及其他必要支出也计入投资成本。</w:t>
      </w:r>
    </w:p>
    <w:p>
      <w:pPr>
        <w:pStyle w:val="BodyText"/>
        <w:spacing w:line="357" w:lineRule="auto"/>
        <w:ind w:left="633" w:right="96"/>
        <w:jc w:val="left"/>
      </w:pPr>
      <w:r>
        <w:rPr/>
        <w:t>（</w:t>
      </w:r>
      <w:r>
        <w:rPr>
          <w:rFonts w:ascii="宋体" w:hAnsi="宋体" w:cs="宋体" w:eastAsia="宋体" w:hint="default"/>
        </w:rPr>
        <w:t>2</w:t>
      </w:r>
      <w:r>
        <w:rPr/>
        <w:t>）后续计量及损益确认方法 对被投资单位具有共同控制（构成共同经营者除外）或重大影响的长期股权投资，采用</w:t>
      </w:r>
    </w:p>
    <w:p>
      <w:pPr>
        <w:pStyle w:val="BodyText"/>
        <w:spacing w:line="357" w:lineRule="auto"/>
        <w:ind w:right="239"/>
        <w:jc w:val="both"/>
      </w:pPr>
      <w:r>
        <w:rPr/>
        <w:t>权益法核算。此外，公司财务报表采用成本法核算能够对被投资单位实施控制的长期股权投</w:t>
      </w:r>
      <w:r>
        <w:rPr>
          <w:spacing w:val="-91"/>
        </w:rPr>
        <w:t> </w:t>
      </w:r>
      <w:r>
        <w:rPr>
          <w:spacing w:val="-91"/>
        </w:rPr>
      </w:r>
      <w:r>
        <w:rPr/>
        <w:t>资。</w:t>
      </w:r>
    </w:p>
    <w:p>
      <w:pPr>
        <w:pStyle w:val="BodyText"/>
        <w:spacing w:line="357" w:lineRule="auto"/>
        <w:ind w:left="633" w:right="96"/>
        <w:jc w:val="left"/>
      </w:pPr>
      <w:r>
        <w:rPr/>
        <w:t>① 成本法核算的长期股权投资 采用成本法核算时，长期股权投资按初始投资成本计价，追加或收回投资调整长期股权</w:t>
      </w:r>
    </w:p>
    <w:p>
      <w:pPr>
        <w:pStyle w:val="BodyText"/>
        <w:spacing w:line="357" w:lineRule="auto"/>
        <w:ind w:right="239"/>
        <w:jc w:val="both"/>
      </w:pPr>
      <w:r>
        <w:rPr/>
        <w:t>投资的成本。除取得投资时实际支付的价款或者对价中包含的已宣告但尚未发放的现金股利</w:t>
      </w:r>
      <w:r>
        <w:rPr>
          <w:spacing w:val="-91"/>
        </w:rPr>
        <w:t> </w:t>
      </w:r>
      <w:r>
        <w:rPr>
          <w:spacing w:val="-91"/>
        </w:rPr>
      </w:r>
      <w:r>
        <w:rPr/>
        <w:t>或者利润外，当期投资收益按照享有被投资单位宣告发放的现金股利或利润确认。</w:t>
      </w:r>
    </w:p>
    <w:p>
      <w:pPr>
        <w:pStyle w:val="BodyText"/>
        <w:spacing w:line="357" w:lineRule="auto"/>
        <w:ind w:left="633" w:right="96"/>
        <w:jc w:val="left"/>
      </w:pPr>
      <w:r>
        <w:rPr/>
        <w:t>② 权益法核算的长期股权投资 采用权益法核算时，长期股权投资的初始投资成本大于投资时应享有被投资单位可辨认</w:t>
      </w:r>
    </w:p>
    <w:p>
      <w:pPr>
        <w:pStyle w:val="BodyText"/>
        <w:spacing w:line="357" w:lineRule="auto"/>
        <w:ind w:right="234"/>
        <w:jc w:val="both"/>
      </w:pPr>
      <w:r>
        <w:rPr/>
        <w:t>净资产公允价值份额的，不调整长期股权投资的初始投资成本；初始投资成本小于投资时应</w:t>
      </w:r>
      <w:r>
        <w:rPr>
          <w:spacing w:val="-87"/>
        </w:rPr>
        <w:t> </w:t>
      </w:r>
      <w:r>
        <w:rPr>
          <w:spacing w:val="-87"/>
        </w:rPr>
      </w:r>
      <w:r>
        <w:rPr/>
        <w:t>享有被投资单位可辨认净资产公允价值份额的，其差额计入当期损益，同时调整长期股权投</w:t>
      </w:r>
      <w:r>
        <w:rPr>
          <w:spacing w:val="-91"/>
        </w:rPr>
        <w:t> </w:t>
      </w:r>
      <w:r>
        <w:rPr>
          <w:spacing w:val="-91"/>
        </w:rPr>
      </w:r>
      <w:r>
        <w:rPr/>
        <w:t>资的成本。</w:t>
      </w:r>
    </w:p>
    <w:p>
      <w:pPr>
        <w:pStyle w:val="BodyText"/>
        <w:spacing w:line="357" w:lineRule="auto"/>
        <w:ind w:right="96" w:firstLine="480"/>
        <w:jc w:val="left"/>
      </w:pPr>
      <w:r>
        <w:rPr/>
        <w:t>采用权益法核算时，按照应享有或应分担的被投资单位实现的净损益和其他综合收益的 份额，分别确认投资收益和其他综合收益，同时调整长期股权投资的账面价值；按照被投资</w:t>
      </w:r>
      <w:r>
        <w:rPr>
          <w:spacing w:val="-91"/>
        </w:rPr>
        <w:t> </w:t>
      </w:r>
      <w:r>
        <w:rPr>
          <w:spacing w:val="-91"/>
        </w:rPr>
      </w:r>
      <w:r>
        <w:rPr/>
        <w:t>单位宣告分派的利润或现金股利计算应享有的部分，相应减少长期股权投资的账面价值；对</w:t>
      </w:r>
      <w:r>
        <w:rPr>
          <w:spacing w:val="-91"/>
        </w:rPr>
        <w:t> </w:t>
      </w:r>
      <w:r>
        <w:rPr>
          <w:spacing w:val="-91"/>
        </w:rPr>
      </w:r>
      <w:r>
        <w:rPr/>
        <w:t>于被投资单位除净损益、其他综合收益和利润分配以外所有者权益的其他变动，调整长期股</w:t>
      </w:r>
      <w:r>
        <w:rPr>
          <w:spacing w:val="-91"/>
        </w:rPr>
        <w:t> </w:t>
      </w:r>
      <w:r>
        <w:rPr>
          <w:spacing w:val="-91"/>
        </w:rPr>
      </w:r>
      <w:r>
        <w:rPr/>
        <w:t>权投资的账面价值并计入资本公积。在确认应享有被投资单位净损益的份额时，以取得投资</w:t>
      </w:r>
      <w:r>
        <w:rPr>
          <w:spacing w:val="-91"/>
        </w:rPr>
        <w:t> </w:t>
      </w:r>
      <w:r>
        <w:rPr>
          <w:spacing w:val="-91"/>
        </w:rPr>
      </w:r>
      <w:r>
        <w:rPr>
          <w:spacing w:val="-2"/>
        </w:rPr>
        <w:t>时被投资单位各项可辨认资产等的公允价值为基础，对被投资单位的净利润进行调整后确认。</w:t>
      </w:r>
      <w:r>
        <w:rPr/>
        <w:t> 被投资单位采用的会计政策及会计期间与本公司不一致的，按照本公司的会计政策及会计期</w:t>
      </w:r>
      <w:r>
        <w:rPr>
          <w:spacing w:val="-91"/>
        </w:rPr>
        <w:t> </w:t>
      </w:r>
      <w:r>
        <w:rPr>
          <w:spacing w:val="-91"/>
        </w:rPr>
      </w:r>
      <w:r>
        <w:rPr/>
        <w:t>间对被投资单位的财务报表进行调整，并据以确认投资收益和其他综合收益。对于本公司与</w:t>
      </w:r>
      <w:r>
        <w:rPr>
          <w:spacing w:val="-91"/>
        </w:rPr>
        <w:t> </w:t>
      </w:r>
      <w:r>
        <w:rPr>
          <w:spacing w:val="-91"/>
        </w:rPr>
      </w:r>
      <w:r>
        <w:rPr/>
        <w:t>联营企业及合营企业之间发生的交易，投出或出售的资产不构成业务的，未实现内部交易损</w:t>
      </w:r>
      <w:r>
        <w:rPr>
          <w:spacing w:val="-91"/>
        </w:rPr>
        <w:t> </w:t>
      </w:r>
      <w:r>
        <w:rPr>
          <w:spacing w:val="-91"/>
        </w:rPr>
      </w:r>
      <w:r>
        <w:rPr/>
        <w:t>益按照享有的比例计算归属于本公司的部分予以抵销，在此基础上确认投资损益。但本公司</w:t>
      </w:r>
      <w:r>
        <w:rPr>
          <w:spacing w:val="-91"/>
        </w:rPr>
        <w:t> </w:t>
      </w:r>
      <w:r>
        <w:rPr>
          <w:spacing w:val="-91"/>
        </w:rPr>
      </w:r>
      <w:r>
        <w:rPr/>
        <w:t>与被投资单位发生的未实现内部交易损失，属于所转让资产减值损失的，不予以抵销。本公</w:t>
      </w:r>
      <w:r>
        <w:rPr>
          <w:spacing w:val="-91"/>
        </w:rPr>
        <w:t> </w:t>
      </w:r>
      <w:r>
        <w:rPr>
          <w:spacing w:val="-91"/>
        </w:rPr>
      </w:r>
      <w:r>
        <w:rPr/>
        <w:t>司向合营企业或联营企业投出的资产构成业务的，投资方因此取得长期股权投资但未取得控</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8"/>
        <w:jc w:val="left"/>
      </w:pPr>
      <w:r>
        <w:rPr/>
        <w:t>制权的，以投出业务的公允价值作为新增长期股权投资的初始投资成本，初始投资成本与投</w:t>
      </w:r>
      <w:r>
        <w:rPr>
          <w:spacing w:val="-91"/>
        </w:rPr>
        <w:t> </w:t>
      </w:r>
      <w:r>
        <w:rPr>
          <w:spacing w:val="-91"/>
        </w:rPr>
      </w:r>
      <w:r>
        <w:rPr/>
        <w:t>出业务的账面价值之差，全额计入当期损益。本公司向合营企业或联营企业出售的资产构成</w:t>
      </w:r>
      <w:r>
        <w:rPr>
          <w:spacing w:val="-91"/>
        </w:rPr>
        <w:t> </w:t>
      </w:r>
      <w:r>
        <w:rPr>
          <w:spacing w:val="-91"/>
        </w:rPr>
      </w:r>
      <w:r>
        <w:rPr/>
        <w:t>业务的，取得的对价与业务的账面价值之差，全额计入当期损益。本公司自联营企业及合营</w:t>
      </w:r>
      <w:r>
        <w:rPr>
          <w:spacing w:val="-91"/>
        </w:rPr>
        <w:t> </w:t>
      </w:r>
      <w:r>
        <w:rPr>
          <w:spacing w:val="-91"/>
        </w:rPr>
      </w:r>
      <w:r>
        <w:rPr>
          <w:spacing w:val="-2"/>
        </w:rPr>
        <w:t>企业购入的资产构成业务的，按《企业会计准则第</w:t>
      </w:r>
      <w:r>
        <w:rPr>
          <w:rFonts w:ascii="宋体" w:hAnsi="宋体" w:cs="宋体" w:eastAsia="宋体" w:hint="default"/>
          <w:spacing w:val="-2"/>
        </w:rPr>
        <w:t>20</w:t>
      </w:r>
      <w:r>
        <w:rPr>
          <w:spacing w:val="-2"/>
        </w:rPr>
        <w:t>号——企业合并》的规定进行会计处理，</w:t>
      </w:r>
      <w:r>
        <w:rPr/>
        <w:t> 全额确认与交易相关的利得或损失。</w:t>
      </w:r>
    </w:p>
    <w:p>
      <w:pPr>
        <w:pStyle w:val="BodyText"/>
        <w:spacing w:line="357" w:lineRule="auto"/>
        <w:ind w:right="236" w:firstLine="480"/>
        <w:jc w:val="right"/>
      </w:pPr>
      <w:r>
        <w:rPr/>
        <w:t>在确认应分担被投资单位发生的净亏损时，以长期股权投资的账面价值和其他实质上构 成对被投资单位净投资的长期权益减记至零为限。此外，如本公司对被投资单位负有承担额</w:t>
      </w:r>
      <w:r>
        <w:rPr>
          <w:spacing w:val="-99"/>
        </w:rPr>
        <w:t> </w:t>
      </w:r>
      <w:r>
        <w:rPr>
          <w:spacing w:val="-99"/>
        </w:rPr>
      </w:r>
      <w:r>
        <w:rPr/>
        <w:t>外损失的义务，则按预计承担的义务确认预计负债，计入当期投资损失。被投资单位以后期</w:t>
      </w:r>
      <w:r>
        <w:rPr>
          <w:spacing w:val="-103"/>
        </w:rPr>
        <w:t> </w:t>
      </w:r>
      <w:r>
        <w:rPr>
          <w:spacing w:val="-103"/>
        </w:rPr>
      </w:r>
      <w:r>
        <w:rPr/>
        <w:t>间实现净利润的，本公司在收益分享额弥补未确认的亏损分担额后，恢复确认收益分享额。 </w:t>
      </w:r>
      <w:r>
        <w:rPr>
          <w:spacing w:val="6"/>
        </w:rPr>
        <w:t>对于本公司首次执行新会计准则之前已经持有的对联营企业和合营企业的长期股权投</w:t>
      </w:r>
    </w:p>
    <w:p>
      <w:pPr>
        <w:pStyle w:val="BodyText"/>
        <w:spacing w:line="240" w:lineRule="auto"/>
        <w:ind w:right="0"/>
        <w:jc w:val="left"/>
      </w:pPr>
      <w:r>
        <w:rPr>
          <w:spacing w:val="-2"/>
        </w:rPr>
        <w:t>资，如存在与该投资相关的股权投资借方差额，按原剩余期限直线摊销的金额计入当期损益。</w:t>
      </w:r>
    </w:p>
    <w:p>
      <w:pPr>
        <w:pStyle w:val="BodyText"/>
        <w:spacing w:line="357" w:lineRule="auto" w:before="154"/>
        <w:ind w:left="633" w:right="96"/>
        <w:jc w:val="left"/>
      </w:pPr>
      <w:r>
        <w:rPr/>
        <w:t>③ 收购少数股权 在编制合并财务报表时，因购买少数股权新增的长期股权投资与按照新增持股比例计算</w:t>
      </w:r>
    </w:p>
    <w:p>
      <w:pPr>
        <w:pStyle w:val="BodyText"/>
        <w:spacing w:line="357" w:lineRule="auto"/>
        <w:ind w:right="96"/>
        <w:jc w:val="left"/>
      </w:pPr>
      <w:r>
        <w:rPr>
          <w:spacing w:val="-3"/>
        </w:rPr>
        <w:t>应享有子公司自购买日（或合并日）开始持续计算的净资产份额之间的差额，调整资本公积，</w:t>
      </w:r>
      <w:r>
        <w:rPr>
          <w:spacing w:val="-80"/>
        </w:rPr>
        <w:t> </w:t>
      </w:r>
      <w:r>
        <w:rPr>
          <w:spacing w:val="-80"/>
        </w:rPr>
      </w:r>
      <w:r>
        <w:rPr/>
        <w:t>资本公积不足冲减的，调整留存收益。</w:t>
      </w:r>
    </w:p>
    <w:p>
      <w:pPr>
        <w:pStyle w:val="BodyText"/>
        <w:spacing w:line="357" w:lineRule="auto"/>
        <w:ind w:left="633" w:right="96"/>
        <w:jc w:val="left"/>
      </w:pPr>
      <w:r>
        <w:rPr/>
        <w:t>④ 处置长期股权投资 </w:t>
      </w:r>
      <w:r>
        <w:rPr>
          <w:spacing w:val="-3"/>
        </w:rPr>
        <w:t>在合并财务报表中，母公司在不丧失控制权的情况下部分处置对子公司的长期股权投资，</w:t>
      </w:r>
    </w:p>
    <w:p>
      <w:pPr>
        <w:pStyle w:val="BodyText"/>
        <w:spacing w:line="357" w:lineRule="auto"/>
        <w:ind w:right="233"/>
        <w:jc w:val="both"/>
      </w:pPr>
      <w:r>
        <w:rPr/>
        <w:t>处置价款与处置长期股权投资相对应享有子公司净资产的差额计入股东权益；母公司部分处</w:t>
      </w:r>
      <w:r>
        <w:rPr>
          <w:spacing w:val="-91"/>
        </w:rPr>
        <w:t> </w:t>
      </w:r>
      <w:r>
        <w:rPr>
          <w:spacing w:val="-91"/>
        </w:rPr>
      </w:r>
      <w:r>
        <w:rPr/>
        <w:t>置对子公司的长期股权投资导致丧失对子公司控制权的，按本附注四、</w:t>
      </w:r>
      <w:r>
        <w:rPr>
          <w:rFonts w:ascii="宋体" w:hAnsi="宋体" w:cs="宋体" w:eastAsia="宋体" w:hint="default"/>
        </w:rPr>
        <w:t>5</w:t>
      </w:r>
      <w:r>
        <w:rPr/>
        <w:t>、（</w:t>
      </w:r>
      <w:r>
        <w:rPr>
          <w:rFonts w:ascii="宋体" w:hAnsi="宋体" w:cs="宋体" w:eastAsia="宋体" w:hint="default"/>
        </w:rPr>
        <w:t>2</w:t>
      </w:r>
      <w:r>
        <w:rPr/>
        <w:t>）“合并财务</w:t>
      </w:r>
      <w:r>
        <w:rPr>
          <w:spacing w:val="-87"/>
        </w:rPr>
        <w:t> </w:t>
      </w:r>
      <w:r>
        <w:rPr>
          <w:spacing w:val="-87"/>
        </w:rPr>
      </w:r>
      <w:r>
        <w:rPr/>
        <w:t>报表编制的方法”中所述的相关会计政策处理。</w:t>
      </w:r>
    </w:p>
    <w:p>
      <w:pPr>
        <w:pStyle w:val="BodyText"/>
        <w:spacing w:line="357" w:lineRule="auto"/>
        <w:ind w:right="96" w:firstLine="480"/>
        <w:jc w:val="left"/>
      </w:pPr>
      <w:r>
        <w:rPr>
          <w:spacing w:val="-3"/>
        </w:rPr>
        <w:t>其他情形下的长期股权投资处置，对于处置的股权，其账面价值与实际取得价款的差额，</w:t>
      </w:r>
      <w:r>
        <w:rPr/>
        <w:t> 计入当期损益。</w:t>
      </w:r>
    </w:p>
    <w:p>
      <w:pPr>
        <w:pStyle w:val="BodyText"/>
        <w:spacing w:line="357" w:lineRule="auto"/>
        <w:ind w:right="238" w:firstLine="480"/>
        <w:jc w:val="both"/>
      </w:pPr>
      <w:r>
        <w:rPr/>
        <w:t>采用权益法核算的长期股权投资，处置后的剩余股权仍采用权益法核算的，在处置时将 原计入股东权益的其他综合收益部分按相应的比例采用与被投资单位直接处置相关资产或负</w:t>
      </w:r>
      <w:r>
        <w:rPr>
          <w:spacing w:val="-91"/>
        </w:rPr>
        <w:t> </w:t>
      </w:r>
      <w:r>
        <w:rPr>
          <w:spacing w:val="-91"/>
        </w:rPr>
      </w:r>
      <w:r>
        <w:rPr/>
        <w:t>债相同的基础进行会计处理。因被投资方除净损益、其他综合收益和利润分配以外的其他所</w:t>
      </w:r>
      <w:r>
        <w:rPr>
          <w:spacing w:val="-91"/>
        </w:rPr>
        <w:t> </w:t>
      </w:r>
      <w:r>
        <w:rPr>
          <w:spacing w:val="-91"/>
        </w:rPr>
      </w:r>
      <w:r>
        <w:rPr/>
        <w:t>有者权益变动而确认的所有者权益，按比例结转入当期损益。</w:t>
      </w:r>
    </w:p>
    <w:p>
      <w:pPr>
        <w:pStyle w:val="BodyText"/>
        <w:spacing w:line="357" w:lineRule="auto"/>
        <w:ind w:right="239" w:firstLine="480"/>
        <w:jc w:val="both"/>
      </w:pPr>
      <w:r>
        <w:rPr/>
        <w:t>采用成本法核算的长期股权投资，处置后剩余股权仍采用成本法核算的，其在取得对被 投资单位的控制之前因采用权益法核算或金融工具确认和计量准则核算而确认的其他综合收</w:t>
      </w:r>
      <w:r>
        <w:rPr>
          <w:spacing w:val="-91"/>
        </w:rPr>
        <w:t> </w:t>
      </w:r>
      <w:r>
        <w:rPr>
          <w:spacing w:val="-91"/>
        </w:rPr>
      </w:r>
      <w:r>
        <w:rPr/>
        <w:t>益，采用与被投资单位直接处置相关资产或负债相同的基础进行会计处理，并按比例结转当</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96"/>
        <w:jc w:val="left"/>
      </w:pPr>
      <w:r>
        <w:rPr/>
        <w:t>期损益；因采用权益法核算而确认的被投资单位净资产中除净损益、其他综合收益和利润分</w:t>
      </w:r>
      <w:r>
        <w:rPr>
          <w:spacing w:val="-89"/>
        </w:rPr>
        <w:t> </w:t>
      </w:r>
      <w:r>
        <w:rPr>
          <w:spacing w:val="-89"/>
        </w:rPr>
      </w:r>
      <w:r>
        <w:rPr/>
        <w:t>配以外的其他所有者权益变动按比例结转当期损益。</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57" w:lineRule="auto" w:before="0"/>
        <w:ind w:left="152" w:right="8054"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成本法计量 折旧或摊销方法</w:t>
      </w:r>
    </w:p>
    <w:p>
      <w:pPr>
        <w:pStyle w:val="BodyText"/>
        <w:spacing w:line="357" w:lineRule="auto" w:before="59"/>
        <w:ind w:right="96" w:firstLine="480"/>
        <w:jc w:val="left"/>
      </w:pPr>
      <w:r>
        <w:rPr/>
        <w:t>投资性房地产是指为赚取租金或资本增值，或两者兼有而持有的房地产。包括已出租的 土地使用权、持有并准备增值后转让的土地使用权、已出租的建筑物等。</w:t>
      </w:r>
    </w:p>
    <w:p>
      <w:pPr>
        <w:pStyle w:val="BodyText"/>
        <w:spacing w:line="357" w:lineRule="auto"/>
        <w:ind w:right="96" w:firstLine="480"/>
        <w:jc w:val="left"/>
      </w:pPr>
      <w:r>
        <w:rPr/>
        <w:t>投资性房地产按成本进行初始计量。与投资性房地产有关的后续支出，如果与该资产有 </w:t>
      </w:r>
      <w:r>
        <w:rPr>
          <w:spacing w:val="-2"/>
        </w:rPr>
        <w:t>关的经济利益很可能流入且其成本能可靠地计量，则计入投资性房地产成本。其他后续支出，</w:t>
      </w:r>
      <w:r>
        <w:rPr/>
        <w:t> 在发生时计入当期损益。</w:t>
      </w:r>
    </w:p>
    <w:p>
      <w:pPr>
        <w:pStyle w:val="BodyText"/>
        <w:spacing w:line="357" w:lineRule="auto"/>
        <w:ind w:right="96" w:firstLine="480"/>
        <w:jc w:val="left"/>
      </w:pPr>
      <w:r>
        <w:rPr/>
        <w:t>本公司采用成本模式对投资性房地产进行后续计量，并按照与房屋建筑物或土地使用权 一致的政策进行折旧或摊销。</w:t>
      </w:r>
    </w:p>
    <w:p>
      <w:pPr>
        <w:pStyle w:val="BodyText"/>
        <w:spacing w:line="357" w:lineRule="auto"/>
        <w:ind w:left="633" w:right="96"/>
        <w:jc w:val="left"/>
      </w:pPr>
      <w:r>
        <w:rPr/>
        <w:t>投资性房地产的减值测试方法和减值准备计提方法详见附注 “长期资产减值”。 自用房地产或存货转换为投资性房地产或投资性房地产转换为自用房地产时，按转换前</w:t>
      </w:r>
    </w:p>
    <w:p>
      <w:pPr>
        <w:pStyle w:val="BodyText"/>
        <w:spacing w:line="357" w:lineRule="auto"/>
        <w:ind w:left="633" w:right="96" w:hanging="481"/>
        <w:jc w:val="left"/>
      </w:pPr>
      <w:r>
        <w:rPr/>
        <w:t>的账面价值作为转换后的入账价值。 投资性房地产的用途改变为自用时，自改变之日起，将该投资性房地产转换为固定资产</w:t>
      </w:r>
    </w:p>
    <w:p>
      <w:pPr>
        <w:pStyle w:val="BodyText"/>
        <w:spacing w:line="357" w:lineRule="auto" w:before="34"/>
        <w:ind w:right="96"/>
        <w:jc w:val="left"/>
      </w:pPr>
      <w:r>
        <w:rPr/>
        <w:t>或无形资产。自用房地产的用途改变为赚取租金或资本增值时，自改变之日起，将固定资产</w:t>
      </w:r>
      <w:r>
        <w:rPr>
          <w:spacing w:val="-91"/>
        </w:rPr>
        <w:t> </w:t>
      </w:r>
      <w:r>
        <w:rPr>
          <w:spacing w:val="-91"/>
        </w:rPr>
      </w:r>
      <w:r>
        <w:rPr>
          <w:spacing w:val="-2"/>
        </w:rPr>
        <w:t>或无形资产转换为投资性房地产。发生转换时，转换为采用成本模式计量的投资性房地产的，</w:t>
      </w:r>
      <w:r>
        <w:rPr/>
        <w:t> </w:t>
      </w:r>
      <w:r>
        <w:rPr>
          <w:spacing w:val="-2"/>
        </w:rPr>
        <w:t>以转换前的账面价值作为转换后的入账价值；转换为以公允价值模式计量的投资性房地产的，</w:t>
      </w:r>
      <w:r>
        <w:rPr/>
        <w:t> 以转换日的公允价值作为转换后的入账价值。</w:t>
      </w:r>
    </w:p>
    <w:p>
      <w:pPr>
        <w:pStyle w:val="BodyText"/>
        <w:spacing w:line="357" w:lineRule="auto" w:before="37"/>
        <w:ind w:right="239" w:firstLine="480"/>
        <w:jc w:val="both"/>
      </w:pPr>
      <w:r>
        <w:rPr/>
        <w:t>当投资性房地产被处置、或者永久退出使用且预计不能从其处置中取得经济利益时，终 止确认该项投资性房地产。投资性房地产出售、转让、报废或毁损的处置收入扣除其账面价</w:t>
      </w:r>
      <w:r>
        <w:rPr>
          <w:spacing w:val="-91"/>
        </w:rPr>
        <w:t> </w:t>
      </w:r>
      <w:r>
        <w:rPr>
          <w:spacing w:val="-91"/>
        </w:rPr>
      </w:r>
      <w:r>
        <w:rPr/>
        <w:t>值和相关税费后计入当期损益。</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）确认条件</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96" w:firstLine="480"/>
        <w:jc w:val="left"/>
      </w:pPr>
      <w:r>
        <w:rPr/>
        <w:t>固定资产是指为生产商品、提供劳务、出租或经营管理而持有的，使用寿命超过一个会 计年度的有形资产。固定资产仅在与其有关的经济利益很可能流入本公司，且其成本能够可</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240" w:lineRule="auto" w:before="26"/>
        <w:ind w:right="153"/>
        <w:jc w:val="left"/>
      </w:pPr>
      <w:r>
        <w:rPr/>
        <w:t>靠地计量时才予以确认。固定资产按成本并考虑预计弃置费用因素的影响进行初始计量。</w:t>
      </w:r>
    </w:p>
    <w:p>
      <w:pPr>
        <w:spacing w:line="240" w:lineRule="auto" w:before="10"/>
        <w:rPr>
          <w:rFonts w:ascii="宋体" w:hAnsi="宋体" w:cs="宋体" w:eastAsia="宋体" w:hint="default"/>
          <w:sz w:val="30"/>
          <w:szCs w:val="30"/>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）折旧方法</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25-35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2.71-3.88</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3-10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9.50-32.33</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19.00-32.33</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19.00-32.33</w:t>
            </w:r>
          </w:p>
        </w:tc>
      </w:tr>
      <w:tr>
        <w:trPr>
          <w:trHeight w:val="40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13.57-32.33</w:t>
            </w:r>
          </w:p>
        </w:tc>
      </w:tr>
    </w:tbl>
    <w:p>
      <w:pPr>
        <w:pStyle w:val="BodyText"/>
        <w:spacing w:line="357" w:lineRule="auto" w:before="39"/>
        <w:ind w:left="633" w:right="153"/>
        <w:jc w:val="left"/>
      </w:pPr>
      <w:r>
        <w:rPr/>
        <w:t>固定资产从达到预定可使用状态的次月起，采用年限平均法在使用寿命内计提折旧。 预计净残值是指假定固定资产预计使用寿命已满并处于使用寿命终了时的预期状态，本</w:t>
      </w:r>
    </w:p>
    <w:p>
      <w:pPr>
        <w:pStyle w:val="BodyText"/>
        <w:spacing w:line="357" w:lineRule="auto"/>
        <w:ind w:left="633" w:right="153" w:hanging="481"/>
        <w:jc w:val="left"/>
      </w:pPr>
      <w:r>
        <w:rPr/>
        <w:t>公司目前从该项资产处置中获得的扣除预计处置费用后的金额。 固定资产的减值测试方法和减值准备计提方法详见附注 “长期资产减值”。 与固定资产有关的后续支出，如果与该固定资产有关的经济利益很可能流入且其成本能</w:t>
      </w:r>
    </w:p>
    <w:p>
      <w:pPr>
        <w:pStyle w:val="BodyText"/>
        <w:spacing w:line="357" w:lineRule="auto"/>
        <w:ind w:right="153"/>
        <w:jc w:val="left"/>
      </w:pPr>
      <w:r>
        <w:rPr/>
        <w:t>可靠地计量，则计入固定资产成本，并终止确认被替换部分的账面价值。除此以外的其他后</w:t>
      </w:r>
      <w:r>
        <w:rPr>
          <w:spacing w:val="-91"/>
        </w:rPr>
        <w:t> </w:t>
      </w:r>
      <w:r>
        <w:rPr>
          <w:spacing w:val="-91"/>
        </w:rPr>
      </w:r>
      <w:r>
        <w:rPr/>
        <w:t>续支出，在发生时计入当期损益。</w:t>
      </w:r>
    </w:p>
    <w:p>
      <w:pPr>
        <w:pStyle w:val="BodyText"/>
        <w:spacing w:line="357" w:lineRule="auto"/>
        <w:ind w:right="156" w:firstLine="480"/>
        <w:jc w:val="both"/>
      </w:pPr>
      <w:r>
        <w:rPr/>
        <w:t>当固定资产处于处置状态或预期通过使用或处置不能产生经济利益时，终止确认该固定 资产。固定资产出售、转让、报废或毁损的处置收入扣除其账面价值和相关税费后的差额计</w:t>
      </w:r>
      <w:r>
        <w:rPr>
          <w:spacing w:val="-89"/>
        </w:rPr>
        <w:t> </w:t>
      </w:r>
      <w:r>
        <w:rPr>
          <w:spacing w:val="-89"/>
        </w:rPr>
      </w:r>
      <w:r>
        <w:rPr/>
        <w:t>入当期损益。</w:t>
      </w:r>
    </w:p>
    <w:p>
      <w:pPr>
        <w:pStyle w:val="BodyText"/>
        <w:spacing w:line="357" w:lineRule="auto"/>
        <w:ind w:right="160" w:firstLine="480"/>
        <w:jc w:val="both"/>
      </w:pPr>
      <w:r>
        <w:rPr/>
        <w:t>本公司至少于年度终了对固定资产的使用寿命、预计净残值和折旧方法进行复核，如发 生改变则作为会计估计变更处理。</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）融资租入固定资产的认定依据、计价和折旧方法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4" w:firstLine="480"/>
        <w:jc w:val="both"/>
      </w:pPr>
      <w:r>
        <w:rPr/>
        <w:t>融资租赁为实质上转移了与资产所有权有关的全部风险和报酬的租赁，其所有权最终可 能转移，也可能不转移。以融资租赁方式租入的固定资产采用与自有固定资产一致的政策计</w:t>
      </w:r>
      <w:r>
        <w:rPr>
          <w:spacing w:val="-91"/>
        </w:rPr>
        <w:t> </w:t>
      </w:r>
      <w:r>
        <w:rPr>
          <w:spacing w:val="-91"/>
        </w:rPr>
      </w:r>
      <w:r>
        <w:rPr/>
        <w:t>提租赁资产折旧。能够合理确定租赁期届满时取得租赁资产所有权的，在租赁资产使用寿命</w:t>
      </w:r>
      <w:r>
        <w:rPr>
          <w:spacing w:val="-91"/>
        </w:rPr>
        <w:t> </w:t>
      </w:r>
      <w:r>
        <w:rPr>
          <w:spacing w:val="-91"/>
        </w:rPr>
      </w:r>
      <w:r>
        <w:rPr/>
        <w:t>内计提折旧；无法合理确定租赁期届满能够取得租赁资产所有权的，在租赁期与租赁资产使</w:t>
      </w:r>
      <w:r>
        <w:rPr>
          <w:spacing w:val="-87"/>
        </w:rPr>
        <w:t> </w:t>
      </w:r>
      <w:r>
        <w:rPr>
          <w:spacing w:val="-87"/>
        </w:rPr>
      </w:r>
      <w:r>
        <w:rPr/>
        <w:t>用寿命两者中较短的期间内计提折旧。</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96" w:firstLine="0"/>
        <w:jc w:val="left"/>
        <w:rPr>
          <w:rFonts w:ascii="宋体" w:hAnsi="宋体" w:cs="宋体" w:eastAsia="宋体" w:hint="default"/>
          <w:sz w:val="18"/>
          <w:szCs w:val="18"/>
        </w:rPr>
      </w:pP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p>
    <w:p>
      <w:pPr>
        <w:spacing w:before="12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239" w:firstLine="480"/>
        <w:jc w:val="both"/>
      </w:pPr>
      <w:r>
        <w:rPr/>
        <w:t>借款费用包括借款利息、折价或溢价的摊销、辅助费用以及因外币借款而发生的汇兑差 额等。可直接归属于符合资本化条件的资产的购建或者生产的借款费用，在资产支出已经发</w:t>
      </w:r>
      <w:r>
        <w:rPr>
          <w:spacing w:val="-91"/>
        </w:rPr>
        <w:t> </w:t>
      </w:r>
      <w:r>
        <w:rPr>
          <w:spacing w:val="-91"/>
        </w:rPr>
      </w:r>
      <w:r>
        <w:rPr/>
        <w:t>生、借款费用已经发生、为使资产达到预定可使用或可销售状态所必要的购建或生产活动已</w:t>
      </w:r>
      <w:r>
        <w:rPr>
          <w:spacing w:val="-91"/>
        </w:rPr>
        <w:t> </w:t>
      </w:r>
      <w:r>
        <w:rPr>
          <w:spacing w:val="-91"/>
        </w:rPr>
      </w:r>
      <w:r>
        <w:rPr/>
        <w:t>经开始时，开始资本化；构建或者生产的符合资本化条件的资产达到预定可使用状态或者可</w:t>
      </w:r>
      <w:r>
        <w:rPr>
          <w:spacing w:val="-91"/>
        </w:rPr>
        <w:t> </w:t>
      </w:r>
      <w:r>
        <w:rPr>
          <w:spacing w:val="-91"/>
        </w:rPr>
      </w:r>
      <w:r>
        <w:rPr/>
        <w:t>销售状态时，停止资本化。其余借款费用在发生当期确认为费用。</w:t>
      </w:r>
    </w:p>
    <w:p>
      <w:pPr>
        <w:pStyle w:val="BodyText"/>
        <w:spacing w:line="357" w:lineRule="auto" w:before="37"/>
        <w:ind w:right="239" w:firstLine="480"/>
        <w:jc w:val="both"/>
      </w:pPr>
      <w:r>
        <w:rPr/>
        <w:t>专门借款当期实际发生的利息费用，减去尚未动用的借款资金存入银行取得的利息收入 或进行暂时性投资取得的投资收益后的金额予以资本化；一般借款根据累计资产支出超过专</w:t>
      </w:r>
      <w:r>
        <w:rPr>
          <w:spacing w:val="-91"/>
        </w:rPr>
        <w:t> </w:t>
      </w:r>
      <w:r>
        <w:rPr>
          <w:spacing w:val="-91"/>
        </w:rPr>
      </w:r>
      <w:r>
        <w:rPr/>
        <w:t>门借款部分的资产支出加权平均数乘以所占用一般借款的资本化率，确定资本化金额。资本</w:t>
      </w:r>
      <w:r>
        <w:rPr>
          <w:spacing w:val="-91"/>
        </w:rPr>
        <w:t> </w:t>
      </w:r>
      <w:r>
        <w:rPr>
          <w:spacing w:val="-91"/>
        </w:rPr>
      </w:r>
      <w:r>
        <w:rPr/>
        <w:t>化率根据一般借款的加权平均利率计算确定。</w:t>
      </w:r>
    </w:p>
    <w:p>
      <w:pPr>
        <w:pStyle w:val="BodyText"/>
        <w:spacing w:line="357" w:lineRule="auto"/>
        <w:ind w:right="240" w:firstLine="480"/>
        <w:jc w:val="both"/>
      </w:pPr>
      <w:r>
        <w:rPr/>
        <w:t>资本化期间内，外币专门借款的汇兑差额全部予以资本化；外币一般借款的汇兑差额计 入当期损益。</w:t>
      </w:r>
    </w:p>
    <w:p>
      <w:pPr>
        <w:pStyle w:val="BodyText"/>
        <w:spacing w:line="357" w:lineRule="auto"/>
        <w:ind w:right="240" w:firstLine="480"/>
        <w:jc w:val="both"/>
      </w:pPr>
      <w:r>
        <w:rPr/>
        <w:t>符合资本化条件的资产指需要经过相当长时间的购建或者生产活动才能达到预定可使用 或可销售状态的固定资产、投资性房地产和存货等资产。</w:t>
      </w:r>
    </w:p>
    <w:p>
      <w:pPr>
        <w:pStyle w:val="BodyText"/>
        <w:spacing w:line="355" w:lineRule="auto"/>
        <w:ind w:right="239" w:firstLine="480"/>
        <w:jc w:val="both"/>
      </w:pPr>
      <w:r>
        <w:rPr/>
        <w:t>如果符合资本化条件的资产在购建或生产过程中发生非正常中断、并且中断时间连续超 过</w:t>
      </w:r>
      <w:r>
        <w:rPr>
          <w:rFonts w:ascii="宋体" w:hAnsi="宋体" w:cs="宋体" w:eastAsia="宋体" w:hint="default"/>
        </w:rPr>
        <w:t>3</w:t>
      </w:r>
      <w:r>
        <w:rPr/>
        <w:t>个月的，暂停借款费用的资本化，直至资产的购建或生产活动重新开始。</w:t>
      </w:r>
    </w:p>
    <w:p>
      <w:pPr>
        <w:spacing w:line="240" w:lineRule="auto" w:before="13"/>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）计价方法、使用寿命、减值测试</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57" w:lineRule="auto" w:before="0"/>
        <w:ind w:left="152" w:right="67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9"/>
        <w:ind w:left="633" w:right="96"/>
        <w:jc w:val="left"/>
      </w:pPr>
      <w:r>
        <w:rPr/>
        <w:t>无形资产是指本公司拥有或者控制的没有实物形态的可辨认非货币性资产。 无形资产按成本进行初始计量。与无形资产有关的支出，如果相关的经济利益很可能流</w:t>
      </w:r>
    </w:p>
    <w:p>
      <w:pPr>
        <w:pStyle w:val="BodyText"/>
        <w:spacing w:line="357" w:lineRule="auto"/>
        <w:ind w:right="96"/>
        <w:jc w:val="left"/>
      </w:pPr>
      <w:r>
        <w:rPr/>
        <w:t>入本公司且其成本能可靠地计量，则计入无形资产成本。除此以外的其他项目的支出，在发</w:t>
      </w:r>
      <w:r>
        <w:rPr>
          <w:spacing w:val="-91"/>
        </w:rPr>
        <w:t> </w:t>
      </w:r>
      <w:r>
        <w:rPr>
          <w:spacing w:val="-91"/>
        </w:rPr>
      </w:r>
      <w:r>
        <w:rPr/>
        <w:t>生时计入当期损益。</w:t>
      </w:r>
    </w:p>
    <w:p>
      <w:pPr>
        <w:pStyle w:val="BodyText"/>
        <w:spacing w:line="357" w:lineRule="auto"/>
        <w:ind w:right="96" w:firstLine="480"/>
        <w:jc w:val="left"/>
      </w:pPr>
      <w:r>
        <w:rPr/>
        <w:t>取得的土地使用权通常作为无形资产核算。自行开发建造厂房等建筑物，相关的土地使 </w:t>
      </w:r>
      <w:r>
        <w:rPr>
          <w:spacing w:val="-2"/>
        </w:rPr>
        <w:t>用权支出和建筑物建造成本则分别作为无形资产和固定资产核算。如为外购的房屋及建筑物，</w:t>
      </w:r>
      <w:r>
        <w:rPr/>
        <w:t> 则将有关价款在土地使用权和建筑物之间进行分配，难以合理分配的，全部作为固定资产处</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240" w:lineRule="auto" w:before="26"/>
        <w:ind w:right="96"/>
        <w:jc w:val="left"/>
      </w:pPr>
      <w:r>
        <w:rPr/>
        <w:t>理。</w:t>
      </w:r>
    </w:p>
    <w:p>
      <w:pPr>
        <w:pStyle w:val="BodyText"/>
        <w:spacing w:line="240" w:lineRule="auto" w:before="154"/>
        <w:ind w:left="633" w:right="96"/>
        <w:jc w:val="left"/>
      </w:pPr>
      <w:r>
        <w:rPr/>
        <w:t>使用寿命有限的无形资产自可供使用时起，对其原值减去预计净残值和已计提的减值准</w:t>
      </w:r>
    </w:p>
    <w:p>
      <w:pPr>
        <w:spacing w:line="240" w:lineRule="auto" w:before="10"/>
        <w:rPr>
          <w:rFonts w:ascii="宋体" w:hAnsi="宋体" w:cs="宋体" w:eastAsia="宋体" w:hint="default"/>
          <w:sz w:val="9"/>
          <w:szCs w:val="9"/>
        </w:rPr>
      </w:pPr>
    </w:p>
    <w:p>
      <w:pPr>
        <w:pStyle w:val="BodyText"/>
        <w:spacing w:line="357" w:lineRule="auto" w:before="26"/>
        <w:ind w:right="96"/>
        <w:jc w:val="left"/>
      </w:pPr>
      <w:r>
        <w:rPr/>
        <w:t>备累计金额在其预计使用寿命内采用直线法分期平均摊销。使用寿命不确定的无形资产不予</w:t>
      </w:r>
      <w:r>
        <w:rPr>
          <w:spacing w:val="-91"/>
        </w:rPr>
        <w:t> </w:t>
      </w:r>
      <w:r>
        <w:rPr>
          <w:spacing w:val="-91"/>
        </w:rPr>
      </w:r>
      <w:r>
        <w:rPr/>
        <w:t>摊销。</w:t>
      </w:r>
    </w:p>
    <w:p>
      <w:pPr>
        <w:pStyle w:val="BodyText"/>
        <w:spacing w:line="357" w:lineRule="auto"/>
        <w:ind w:right="238" w:firstLine="480"/>
        <w:jc w:val="both"/>
      </w:pPr>
      <w:r>
        <w:rPr/>
        <w:t>期末，对使用寿命有限的无形资产的使用寿命和摊销方法进行复核，如发生变更则作为 会计估计变更处理。此外，还对使用寿命不确定的无形资产的使用寿命进行复核，如果有证</w:t>
      </w:r>
      <w:r>
        <w:rPr>
          <w:spacing w:val="-91"/>
        </w:rPr>
        <w:t> </w:t>
      </w:r>
      <w:r>
        <w:rPr>
          <w:spacing w:val="-91"/>
        </w:rPr>
      </w:r>
      <w:r>
        <w:rPr/>
        <w:t>据表明该无形资产为企业带来经济利益的期限是可预见的，则估计其使用寿命并按照使用寿</w:t>
      </w:r>
      <w:r>
        <w:rPr>
          <w:spacing w:val="-91"/>
        </w:rPr>
        <w:t> </w:t>
      </w:r>
      <w:r>
        <w:rPr>
          <w:spacing w:val="-91"/>
        </w:rPr>
      </w:r>
      <w:r>
        <w:rPr/>
        <w:t>命有限的无形资产的摊销政策进行摊销。</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）内部研究开发支出会计政策</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left="633" w:right="96"/>
        <w:jc w:val="left"/>
      </w:pPr>
      <w:r>
        <w:rPr/>
        <w:t>本公司内部研究开发项目的支出分为研究阶段支出与开发阶段支出。 研究阶段的支出，于发生时计入当期损益。 开发阶段的支出同时满足下列条件的，确认为无形资产，不能满足下述条件的开发阶段</w:t>
      </w:r>
    </w:p>
    <w:p>
      <w:pPr>
        <w:pStyle w:val="BodyText"/>
        <w:spacing w:line="240" w:lineRule="auto"/>
        <w:ind w:right="96"/>
        <w:jc w:val="left"/>
      </w:pPr>
      <w:r>
        <w:rPr/>
        <w:t>的支出计入当期损益：</w:t>
      </w:r>
    </w:p>
    <w:p>
      <w:pPr>
        <w:pStyle w:val="BodyText"/>
        <w:spacing w:line="240" w:lineRule="auto" w:before="154"/>
        <w:ind w:left="633" w:right="96"/>
        <w:jc w:val="left"/>
      </w:pPr>
      <w:r>
        <w:rPr/>
        <w:t>① 完成该无形资产以使其能够使用或出售在技术上具有可行性；</w:t>
      </w:r>
    </w:p>
    <w:p>
      <w:pPr>
        <w:pStyle w:val="BodyText"/>
        <w:spacing w:line="240" w:lineRule="auto" w:before="154"/>
        <w:ind w:left="633" w:right="96"/>
        <w:jc w:val="left"/>
      </w:pPr>
      <w:r>
        <w:rPr/>
        <w:t>② 具有完成该无形资产并使用或出售的意图；</w:t>
      </w:r>
    </w:p>
    <w:p>
      <w:pPr>
        <w:pStyle w:val="BodyText"/>
        <w:spacing w:line="355" w:lineRule="auto" w:before="154"/>
        <w:ind w:right="231" w:firstLine="480"/>
        <w:jc w:val="both"/>
      </w:pPr>
      <w:r>
        <w:rPr/>
        <w:t>③</w:t>
      </w:r>
      <w:r>
        <w:rPr>
          <w:spacing w:val="27"/>
        </w:rPr>
        <w:t> </w:t>
      </w:r>
      <w:r>
        <w:rPr>
          <w:spacing w:val="-3"/>
        </w:rPr>
        <w:t>无形资产产生经济利益的方式，包括能够证明运用该无形资产生产的产品存在市场或</w:t>
      </w:r>
      <w:r>
        <w:rPr/>
        <w:t> 无形资产自身存在市场，无形资产将在内部使用的，能够证明其有用性；</w:t>
      </w:r>
    </w:p>
    <w:p>
      <w:pPr>
        <w:pStyle w:val="BodyText"/>
        <w:spacing w:line="357" w:lineRule="auto" w:before="38"/>
        <w:ind w:right="230" w:firstLine="480"/>
        <w:jc w:val="both"/>
      </w:pPr>
      <w:r>
        <w:rPr/>
        <w:t>④</w:t>
      </w:r>
      <w:r>
        <w:rPr>
          <w:spacing w:val="27"/>
        </w:rPr>
        <w:t> </w:t>
      </w:r>
      <w:r>
        <w:rPr>
          <w:spacing w:val="-3"/>
        </w:rPr>
        <w:t>有足够的技术、财务资源和其他资源支持，以完成该无形资产的开发，并有能力使用</w:t>
      </w:r>
      <w:r>
        <w:rPr/>
        <w:t> 或出售该无形资产；</w:t>
      </w:r>
    </w:p>
    <w:p>
      <w:pPr>
        <w:pStyle w:val="BodyText"/>
        <w:spacing w:line="357" w:lineRule="auto"/>
        <w:ind w:left="633" w:right="733"/>
        <w:jc w:val="left"/>
      </w:pPr>
      <w:r>
        <w:rPr/>
        <w:t>⑤ 归属于该无形资产开发阶段的支出能够可靠地计量。 无法区分研究阶段支出和开发阶段支出的，将发生的研发支出全部计入当期损益。</w:t>
      </w:r>
    </w:p>
    <w:p>
      <w:pPr>
        <w:pStyle w:val="BodyText"/>
        <w:spacing w:line="357" w:lineRule="auto"/>
        <w:ind w:left="633" w:right="1333"/>
        <w:jc w:val="left"/>
      </w:pPr>
      <w:r>
        <w:rPr/>
        <w:t>（</w:t>
      </w:r>
      <w:r>
        <w:rPr>
          <w:rFonts w:ascii="宋体" w:hAnsi="宋体" w:cs="宋体" w:eastAsia="宋体" w:hint="default"/>
        </w:rPr>
        <w:t>3</w:t>
      </w:r>
      <w:r>
        <w:rPr/>
        <w:t>）无形资产的减值测试方法及减值准备计提方法 无形资产的减值测试方法和减值准备计提方法详见附注 “长期资产减值”。</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、长期资产减值</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 w:firstLine="480"/>
        <w:jc w:val="both"/>
      </w:pPr>
      <w:r>
        <w:rPr/>
        <w:t>对于固定资产、在建工程、使用寿命有限的无形资产、以成本模式计量的投资性房地产 及对子公司、合营企业、联营企业的长期股权投资等非流动非金融资产，本公司于资产负债</w:t>
      </w:r>
      <w:r>
        <w:rPr>
          <w:spacing w:val="-91"/>
        </w:rPr>
        <w:t> </w:t>
      </w:r>
      <w:r>
        <w:rPr>
          <w:spacing w:val="-91"/>
        </w:rPr>
      </w:r>
      <w:r>
        <w:rPr/>
        <w:t>表日判断是否存在减值迹象。如存在减值迹象的，则估计其可收回金额，进行减值测试。商</w:t>
      </w:r>
      <w:r>
        <w:rPr>
          <w:spacing w:val="-91"/>
        </w:rPr>
        <w:t> </w:t>
      </w:r>
      <w:r>
        <w:rPr>
          <w:spacing w:val="-91"/>
        </w:rPr>
      </w:r>
      <w:r>
        <w:rPr>
          <w:spacing w:val="-2"/>
        </w:rPr>
        <w:t>誉、使用寿命不确定的无形资产和尚未达到可使用状态的无形资产，无论是否存在减值迹象，</w:t>
      </w:r>
    </w:p>
    <w:p>
      <w:pPr>
        <w:spacing w:after="0" w:line="357" w:lineRule="auto"/>
        <w:jc w:val="both"/>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left="633" w:right="153" w:hanging="481"/>
        <w:jc w:val="left"/>
      </w:pPr>
      <w:r>
        <w:rPr/>
        <w:t>每年均进行减值测试。 减值测试结果表明资产的可收回金额低于其账面价值的，按其差额计提减值准备并计入</w:t>
      </w:r>
    </w:p>
    <w:p>
      <w:pPr>
        <w:pStyle w:val="BodyText"/>
        <w:spacing w:line="357" w:lineRule="auto"/>
        <w:ind w:right="159"/>
        <w:jc w:val="both"/>
      </w:pPr>
      <w:r>
        <w:rPr/>
        <w:t>减值损失。可收回金额为资产的公允价值减去处置费用后的净额与资产预计未来现金流量的</w:t>
      </w:r>
      <w:r>
        <w:rPr>
          <w:spacing w:val="-91"/>
        </w:rPr>
        <w:t> </w:t>
      </w:r>
      <w:r>
        <w:rPr>
          <w:spacing w:val="-91"/>
        </w:rPr>
      </w:r>
      <w:r>
        <w:rPr/>
        <w:t>现值两者之间的较高者。资产的公允价值根据公平交易中销售协议价格确定；不存在销售协</w:t>
      </w:r>
      <w:r>
        <w:rPr>
          <w:spacing w:val="-91"/>
        </w:rPr>
        <w:t> </w:t>
      </w:r>
      <w:r>
        <w:rPr>
          <w:spacing w:val="-91"/>
        </w:rPr>
      </w:r>
      <w:r>
        <w:rPr/>
        <w:t>议但存在资产活跃市场的，公允价值按照该资产的买方出价确定；不存在销售协议和资产活</w:t>
      </w:r>
      <w:r>
        <w:rPr>
          <w:spacing w:val="-91"/>
        </w:rPr>
        <w:t> </w:t>
      </w:r>
      <w:r>
        <w:rPr>
          <w:spacing w:val="-91"/>
        </w:rPr>
      </w:r>
      <w:r>
        <w:rPr/>
        <w:t>跃市场的，则以可获取的最佳信息为基础估计资产的公允价值。处置费用包括与资产处置有</w:t>
      </w:r>
      <w:r>
        <w:rPr>
          <w:spacing w:val="-91"/>
        </w:rPr>
        <w:t> </w:t>
      </w:r>
      <w:r>
        <w:rPr>
          <w:spacing w:val="-91"/>
        </w:rPr>
      </w:r>
      <w:r>
        <w:rPr/>
        <w:t>关的法律费用、相关税费、搬运费以及为使资产达到可销售状态所发生的直接费用。资产预</w:t>
      </w:r>
      <w:r>
        <w:rPr>
          <w:spacing w:val="-91"/>
        </w:rPr>
        <w:t> </w:t>
      </w:r>
      <w:r>
        <w:rPr>
          <w:spacing w:val="-91"/>
        </w:rPr>
      </w:r>
      <w:r>
        <w:rPr/>
        <w:t>计未来现金流量的现值，按照资产在持续使用过程中和最终处置时所产生的预计未来现金流</w:t>
      </w:r>
      <w:r>
        <w:rPr>
          <w:spacing w:val="-91"/>
        </w:rPr>
        <w:t> </w:t>
      </w:r>
      <w:r>
        <w:rPr>
          <w:spacing w:val="-91"/>
        </w:rPr>
      </w:r>
      <w:r>
        <w:rPr/>
        <w:t>量，选择恰当的折现率对其进行折现后的金额加以确定。资产减值准备按单项资产为基础计</w:t>
      </w:r>
      <w:r>
        <w:rPr>
          <w:spacing w:val="-91"/>
        </w:rPr>
        <w:t> </w:t>
      </w:r>
      <w:r>
        <w:rPr>
          <w:spacing w:val="-91"/>
        </w:rPr>
      </w:r>
      <w:r>
        <w:rPr/>
        <w:t>算并确认，如果难以对单项资产的可收回金额进行估计的，以该资产所属的资产组确定资产</w:t>
      </w:r>
      <w:r>
        <w:rPr>
          <w:spacing w:val="-91"/>
        </w:rPr>
        <w:t> </w:t>
      </w:r>
      <w:r>
        <w:rPr>
          <w:spacing w:val="-91"/>
        </w:rPr>
      </w:r>
      <w:r>
        <w:rPr/>
        <w:t>组的可收回金额。资产组是能够独立产生现金流入的最小资产组合。</w:t>
      </w:r>
    </w:p>
    <w:p>
      <w:pPr>
        <w:pStyle w:val="BodyText"/>
        <w:spacing w:line="357" w:lineRule="auto"/>
        <w:ind w:right="159" w:firstLine="480"/>
        <w:jc w:val="both"/>
      </w:pPr>
      <w:r>
        <w:rPr/>
        <w:t>在财务报表中单独列示的商誉，在进行减值测试时，将商誉的账面价值分摊至预期从企 业合并的协同效应中受益的资产组或资产组组合。测试结果表明包含分摊的商誉的资产组或</w:t>
      </w:r>
      <w:r>
        <w:rPr>
          <w:spacing w:val="-91"/>
        </w:rPr>
        <w:t> </w:t>
      </w:r>
      <w:r>
        <w:rPr>
          <w:spacing w:val="-91"/>
        </w:rPr>
      </w:r>
      <w:r>
        <w:rPr/>
        <w:t>资产组组合的可收回金额低于其账面价值的，确认相应的减值损失。减值损失金额先抵减分</w:t>
      </w:r>
      <w:r>
        <w:rPr>
          <w:spacing w:val="-91"/>
        </w:rPr>
        <w:t> </w:t>
      </w:r>
      <w:r>
        <w:rPr>
          <w:spacing w:val="-91"/>
        </w:rPr>
      </w:r>
      <w:r>
        <w:rPr/>
        <w:t>摊至该资产组或资产组组合的商誉的账面价值，再根据资产组或资产组组合中除商誉以外的</w:t>
      </w:r>
      <w:r>
        <w:rPr>
          <w:spacing w:val="-91"/>
        </w:rPr>
        <w:t> </w:t>
      </w:r>
      <w:r>
        <w:rPr>
          <w:spacing w:val="-91"/>
        </w:rPr>
      </w:r>
      <w:r>
        <w:rPr/>
        <w:t>其他各项资产的账面价值所占比重，按比例抵减其他各项资产的账面价值。</w:t>
      </w:r>
    </w:p>
    <w:p>
      <w:pPr>
        <w:pStyle w:val="BodyText"/>
        <w:spacing w:line="240" w:lineRule="auto"/>
        <w:ind w:left="633" w:right="153"/>
        <w:jc w:val="left"/>
      </w:pPr>
      <w:r>
        <w:rPr/>
        <w:t>上述资产减值损失一经确认，以后期间不予转回价值得以恢复的部分。</w:t>
      </w:r>
    </w:p>
    <w:p>
      <w:pPr>
        <w:spacing w:line="240" w:lineRule="auto" w:before="10"/>
        <w:rPr>
          <w:rFonts w:ascii="宋体" w:hAnsi="宋体" w:cs="宋体" w:eastAsia="宋体" w:hint="default"/>
          <w:sz w:val="30"/>
          <w:szCs w:val="30"/>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9" w:firstLine="480"/>
        <w:jc w:val="both"/>
      </w:pPr>
      <w:r>
        <w:rPr/>
        <w:t>长期待摊费用为已经发生但应由报告期和以后各期负担的分摊期限在一年以上的各项费 用。本公司的长期待摊费用主要包括租赁资产装修费。长期待摊费用在预计受益期间按直线</w:t>
      </w:r>
      <w:r>
        <w:rPr>
          <w:spacing w:val="-91"/>
        </w:rPr>
        <w:t> </w:t>
      </w:r>
      <w:r>
        <w:rPr>
          <w:spacing w:val="-91"/>
        </w:rPr>
      </w:r>
      <w:r>
        <w:rPr/>
        <w:t>法摊销。</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、职工薪酬</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59" w:firstLine="480"/>
        <w:jc w:val="both"/>
      </w:pPr>
      <w:r>
        <w:rPr/>
        <w:t>短期薪酬主要包括工资、奖金、津贴和补贴、职工福利费、医疗保险费、生育保险费、 工伤保险费、住房公积金、工会经费和职工教育经费、非货币性福利等。本公司在职工为本</w:t>
      </w:r>
      <w:r>
        <w:rPr>
          <w:spacing w:val="-91"/>
        </w:rPr>
        <w:t> </w:t>
      </w:r>
      <w:r>
        <w:rPr>
          <w:spacing w:val="-91"/>
        </w:rPr>
      </w:r>
      <w:r>
        <w:rPr/>
        <w:t>公司提供服务的会计期间将实际发生的短期职工薪酬确认为负债，并计入当期损益或相关资</w:t>
      </w:r>
      <w:r>
        <w:rPr>
          <w:spacing w:val="-91"/>
        </w:rPr>
        <w:t> </w:t>
      </w:r>
      <w:r>
        <w:rPr>
          <w:spacing w:val="-91"/>
        </w:rPr>
      </w:r>
      <w:r>
        <w:rPr/>
        <w:t>产成本。其中非货币性福利按公允价值计量。</w:t>
      </w:r>
    </w:p>
    <w:p>
      <w:pPr>
        <w:spacing w:after="0" w:line="357" w:lineRule="auto"/>
        <w:jc w:val="both"/>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60" w:firstLine="480"/>
        <w:jc w:val="both"/>
      </w:pPr>
      <w:r>
        <w:rPr/>
        <w:t>离职后福利主要包括基本养老保险、失业保险。离职后福利计划包括设定提存计划。采 用设定提存计划的，相应的应缴存金额于发生时计入相关资产成本或当期损益。</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9" w:firstLine="480"/>
        <w:jc w:val="both"/>
      </w:pPr>
      <w:r>
        <w:rPr/>
        <w:t>在职工劳动合同到期之前解除与职工的劳动关系，或为鼓励职工自愿接受裁减而提出给 予补偿的建议，在本公司不能单方面撤回因解除劳动关系计划或裁减建议所提供的辞退福利</w:t>
      </w:r>
      <w:r>
        <w:rPr>
          <w:spacing w:val="-91"/>
        </w:rPr>
        <w:t> </w:t>
      </w:r>
      <w:r>
        <w:rPr>
          <w:spacing w:val="-91"/>
        </w:rPr>
      </w:r>
      <w:r>
        <w:rPr/>
        <w:t>时，和本公司确认与涉及支付辞退福利的重组相关的成本两者孰早日，确认辞退福利产生的</w:t>
      </w:r>
      <w:r>
        <w:rPr>
          <w:spacing w:val="-91"/>
        </w:rPr>
        <w:t> </w:t>
      </w:r>
      <w:r>
        <w:rPr>
          <w:spacing w:val="-91"/>
        </w:rPr>
      </w:r>
      <w:r>
        <w:rPr/>
        <w:t>职工薪酬负债，并计入当期损益。但辞退福利预期在年度报告期结束后十二个月不能完全支</w:t>
      </w:r>
      <w:r>
        <w:rPr>
          <w:spacing w:val="-91"/>
        </w:rPr>
        <w:t> </w:t>
      </w:r>
      <w:r>
        <w:rPr>
          <w:spacing w:val="-91"/>
        </w:rPr>
      </w:r>
      <w:r>
        <w:rPr/>
        <w:t>付的，按照其他长期职工薪酬处理。</w:t>
      </w:r>
    </w:p>
    <w:p>
      <w:pPr>
        <w:pStyle w:val="BodyText"/>
        <w:spacing w:line="357" w:lineRule="auto"/>
        <w:ind w:right="159" w:firstLine="480"/>
        <w:jc w:val="both"/>
      </w:pPr>
      <w:r>
        <w:rPr/>
        <w:t>职工内部退休计划采用与上述辞退福利相同的原则处理。本公司将自职工停止提供服务 日至正常退休日的期间拟支付的内退人员工资和缴纳的社会保险费等，在符合预计负债确认</w:t>
      </w:r>
      <w:r>
        <w:rPr>
          <w:spacing w:val="-91"/>
        </w:rPr>
        <w:t> </w:t>
      </w:r>
      <w:r>
        <w:rPr>
          <w:spacing w:val="-91"/>
        </w:rPr>
      </w:r>
      <w:r>
        <w:rPr/>
        <w:t>条件时，计入当期损益（辞退福利）。</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）其他长期职工福利的会计处理方法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60" w:firstLine="480"/>
        <w:jc w:val="both"/>
      </w:pPr>
      <w:r>
        <w:rPr/>
        <w:t>本公司向职工提供的其他长期职工福利，符合设定提存计划的，按照设定提存计划进行 会计处理，除此之外按照设定受益计划进行会计处理。</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1" w:firstLine="480"/>
        <w:jc w:val="both"/>
      </w:pPr>
      <w:r>
        <w:rPr>
          <w:spacing w:val="-3"/>
        </w:rPr>
        <w:t>当与或有事项相关的义务同时符合以下条件，确认为预计负债：（</w:t>
      </w:r>
      <w:r>
        <w:rPr>
          <w:rFonts w:ascii="宋体" w:hAnsi="宋体" w:cs="宋体" w:eastAsia="宋体" w:hint="default"/>
          <w:spacing w:val="-3"/>
        </w:rPr>
        <w:t>1</w:t>
      </w:r>
      <w:r>
        <w:rPr>
          <w:spacing w:val="-3"/>
        </w:rPr>
        <w:t>）该义务是本公司承</w:t>
      </w:r>
      <w:r>
        <w:rPr/>
        <w:t> 担的现时义务；（</w:t>
      </w:r>
      <w:r>
        <w:rPr>
          <w:rFonts w:ascii="宋体" w:hAnsi="宋体" w:cs="宋体" w:eastAsia="宋体" w:hint="default"/>
        </w:rPr>
        <w:t>2</w:t>
      </w:r>
      <w:r>
        <w:rPr/>
        <w:t>）履行该义务很可能导致经济利益流出；（</w:t>
      </w:r>
      <w:r>
        <w:rPr>
          <w:rFonts w:ascii="宋体" w:hAnsi="宋体" w:cs="宋体" w:eastAsia="宋体" w:hint="default"/>
        </w:rPr>
        <w:t>3</w:t>
      </w:r>
      <w:r>
        <w:rPr/>
        <w:t>）该义务的金额能够可靠地</w:t>
      </w:r>
      <w:r>
        <w:rPr>
          <w:spacing w:val="-86"/>
        </w:rPr>
        <w:t> </w:t>
      </w:r>
      <w:r>
        <w:rPr>
          <w:spacing w:val="-86"/>
        </w:rPr>
      </w:r>
      <w:r>
        <w:rPr/>
        <w:t>计量。</w:t>
      </w:r>
    </w:p>
    <w:p>
      <w:pPr>
        <w:pStyle w:val="BodyText"/>
        <w:spacing w:line="357" w:lineRule="auto"/>
        <w:ind w:right="160" w:firstLine="480"/>
        <w:jc w:val="both"/>
      </w:pPr>
      <w:r>
        <w:rPr/>
        <w:t>在资产负债表日，考虑与或有事项有关的风险、不确定性和货币时间价值等因素，按照 履行相关现时义务所需支出的最佳估计数对预计负债进行计量。</w:t>
      </w:r>
    </w:p>
    <w:p>
      <w:pPr>
        <w:pStyle w:val="BodyText"/>
        <w:spacing w:line="357" w:lineRule="auto"/>
        <w:ind w:right="160" w:firstLine="480"/>
        <w:jc w:val="both"/>
      </w:pPr>
      <w:r>
        <w:rPr/>
        <w:t>如果清偿预计负债所需支出全部或部分预期由第三方补偿的，补偿金额在基本确定能够 收到时，作为资产单独确认，且确认的补偿金额不超过预计负债的账面价值。</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、股份支付</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240" w:lineRule="auto" w:before="0"/>
        <w:ind w:left="633" w:right="153"/>
        <w:jc w:val="left"/>
      </w:pPr>
      <w:r>
        <w:rPr/>
        <w:t>（</w:t>
      </w:r>
      <w:r>
        <w:rPr>
          <w:rFonts w:ascii="宋体" w:hAnsi="宋体" w:cs="宋体" w:eastAsia="宋体" w:hint="default"/>
        </w:rPr>
        <w:t>1</w:t>
      </w:r>
      <w:r>
        <w:rPr/>
        <w:t>）股份支付的会计处理方法</w:t>
      </w:r>
    </w:p>
    <w:p>
      <w:pPr>
        <w:spacing w:after="0" w:line="240" w:lineRule="auto"/>
        <w:jc w:val="left"/>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96" w:firstLine="480"/>
        <w:jc w:val="left"/>
      </w:pPr>
      <w:r>
        <w:rPr/>
        <w:t>股份支付是为了获取职工或其他方提供服务而授予权益工具或者承担以权益工具为基础 确定的负债的交易。股份支付为以权益结算的股份支付。</w:t>
      </w:r>
    </w:p>
    <w:p>
      <w:pPr>
        <w:pStyle w:val="BodyText"/>
        <w:spacing w:line="357" w:lineRule="auto"/>
        <w:ind w:left="633" w:right="96"/>
        <w:jc w:val="left"/>
      </w:pPr>
      <w:r>
        <w:rPr/>
        <w:t>以权益结算的股份支付 用以换取职工提供的服务的权益结算的股份支付，以授予职工权益工具在授予日的公允</w:t>
      </w:r>
    </w:p>
    <w:p>
      <w:pPr>
        <w:pStyle w:val="BodyText"/>
        <w:spacing w:line="357" w:lineRule="auto"/>
        <w:ind w:right="96"/>
        <w:jc w:val="left"/>
      </w:pPr>
      <w:r>
        <w:rPr>
          <w:spacing w:val="-2"/>
        </w:rPr>
        <w:t>价值计量。该公允价值的金额在完成等待期内的服务或达到规定业绩条件才可行权的情况下，</w:t>
      </w:r>
      <w:r>
        <w:rPr/>
        <w:t> 在等待期内以对可行权权益工具数量的最佳估计为基础，按直线法计算计入相关成本或费用</w:t>
      </w:r>
      <w:r>
        <w:rPr>
          <w:rFonts w:ascii="宋体" w:hAnsi="宋体" w:cs="宋体" w:eastAsia="宋体" w:hint="default"/>
        </w:rPr>
        <w:t>/ </w:t>
      </w:r>
      <w:r>
        <w:rPr/>
        <w:t>在授予后立即可行权时，在授予日计入相关成本或费用，相应增加资本公积。</w:t>
      </w:r>
    </w:p>
    <w:p>
      <w:pPr>
        <w:pStyle w:val="BodyText"/>
        <w:spacing w:line="357" w:lineRule="auto" w:before="37"/>
        <w:ind w:right="96" w:firstLine="480"/>
        <w:jc w:val="left"/>
      </w:pPr>
      <w:r>
        <w:rPr/>
        <w:t>在等待期内每个资产负债表日，本公司根据最新取得的可行权职工人数变动等后续信息 </w:t>
      </w:r>
      <w:r>
        <w:rPr>
          <w:spacing w:val="-2"/>
        </w:rPr>
        <w:t>做出最佳估计，修正预计可行权的权益工具数量。上述估计的影响计入当期相关成本或费用，</w:t>
      </w:r>
      <w:r>
        <w:rPr/>
        <w:t> 并相应调整资本公积。</w:t>
      </w:r>
    </w:p>
    <w:p>
      <w:pPr>
        <w:pStyle w:val="BodyText"/>
        <w:spacing w:line="357" w:lineRule="auto"/>
        <w:ind w:right="96" w:firstLine="480"/>
        <w:jc w:val="left"/>
      </w:pPr>
      <w:r>
        <w:rPr>
          <w:spacing w:val="-3"/>
        </w:rPr>
        <w:t>用以换取其他方服务的权益结算的股份支付，如果其他方服务的公允价值能够可靠计量，</w:t>
      </w:r>
      <w:r>
        <w:rPr/>
        <w:t> 按照其他方服务在取得日的公允价值计量，如果其他方服务的公允价值不能可靠计量，但权</w:t>
      </w:r>
      <w:r>
        <w:rPr>
          <w:spacing w:val="-91"/>
        </w:rPr>
        <w:t> </w:t>
      </w:r>
      <w:r>
        <w:rPr>
          <w:spacing w:val="-91"/>
        </w:rPr>
      </w:r>
      <w:r>
        <w:rPr/>
        <w:t>益工具的公允价值能够可靠计量的，按照权益工具在服务取得日的公允价值计量，计入相关</w:t>
      </w:r>
      <w:r>
        <w:rPr>
          <w:spacing w:val="-91"/>
        </w:rPr>
        <w:t> </w:t>
      </w:r>
      <w:r>
        <w:rPr>
          <w:spacing w:val="-91"/>
        </w:rPr>
      </w:r>
      <w:r>
        <w:rPr/>
        <w:t>成本或费用，相应增加股东权益。</w:t>
      </w:r>
    </w:p>
    <w:p>
      <w:pPr>
        <w:pStyle w:val="BodyText"/>
        <w:spacing w:line="357" w:lineRule="auto"/>
        <w:ind w:left="633" w:right="96"/>
        <w:jc w:val="left"/>
      </w:pPr>
      <w:r>
        <w:rPr/>
        <w:t>（</w:t>
      </w:r>
      <w:r>
        <w:rPr>
          <w:rFonts w:ascii="宋体" w:hAnsi="宋体" w:cs="宋体" w:eastAsia="宋体" w:hint="default"/>
        </w:rPr>
        <w:t>2</w:t>
      </w:r>
      <w:r>
        <w:rPr/>
        <w:t>）修改、终止股份支付计划的相关会计处理 本公司对股份支付计划进行修改时，若修改增加了所授予权益工具的公允价值，按照权</w:t>
      </w:r>
    </w:p>
    <w:p>
      <w:pPr>
        <w:pStyle w:val="BodyText"/>
        <w:spacing w:line="357" w:lineRule="auto"/>
        <w:ind w:right="234"/>
        <w:jc w:val="both"/>
      </w:pPr>
      <w:r>
        <w:rPr/>
        <w:t>益工具公允价值的增加相应确认取得服务的增加。权益工具公允价值的增加是指修改前后的</w:t>
      </w:r>
      <w:r>
        <w:rPr>
          <w:spacing w:val="-91"/>
        </w:rPr>
        <w:t> </w:t>
      </w:r>
      <w:r>
        <w:rPr>
          <w:spacing w:val="-91"/>
        </w:rPr>
      </w:r>
      <w:r>
        <w:rPr/>
        <w:t>权益工具在修改日的公允价值之间的差额。若修改减少了股份支付公允价值总额或采用了其</w:t>
      </w:r>
      <w:r>
        <w:rPr>
          <w:spacing w:val="-87"/>
        </w:rPr>
        <w:t> </w:t>
      </w:r>
      <w:r>
        <w:rPr>
          <w:spacing w:val="-87"/>
        </w:rPr>
      </w:r>
      <w:r>
        <w:rPr/>
        <w:t>他不利于职工的方式，则仍继续对取得的服务进行会计处理，视同该变更从未发生，除非本</w:t>
      </w:r>
      <w:r>
        <w:rPr>
          <w:spacing w:val="-91"/>
        </w:rPr>
        <w:t> </w:t>
      </w:r>
      <w:r>
        <w:rPr>
          <w:spacing w:val="-91"/>
        </w:rPr>
      </w:r>
      <w:r>
        <w:rPr/>
        <w:t>公司取消了部分或全部已授予的权益工具。</w:t>
      </w:r>
    </w:p>
    <w:p>
      <w:pPr>
        <w:pStyle w:val="BodyText"/>
        <w:spacing w:line="357" w:lineRule="auto"/>
        <w:ind w:right="239" w:firstLine="480"/>
        <w:jc w:val="both"/>
      </w:pPr>
      <w:r>
        <w:rPr/>
        <w:t>在等待期内，如果取消了授予的权益工具，本公司对取消所授予的权益性工具作为加速 行权处理，将剩余等待期内应确认的金额立即计入当期损益，同时确认资本公积。职工或其</w:t>
      </w:r>
      <w:r>
        <w:rPr>
          <w:spacing w:val="-91"/>
        </w:rPr>
        <w:t> </w:t>
      </w:r>
      <w:r>
        <w:rPr>
          <w:spacing w:val="-91"/>
        </w:rPr>
      </w:r>
      <w:r>
        <w:rPr/>
        <w:t>他方能够选择满足非可行权条件但在等待期内未满足的，本公司将其作为授予权益工具的取</w:t>
      </w:r>
      <w:r>
        <w:rPr>
          <w:spacing w:val="-91"/>
        </w:rPr>
        <w:t> </w:t>
      </w:r>
      <w:r>
        <w:rPr>
          <w:spacing w:val="-91"/>
        </w:rPr>
      </w:r>
      <w:r>
        <w:rPr/>
        <w:t>消处理。</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、收入</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67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8"/>
        <w:ind w:left="633" w:right="96"/>
        <w:jc w:val="left"/>
      </w:pPr>
      <w:r>
        <w:rPr/>
        <w:t>（</w:t>
      </w:r>
      <w:r>
        <w:rPr>
          <w:rFonts w:ascii="宋体" w:hAnsi="宋体" w:cs="宋体" w:eastAsia="宋体" w:hint="default"/>
        </w:rPr>
        <w:t>1</w:t>
      </w:r>
      <w:r>
        <w:rPr/>
        <w:t>）商品销售收入 在已将商品所有权上的主要风险和报酬转移给买方，既没有保留通常与所有权相联系的</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59"/>
        <w:jc w:val="both"/>
      </w:pPr>
      <w:r>
        <w:rPr/>
        <w:t>继续管理权，也没有对已售商品实施有效控制，收入的金额能够可靠地计量，相关的经济利</w:t>
      </w:r>
      <w:r>
        <w:rPr>
          <w:spacing w:val="-91"/>
        </w:rPr>
        <w:t> </w:t>
      </w:r>
      <w:r>
        <w:rPr>
          <w:spacing w:val="-91"/>
        </w:rPr>
      </w:r>
      <w:r>
        <w:rPr/>
        <w:t>益很可能流入企业，相关的已发生或将发生的成本能够可靠地计量时，确认商品销售收入的</w:t>
      </w:r>
      <w:r>
        <w:rPr>
          <w:spacing w:val="-91"/>
        </w:rPr>
        <w:t> </w:t>
      </w:r>
      <w:r>
        <w:rPr>
          <w:spacing w:val="-91"/>
        </w:rPr>
      </w:r>
      <w:r>
        <w:rPr/>
        <w:t>实现。</w:t>
      </w:r>
    </w:p>
    <w:p>
      <w:pPr>
        <w:pStyle w:val="BodyText"/>
        <w:spacing w:line="357" w:lineRule="auto"/>
        <w:ind w:left="633" w:right="153"/>
        <w:jc w:val="left"/>
      </w:pPr>
      <w:r>
        <w:rPr/>
        <w:t>（</w:t>
      </w:r>
      <w:r>
        <w:rPr>
          <w:rFonts w:ascii="宋体" w:hAnsi="宋体" w:cs="宋体" w:eastAsia="宋体" w:hint="default"/>
        </w:rPr>
        <w:t>2</w:t>
      </w:r>
      <w:r>
        <w:rPr/>
        <w:t>）提供劳务收入 在提供劳务交易的结果能够可靠估计的情况下，于资产负债表日按照完工百分比法确认</w:t>
      </w:r>
    </w:p>
    <w:p>
      <w:pPr>
        <w:pStyle w:val="BodyText"/>
        <w:spacing w:line="357" w:lineRule="auto"/>
        <w:ind w:left="633" w:right="153" w:hanging="481"/>
        <w:jc w:val="left"/>
      </w:pPr>
      <w:r>
        <w:rPr/>
        <w:t>提供的劳务收入。劳务交易的完工进度按已完工作的测量确定。 提供劳务交易的结果能够可靠估计是指同时满足：①收入的金额能够可靠地计量；②相</w:t>
      </w:r>
    </w:p>
    <w:p>
      <w:pPr>
        <w:pStyle w:val="BodyText"/>
        <w:spacing w:line="357" w:lineRule="auto" w:before="37"/>
        <w:ind w:right="159"/>
        <w:jc w:val="both"/>
      </w:pPr>
      <w:r>
        <w:rPr/>
        <w:t>关的经济利益很可能流入企业；③交易的完工程度能够可靠地确定；④交易中已发生和将发</w:t>
      </w:r>
      <w:r>
        <w:rPr>
          <w:spacing w:val="-91"/>
        </w:rPr>
        <w:t> </w:t>
      </w:r>
      <w:r>
        <w:rPr>
          <w:spacing w:val="-91"/>
        </w:rPr>
      </w:r>
      <w:r>
        <w:rPr/>
        <w:t>生的成本能够可靠地计量。</w:t>
      </w:r>
    </w:p>
    <w:p>
      <w:pPr>
        <w:pStyle w:val="BodyText"/>
        <w:spacing w:line="357" w:lineRule="auto"/>
        <w:ind w:right="159" w:firstLine="480"/>
        <w:jc w:val="both"/>
      </w:pPr>
      <w:r>
        <w:rPr/>
        <w:t>如果提供劳务交易的结果不能够可靠估计，则按已经发生并预计能够得到补偿的劳务成 本金额确认提供的劳务收入，并将已发生的劳务成本作为当期费用。已经发生的劳务成本如</w:t>
      </w:r>
      <w:r>
        <w:rPr>
          <w:spacing w:val="-91"/>
        </w:rPr>
        <w:t> </w:t>
      </w:r>
      <w:r>
        <w:rPr>
          <w:spacing w:val="-91"/>
        </w:rPr>
      </w:r>
      <w:r>
        <w:rPr/>
        <w:t>预计不能得到补偿的，则不确认收入。</w:t>
      </w:r>
    </w:p>
    <w:p>
      <w:pPr>
        <w:pStyle w:val="BodyText"/>
        <w:spacing w:line="357" w:lineRule="auto"/>
        <w:ind w:right="159" w:firstLine="480"/>
        <w:jc w:val="both"/>
      </w:pPr>
      <w:r>
        <w:rPr/>
        <w:t>本公司与其他企业签订的合同或协议包括销售商品和提供劳务时，如销售商品部分和提 供劳务部分能够区分并单独计量的，将销售商品部分和提供劳务部分分别处理；如销售商品</w:t>
      </w:r>
      <w:r>
        <w:rPr>
          <w:spacing w:val="-91"/>
        </w:rPr>
        <w:t> </w:t>
      </w:r>
      <w:r>
        <w:rPr>
          <w:spacing w:val="-91"/>
        </w:rPr>
      </w:r>
      <w:r>
        <w:rPr/>
        <w:t>部分和提供劳务部分不能够区分，或虽能区分但不能够单独计量的，将该合同全部作为销售</w:t>
      </w:r>
      <w:r>
        <w:rPr>
          <w:spacing w:val="-91"/>
        </w:rPr>
        <w:t> </w:t>
      </w:r>
      <w:r>
        <w:rPr>
          <w:spacing w:val="-91"/>
        </w:rPr>
      </w:r>
      <w:r>
        <w:rPr/>
        <w:t>商品处理。</w:t>
      </w:r>
    </w:p>
    <w:p>
      <w:pPr>
        <w:pStyle w:val="BodyText"/>
        <w:spacing w:line="357" w:lineRule="auto"/>
        <w:ind w:left="633" w:right="2093"/>
        <w:jc w:val="left"/>
      </w:pPr>
      <w:r>
        <w:rPr/>
        <w:t>软件产品销售在取得项目进度确认单时按照完工进度确认收入。 采集项目在约定的服务期内按直线法分期确认收入。 集成项目、管道探测、管网检测项目在取得项目验收单时确认收入。</w:t>
      </w:r>
    </w:p>
    <w:p>
      <w:pPr>
        <w:pStyle w:val="BodyText"/>
        <w:spacing w:line="357" w:lineRule="auto"/>
        <w:ind w:left="633" w:right="153"/>
        <w:jc w:val="left"/>
      </w:pPr>
      <w:r>
        <w:rPr/>
        <w:t>（</w:t>
      </w:r>
      <w:r>
        <w:rPr>
          <w:rFonts w:ascii="宋体" w:hAnsi="宋体" w:cs="宋体" w:eastAsia="宋体" w:hint="default"/>
        </w:rPr>
        <w:t>3</w:t>
      </w:r>
      <w:r>
        <w:rPr/>
        <w:t>）分期收款销售商品 按照销售商品的公允价值确定商品销售收入。销售商品应收款项与其公允价值之间的差</w:t>
      </w:r>
    </w:p>
    <w:p>
      <w:pPr>
        <w:pStyle w:val="BodyText"/>
        <w:spacing w:line="357" w:lineRule="auto" w:before="37"/>
        <w:ind w:left="633" w:right="153" w:hanging="481"/>
        <w:jc w:val="left"/>
      </w:pPr>
      <w:r>
        <w:rPr/>
        <w:t>额，在收款期内采用实际利率法进行摊销，计入财务费用。 分期收款项目于符合收入确认条件时，根据同期贷款利率做为实际利率，按照合同约定</w:t>
      </w:r>
    </w:p>
    <w:p>
      <w:pPr>
        <w:pStyle w:val="BodyText"/>
        <w:spacing w:line="357" w:lineRule="auto"/>
        <w:ind w:right="159"/>
        <w:jc w:val="both"/>
      </w:pPr>
      <w:r>
        <w:rPr/>
        <w:t>的付款进度计算项目公允值确认为收入，应收款项与收入的差额确认为未确认融资收益，计</w:t>
      </w:r>
      <w:r>
        <w:rPr>
          <w:spacing w:val="-91"/>
        </w:rPr>
        <w:t> </w:t>
      </w:r>
      <w:r>
        <w:rPr>
          <w:spacing w:val="-91"/>
        </w:rPr>
      </w:r>
      <w:r>
        <w:rPr/>
        <w:t>入财务费用。</w:t>
      </w:r>
    </w:p>
    <w:p>
      <w:pPr>
        <w:spacing w:after="0" w:line="357" w:lineRule="auto"/>
        <w:jc w:val="both"/>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）与资产相关的政府补助判断依据及会计处理方法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96" w:firstLine="480"/>
        <w:jc w:val="left"/>
      </w:pPr>
      <w:r>
        <w:rPr/>
        <w:t>政府补助是指本公司从政府无偿取得货币性资产和非货币性资产，不包括政府以投资者 身份并享有相应所有者权益而投入的资本。政府补助分为与资产相关的政府补助和与收益相 关的政府补助。本公司将所取得的用于购建或以其他方式形成长期资产的政府补助界定为与 资产相关的政府补助；其余政府补助界定为与收益相关的政府补助。若政府文件未明确规定 </w:t>
      </w:r>
      <w:r>
        <w:rPr>
          <w:spacing w:val="-2"/>
        </w:rPr>
        <w:t>补助对象，则采用以下方式将补助款划分为与收益相关的政府补助和与资产相关的政府补助：</w:t>
      </w:r>
    </w:p>
    <w:p>
      <w:pPr>
        <w:pStyle w:val="BodyText"/>
        <w:spacing w:line="357" w:lineRule="auto" w:before="37"/>
        <w:ind w:right="96"/>
        <w:jc w:val="left"/>
      </w:pPr>
      <w:r>
        <w:rPr/>
        <w:t>（</w:t>
      </w:r>
      <w:r>
        <w:rPr>
          <w:rFonts w:ascii="宋体" w:hAnsi="宋体" w:cs="宋体" w:eastAsia="宋体" w:hint="default"/>
        </w:rPr>
        <w:t>1</w:t>
      </w:r>
      <w:r>
        <w:rPr/>
        <w:t>）政府文件明确了补助所针对的特定项目的，根据该特定项目的预算中将形成资产的支出 金额和计入费用的支出金额的相对比例进行划分，对该划分比例需在每个资产负债表日进行 </w:t>
      </w:r>
      <w:r>
        <w:rPr>
          <w:spacing w:val="-3"/>
        </w:rPr>
        <w:t>复核，必要时进行变更；（</w:t>
      </w:r>
      <w:r>
        <w:rPr>
          <w:rFonts w:ascii="宋体" w:hAnsi="宋体" w:cs="宋体" w:eastAsia="宋体" w:hint="default"/>
          <w:spacing w:val="-3"/>
        </w:rPr>
        <w:t>2</w:t>
      </w:r>
      <w:r>
        <w:rPr>
          <w:spacing w:val="-3"/>
        </w:rPr>
        <w:t>）政府文件中对用途仅作一般性表述，没有指明特定项目的，作</w:t>
      </w:r>
      <w:r>
        <w:rPr>
          <w:spacing w:val="-116"/>
        </w:rPr>
        <w:t> </w:t>
      </w:r>
      <w:r>
        <w:rPr/>
        <w:t>为与收益相关的政府补助。政府补助为货币性资产的，按照收到或应收的金额计量。政府补 </w:t>
      </w:r>
      <w:r>
        <w:rPr>
          <w:spacing w:val="-2"/>
        </w:rPr>
        <w:t>助为非货币性资产的，按照公允价值计量；公允价值不能够可靠取得的，按照名义金额计量。</w:t>
      </w:r>
      <w:r>
        <w:rPr/>
        <w:t> 按照名义金额计量的政府补助，直接计入当期损益。</w:t>
      </w:r>
    </w:p>
    <w:p>
      <w:pPr>
        <w:pStyle w:val="BodyText"/>
        <w:spacing w:line="357" w:lineRule="auto" w:before="77"/>
        <w:ind w:right="151" w:firstLine="480"/>
        <w:jc w:val="both"/>
      </w:pPr>
      <w:r>
        <w:rPr/>
        <w:t>本公司对于政府补助通常在实际收到时，按照实收金额予以确认和计量。但对于期末有 确凿证据表明能够符合财政扶持政策规定的相关条件预计能够收到财政扶持资金，按照应收 </w:t>
      </w:r>
      <w:r>
        <w:rPr>
          <w:spacing w:val="-3"/>
        </w:rPr>
        <w:t>的金额计量。按照应收金额计量的政府补助应同时符合以下条件：（</w:t>
      </w:r>
      <w:r>
        <w:rPr>
          <w:rFonts w:ascii="宋体" w:hAnsi="宋体" w:cs="宋体" w:eastAsia="宋体" w:hint="default"/>
          <w:spacing w:val="-3"/>
        </w:rPr>
        <w:t>1</w:t>
      </w:r>
      <w:r>
        <w:rPr>
          <w:spacing w:val="-3"/>
        </w:rPr>
        <w:t>）应收补助款的金额已</w:t>
      </w:r>
      <w:r>
        <w:rPr>
          <w:spacing w:val="-116"/>
        </w:rPr>
        <w:t> </w:t>
      </w:r>
      <w:r>
        <w:rPr/>
        <w:t>经过有权政府部门发文确认，或者可根据正式发布的财政资金管理办法的有关规定自行合理 </w:t>
      </w:r>
      <w:r>
        <w:rPr>
          <w:spacing w:val="-8"/>
        </w:rPr>
        <w:t>测算，且预计其金额不存在重大不确定性；（</w:t>
      </w:r>
      <w:r>
        <w:rPr>
          <w:rFonts w:ascii="宋体" w:hAnsi="宋体" w:cs="宋体" w:eastAsia="宋体" w:hint="default"/>
          <w:spacing w:val="-8"/>
        </w:rPr>
        <w:t>2</w:t>
      </w:r>
      <w:r>
        <w:rPr>
          <w:spacing w:val="-8"/>
        </w:rPr>
        <w:t>）所依据的是当地财政部门正式发布并按照《政</w:t>
      </w:r>
      <w:r>
        <w:rPr>
          <w:spacing w:val="-107"/>
        </w:rPr>
        <w:t> </w:t>
      </w:r>
      <w:r>
        <w:rPr>
          <w:spacing w:val="-107"/>
        </w:rPr>
      </w:r>
      <w:r>
        <w:rPr/>
        <w:t>府信息公开条例》的规定予以主动公开的财政扶持项目及其财政资金管理办法，且该管理办 </w:t>
      </w:r>
      <w:r>
        <w:rPr>
          <w:spacing w:val="-3"/>
        </w:rPr>
        <w:t>法应当是普惠性的（任何符合规定条件的企业均可申请），而不是专门针对特定企业制定的；</w:t>
      </w:r>
    </w:p>
    <w:p>
      <w:pPr>
        <w:pStyle w:val="BodyText"/>
        <w:spacing w:line="357" w:lineRule="auto" w:before="37"/>
        <w:ind w:right="104"/>
        <w:jc w:val="left"/>
      </w:pPr>
      <w:r>
        <w:rPr/>
        <w:t>（</w:t>
      </w:r>
      <w:r>
        <w:rPr>
          <w:rFonts w:ascii="宋体" w:hAnsi="宋体" w:cs="宋体" w:eastAsia="宋体" w:hint="default"/>
        </w:rPr>
        <w:t>3</w:t>
      </w:r>
      <w:r>
        <w:rPr/>
        <w:t>）相关的补助款批文中已明确承诺了拨付期限，且该款项的拨付是有相应财政预算作为保 </w:t>
      </w:r>
      <w:r>
        <w:rPr>
          <w:spacing w:val="-5"/>
        </w:rPr>
        <w:t>障的，因而可以合理保证其可在规定期限内收到；（</w:t>
      </w:r>
      <w:r>
        <w:rPr>
          <w:rFonts w:ascii="宋体" w:hAnsi="宋体" w:cs="宋体" w:eastAsia="宋体" w:hint="default"/>
          <w:spacing w:val="-5"/>
        </w:rPr>
        <w:t>4</w:t>
      </w:r>
      <w:r>
        <w:rPr>
          <w:spacing w:val="-5"/>
        </w:rPr>
        <w:t>）根据本公司和该补助事项的具体情况，</w:t>
      </w:r>
      <w:r>
        <w:rPr>
          <w:spacing w:val="-113"/>
        </w:rPr>
        <w:t> </w:t>
      </w:r>
      <w:r>
        <w:rPr>
          <w:spacing w:val="-113"/>
        </w:rPr>
      </w:r>
      <w:r>
        <w:rPr>
          <w:spacing w:val="-8"/>
        </w:rPr>
        <w:t>应满足的其他相关条件（如有）。</w:t>
      </w:r>
    </w:p>
    <w:p>
      <w:pPr>
        <w:pStyle w:val="BodyText"/>
        <w:spacing w:line="357" w:lineRule="auto" w:before="74"/>
        <w:ind w:right="271" w:firstLine="480"/>
        <w:jc w:val="both"/>
      </w:pPr>
      <w:r>
        <w:rPr/>
        <w:t>与资产相关的政府补助，确认为递延收益，并在相关资产的使用寿命内按照合理、系统 的方法分期计入当期损益。与收益相关的政府补助，用于补偿以后期间的相关成本费用或损 失的，确认为递延收益，并在确认相关成本费用或损失的期间计入当期损益；用于补偿已经 发生的相关成本费用或损失的，直接计入当期损益。</w:t>
      </w:r>
    </w:p>
    <w:p>
      <w:pPr>
        <w:pStyle w:val="BodyText"/>
        <w:spacing w:line="357" w:lineRule="auto" w:before="77"/>
        <w:ind w:right="254" w:firstLine="480"/>
        <w:jc w:val="left"/>
      </w:pPr>
      <w:r>
        <w:rPr/>
        <w:t>同时包含与资产相关部分和与收益相关部分的政府补助，区分不同部分分别进行会计处 理；难以区分的，将其整体归类为与收益相关的政府补助。</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254" w:firstLine="480"/>
        <w:jc w:val="left"/>
      </w:pPr>
      <w:r>
        <w:rPr/>
        <w:t>与本公司日常活动相关的政府补助，按照经济业务的实质，计入其他收益或冲减相关成 本费用；与日常活动无关的政府补助，计入营业外收支。</w:t>
      </w:r>
    </w:p>
    <w:p>
      <w:pPr>
        <w:pStyle w:val="BodyText"/>
        <w:spacing w:line="357" w:lineRule="auto" w:before="77"/>
        <w:ind w:right="96" w:firstLine="480"/>
        <w:jc w:val="left"/>
      </w:pPr>
      <w:r>
        <w:rPr>
          <w:spacing w:val="-3"/>
        </w:rPr>
        <w:t>已确认的政府补助需要退回时，存在相关递延收益余额的，冲减相关递延收益账面余额，</w:t>
      </w:r>
      <w:r>
        <w:rPr/>
        <w:t> 超出部分计入当期损益；属于其他情况的，直接计入当期损益。</w:t>
      </w:r>
    </w:p>
    <w:p>
      <w:pPr>
        <w:spacing w:line="240" w:lineRule="auto" w:before="10"/>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）与收益相关的政府补助判断依据及会计处理方法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86" w:lineRule="auto" w:before="0"/>
        <w:ind w:left="633" w:right="96"/>
        <w:jc w:val="left"/>
      </w:pPr>
      <w:r>
        <w:rPr/>
        <w:t>（</w:t>
      </w:r>
      <w:r>
        <w:rPr>
          <w:rFonts w:ascii="宋体" w:hAnsi="宋体" w:cs="宋体" w:eastAsia="宋体" w:hint="default"/>
        </w:rPr>
        <w:t>1</w:t>
      </w:r>
      <w:r>
        <w:rPr/>
        <w:t>）当期所得税 </w:t>
      </w:r>
      <w:r>
        <w:rPr>
          <w:spacing w:val="-6"/>
        </w:rPr>
        <w:t>资产负债表日，对于当期和以前期间形成的当期所得税负债（或资产），以按照税法规定</w:t>
      </w:r>
    </w:p>
    <w:p>
      <w:pPr>
        <w:pStyle w:val="BodyText"/>
        <w:spacing w:line="357" w:lineRule="auto" w:before="7"/>
        <w:ind w:right="254"/>
        <w:jc w:val="left"/>
      </w:pPr>
      <w:r>
        <w:rPr/>
        <w:t>计算的预期应交纳（或返还）的所得税金额计量。计算当期所得税费用所依据的应纳税所得 额系根据有关税法规定对本年度税前会计利润作相应调整后计算得出。</w:t>
      </w:r>
    </w:p>
    <w:p>
      <w:pPr>
        <w:pStyle w:val="BodyText"/>
        <w:spacing w:line="388" w:lineRule="auto" w:before="77"/>
        <w:ind w:left="633" w:right="253"/>
        <w:jc w:val="left"/>
      </w:pPr>
      <w:r>
        <w:rPr/>
        <w:t>（</w:t>
      </w:r>
      <w:r>
        <w:rPr>
          <w:rFonts w:ascii="宋体" w:hAnsi="宋体" w:cs="宋体" w:eastAsia="宋体" w:hint="default"/>
        </w:rPr>
        <w:t>2</w:t>
      </w:r>
      <w:r>
        <w:rPr/>
        <w:t>）递延所得税资产及递延所得税负债 某些资产、负债项目的账面价值与其计税基础之间的差额，以及未作为资产和负债确认</w:t>
      </w:r>
    </w:p>
    <w:p>
      <w:pPr>
        <w:pStyle w:val="BodyText"/>
        <w:spacing w:line="357" w:lineRule="auto" w:before="5"/>
        <w:ind w:right="254"/>
        <w:jc w:val="left"/>
      </w:pPr>
      <w:r>
        <w:rPr/>
        <w:t>但按照税法规定可以确定其计税基础的项目的账面价值与计税基础之间的差额产生的暂时性 差异，采用资产负债表债务法确认递延所得税资产及递延所得税负债。</w:t>
      </w:r>
    </w:p>
    <w:p>
      <w:pPr>
        <w:pStyle w:val="BodyText"/>
        <w:spacing w:line="357" w:lineRule="auto" w:before="74"/>
        <w:ind w:right="270" w:firstLine="480"/>
        <w:jc w:val="both"/>
      </w:pPr>
      <w:r>
        <w:rPr/>
        <w:t>与商誉的初始确认有关，以及与既不是企业合并、发生时也不影响会计利润和应纳税所 得额（或可抵扣亏损）的交易中产生的资产或负债的初始确认有关的应纳税暂时性差异，不 予确认有关的递延所得税负债。此外，对与子公司、联营企业及合营企业投资相关的应纳税 暂时性差异，如果本公司能够控制暂时性差异转回的时间，而且该暂时性差异在可预见的未 来很可能不会转回，也不予确认有关的递延所得税负债。除上述例外情况，本公司确认其他 所有应纳税暂时性差异产生的递延所得税负债。</w:t>
      </w:r>
    </w:p>
    <w:p>
      <w:pPr>
        <w:pStyle w:val="BodyText"/>
        <w:spacing w:line="357" w:lineRule="auto" w:before="77"/>
        <w:ind w:right="96" w:firstLine="480"/>
        <w:jc w:val="left"/>
      </w:pPr>
      <w:r>
        <w:rPr/>
        <w:t>与既不是企业合并、发生时也不影响会计利润和应纳税所得额（或可抵扣亏损）的交易 </w:t>
      </w:r>
      <w:r>
        <w:rPr>
          <w:spacing w:val="-2"/>
        </w:rPr>
        <w:t>中产生的资产或负债的初始确认有关的可抵扣暂时性差异，不予确认有关的递延所得税资产。</w:t>
      </w:r>
      <w:r>
        <w:rPr/>
        <w:t> 此外，对与子公司、联营企业及合营企业投资相关的可抵扣暂时性差异，如果暂时性差异在 可预见的未来不是很可能转回，或者未来不是很可能获得用来抵扣可抵扣暂时性差异的应纳 税所得额，不予确认有关的递延所得税资产。除上述例外情况，本公司以很可能取得用来抵 扣可抵扣暂时性差异的应纳税所得额为限，确认其他可抵扣暂时性差异产生的递延所得税资 产。</w:t>
      </w:r>
    </w:p>
    <w:p>
      <w:pPr>
        <w:spacing w:after="0" w:line="357"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57" w:lineRule="auto" w:before="26"/>
        <w:ind w:right="191" w:firstLine="480"/>
        <w:jc w:val="both"/>
      </w:pPr>
      <w:r>
        <w:rPr/>
        <w:t>对于能够结转以后年度的可抵扣亏损和税款抵减，以很可能获得用来抵扣可抵扣亏损和 税款抵减的未来应纳税所得额为限，确认相应的递延所得税资产。</w:t>
      </w:r>
    </w:p>
    <w:p>
      <w:pPr>
        <w:pStyle w:val="BodyText"/>
        <w:spacing w:line="357" w:lineRule="auto" w:before="77"/>
        <w:ind w:right="191" w:firstLine="480"/>
        <w:jc w:val="both"/>
      </w:pPr>
      <w:r>
        <w:rPr/>
        <w:t>资产负债表日，对于递延所得税资产和递延所得税负债，根据税法规定，按照预期收回 相关资产或清偿相关负债期间的适用税率计量。</w:t>
      </w:r>
    </w:p>
    <w:p>
      <w:pPr>
        <w:pStyle w:val="BodyText"/>
        <w:spacing w:line="357" w:lineRule="auto" w:before="74"/>
        <w:ind w:right="190" w:firstLine="480"/>
        <w:jc w:val="both"/>
      </w:pPr>
      <w:r>
        <w:rPr/>
        <w:t>于资产负债表日，对递延所得税资产的账面价值进行复核，如果未来很可能无法获得足 够的应纳税所得额用以抵扣递延所得税资产的利益，则减记递延所得税资产的账面价值。在 很可能获得足够的应纳税所得额时，减记的金额予以转回。</w:t>
      </w:r>
    </w:p>
    <w:p>
      <w:pPr>
        <w:pStyle w:val="BodyText"/>
        <w:spacing w:line="388" w:lineRule="auto" w:before="77"/>
        <w:ind w:left="633" w:right="4733"/>
        <w:jc w:val="left"/>
      </w:pPr>
      <w:r>
        <w:rPr/>
        <w:t>（</w:t>
      </w:r>
      <w:r>
        <w:rPr>
          <w:rFonts w:ascii="宋体" w:hAnsi="宋体" w:cs="宋体" w:eastAsia="宋体" w:hint="default"/>
        </w:rPr>
        <w:t>3</w:t>
      </w:r>
      <w:r>
        <w:rPr/>
        <w:t>）所得税费用 所得税费用包括当期所得税和递延所得税。</w:t>
      </w:r>
    </w:p>
    <w:p>
      <w:pPr>
        <w:pStyle w:val="BodyText"/>
        <w:spacing w:line="357" w:lineRule="auto" w:before="43"/>
        <w:ind w:right="191" w:firstLine="480"/>
        <w:jc w:val="both"/>
      </w:pPr>
      <w:r>
        <w:rPr/>
        <w:t>除确认为其他综合收益或直接计入股东权益的交易和事项相关的当期所得税和递延所得 税计入其他综合收益或股东权益，以及企业合并产生的递延所得税调整商誉的账面价值外， 其余当期所得税和递延所得税费用或收益计入当期损益。</w:t>
      </w:r>
    </w:p>
    <w:p>
      <w:pPr>
        <w:pStyle w:val="BodyText"/>
        <w:spacing w:line="388" w:lineRule="auto" w:before="77"/>
        <w:ind w:left="633" w:right="173"/>
        <w:jc w:val="left"/>
      </w:pPr>
      <w:r>
        <w:rPr/>
        <w:t>（</w:t>
      </w:r>
      <w:r>
        <w:rPr>
          <w:rFonts w:ascii="宋体" w:hAnsi="宋体" w:cs="宋体" w:eastAsia="宋体" w:hint="default"/>
        </w:rPr>
        <w:t>4</w:t>
      </w:r>
      <w:r>
        <w:rPr/>
        <w:t>）所得税的抵销 当拥有以净额结算的法定权利，且意图以净额结算或取得资产、清偿负债同时进行时，</w:t>
      </w:r>
    </w:p>
    <w:p>
      <w:pPr>
        <w:pStyle w:val="BodyText"/>
        <w:spacing w:line="386" w:lineRule="auto" w:before="5"/>
        <w:ind w:left="633" w:right="173" w:hanging="481"/>
        <w:jc w:val="left"/>
      </w:pPr>
      <w:r>
        <w:rPr/>
        <w:t>本公司当期所得税资产及当期所得税负债以抵销后的净额列报。 当拥有以净额结算当期所得税资产及当期所得税负债的法定权利，且递延所得税资产及</w:t>
      </w:r>
    </w:p>
    <w:p>
      <w:pPr>
        <w:pStyle w:val="BodyText"/>
        <w:spacing w:line="357" w:lineRule="auto" w:before="7"/>
        <w:ind w:right="191"/>
        <w:jc w:val="both"/>
      </w:pPr>
      <w:r>
        <w:rPr/>
        <w:t>递延所得税负债是与同一税收征管部门对同一纳税主体征收的所得税相关或者是对不同的纳 税主体相关，但在未来每一具有重要性的递延所得税资产及负债转回的期间内，涉及的纳税 主体意图以净额结算当期所得税资产和负债或是同时取得资产、清偿负债时，本公司递延所 得税资产及递延所得税负债以抵销后的净额列报。</w:t>
      </w:r>
    </w:p>
    <w:p>
      <w:pPr>
        <w:spacing w:line="240" w:lineRule="auto" w:before="11"/>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、租赁</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）经营租赁的会计处理方法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90" w:firstLine="480"/>
        <w:jc w:val="both"/>
      </w:pPr>
      <w:r>
        <w:rPr/>
        <w:t>融资租赁为实质上转移了与资产所有权有关的全部风险和报酬的租赁，其所有权最终可 能转移，也可能不转移。融资租赁以外的其他租赁为经营租赁。</w:t>
      </w:r>
    </w:p>
    <w:p>
      <w:pPr>
        <w:pStyle w:val="BodyText"/>
        <w:spacing w:line="388" w:lineRule="auto" w:before="77"/>
        <w:ind w:left="633" w:right="173"/>
        <w:jc w:val="left"/>
      </w:pPr>
      <w:r>
        <w:rPr/>
        <w:t>（</w:t>
      </w:r>
      <w:r>
        <w:rPr>
          <w:rFonts w:ascii="宋体" w:hAnsi="宋体" w:cs="宋体" w:eastAsia="宋体" w:hint="default"/>
        </w:rPr>
        <w:t>1</w:t>
      </w:r>
      <w:r>
        <w:rPr/>
        <w:t>）本公司作为承租人记录经营租赁业务 经营租赁的租金支出在租赁期内的各个期间按直线法计入相关资产成本或当期损益。初</w:t>
      </w:r>
    </w:p>
    <w:p>
      <w:pPr>
        <w:pStyle w:val="BodyText"/>
        <w:spacing w:line="240" w:lineRule="auto" w:before="5"/>
        <w:ind w:right="0"/>
        <w:jc w:val="both"/>
      </w:pPr>
      <w:r>
        <w:rPr/>
        <w:t>始直接费用计入当期损益。或有租金于实际发生时计入当期损益。</w:t>
      </w:r>
    </w:p>
    <w:p>
      <w:pPr>
        <w:spacing w:after="0" w:line="240"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88" w:lineRule="auto" w:before="26"/>
        <w:ind w:left="633" w:right="173"/>
        <w:jc w:val="left"/>
      </w:pPr>
      <w:r>
        <w:rPr/>
        <w:t>（</w:t>
      </w:r>
      <w:r>
        <w:rPr>
          <w:rFonts w:ascii="宋体" w:hAnsi="宋体" w:cs="宋体" w:eastAsia="宋体" w:hint="default"/>
        </w:rPr>
        <w:t>2</w:t>
      </w:r>
      <w:r>
        <w:rPr/>
        <w:t>）本公司作为出租人记录经营租赁业务 经营租赁的租金收入在租赁期内的各个期间按直线法确认为当期损益。对金额较大的初</w:t>
      </w:r>
    </w:p>
    <w:p>
      <w:pPr>
        <w:pStyle w:val="BodyText"/>
        <w:spacing w:line="357" w:lineRule="auto" w:before="5"/>
        <w:ind w:right="190"/>
        <w:jc w:val="both"/>
      </w:pPr>
      <w:r>
        <w:rPr/>
        <w:t>始直接费用于发生时予以资本化，在整个租赁期间内按照与确认租金收入相同的基础分期计 入当期损益；其他金额较小的初始直接费用于发生时计入当期损益。或有租金于实际发生时 计入当期损益。</w:t>
      </w:r>
    </w:p>
    <w:p>
      <w:pPr>
        <w:spacing w:line="240" w:lineRule="auto" w:before="8"/>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）融资租赁的会计处理方法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88" w:lineRule="auto" w:before="0"/>
        <w:ind w:left="633" w:right="173"/>
        <w:jc w:val="left"/>
      </w:pPr>
      <w:r>
        <w:rPr/>
        <w:t>（</w:t>
      </w:r>
      <w:r>
        <w:rPr>
          <w:rFonts w:ascii="宋体" w:hAnsi="宋体" w:cs="宋体" w:eastAsia="宋体" w:hint="default"/>
        </w:rPr>
        <w:t>3</w:t>
      </w:r>
      <w:r>
        <w:rPr/>
        <w:t>）本公司作为承租人记录融资租赁业务 于租赁期开始日，将租赁开始日租赁资产的公允价值与最低租赁付款额现值两者中较低</w:t>
      </w:r>
    </w:p>
    <w:p>
      <w:pPr>
        <w:pStyle w:val="BodyText"/>
        <w:spacing w:line="357" w:lineRule="auto" w:before="5"/>
        <w:ind w:right="191"/>
        <w:jc w:val="both"/>
      </w:pPr>
      <w:r>
        <w:rPr/>
        <w:t>者作为租入资产的入账价值，将最低租赁付款额作为长期应付款的入账价值，其差额作为未 确认融资费用。此外，在租赁谈判和签订租赁合同过程中发生的，可归属于租赁项目的初始 直接费用也计入租入资产价值。最低租赁付款额扣除未确认融资费用后的余额分别长期负债 和一年内到期的长期负债列示。</w:t>
      </w:r>
    </w:p>
    <w:p>
      <w:pPr>
        <w:pStyle w:val="BodyText"/>
        <w:spacing w:line="357" w:lineRule="auto" w:before="77"/>
        <w:ind w:right="174" w:firstLine="480"/>
        <w:jc w:val="left"/>
      </w:pPr>
      <w:r>
        <w:rPr/>
        <w:t>未确认融资费用在租赁期内采用实际利率法计算确认当期的融资费用。或有租金于实际 发生时计入当期损益。</w:t>
      </w:r>
    </w:p>
    <w:p>
      <w:pPr>
        <w:pStyle w:val="BodyText"/>
        <w:spacing w:line="388" w:lineRule="auto" w:before="74"/>
        <w:ind w:left="633" w:right="173"/>
        <w:jc w:val="left"/>
      </w:pPr>
      <w:r>
        <w:rPr/>
        <w:t>（</w:t>
      </w:r>
      <w:r>
        <w:rPr>
          <w:rFonts w:ascii="宋体" w:hAnsi="宋体" w:cs="宋体" w:eastAsia="宋体" w:hint="default"/>
        </w:rPr>
        <w:t>4</w:t>
      </w:r>
      <w:r>
        <w:rPr/>
        <w:t>）本公司作为出租人记录融资租赁业务 于租赁期开始日，将租赁开始日最低租赁收款额与初始直接费用之和作为应收融资租赁</w:t>
      </w:r>
    </w:p>
    <w:p>
      <w:pPr>
        <w:pStyle w:val="BodyText"/>
        <w:spacing w:line="357" w:lineRule="auto" w:before="5"/>
        <w:ind w:right="191"/>
        <w:jc w:val="both"/>
      </w:pPr>
      <w:r>
        <w:rPr/>
        <w:t>款的入账价值，同时记录未担保余值；将最低租赁收款额、初始直接费用及未担保余值之和 与其现值之和的差额确认为未实现融资收益。应收融资租赁款扣除未实现融资收益后的余额 分别长期债权和一年内到期的长期债权列示。</w:t>
      </w:r>
    </w:p>
    <w:p>
      <w:pPr>
        <w:pStyle w:val="BodyText"/>
        <w:spacing w:line="357" w:lineRule="auto" w:before="74"/>
        <w:ind w:right="174" w:firstLine="480"/>
        <w:jc w:val="left"/>
      </w:pPr>
      <w:r>
        <w:rPr/>
        <w:t>未实现融资收益在租赁期内采用实际利率法计算确认当期的融资收入。或有租金于实际 发生时计入当期损益。</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、其他重要的会计政策和会计估计</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88" w:lineRule="auto" w:before="0"/>
        <w:ind w:left="633" w:right="173"/>
        <w:jc w:val="left"/>
      </w:pPr>
      <w:r>
        <w:rPr/>
        <w:t>回购股份 股份回购中支付的对价和交易费用减少股东权益，回购、转上或注销本公司股份时，不</w:t>
      </w:r>
    </w:p>
    <w:p>
      <w:pPr>
        <w:pStyle w:val="BodyText"/>
        <w:spacing w:line="386" w:lineRule="auto" w:before="5"/>
        <w:ind w:left="633" w:right="173" w:hanging="481"/>
        <w:jc w:val="left"/>
      </w:pPr>
      <w:r>
        <w:rPr/>
        <w:t>确认利得或损失。 转让库存股，按实际收到的金额与库存股账面金额的差额，计入资本公积，资本公积不</w:t>
      </w:r>
    </w:p>
    <w:p>
      <w:pPr>
        <w:pStyle w:val="BodyText"/>
        <w:spacing w:line="240" w:lineRule="auto" w:before="7"/>
        <w:ind w:right="0"/>
        <w:jc w:val="both"/>
      </w:pPr>
      <w:r>
        <w:rPr/>
        <w:t>足冲减的，冲减盈余公积和未分配利润。注销库存股，按股票面值和注销股数减少股本，按</w:t>
      </w:r>
    </w:p>
    <w:p>
      <w:pPr>
        <w:spacing w:after="0" w:line="240"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254"/>
        <w:jc w:val="left"/>
      </w:pPr>
      <w:r>
        <w:rPr/>
        <w:t>注销库存股的账面余额与面值的差额，冲减资本公积，资本公积不足冲减的，冲减盈余公积 和未分配利润。</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、重要会计政策和会计估计变更</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）重要会计政策变更</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32"/>
        <w:ind w:left="633" w:right="96"/>
        <w:jc w:val="left"/>
      </w:pPr>
      <w:r>
        <w:rPr>
          <w:rFonts w:ascii="Arial" w:hAnsi="Arial" w:cs="Arial" w:eastAsia="Arial" w:hint="default"/>
        </w:rPr>
        <w:t>2017 </w:t>
      </w:r>
      <w:r>
        <w:rPr/>
        <w:t>年</w:t>
      </w:r>
      <w:r>
        <w:rPr>
          <w:spacing w:val="-54"/>
        </w:rPr>
        <w:t> </w:t>
      </w:r>
      <w:r>
        <w:rPr>
          <w:rFonts w:ascii="Arial" w:hAnsi="Arial" w:cs="Arial" w:eastAsia="Arial" w:hint="default"/>
        </w:rPr>
        <w:t>4 </w:t>
      </w:r>
      <w:r>
        <w:rPr/>
        <w:t>月</w:t>
      </w:r>
      <w:r>
        <w:rPr>
          <w:spacing w:val="-54"/>
        </w:rPr>
        <w:t> </w:t>
      </w:r>
      <w:r>
        <w:rPr>
          <w:rFonts w:ascii="Arial" w:hAnsi="Arial" w:cs="Arial" w:eastAsia="Arial" w:hint="default"/>
        </w:rPr>
        <w:t>28 </w:t>
      </w:r>
      <w:r>
        <w:rPr/>
        <w:t>日，财政部以财会</w:t>
      </w:r>
      <w:r>
        <w:rPr>
          <w:rFonts w:ascii="Arial" w:hAnsi="Arial" w:cs="Arial" w:eastAsia="Arial" w:hint="default"/>
        </w:rPr>
        <w:t>[2017]13</w:t>
      </w:r>
      <w:r>
        <w:rPr>
          <w:rFonts w:ascii="Arial" w:hAnsi="Arial" w:cs="Arial" w:eastAsia="Arial" w:hint="default"/>
          <w:spacing w:val="-1"/>
        </w:rPr>
        <w:t> </w:t>
      </w:r>
      <w:r>
        <w:rPr/>
        <w:t>号发布了《企业会计准则第</w:t>
      </w:r>
      <w:r>
        <w:rPr>
          <w:spacing w:val="-54"/>
        </w:rPr>
        <w:t> </w:t>
      </w:r>
      <w:r>
        <w:rPr>
          <w:rFonts w:ascii="Arial" w:hAnsi="Arial" w:cs="Arial" w:eastAsia="Arial" w:hint="default"/>
        </w:rPr>
        <w:t>42 </w:t>
      </w:r>
      <w:r>
        <w:rPr/>
        <w:t>号</w:t>
      </w:r>
      <w:r>
        <w:rPr>
          <w:rFonts w:ascii="Arial" w:hAnsi="Arial" w:cs="Arial" w:eastAsia="Arial" w:hint="default"/>
        </w:rPr>
        <w:t>——</w:t>
      </w:r>
      <w:r>
        <w:rPr/>
        <w:t>持有</w:t>
      </w:r>
    </w:p>
    <w:p>
      <w:pPr>
        <w:pStyle w:val="BodyText"/>
        <w:spacing w:line="338" w:lineRule="auto" w:before="137"/>
        <w:ind w:right="96"/>
        <w:jc w:val="left"/>
      </w:pPr>
      <w:r>
        <w:rPr>
          <w:spacing w:val="-10"/>
        </w:rPr>
        <w:t>待售的非流动资产、处置组和终止经营》，自</w:t>
      </w:r>
      <w:r>
        <w:rPr>
          <w:spacing w:val="-59"/>
        </w:rPr>
        <w:t> </w:t>
      </w:r>
      <w:r>
        <w:rPr>
          <w:rFonts w:ascii="Arial" w:hAnsi="Arial" w:cs="Arial" w:eastAsia="Arial" w:hint="default"/>
          <w:w w:val="99"/>
        </w:rPr>
        <w:t>2017</w:t>
      </w:r>
      <w:r>
        <w:rPr>
          <w:rFonts w:ascii="Arial" w:hAnsi="Arial" w:cs="Arial" w:eastAsia="Arial" w:hint="default"/>
          <w:spacing w:val="-5"/>
          <w:w w:val="99"/>
        </w:rPr>
        <w:t> </w:t>
      </w:r>
      <w:r>
        <w:rPr/>
        <w:t>年</w:t>
      </w:r>
      <w:r>
        <w:rPr>
          <w:spacing w:val="-62"/>
        </w:rPr>
        <w:t> </w:t>
      </w:r>
      <w:r>
        <w:rPr>
          <w:rFonts w:ascii="Arial" w:hAnsi="Arial" w:cs="Arial" w:eastAsia="Arial" w:hint="default"/>
          <w:w w:val="99"/>
        </w:rPr>
        <w:t>5</w:t>
      </w:r>
      <w:r>
        <w:rPr>
          <w:rFonts w:ascii="Arial" w:hAnsi="Arial" w:cs="Arial" w:eastAsia="Arial" w:hint="default"/>
          <w:spacing w:val="-5"/>
          <w:w w:val="99"/>
        </w:rPr>
        <w:t> </w:t>
      </w:r>
      <w:r>
        <w:rPr/>
        <w:t>月</w:t>
      </w:r>
      <w:r>
        <w:rPr>
          <w:spacing w:val="-59"/>
        </w:rPr>
        <w:t> </w:t>
      </w:r>
      <w:r>
        <w:rPr>
          <w:rFonts w:ascii="Arial" w:hAnsi="Arial" w:cs="Arial" w:eastAsia="Arial" w:hint="default"/>
          <w:w w:val="99"/>
        </w:rPr>
        <w:t>28</w:t>
      </w:r>
      <w:r>
        <w:rPr>
          <w:rFonts w:ascii="Arial" w:hAnsi="Arial" w:cs="Arial" w:eastAsia="Arial" w:hint="default"/>
          <w:spacing w:val="-5"/>
          <w:w w:val="99"/>
        </w:rPr>
        <w:t> </w:t>
      </w:r>
      <w:r>
        <w:rPr>
          <w:spacing w:val="-4"/>
          <w:w w:val="99"/>
        </w:rPr>
        <w:t>日起实施。</w:t>
      </w:r>
      <w:r>
        <w:rPr>
          <w:rFonts w:ascii="Arial" w:hAnsi="Arial" w:cs="Arial" w:eastAsia="Arial" w:hint="default"/>
          <w:spacing w:val="-4"/>
          <w:w w:val="99"/>
        </w:rPr>
        <w:t>2017</w:t>
      </w:r>
      <w:r>
        <w:rPr>
          <w:rFonts w:ascii="Arial" w:hAnsi="Arial" w:cs="Arial" w:eastAsia="Arial" w:hint="default"/>
          <w:spacing w:val="-5"/>
          <w:w w:val="99"/>
        </w:rPr>
        <w:t> </w:t>
      </w:r>
      <w:r>
        <w:rPr/>
        <w:t>年</w:t>
      </w:r>
      <w:r>
        <w:rPr>
          <w:spacing w:val="-59"/>
        </w:rPr>
        <w:t> </w:t>
      </w:r>
      <w:r>
        <w:rPr>
          <w:rFonts w:ascii="Arial" w:hAnsi="Arial" w:cs="Arial" w:eastAsia="Arial" w:hint="default"/>
          <w:w w:val="99"/>
        </w:rPr>
        <w:t>5</w:t>
      </w:r>
      <w:r>
        <w:rPr>
          <w:rFonts w:ascii="Arial" w:hAnsi="Arial" w:cs="Arial" w:eastAsia="Arial" w:hint="default"/>
          <w:spacing w:val="-5"/>
          <w:w w:val="99"/>
        </w:rPr>
        <w:t> </w:t>
      </w:r>
      <w:r>
        <w:rPr/>
        <w:t>月</w:t>
      </w:r>
      <w:r>
        <w:rPr>
          <w:spacing w:val="-62"/>
        </w:rPr>
        <w:t> </w:t>
      </w:r>
      <w:r>
        <w:rPr>
          <w:rFonts w:ascii="Arial" w:hAnsi="Arial" w:cs="Arial" w:eastAsia="Arial" w:hint="default"/>
          <w:w w:val="99"/>
        </w:rPr>
        <w:t>10</w:t>
      </w:r>
      <w:r>
        <w:rPr>
          <w:rFonts w:ascii="Arial" w:hAnsi="Arial" w:cs="Arial" w:eastAsia="Arial" w:hint="default"/>
          <w:spacing w:val="-5"/>
          <w:w w:val="99"/>
        </w:rPr>
        <w:t> </w:t>
      </w:r>
      <w:r>
        <w:rPr>
          <w:spacing w:val="-2"/>
        </w:rPr>
        <w:t>日，</w:t>
      </w:r>
      <w:r>
        <w:rPr/>
        <w:t> </w:t>
      </w:r>
      <w:r>
        <w:rPr>
          <w:spacing w:val="-1"/>
          <w:w w:val="99"/>
        </w:rPr>
        <w:t>财政部以财会</w:t>
      </w:r>
      <w:r>
        <w:rPr>
          <w:rFonts w:ascii="Arial" w:hAnsi="Arial" w:cs="Arial" w:eastAsia="Arial" w:hint="default"/>
          <w:spacing w:val="-1"/>
          <w:w w:val="99"/>
        </w:rPr>
        <w:t>[2017]15</w:t>
      </w:r>
      <w:r>
        <w:rPr>
          <w:rFonts w:ascii="Arial" w:hAnsi="Arial" w:cs="Arial" w:eastAsia="Arial" w:hint="default"/>
          <w:spacing w:val="-6"/>
          <w:w w:val="99"/>
        </w:rPr>
        <w:t> </w:t>
      </w:r>
      <w:r>
        <w:rPr>
          <w:spacing w:val="-1"/>
        </w:rPr>
        <w:t>号发布了《企业会计准则第</w:t>
      </w:r>
      <w:r>
        <w:rPr>
          <w:spacing w:val="-55"/>
        </w:rPr>
        <w:t> </w:t>
      </w:r>
      <w:r>
        <w:rPr>
          <w:rFonts w:ascii="Arial" w:hAnsi="Arial" w:cs="Arial" w:eastAsia="Arial" w:hint="default"/>
          <w:w w:val="99"/>
        </w:rPr>
        <w:t>16</w:t>
      </w:r>
      <w:r>
        <w:rPr>
          <w:rFonts w:ascii="Arial" w:hAnsi="Arial" w:cs="Arial" w:eastAsia="Arial" w:hint="default"/>
          <w:spacing w:val="-2"/>
          <w:w w:val="99"/>
        </w:rPr>
        <w:t> </w:t>
      </w:r>
      <w:r>
        <w:rPr>
          <w:spacing w:val="-1"/>
          <w:w w:val="99"/>
        </w:rPr>
        <w:t>号</w:t>
      </w:r>
      <w:r>
        <w:rPr>
          <w:rFonts w:ascii="Arial" w:hAnsi="Arial" w:cs="Arial" w:eastAsia="Arial" w:hint="default"/>
          <w:spacing w:val="-1"/>
          <w:w w:val="99"/>
        </w:rPr>
        <w:t>——</w:t>
      </w:r>
      <w:r>
        <w:rPr>
          <w:spacing w:val="-1"/>
          <w:w w:val="99"/>
        </w:rPr>
        <w:t>政府补助（</w:t>
      </w:r>
      <w:r>
        <w:rPr>
          <w:rFonts w:ascii="Arial" w:hAnsi="Arial" w:cs="Arial" w:eastAsia="Arial" w:hint="default"/>
          <w:spacing w:val="-1"/>
          <w:w w:val="99"/>
        </w:rPr>
        <w:t>2017 </w:t>
      </w:r>
      <w:r>
        <w:rPr>
          <w:spacing w:val="-36"/>
        </w:rPr>
        <w:t>年修订）》，自</w:t>
      </w:r>
      <w:r>
        <w:rPr>
          <w:spacing w:val="-111"/>
        </w:rPr>
        <w:t> </w:t>
      </w:r>
      <w:r>
        <w:rPr>
          <w:spacing w:val="-111"/>
        </w:rPr>
      </w:r>
      <w:r>
        <w:rPr>
          <w:rFonts w:ascii="Arial" w:hAnsi="Arial" w:cs="Arial" w:eastAsia="Arial" w:hint="default"/>
        </w:rPr>
        <w:t>2017</w:t>
      </w:r>
      <w:r>
        <w:rPr>
          <w:rFonts w:ascii="Arial" w:hAnsi="Arial" w:cs="Arial" w:eastAsia="Arial" w:hint="default"/>
          <w:spacing w:val="-7"/>
        </w:rPr>
        <w:t> </w:t>
      </w:r>
      <w:r>
        <w:rPr/>
        <w:t>年</w:t>
      </w:r>
      <w:r>
        <w:rPr>
          <w:spacing w:val="-62"/>
        </w:rPr>
        <w:t> </w:t>
      </w:r>
      <w:r>
        <w:rPr>
          <w:rFonts w:ascii="Arial" w:hAnsi="Arial" w:cs="Arial" w:eastAsia="Arial" w:hint="default"/>
        </w:rPr>
        <w:t>6</w:t>
      </w:r>
      <w:r>
        <w:rPr>
          <w:rFonts w:ascii="Arial" w:hAnsi="Arial" w:cs="Arial" w:eastAsia="Arial" w:hint="default"/>
          <w:spacing w:val="-7"/>
        </w:rPr>
        <w:t> </w:t>
      </w:r>
      <w:r>
        <w:rPr/>
        <w:t>月</w:t>
      </w:r>
      <w:r>
        <w:rPr>
          <w:spacing w:val="-61"/>
        </w:rPr>
        <w:t> </w:t>
      </w:r>
      <w:r>
        <w:rPr>
          <w:rFonts w:ascii="Arial" w:hAnsi="Arial" w:cs="Arial" w:eastAsia="Arial" w:hint="default"/>
        </w:rPr>
        <w:t>12</w:t>
      </w:r>
      <w:r>
        <w:rPr>
          <w:rFonts w:ascii="Arial" w:hAnsi="Arial" w:cs="Arial" w:eastAsia="Arial" w:hint="default"/>
          <w:spacing w:val="-7"/>
        </w:rPr>
        <w:t> </w:t>
      </w:r>
      <w:r>
        <w:rPr/>
        <w:t>日起实施。经本公司第三届董事会第二十八次会议、第三届监事会第二十三 次会议审议通过，本公司按照财政部的要求时间开始执行前述两项会计准则。</w:t>
      </w:r>
    </w:p>
    <w:p>
      <w:pPr>
        <w:pStyle w:val="BodyText"/>
        <w:spacing w:line="350" w:lineRule="auto" w:before="55"/>
        <w:ind w:right="231" w:firstLine="480"/>
        <w:jc w:val="both"/>
      </w:pPr>
      <w:r>
        <w:rPr/>
        <w:t>财政部于</w:t>
      </w:r>
      <w:r>
        <w:rPr>
          <w:spacing w:val="-54"/>
        </w:rPr>
        <w:t> </w:t>
      </w:r>
      <w:r>
        <w:rPr>
          <w:rFonts w:ascii="Arial" w:hAnsi="Arial" w:cs="Arial" w:eastAsia="Arial" w:hint="default"/>
        </w:rPr>
        <w:t>2017 </w:t>
      </w:r>
      <w:r>
        <w:rPr/>
        <w:t>年</w:t>
      </w:r>
      <w:r>
        <w:rPr>
          <w:spacing w:val="-54"/>
        </w:rPr>
        <w:t> </w:t>
      </w:r>
      <w:r>
        <w:rPr>
          <w:rFonts w:ascii="Arial" w:hAnsi="Arial" w:cs="Arial" w:eastAsia="Arial" w:hint="default"/>
        </w:rPr>
        <w:t>12</w:t>
      </w:r>
      <w:r>
        <w:rPr>
          <w:rFonts w:ascii="Arial" w:hAnsi="Arial" w:cs="Arial" w:eastAsia="Arial" w:hint="default"/>
          <w:spacing w:val="1"/>
        </w:rPr>
        <w:t> </w:t>
      </w:r>
      <w:r>
        <w:rPr/>
        <w:t>月</w:t>
      </w:r>
      <w:r>
        <w:rPr>
          <w:spacing w:val="-54"/>
        </w:rPr>
        <w:t> </w:t>
      </w:r>
      <w:r>
        <w:rPr>
          <w:rFonts w:ascii="Arial" w:hAnsi="Arial" w:cs="Arial" w:eastAsia="Arial" w:hint="default"/>
        </w:rPr>
        <w:t>25 </w:t>
      </w:r>
      <w:r>
        <w:rPr/>
        <w:t>日修订并发布了《财政部关于修订印发一般企业财务报表格 </w:t>
      </w:r>
      <w:r>
        <w:rPr>
          <w:spacing w:val="-8"/>
          <w:w w:val="99"/>
        </w:rPr>
        <w:t>式的通知》（财会</w:t>
      </w:r>
      <w:r>
        <w:rPr>
          <w:rFonts w:ascii="Arial" w:hAnsi="Arial" w:cs="Arial" w:eastAsia="Arial" w:hint="default"/>
          <w:spacing w:val="-8"/>
          <w:w w:val="99"/>
        </w:rPr>
        <w:t>[2017]30</w:t>
      </w:r>
      <w:r>
        <w:rPr>
          <w:rFonts w:ascii="Arial" w:hAnsi="Arial" w:cs="Arial" w:eastAsia="Arial" w:hint="default"/>
          <w:w w:val="99"/>
        </w:rPr>
        <w:t> </w:t>
      </w:r>
      <w:r>
        <w:rPr>
          <w:spacing w:val="-6"/>
        </w:rPr>
        <w:t>号），对一般企业财务报表格式进行了修订，适用于</w:t>
      </w:r>
      <w:r>
        <w:rPr/>
        <w:t> </w:t>
      </w:r>
      <w:r>
        <w:rPr>
          <w:rFonts w:ascii="Arial" w:hAnsi="Arial" w:cs="Arial" w:eastAsia="Arial" w:hint="default"/>
          <w:spacing w:val="-1"/>
          <w:w w:val="99"/>
        </w:rPr>
        <w:t>2017</w:t>
      </w:r>
      <w:r>
        <w:rPr>
          <w:rFonts w:ascii="Arial" w:hAnsi="Arial" w:cs="Arial" w:eastAsia="Arial" w:hint="default"/>
          <w:spacing w:val="23"/>
          <w:w w:val="99"/>
        </w:rPr>
        <w:t> </w:t>
      </w:r>
      <w:r>
        <w:rPr>
          <w:spacing w:val="-1"/>
        </w:rPr>
        <w:t>年度及</w:t>
      </w:r>
      <w:r>
        <w:rPr/>
        <w:t> 以后期间的财务报表，按照上述通知及上述企业会计准则的规定和要求，公司对原会计政策</w:t>
      </w:r>
      <w:r>
        <w:rPr>
          <w:spacing w:val="-91"/>
        </w:rPr>
        <w:t> </w:t>
      </w:r>
      <w:r>
        <w:rPr>
          <w:spacing w:val="-91"/>
        </w:rPr>
      </w:r>
      <w:r>
        <w:rPr/>
        <w:t>进行相应变更。经本公司第三届董事会第三十四会议、第三届监事会第二十八次会议审议通</w:t>
      </w:r>
      <w:r>
        <w:rPr>
          <w:spacing w:val="-87"/>
        </w:rPr>
        <w:t> </w:t>
      </w:r>
      <w:r>
        <w:rPr>
          <w:spacing w:val="-87"/>
        </w:rPr>
      </w:r>
      <w:r>
        <w:rPr>
          <w:spacing w:val="-5"/>
        </w:rPr>
        <w:t>过，本公司按照财政部的要求时间开始执行前述会计准则。将原列报于“营业外收入”和“营</w:t>
      </w:r>
      <w:r>
        <w:rPr>
          <w:spacing w:val="-118"/>
        </w:rPr>
        <w:t> </w:t>
      </w:r>
      <w:r>
        <w:rPr>
          <w:spacing w:val="-118"/>
        </w:rPr>
      </w:r>
      <w:r>
        <w:rPr/>
        <w:t>业外支出”的非流动资产处置利得和损失及非货币性资产交换利得和损失变更为列报于“资</w:t>
      </w:r>
      <w:r>
        <w:rPr>
          <w:spacing w:val="-91"/>
        </w:rPr>
        <w:t> </w:t>
      </w:r>
      <w:r>
        <w:rPr>
          <w:spacing w:val="-91"/>
        </w:rPr>
      </w:r>
      <w:r>
        <w:rPr>
          <w:spacing w:val="-14"/>
        </w:rPr>
        <w:t>产处置收益”。调减</w:t>
      </w:r>
      <w:r>
        <w:rPr>
          <w:spacing w:val="-56"/>
        </w:rPr>
        <w:t> </w:t>
      </w:r>
      <w:r>
        <w:rPr>
          <w:rFonts w:ascii="Arial" w:hAnsi="Arial" w:cs="Arial" w:eastAsia="Arial" w:hint="default"/>
          <w:spacing w:val="-1"/>
          <w:w w:val="99"/>
        </w:rPr>
        <w:t>2017 </w:t>
      </w:r>
      <w:r>
        <w:rPr/>
        <w:t>年度营业外收入</w:t>
      </w:r>
      <w:r>
        <w:rPr>
          <w:spacing w:val="-58"/>
        </w:rPr>
        <w:t> </w:t>
      </w:r>
      <w:r>
        <w:rPr>
          <w:rFonts w:ascii="Arial" w:hAnsi="Arial" w:cs="Arial" w:eastAsia="Arial" w:hint="default"/>
          <w:spacing w:val="-1"/>
          <w:w w:val="99"/>
        </w:rPr>
        <w:t>70,666.28</w:t>
      </w:r>
      <w:r>
        <w:rPr>
          <w:rFonts w:ascii="Arial" w:hAnsi="Arial" w:cs="Arial" w:eastAsia="Arial" w:hint="default"/>
          <w:w w:val="99"/>
        </w:rPr>
        <w:t> </w:t>
      </w:r>
      <w:r>
        <w:rPr/>
        <w:t>元，调增资产处置收益</w:t>
      </w:r>
      <w:r>
        <w:rPr>
          <w:spacing w:val="-55"/>
        </w:rPr>
        <w:t> </w:t>
      </w:r>
      <w:r>
        <w:rPr>
          <w:rFonts w:ascii="Arial" w:hAnsi="Arial" w:cs="Arial" w:eastAsia="Arial" w:hint="default"/>
          <w:spacing w:val="-1"/>
          <w:w w:val="99"/>
        </w:rPr>
        <w:t>70,666.28 </w:t>
      </w:r>
      <w:r>
        <w:rPr>
          <w:spacing w:val="-3"/>
        </w:rPr>
        <w:t>元，</w:t>
      </w:r>
      <w:r>
        <w:rPr/>
      </w:r>
    </w:p>
    <w:p>
      <w:pPr>
        <w:pStyle w:val="BodyText"/>
        <w:spacing w:line="240" w:lineRule="auto" w:before="13"/>
        <w:ind w:right="96"/>
        <w:jc w:val="left"/>
      </w:pPr>
      <w:r>
        <w:rPr/>
        <w:t>此次会计政策变更采用追溯调整法，调减</w:t>
      </w:r>
      <w:r>
        <w:rPr>
          <w:spacing w:val="-54"/>
        </w:rPr>
        <w:t> </w:t>
      </w:r>
      <w:r>
        <w:rPr>
          <w:rFonts w:ascii="Arial" w:hAnsi="Arial" w:cs="Arial" w:eastAsia="Arial" w:hint="default"/>
        </w:rPr>
        <w:t>2016</w:t>
      </w:r>
      <w:r>
        <w:rPr>
          <w:rFonts w:ascii="Arial" w:hAnsi="Arial" w:cs="Arial" w:eastAsia="Arial" w:hint="default"/>
          <w:spacing w:val="-1"/>
        </w:rPr>
        <w:t> </w:t>
      </w:r>
      <w:r>
        <w:rPr/>
        <w:t>年营业外收入</w:t>
      </w:r>
      <w:r>
        <w:rPr>
          <w:spacing w:val="-55"/>
        </w:rPr>
        <w:t> </w:t>
      </w:r>
      <w:r>
        <w:rPr>
          <w:rFonts w:ascii="Arial" w:hAnsi="Arial" w:cs="Arial" w:eastAsia="Arial" w:hint="default"/>
        </w:rPr>
        <w:t>207,460.15</w:t>
      </w:r>
      <w:r>
        <w:rPr>
          <w:rFonts w:ascii="Arial" w:hAnsi="Arial" w:cs="Arial" w:eastAsia="Arial" w:hint="default"/>
          <w:spacing w:val="1"/>
        </w:rPr>
        <w:t> </w:t>
      </w:r>
      <w:r>
        <w:rPr/>
        <w:t>元，调增</w:t>
      </w:r>
      <w:r>
        <w:rPr>
          <w:spacing w:val="-55"/>
        </w:rPr>
        <w:t> </w:t>
      </w:r>
      <w:r>
        <w:rPr>
          <w:rFonts w:ascii="Arial" w:hAnsi="Arial" w:cs="Arial" w:eastAsia="Arial" w:hint="default"/>
        </w:rPr>
        <w:t>2016</w:t>
      </w:r>
      <w:r>
        <w:rPr>
          <w:rFonts w:ascii="Arial" w:hAnsi="Arial" w:cs="Arial" w:eastAsia="Arial" w:hint="default"/>
          <w:spacing w:val="-1"/>
        </w:rPr>
        <w:t> </w:t>
      </w:r>
      <w:r>
        <w:rPr/>
        <w:t>年</w:t>
      </w:r>
    </w:p>
    <w:p>
      <w:pPr>
        <w:pStyle w:val="BodyText"/>
        <w:spacing w:line="240" w:lineRule="auto" w:before="137"/>
        <w:ind w:right="96"/>
        <w:jc w:val="left"/>
      </w:pPr>
      <w:r>
        <w:rPr/>
        <w:t>资产处置收益</w:t>
      </w:r>
      <w:r>
        <w:rPr>
          <w:spacing w:val="-65"/>
        </w:rPr>
        <w:t> </w:t>
      </w:r>
      <w:r>
        <w:rPr>
          <w:rFonts w:ascii="Arial" w:hAnsi="Arial" w:cs="Arial" w:eastAsia="Arial" w:hint="default"/>
        </w:rPr>
        <w:t>207,460.15</w:t>
      </w:r>
      <w:r>
        <w:rPr>
          <w:rFonts w:ascii="Arial" w:hAnsi="Arial" w:cs="Arial" w:eastAsia="Arial" w:hint="default"/>
          <w:spacing w:val="-9"/>
        </w:rPr>
        <w:t> </w:t>
      </w:r>
      <w:r>
        <w:rPr/>
        <w:t>元。对公司资产总额和净利润无影响。</w:t>
      </w:r>
    </w:p>
    <w:p>
      <w:pPr>
        <w:pStyle w:val="BodyText"/>
        <w:spacing w:line="345" w:lineRule="auto" w:before="137"/>
        <w:ind w:right="232" w:firstLine="480"/>
        <w:jc w:val="both"/>
      </w:pPr>
      <w:r>
        <w:rPr/>
        <w:t>《企业会计准则第</w:t>
      </w:r>
      <w:r>
        <w:rPr>
          <w:spacing w:val="-59"/>
        </w:rPr>
        <w:t> </w:t>
      </w:r>
      <w:r>
        <w:rPr>
          <w:rFonts w:ascii="Arial" w:hAnsi="Arial" w:cs="Arial" w:eastAsia="Arial" w:hint="default"/>
        </w:rPr>
        <w:t>42</w:t>
      </w:r>
      <w:r>
        <w:rPr>
          <w:rFonts w:ascii="Arial" w:hAnsi="Arial" w:cs="Arial" w:eastAsia="Arial" w:hint="default"/>
          <w:spacing w:val="-6"/>
        </w:rPr>
        <w:t> </w:t>
      </w:r>
      <w:r>
        <w:rPr>
          <w:spacing w:val="-4"/>
        </w:rPr>
        <w:t>号</w:t>
      </w:r>
      <w:r>
        <w:rPr>
          <w:rFonts w:ascii="Arial" w:hAnsi="Arial" w:cs="Arial" w:eastAsia="Arial" w:hint="default"/>
          <w:spacing w:val="-4"/>
        </w:rPr>
        <w:t>——</w:t>
      </w:r>
      <w:r>
        <w:rPr>
          <w:spacing w:val="-4"/>
        </w:rPr>
        <w:t>持有待售的非流动资产、处置组和终止经营》准则规范了持</w:t>
      </w:r>
      <w:r>
        <w:rPr/>
        <w:t> 有待售的非流动资产或处置组的分类、计量和列报，以及终止经营的列报。本财务报表已按</w:t>
      </w:r>
      <w:r>
        <w:rPr>
          <w:spacing w:val="-86"/>
        </w:rPr>
        <w:t> </w:t>
      </w:r>
      <w:r>
        <w:rPr>
          <w:spacing w:val="-86"/>
        </w:rPr>
      </w:r>
      <w:r>
        <w:rPr/>
        <w:t>该准则对实施日（</w:t>
      </w:r>
      <w:r>
        <w:rPr>
          <w:rFonts w:ascii="Arial" w:hAnsi="Arial" w:cs="Arial" w:eastAsia="Arial" w:hint="default"/>
        </w:rPr>
        <w:t>2017</w:t>
      </w:r>
      <w:r>
        <w:rPr>
          <w:rFonts w:ascii="Arial" w:hAnsi="Arial" w:cs="Arial" w:eastAsia="Arial" w:hint="default"/>
          <w:spacing w:val="-7"/>
        </w:rPr>
        <w:t> </w:t>
      </w:r>
      <w:r>
        <w:rPr/>
        <w:t>年</w:t>
      </w:r>
      <w:r>
        <w:rPr>
          <w:spacing w:val="-61"/>
        </w:rPr>
        <w:t> </w:t>
      </w:r>
      <w:r>
        <w:rPr>
          <w:rFonts w:ascii="Arial" w:hAnsi="Arial" w:cs="Arial" w:eastAsia="Arial" w:hint="default"/>
        </w:rPr>
        <w:t>5</w:t>
      </w:r>
      <w:r>
        <w:rPr>
          <w:rFonts w:ascii="Arial" w:hAnsi="Arial" w:cs="Arial" w:eastAsia="Arial" w:hint="default"/>
          <w:spacing w:val="-7"/>
        </w:rPr>
        <w:t> </w:t>
      </w:r>
      <w:r>
        <w:rPr/>
        <w:t>月</w:t>
      </w:r>
      <w:r>
        <w:rPr>
          <w:spacing w:val="-61"/>
        </w:rPr>
        <w:t> </w:t>
      </w:r>
      <w:r>
        <w:rPr>
          <w:rFonts w:ascii="Arial" w:hAnsi="Arial" w:cs="Arial" w:eastAsia="Arial" w:hint="default"/>
        </w:rPr>
        <w:t>28</w:t>
      </w:r>
      <w:r>
        <w:rPr>
          <w:rFonts w:ascii="Arial" w:hAnsi="Arial" w:cs="Arial" w:eastAsia="Arial" w:hint="default"/>
          <w:spacing w:val="-7"/>
        </w:rPr>
        <w:t> </w:t>
      </w:r>
      <w:r>
        <w:rPr/>
        <w:t>日）存在的终止经营对可比年度财务报表列报和附注的披 露进行了相应调整。</w:t>
      </w:r>
    </w:p>
    <w:p>
      <w:pPr>
        <w:pStyle w:val="BodyText"/>
        <w:spacing w:line="338" w:lineRule="auto" w:before="48"/>
        <w:ind w:right="228" w:firstLine="480"/>
        <w:jc w:val="both"/>
      </w:pPr>
      <w:r>
        <w:rPr>
          <w:spacing w:val="-3"/>
        </w:rPr>
        <w:t>执行《企业会计准则第</w:t>
      </w:r>
      <w:r>
        <w:rPr>
          <w:spacing w:val="-55"/>
        </w:rPr>
        <w:t> </w:t>
      </w:r>
      <w:r>
        <w:rPr>
          <w:rFonts w:ascii="Arial" w:hAnsi="Arial" w:cs="Arial" w:eastAsia="Arial" w:hint="default"/>
          <w:w w:val="99"/>
        </w:rPr>
        <w:t>16 </w:t>
      </w:r>
      <w:r>
        <w:rPr>
          <w:spacing w:val="-3"/>
          <w:w w:val="99"/>
        </w:rPr>
        <w:t>号</w:t>
      </w:r>
      <w:r>
        <w:rPr>
          <w:rFonts w:ascii="Arial" w:hAnsi="Arial" w:cs="Arial" w:eastAsia="Arial" w:hint="default"/>
          <w:spacing w:val="-3"/>
          <w:w w:val="99"/>
        </w:rPr>
        <w:t>——</w:t>
      </w:r>
      <w:r>
        <w:rPr>
          <w:spacing w:val="-3"/>
          <w:w w:val="99"/>
        </w:rPr>
        <w:t>政府补助（</w:t>
      </w:r>
      <w:r>
        <w:rPr>
          <w:rFonts w:ascii="Arial" w:hAnsi="Arial" w:cs="Arial" w:eastAsia="Arial" w:hint="default"/>
          <w:spacing w:val="-3"/>
          <w:w w:val="99"/>
        </w:rPr>
        <w:t>2017</w:t>
      </w:r>
      <w:r>
        <w:rPr>
          <w:rFonts w:ascii="Arial" w:hAnsi="Arial" w:cs="Arial" w:eastAsia="Arial" w:hint="default"/>
          <w:spacing w:val="1"/>
          <w:w w:val="99"/>
        </w:rPr>
        <w:t> </w:t>
      </w:r>
      <w:r>
        <w:rPr>
          <w:spacing w:val="-11"/>
        </w:rPr>
        <w:t>年修订）》之前，本公司将取得的政府</w:t>
      </w:r>
      <w:r>
        <w:rPr/>
        <w:t> </w:t>
      </w:r>
      <w:r>
        <w:rPr>
          <w:spacing w:val="-3"/>
        </w:rPr>
        <w:t>补助计入营业外收入。执行《企业会计准则第</w:t>
      </w:r>
      <w:r>
        <w:rPr>
          <w:spacing w:val="-50"/>
        </w:rPr>
        <w:t> </w:t>
      </w:r>
      <w:r>
        <w:rPr>
          <w:rFonts w:ascii="Arial" w:hAnsi="Arial" w:cs="Arial" w:eastAsia="Arial" w:hint="default"/>
          <w:w w:val="99"/>
        </w:rPr>
        <w:t>16</w:t>
      </w:r>
      <w:r>
        <w:rPr>
          <w:rFonts w:ascii="Arial" w:hAnsi="Arial" w:cs="Arial" w:eastAsia="Arial" w:hint="default"/>
          <w:spacing w:val="2"/>
          <w:w w:val="99"/>
        </w:rPr>
        <w:t> </w:t>
      </w:r>
      <w:r>
        <w:rPr>
          <w:spacing w:val="-2"/>
          <w:w w:val="99"/>
        </w:rPr>
        <w:t>号</w:t>
      </w:r>
      <w:r>
        <w:rPr>
          <w:rFonts w:ascii="Arial" w:hAnsi="Arial" w:cs="Arial" w:eastAsia="Arial" w:hint="default"/>
          <w:spacing w:val="-2"/>
          <w:w w:val="99"/>
        </w:rPr>
        <w:t>——</w:t>
      </w:r>
      <w:r>
        <w:rPr>
          <w:spacing w:val="-2"/>
          <w:w w:val="99"/>
        </w:rPr>
        <w:t>政府补助（</w:t>
      </w:r>
      <w:r>
        <w:rPr>
          <w:rFonts w:ascii="Arial" w:hAnsi="Arial" w:cs="Arial" w:eastAsia="Arial" w:hint="default"/>
          <w:spacing w:val="-2"/>
          <w:w w:val="99"/>
        </w:rPr>
        <w:t>2017</w:t>
      </w:r>
      <w:r>
        <w:rPr>
          <w:rFonts w:ascii="Arial" w:hAnsi="Arial" w:cs="Arial" w:eastAsia="Arial" w:hint="default"/>
          <w:spacing w:val="2"/>
          <w:w w:val="99"/>
        </w:rPr>
        <w:t> </w:t>
      </w:r>
      <w:r>
        <w:rPr>
          <w:spacing w:val="-19"/>
        </w:rPr>
        <w:t>年修订）》之后，对</w:t>
      </w:r>
      <w:r>
        <w:rPr/>
        <w:t> </w:t>
      </w:r>
      <w:r>
        <w:rPr>
          <w:rFonts w:ascii="Arial" w:hAnsi="Arial" w:cs="Arial" w:eastAsia="Arial" w:hint="default"/>
        </w:rPr>
        <w:t>2017</w:t>
      </w:r>
      <w:r>
        <w:rPr>
          <w:rFonts w:ascii="Arial" w:hAnsi="Arial" w:cs="Arial" w:eastAsia="Arial" w:hint="default"/>
          <w:spacing w:val="-1"/>
        </w:rPr>
        <w:t> </w:t>
      </w:r>
      <w:r>
        <w:rPr/>
        <w:t>年</w:t>
      </w:r>
      <w:r>
        <w:rPr>
          <w:spacing w:val="-56"/>
        </w:rPr>
        <w:t> </w:t>
      </w:r>
      <w:r>
        <w:rPr>
          <w:rFonts w:ascii="Arial" w:hAnsi="Arial" w:cs="Arial" w:eastAsia="Arial" w:hint="default"/>
        </w:rPr>
        <w:t>1</w:t>
      </w:r>
      <w:r>
        <w:rPr>
          <w:rFonts w:ascii="Arial" w:hAnsi="Arial" w:cs="Arial" w:eastAsia="Arial" w:hint="default"/>
          <w:spacing w:val="-1"/>
        </w:rPr>
        <w:t> </w:t>
      </w:r>
      <w:r>
        <w:rPr/>
        <w:t>月</w:t>
      </w:r>
      <w:r>
        <w:rPr>
          <w:spacing w:val="-55"/>
        </w:rPr>
        <w:t> </w:t>
      </w:r>
      <w:r>
        <w:rPr>
          <w:rFonts w:ascii="Arial" w:hAnsi="Arial" w:cs="Arial" w:eastAsia="Arial" w:hint="default"/>
        </w:rPr>
        <w:t>1</w:t>
      </w:r>
      <w:r>
        <w:rPr>
          <w:rFonts w:ascii="Arial" w:hAnsi="Arial" w:cs="Arial" w:eastAsia="Arial" w:hint="default"/>
          <w:spacing w:val="-1"/>
        </w:rPr>
        <w:t> </w:t>
      </w:r>
      <w:r>
        <w:rPr>
          <w:spacing w:val="-4"/>
        </w:rPr>
        <w:t>日之后发生的与日常活动相关的政府补助，计入其他收益；与日常活动无关的</w:t>
      </w:r>
      <w:r>
        <w:rPr/>
        <w:t> 政府补助，计入营业外收支。</w:t>
      </w:r>
    </w:p>
    <w:p>
      <w:pPr>
        <w:spacing w:after="0" w:line="338" w:lineRule="auto"/>
        <w:jc w:val="both"/>
        <w:sectPr>
          <w:pgSz w:w="11910" w:h="16840"/>
          <w:pgMar w:header="745" w:footer="979" w:top="1060" w:bottom="1160" w:left="980" w:right="900"/>
        </w:sectPr>
      </w:pPr>
    </w:p>
    <w:p>
      <w:pPr>
        <w:spacing w:line="240" w:lineRule="auto" w:before="10"/>
        <w:rPr>
          <w:rFonts w:ascii="宋体" w:hAnsi="宋体" w:cs="宋体" w:eastAsia="宋体" w:hint="default"/>
          <w:sz w:val="24"/>
          <w:szCs w:val="24"/>
        </w:rPr>
      </w:pPr>
    </w:p>
    <w:p>
      <w:pPr>
        <w:spacing w:before="36"/>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）重要会计估计变更</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6"/>
        <w:jc w:val="left"/>
        <w:rPr>
          <w:b w:val="0"/>
          <w:bCs w:val="0"/>
        </w:rPr>
      </w:pPr>
      <w:r>
        <w:rPr/>
        <w:t>六、税项</w:t>
      </w:r>
      <w:r>
        <w:rPr>
          <w:b w:val="0"/>
          <w:bCs w:val="0"/>
        </w:rPr>
      </w:r>
    </w:p>
    <w:p>
      <w:pPr>
        <w:spacing w:line="240" w:lineRule="auto" w:before="12"/>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80"/>
        <w:gridCol w:w="3201"/>
        <w:gridCol w:w="3190"/>
      </w:tblGrid>
      <w:tr>
        <w:trPr>
          <w:trHeight w:val="401" w:hRule="exact"/>
        </w:trPr>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317" w:hRule="exact"/>
        </w:trPr>
        <w:tc>
          <w:tcPr>
            <w:tcW w:w="3180"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1" w:type="dxa"/>
            <w:vMerge w:val="restart"/>
            <w:tcBorders>
              <w:top w:val="single" w:sz="4" w:space="0" w:color="000000"/>
              <w:left w:val="single" w:sz="9" w:space="0" w:color="D2D2D2"/>
              <w:right w:val="single" w:sz="4" w:space="0" w:color="000000"/>
            </w:tcBorders>
          </w:tcPr>
          <w:p>
            <w:pPr>
              <w:pStyle w:val="TableParagraph"/>
              <w:spacing w:line="309" w:lineRule="auto" w:before="49"/>
              <w:ind w:left="28" w:right="55"/>
              <w:jc w:val="both"/>
              <w:rPr>
                <w:rFonts w:ascii="宋体" w:hAnsi="宋体" w:cs="宋体" w:eastAsia="宋体" w:hint="default"/>
                <w:sz w:val="18"/>
                <w:szCs w:val="18"/>
              </w:rPr>
            </w:pPr>
            <w:r>
              <w:rPr>
                <w:rFonts w:ascii="宋体" w:hAnsi="宋体" w:cs="宋体" w:eastAsia="宋体" w:hint="default"/>
                <w:sz w:val="18"/>
                <w:szCs w:val="18"/>
              </w:rPr>
              <w:t>应税收入按</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的税率计算 销项税，并按扣除当期允许抵扣的进项 税额后的差额计缴增值税。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p>
        </w:tc>
      </w:tr>
      <w:tr>
        <w:trPr>
          <w:trHeight w:val="394" w:hRule="exact"/>
        </w:trPr>
        <w:tc>
          <w:tcPr>
            <w:tcW w:w="31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1"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80"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1"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1" w:hRule="exact"/>
        </w:trPr>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按实际缴纳的流转税的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w:t>
            </w:r>
          </w:p>
        </w:tc>
      </w:tr>
      <w:tr>
        <w:trPr>
          <w:trHeight w:val="403" w:hRule="exact"/>
        </w:trPr>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6"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北京数字智通科技有限公司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北京数字政通智能泊车技术有限公司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上海政通信息技术有限公司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武汉智慧政通科技有限公司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克拉玛依数字政通信息科技有限责任公司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政通智慧城市运营科技有限公司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北京数聚联盟科技有限公司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保定金迪地下管线探测工程有限公司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保定市金迪科技开发有限公司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保定金迪科学仪器有限公司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焦作市市民健康促进服务有限责任公司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20.00%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江西政通城运科技有限公司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bl>
    <w:p>
      <w:pPr>
        <w:spacing w:line="240" w:lineRule="auto" w:before="3"/>
        <w:rPr>
          <w:rFonts w:ascii="宋体" w:hAnsi="宋体" w:cs="宋体" w:eastAsia="宋体" w:hint="default"/>
          <w:sz w:val="19"/>
          <w:szCs w:val="19"/>
        </w:rPr>
      </w:pPr>
    </w:p>
    <w:p>
      <w:pPr>
        <w:spacing w:before="36"/>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、税收优惠</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38" w:lineRule="auto" w:before="0"/>
        <w:ind w:left="633" w:right="96"/>
        <w:jc w:val="left"/>
        <w:rPr>
          <w:rFonts w:ascii="Arial" w:hAnsi="Arial" w:cs="Arial" w:eastAsia="Arial" w:hint="default"/>
        </w:rPr>
      </w:pPr>
      <w:r>
        <w:rPr/>
        <w:t>（</w:t>
      </w:r>
      <w:r>
        <w:rPr>
          <w:rFonts w:ascii="Arial" w:hAnsi="Arial" w:cs="Arial" w:eastAsia="Arial" w:hint="default"/>
        </w:rPr>
        <w:t>1</w:t>
      </w:r>
      <w:r>
        <w:rPr/>
        <w:t>）北京数字政通科技股份有限公司 </w:t>
      </w:r>
      <w:r>
        <w:rPr>
          <w:spacing w:val="-2"/>
          <w:w w:val="99"/>
        </w:rPr>
        <w:t>根据国务院下发的《关于鼓励软件产业和集成电路产业若干政策的通知》（国发</w:t>
      </w:r>
      <w:r>
        <w:rPr>
          <w:rFonts w:ascii="Arial" w:hAnsi="Arial" w:cs="Arial" w:eastAsia="Arial" w:hint="default"/>
          <w:spacing w:val="-2"/>
          <w:w w:val="99"/>
        </w:rPr>
        <w:t>[2011]4</w:t>
      </w:r>
    </w:p>
    <w:p>
      <w:pPr>
        <w:pStyle w:val="BodyText"/>
        <w:spacing w:line="338" w:lineRule="auto" w:before="27"/>
        <w:ind w:right="103"/>
        <w:jc w:val="left"/>
      </w:pPr>
      <w:r>
        <w:rPr>
          <w:spacing w:val="-9"/>
          <w:w w:val="99"/>
        </w:rPr>
        <w:t>号）和财政部、国家税务总局下发的《关于软件产品增值税政策的通知》（财税</w:t>
      </w:r>
      <w:r>
        <w:rPr>
          <w:rFonts w:ascii="Arial" w:hAnsi="Arial" w:cs="Arial" w:eastAsia="Arial" w:hint="default"/>
          <w:spacing w:val="-9"/>
          <w:w w:val="99"/>
        </w:rPr>
        <w:t>[2011]100</w:t>
      </w:r>
      <w:r>
        <w:rPr>
          <w:rFonts w:ascii="Arial" w:hAnsi="Arial" w:cs="Arial" w:eastAsia="Arial" w:hint="default"/>
          <w:spacing w:val="16"/>
          <w:w w:val="99"/>
        </w:rPr>
        <w:t> </w:t>
      </w:r>
      <w:r>
        <w:rPr>
          <w:spacing w:val="-41"/>
        </w:rPr>
        <w:t>号），</w:t>
      </w:r>
      <w:r>
        <w:rPr>
          <w:spacing w:val="-116"/>
        </w:rPr>
        <w:t> </w:t>
      </w:r>
      <w:r>
        <w:rPr>
          <w:spacing w:val="-116"/>
        </w:rPr>
      </w:r>
      <w:r>
        <w:rPr/>
        <w:t>销售自行开发生产的软件产品，按</w:t>
      </w:r>
      <w:r>
        <w:rPr>
          <w:spacing w:val="-67"/>
        </w:rPr>
        <w:t> </w:t>
      </w:r>
      <w:r>
        <w:rPr>
          <w:rFonts w:ascii="Arial" w:hAnsi="Arial" w:cs="Arial" w:eastAsia="Arial" w:hint="default"/>
        </w:rPr>
        <w:t>17%</w:t>
      </w:r>
      <w:r>
        <w:rPr/>
        <w:t>的法定税率缴纳增值税后，享受增值税实际税负超过 </w:t>
      </w:r>
      <w:r>
        <w:rPr>
          <w:rFonts w:ascii="Arial" w:hAnsi="Arial" w:cs="Arial" w:eastAsia="Arial" w:hint="default"/>
        </w:rPr>
        <w:t>3%</w:t>
      </w:r>
      <w:r>
        <w:rPr/>
        <w:t>的部分即征即退的税收优惠。</w:t>
      </w:r>
    </w:p>
    <w:p>
      <w:pPr>
        <w:spacing w:after="0" w:line="338"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38" w:lineRule="auto" w:before="26"/>
        <w:ind w:right="228" w:firstLine="840"/>
        <w:jc w:val="both"/>
      </w:pPr>
      <w:r>
        <w:rPr/>
        <w:t>根据国科发</w:t>
      </w:r>
      <w:r>
        <w:rPr>
          <w:rFonts w:ascii="Arial" w:hAnsi="Arial" w:cs="Arial" w:eastAsia="Arial" w:hint="default"/>
        </w:rPr>
        <w:t>[2008]172</w:t>
      </w:r>
      <w:r>
        <w:rPr>
          <w:rFonts w:ascii="Arial" w:hAnsi="Arial" w:cs="Arial" w:eastAsia="Arial" w:hint="default"/>
          <w:spacing w:val="25"/>
        </w:rPr>
        <w:t> </w:t>
      </w:r>
      <w:r>
        <w:rPr>
          <w:spacing w:val="2"/>
        </w:rPr>
        <w:t>号北京市新技术产业开发试验区暂行条例的有关规定，</w:t>
      </w:r>
      <w:r>
        <w:rPr>
          <w:rFonts w:ascii="Arial" w:hAnsi="Arial" w:cs="Arial" w:eastAsia="Arial" w:hint="default"/>
          <w:spacing w:val="2"/>
        </w:rPr>
        <w:t>2017</w:t>
      </w:r>
      <w:r>
        <w:rPr>
          <w:rFonts w:ascii="Arial" w:hAnsi="Arial" w:cs="Arial" w:eastAsia="Arial" w:hint="default"/>
          <w:w w:val="99"/>
        </w:rPr>
        <w:t> </w:t>
      </w:r>
      <w:r>
        <w:rPr/>
        <w:t>年</w:t>
      </w:r>
      <w:r>
        <w:rPr>
          <w:spacing w:val="-52"/>
        </w:rPr>
        <w:t> </w:t>
      </w:r>
      <w:r>
        <w:rPr>
          <w:rFonts w:ascii="Arial" w:hAnsi="Arial" w:cs="Arial" w:eastAsia="Arial" w:hint="default"/>
        </w:rPr>
        <w:t>10</w:t>
      </w:r>
      <w:r>
        <w:rPr>
          <w:rFonts w:ascii="Arial" w:hAnsi="Arial" w:cs="Arial" w:eastAsia="Arial" w:hint="default"/>
          <w:spacing w:val="2"/>
        </w:rPr>
        <w:t> </w:t>
      </w:r>
      <w:r>
        <w:rPr/>
        <w:t>月</w:t>
      </w:r>
      <w:r>
        <w:rPr>
          <w:spacing w:val="-52"/>
        </w:rPr>
        <w:t> </w:t>
      </w:r>
      <w:r>
        <w:rPr>
          <w:rFonts w:ascii="Arial" w:hAnsi="Arial" w:cs="Arial" w:eastAsia="Arial" w:hint="default"/>
        </w:rPr>
        <w:t>25</w:t>
      </w:r>
      <w:r>
        <w:rPr>
          <w:rFonts w:ascii="Arial" w:hAnsi="Arial" w:cs="Arial" w:eastAsia="Arial" w:hint="default"/>
          <w:spacing w:val="2"/>
        </w:rPr>
        <w:t> </w:t>
      </w:r>
      <w:r>
        <w:rPr/>
        <w:t>日，北京市科学技术委员会向本公司颁发了编号为</w:t>
      </w:r>
      <w:r>
        <w:rPr>
          <w:spacing w:val="-51"/>
        </w:rPr>
        <w:t> </w:t>
      </w:r>
      <w:r>
        <w:rPr>
          <w:rFonts w:ascii="Arial" w:hAnsi="Arial" w:cs="Arial" w:eastAsia="Arial" w:hint="default"/>
        </w:rPr>
        <w:t>GR201711002304</w:t>
      </w:r>
      <w:r>
        <w:rPr>
          <w:rFonts w:ascii="Arial" w:hAnsi="Arial" w:cs="Arial" w:eastAsia="Arial" w:hint="default"/>
          <w:spacing w:val="4"/>
        </w:rPr>
        <w:t> </w:t>
      </w:r>
      <w:r>
        <w:rPr/>
        <w:t>的《高新 </w:t>
      </w:r>
      <w:r>
        <w:rPr>
          <w:spacing w:val="-11"/>
        </w:rPr>
        <w:t>技术企业证书》，有效期</w:t>
      </w:r>
      <w:r>
        <w:rPr>
          <w:spacing w:val="-47"/>
        </w:rPr>
        <w:t> </w:t>
      </w:r>
      <w:r>
        <w:rPr>
          <w:rFonts w:ascii="Arial" w:hAnsi="Arial" w:cs="Arial" w:eastAsia="Arial" w:hint="default"/>
          <w:w w:val="99"/>
        </w:rPr>
        <w:t>3</w:t>
      </w:r>
      <w:r>
        <w:rPr>
          <w:rFonts w:ascii="Arial" w:hAnsi="Arial" w:cs="Arial" w:eastAsia="Arial" w:hint="default"/>
          <w:spacing w:val="7"/>
          <w:w w:val="99"/>
        </w:rPr>
        <w:t> </w:t>
      </w:r>
      <w:r>
        <w:rPr>
          <w:spacing w:val="-1"/>
          <w:w w:val="99"/>
        </w:rPr>
        <w:t>年。根据国家税务局下发的国税函</w:t>
      </w:r>
      <w:r>
        <w:rPr>
          <w:rFonts w:ascii="Arial" w:hAnsi="Arial" w:cs="Arial" w:eastAsia="Arial" w:hint="default"/>
          <w:spacing w:val="-1"/>
          <w:w w:val="99"/>
        </w:rPr>
        <w:t>[2009]203</w:t>
      </w:r>
      <w:r>
        <w:rPr>
          <w:rFonts w:ascii="Arial" w:hAnsi="Arial" w:cs="Arial" w:eastAsia="Arial" w:hint="default"/>
          <w:spacing w:val="7"/>
          <w:w w:val="99"/>
        </w:rPr>
        <w:t> </w:t>
      </w:r>
      <w:r>
        <w:rPr/>
        <w:t>号，本公司</w:t>
      </w:r>
      <w:r>
        <w:rPr>
          <w:spacing w:val="-47"/>
        </w:rPr>
        <w:t> </w:t>
      </w:r>
      <w:r>
        <w:rPr>
          <w:rFonts w:ascii="Arial" w:hAnsi="Arial" w:cs="Arial" w:eastAsia="Arial" w:hint="default"/>
          <w:spacing w:val="-1"/>
          <w:w w:val="99"/>
        </w:rPr>
        <w:t>2017</w:t>
      </w:r>
      <w:r>
        <w:rPr>
          <w:rFonts w:ascii="Arial" w:hAnsi="Arial" w:cs="Arial" w:eastAsia="Arial" w:hint="default"/>
          <w:spacing w:val="4"/>
          <w:w w:val="99"/>
        </w:rPr>
        <w:t> </w:t>
      </w:r>
      <w:r>
        <w:rPr/>
        <w:t>年 适用所得税税率为</w:t>
      </w:r>
      <w:r>
        <w:rPr>
          <w:spacing w:val="-63"/>
        </w:rPr>
        <w:t> </w:t>
      </w:r>
      <w:r>
        <w:rPr>
          <w:rFonts w:ascii="Arial" w:hAnsi="Arial" w:cs="Arial" w:eastAsia="Arial" w:hint="default"/>
        </w:rPr>
        <w:t>15%</w:t>
      </w:r>
      <w:r>
        <w:rPr/>
        <w:t>。</w:t>
      </w:r>
    </w:p>
    <w:p>
      <w:pPr>
        <w:pStyle w:val="BodyText"/>
        <w:spacing w:line="338" w:lineRule="auto" w:before="27"/>
        <w:ind w:left="633" w:right="96"/>
        <w:jc w:val="left"/>
        <w:rPr>
          <w:rFonts w:ascii="Arial" w:hAnsi="Arial" w:cs="Arial" w:eastAsia="Arial" w:hint="default"/>
        </w:rPr>
      </w:pPr>
      <w:r>
        <w:rPr/>
        <w:t>（</w:t>
      </w:r>
      <w:r>
        <w:rPr>
          <w:rFonts w:ascii="Arial" w:hAnsi="Arial" w:cs="Arial" w:eastAsia="Arial" w:hint="default"/>
        </w:rPr>
        <w:t>2</w:t>
      </w:r>
      <w:r>
        <w:rPr/>
        <w:t>）北京数字智通科技有限公司 </w:t>
      </w:r>
      <w:r>
        <w:rPr>
          <w:spacing w:val="-2"/>
          <w:w w:val="99"/>
        </w:rPr>
        <w:t>根据国务院下发的《关于鼓励软件产业和集成电路产业若干政策的通知》（国发</w:t>
      </w:r>
      <w:r>
        <w:rPr>
          <w:rFonts w:ascii="Arial" w:hAnsi="Arial" w:cs="Arial" w:eastAsia="Arial" w:hint="default"/>
          <w:spacing w:val="-2"/>
          <w:w w:val="99"/>
        </w:rPr>
        <w:t>[2011]4</w:t>
      </w:r>
    </w:p>
    <w:p>
      <w:pPr>
        <w:pStyle w:val="BodyText"/>
        <w:spacing w:line="338" w:lineRule="auto" w:before="27"/>
        <w:ind w:right="103"/>
        <w:jc w:val="left"/>
      </w:pPr>
      <w:r>
        <w:rPr>
          <w:spacing w:val="-9"/>
          <w:w w:val="99"/>
        </w:rPr>
        <w:t>号）和财政部、国家税务总局下发的《关于软件产品增值税政策的通知》（财税</w:t>
      </w:r>
      <w:r>
        <w:rPr>
          <w:rFonts w:ascii="Arial" w:hAnsi="Arial" w:cs="Arial" w:eastAsia="Arial" w:hint="default"/>
          <w:spacing w:val="-9"/>
          <w:w w:val="99"/>
        </w:rPr>
        <w:t>[2011]100</w:t>
      </w:r>
      <w:r>
        <w:rPr>
          <w:rFonts w:ascii="Arial" w:hAnsi="Arial" w:cs="Arial" w:eastAsia="Arial" w:hint="default"/>
          <w:spacing w:val="16"/>
          <w:w w:val="99"/>
        </w:rPr>
        <w:t> </w:t>
      </w:r>
      <w:r>
        <w:rPr>
          <w:spacing w:val="-41"/>
        </w:rPr>
        <w:t>号），</w:t>
      </w:r>
      <w:r>
        <w:rPr>
          <w:spacing w:val="-116"/>
        </w:rPr>
        <w:t> </w:t>
      </w:r>
      <w:r>
        <w:rPr>
          <w:spacing w:val="-116"/>
        </w:rPr>
      </w:r>
      <w:r>
        <w:rPr/>
        <w:t>销售自行开发生产的软件产品，按</w:t>
      </w:r>
      <w:r>
        <w:rPr>
          <w:spacing w:val="-67"/>
        </w:rPr>
        <w:t> </w:t>
      </w:r>
      <w:r>
        <w:rPr>
          <w:rFonts w:ascii="Arial" w:hAnsi="Arial" w:cs="Arial" w:eastAsia="Arial" w:hint="default"/>
        </w:rPr>
        <w:t>17%</w:t>
      </w:r>
      <w:r>
        <w:rPr/>
        <w:t>的法定税率缴纳增值税后，享受增值税实际税负超过 </w:t>
      </w:r>
      <w:r>
        <w:rPr>
          <w:rFonts w:ascii="Arial" w:hAnsi="Arial" w:cs="Arial" w:eastAsia="Arial" w:hint="default"/>
        </w:rPr>
        <w:t>3%</w:t>
      </w:r>
      <w:r>
        <w:rPr/>
        <w:t>的部分即征即退的税收优惠。</w:t>
      </w:r>
    </w:p>
    <w:p>
      <w:pPr>
        <w:pStyle w:val="BodyText"/>
        <w:spacing w:line="338" w:lineRule="auto" w:before="27"/>
        <w:ind w:right="104" w:firstLine="480"/>
        <w:jc w:val="left"/>
      </w:pPr>
      <w:r>
        <w:rPr/>
        <w:t>北京数字智通科技有限公司于</w:t>
      </w:r>
      <w:r>
        <w:rPr>
          <w:spacing w:val="-59"/>
        </w:rPr>
        <w:t> </w:t>
      </w:r>
      <w:r>
        <w:rPr>
          <w:rFonts w:ascii="Arial" w:hAnsi="Arial" w:cs="Arial" w:eastAsia="Arial" w:hint="default"/>
          <w:w w:val="99"/>
        </w:rPr>
        <w:t>2013</w:t>
      </w:r>
      <w:r>
        <w:rPr>
          <w:rFonts w:ascii="Arial" w:hAnsi="Arial" w:cs="Arial" w:eastAsia="Arial" w:hint="default"/>
          <w:spacing w:val="-4"/>
          <w:w w:val="99"/>
        </w:rPr>
        <w:t> </w:t>
      </w:r>
      <w:r>
        <w:rPr/>
        <w:t>年</w:t>
      </w:r>
      <w:r>
        <w:rPr>
          <w:spacing w:val="-62"/>
        </w:rPr>
        <w:t> </w:t>
      </w:r>
      <w:r>
        <w:rPr>
          <w:rFonts w:ascii="Arial" w:hAnsi="Arial" w:cs="Arial" w:eastAsia="Arial" w:hint="default"/>
          <w:w w:val="99"/>
        </w:rPr>
        <w:t>5</w:t>
      </w:r>
      <w:r>
        <w:rPr>
          <w:rFonts w:ascii="Arial" w:hAnsi="Arial" w:cs="Arial" w:eastAsia="Arial" w:hint="default"/>
          <w:spacing w:val="-4"/>
          <w:w w:val="99"/>
        </w:rPr>
        <w:t> </w:t>
      </w:r>
      <w:r>
        <w:rPr/>
        <w:t>月</w:t>
      </w:r>
      <w:r>
        <w:rPr>
          <w:spacing w:val="-59"/>
        </w:rPr>
        <w:t> </w:t>
      </w:r>
      <w:r>
        <w:rPr>
          <w:rFonts w:ascii="Arial" w:hAnsi="Arial" w:cs="Arial" w:eastAsia="Arial" w:hint="default"/>
          <w:spacing w:val="-1"/>
          <w:w w:val="99"/>
        </w:rPr>
        <w:t>31</w:t>
      </w:r>
      <w:r>
        <w:rPr>
          <w:rFonts w:ascii="Arial" w:hAnsi="Arial" w:cs="Arial" w:eastAsia="Arial" w:hint="default"/>
          <w:spacing w:val="-4"/>
          <w:w w:val="99"/>
        </w:rPr>
        <w:t> </w:t>
      </w:r>
      <w:r>
        <w:rPr>
          <w:spacing w:val="-10"/>
        </w:rPr>
        <w:t>日取得《软件企业认定证书》（证书编号：</w:t>
      </w:r>
      <w:r>
        <w:rPr/>
        <w:t> 京 </w:t>
      </w:r>
      <w:r>
        <w:rPr>
          <w:rFonts w:ascii="Arial" w:hAnsi="Arial" w:cs="Arial" w:eastAsia="Arial" w:hint="default"/>
          <w:spacing w:val="3"/>
          <w:w w:val="99"/>
        </w:rPr>
        <w:t>R-2013-0330</w:t>
      </w:r>
      <w:r>
        <w:rPr>
          <w:spacing w:val="3"/>
          <w:w w:val="99"/>
        </w:rPr>
        <w:t>），根据《进一步鼓励软件产业和集成电路产业发展的若干政策》（国发</w:t>
      </w:r>
      <w:r>
        <w:rPr>
          <w:spacing w:val="-82"/>
          <w:w w:val="99"/>
        </w:rPr>
        <w:t> </w:t>
      </w:r>
      <w:r>
        <w:rPr>
          <w:spacing w:val="-82"/>
          <w:w w:val="99"/>
        </w:rPr>
      </w:r>
      <w:r>
        <w:rPr>
          <w:rFonts w:ascii="Arial" w:hAnsi="Arial" w:cs="Arial" w:eastAsia="Arial" w:hint="default"/>
        </w:rPr>
        <w:t>[2012]27 </w:t>
      </w:r>
      <w:r>
        <w:rPr>
          <w:rFonts w:ascii="Arial" w:hAnsi="Arial" w:cs="Arial" w:eastAsia="Arial" w:hint="default"/>
          <w:spacing w:val="6"/>
        </w:rPr>
        <w:t> </w:t>
      </w:r>
      <w:r>
        <w:rPr/>
        <w:t>号）的规定，软件企业自获利年度起可享受企业所得税</w:t>
      </w:r>
      <w:r>
        <w:rPr>
          <w:rFonts w:ascii="Arial" w:hAnsi="Arial" w:cs="Arial" w:eastAsia="Arial" w:hint="default"/>
        </w:rPr>
        <w:t>“</w:t>
      </w:r>
      <w:r>
        <w:rPr/>
        <w:t>两免三减半</w:t>
      </w:r>
      <w:r>
        <w:rPr>
          <w:rFonts w:ascii="Arial" w:hAnsi="Arial" w:cs="Arial" w:eastAsia="Arial" w:hint="default"/>
        </w:rPr>
        <w:t>”</w:t>
      </w:r>
      <w:r>
        <w:rPr/>
        <w:t>的优惠政策。</w:t>
      </w:r>
    </w:p>
    <w:p>
      <w:pPr>
        <w:pStyle w:val="BodyText"/>
        <w:spacing w:line="240" w:lineRule="auto" w:before="27"/>
        <w:ind w:right="96"/>
        <w:jc w:val="left"/>
      </w:pPr>
      <w:r>
        <w:rPr/>
        <w:t>根据政策规定</w:t>
      </w:r>
      <w:r>
        <w:rPr>
          <w:spacing w:val="-62"/>
        </w:rPr>
        <w:t> </w:t>
      </w:r>
      <w:r>
        <w:rPr>
          <w:rFonts w:ascii="Arial" w:hAnsi="Arial" w:cs="Arial" w:eastAsia="Arial" w:hint="default"/>
        </w:rPr>
        <w:t>2017</w:t>
      </w:r>
      <w:r>
        <w:rPr>
          <w:rFonts w:ascii="Arial" w:hAnsi="Arial" w:cs="Arial" w:eastAsia="Arial" w:hint="default"/>
          <w:spacing w:val="-8"/>
        </w:rPr>
        <w:t> </w:t>
      </w:r>
      <w:r>
        <w:rPr/>
        <w:t>年减半征收企业所得税。</w:t>
      </w:r>
    </w:p>
    <w:p>
      <w:pPr>
        <w:pStyle w:val="BodyText"/>
        <w:spacing w:line="338" w:lineRule="auto" w:before="137"/>
        <w:ind w:right="228" w:firstLine="480"/>
        <w:jc w:val="both"/>
      </w:pPr>
      <w:r>
        <w:rPr/>
        <w:t>根据国科发</w:t>
      </w:r>
      <w:r>
        <w:rPr>
          <w:rFonts w:ascii="Arial" w:hAnsi="Arial" w:cs="Arial" w:eastAsia="Arial" w:hint="default"/>
        </w:rPr>
        <w:t>[2008]172 </w:t>
      </w:r>
      <w:r>
        <w:rPr>
          <w:spacing w:val="-4"/>
        </w:rPr>
        <w:t>号北京市新技术产业开发试验区暂行条例的有关规定，</w:t>
      </w:r>
      <w:r>
        <w:rPr>
          <w:rFonts w:ascii="Arial" w:hAnsi="Arial" w:cs="Arial" w:eastAsia="Arial" w:hint="default"/>
          <w:spacing w:val="-4"/>
        </w:rPr>
        <w:t>2016 </w:t>
      </w:r>
      <w:r>
        <w:rPr/>
        <w:t>年</w:t>
      </w:r>
      <w:r>
        <w:rPr>
          <w:spacing w:val="-57"/>
        </w:rPr>
        <w:t> </w:t>
      </w:r>
      <w:r>
        <w:rPr>
          <w:rFonts w:ascii="Arial" w:hAnsi="Arial" w:cs="Arial" w:eastAsia="Arial" w:hint="default"/>
        </w:rPr>
        <w:t>12</w:t>
      </w:r>
      <w:r>
        <w:rPr>
          <w:rFonts w:ascii="Arial" w:hAnsi="Arial" w:cs="Arial" w:eastAsia="Arial" w:hint="default"/>
          <w:w w:val="99"/>
        </w:rPr>
        <w:t> </w:t>
      </w:r>
      <w:r>
        <w:rPr/>
        <w:t>月</w:t>
      </w:r>
      <w:r>
        <w:rPr>
          <w:spacing w:val="-64"/>
        </w:rPr>
        <w:t> </w:t>
      </w:r>
      <w:r>
        <w:rPr>
          <w:rFonts w:ascii="Arial" w:hAnsi="Arial" w:cs="Arial" w:eastAsia="Arial" w:hint="default"/>
        </w:rPr>
        <w:t>1</w:t>
      </w:r>
      <w:r>
        <w:rPr>
          <w:rFonts w:ascii="Arial" w:hAnsi="Arial" w:cs="Arial" w:eastAsia="Arial" w:hint="default"/>
          <w:spacing w:val="-10"/>
        </w:rPr>
        <w:t> </w:t>
      </w:r>
      <w:r>
        <w:rPr>
          <w:spacing w:val="-3"/>
        </w:rPr>
        <w:t>日，北京市科学技术委员会向本公司颁发了编号为</w:t>
      </w:r>
      <w:r>
        <w:rPr>
          <w:spacing w:val="-64"/>
        </w:rPr>
        <w:t> </w:t>
      </w:r>
      <w:r>
        <w:rPr>
          <w:rFonts w:ascii="Arial" w:hAnsi="Arial" w:cs="Arial" w:eastAsia="Arial" w:hint="default"/>
        </w:rPr>
        <w:t>GR201611000415</w:t>
      </w:r>
      <w:r>
        <w:rPr>
          <w:rFonts w:ascii="Arial" w:hAnsi="Arial" w:cs="Arial" w:eastAsia="Arial" w:hint="default"/>
          <w:spacing w:val="-8"/>
        </w:rPr>
        <w:t> </w:t>
      </w:r>
      <w:r>
        <w:rPr>
          <w:spacing w:val="-8"/>
        </w:rPr>
        <w:t>的《高新技术企业</w:t>
      </w:r>
      <w:r>
        <w:rPr/>
        <w:t> </w:t>
      </w:r>
      <w:r>
        <w:rPr>
          <w:spacing w:val="-18"/>
        </w:rPr>
        <w:t>证书》，有效期</w:t>
      </w:r>
      <w:r>
        <w:rPr>
          <w:spacing w:val="-44"/>
        </w:rPr>
        <w:t> </w:t>
      </w:r>
      <w:r>
        <w:rPr>
          <w:rFonts w:ascii="Arial" w:hAnsi="Arial" w:cs="Arial" w:eastAsia="Arial" w:hint="default"/>
          <w:w w:val="99"/>
        </w:rPr>
        <w:t>3</w:t>
      </w:r>
      <w:r>
        <w:rPr>
          <w:rFonts w:ascii="Arial" w:hAnsi="Arial" w:cs="Arial" w:eastAsia="Arial" w:hint="default"/>
          <w:spacing w:val="9"/>
          <w:w w:val="99"/>
        </w:rPr>
        <w:t> </w:t>
      </w:r>
      <w:r>
        <w:rPr>
          <w:spacing w:val="-1"/>
          <w:w w:val="99"/>
        </w:rPr>
        <w:t>年。根据国家税务局下发的国税函</w:t>
      </w:r>
      <w:r>
        <w:rPr>
          <w:rFonts w:ascii="Arial" w:hAnsi="Arial" w:cs="Arial" w:eastAsia="Arial" w:hint="default"/>
          <w:spacing w:val="-1"/>
          <w:w w:val="99"/>
        </w:rPr>
        <w:t>[2009]203</w:t>
      </w:r>
      <w:r>
        <w:rPr>
          <w:rFonts w:ascii="Arial" w:hAnsi="Arial" w:cs="Arial" w:eastAsia="Arial" w:hint="default"/>
          <w:spacing w:val="10"/>
          <w:w w:val="99"/>
        </w:rPr>
        <w:t> </w:t>
      </w:r>
      <w:r>
        <w:rPr>
          <w:spacing w:val="-1"/>
        </w:rPr>
        <w:t>号，本公司</w:t>
      </w:r>
      <w:r>
        <w:rPr>
          <w:spacing w:val="-44"/>
        </w:rPr>
        <w:t> </w:t>
      </w:r>
      <w:r>
        <w:rPr>
          <w:rFonts w:ascii="Arial" w:hAnsi="Arial" w:cs="Arial" w:eastAsia="Arial" w:hint="default"/>
          <w:spacing w:val="-1"/>
          <w:w w:val="99"/>
        </w:rPr>
        <w:t>2017</w:t>
      </w:r>
      <w:r>
        <w:rPr>
          <w:rFonts w:ascii="Arial" w:hAnsi="Arial" w:cs="Arial" w:eastAsia="Arial" w:hint="default"/>
          <w:spacing w:val="10"/>
          <w:w w:val="99"/>
        </w:rPr>
        <w:t> </w:t>
      </w:r>
      <w:r>
        <w:rPr>
          <w:spacing w:val="-1"/>
        </w:rPr>
        <w:t>年适用所得</w:t>
      </w:r>
      <w:r>
        <w:rPr/>
        <w:t> 税税率为</w:t>
      </w:r>
      <w:r>
        <w:rPr>
          <w:spacing w:val="-61"/>
        </w:rPr>
        <w:t> </w:t>
      </w:r>
      <w:r>
        <w:rPr>
          <w:rFonts w:ascii="Arial" w:hAnsi="Arial" w:cs="Arial" w:eastAsia="Arial" w:hint="default"/>
        </w:rPr>
        <w:t>15%</w:t>
      </w:r>
      <w:r>
        <w:rPr/>
        <w:t>。</w:t>
      </w:r>
    </w:p>
    <w:p>
      <w:pPr>
        <w:pStyle w:val="BodyText"/>
        <w:spacing w:line="338" w:lineRule="auto" w:before="27"/>
        <w:ind w:left="633" w:right="215" w:firstLine="360"/>
        <w:jc w:val="left"/>
      </w:pPr>
      <w:r>
        <w:rPr/>
        <w:t>（</w:t>
      </w:r>
      <w:r>
        <w:rPr>
          <w:rFonts w:ascii="Arial" w:hAnsi="Arial" w:cs="Arial" w:eastAsia="Arial" w:hint="default"/>
        </w:rPr>
        <w:t>3</w:t>
      </w:r>
      <w:r>
        <w:rPr/>
        <w:t>）保定金迪地下管线探测工程有限公司 </w:t>
      </w:r>
      <w:r>
        <w:rPr>
          <w:spacing w:val="-4"/>
          <w:w w:val="99"/>
        </w:rPr>
        <w:t>根据《财政部、国家税务总局关于软件产品增值税政策的通知》（财税</w:t>
      </w:r>
      <w:r>
        <w:rPr>
          <w:rFonts w:ascii="Arial" w:hAnsi="Arial" w:cs="Arial" w:eastAsia="Arial" w:hint="default"/>
          <w:spacing w:val="-4"/>
          <w:w w:val="99"/>
        </w:rPr>
        <w:t>[2011]100</w:t>
      </w:r>
      <w:r>
        <w:rPr>
          <w:rFonts w:ascii="Arial" w:hAnsi="Arial" w:cs="Arial" w:eastAsia="Arial" w:hint="default"/>
          <w:spacing w:val="24"/>
          <w:w w:val="99"/>
        </w:rPr>
        <w:t> </w:t>
      </w:r>
      <w:r>
        <w:rPr/>
        <w:t>号）等</w:t>
      </w:r>
    </w:p>
    <w:p>
      <w:pPr>
        <w:pStyle w:val="BodyText"/>
        <w:spacing w:line="338" w:lineRule="auto" w:before="27"/>
        <w:ind w:right="214"/>
        <w:jc w:val="left"/>
      </w:pPr>
      <w:r>
        <w:rPr/>
        <w:t>相关规定，当期嵌入式软件产品增值税应纳税额按</w:t>
      </w:r>
      <w:r>
        <w:rPr>
          <w:spacing w:val="-80"/>
        </w:rPr>
        <w:t> </w:t>
      </w:r>
      <w:r>
        <w:rPr>
          <w:rFonts w:ascii="Arial" w:hAnsi="Arial" w:cs="Arial" w:eastAsia="Arial" w:hint="default"/>
        </w:rPr>
        <w:t>17%</w:t>
      </w:r>
      <w:r>
        <w:rPr/>
        <w:t>税率征收，对于超过当期嵌入式软件 产品销售额</w:t>
      </w:r>
      <w:r>
        <w:rPr>
          <w:spacing w:val="-61"/>
        </w:rPr>
        <w:t> </w:t>
      </w:r>
      <w:r>
        <w:rPr>
          <w:rFonts w:ascii="Arial" w:hAnsi="Arial" w:cs="Arial" w:eastAsia="Arial" w:hint="default"/>
        </w:rPr>
        <w:t>3%</w:t>
      </w:r>
      <w:r>
        <w:rPr/>
        <w:t>的部分实行即征即退政策。</w:t>
      </w:r>
    </w:p>
    <w:p>
      <w:pPr>
        <w:pStyle w:val="BodyText"/>
        <w:spacing w:line="338" w:lineRule="auto" w:before="27"/>
        <w:ind w:right="231" w:firstLine="480"/>
        <w:jc w:val="both"/>
      </w:pPr>
      <w:r>
        <w:rPr>
          <w:spacing w:val="-5"/>
          <w:w w:val="99"/>
        </w:rPr>
        <w:t>根据《高新技术企业认定管理办法》（国科发文</w:t>
      </w:r>
      <w:r>
        <w:rPr>
          <w:rFonts w:ascii="Arial" w:hAnsi="Arial" w:cs="Arial" w:eastAsia="Arial" w:hint="default"/>
          <w:spacing w:val="-5"/>
          <w:w w:val="99"/>
        </w:rPr>
        <w:t>[2008]172</w:t>
      </w:r>
      <w:r>
        <w:rPr>
          <w:rFonts w:ascii="Arial" w:hAnsi="Arial" w:cs="Arial" w:eastAsia="Arial" w:hint="default"/>
          <w:spacing w:val="16"/>
          <w:w w:val="99"/>
        </w:rPr>
        <w:t> </w:t>
      </w:r>
      <w:r>
        <w:rPr>
          <w:spacing w:val="-1"/>
        </w:rPr>
        <w:t>号）和《高新技术企业认定管</w:t>
      </w:r>
      <w:r>
        <w:rPr/>
        <w:t> </w:t>
      </w:r>
      <w:r>
        <w:rPr>
          <w:spacing w:val="-7"/>
          <w:w w:val="99"/>
        </w:rPr>
        <w:t>理工作指引》（国科发文</w:t>
      </w:r>
      <w:r>
        <w:rPr>
          <w:rFonts w:ascii="Arial" w:hAnsi="Arial" w:cs="Arial" w:eastAsia="Arial" w:hint="default"/>
          <w:spacing w:val="-7"/>
          <w:w w:val="99"/>
        </w:rPr>
        <w:t>[2008]362</w:t>
      </w:r>
      <w:r>
        <w:rPr>
          <w:rFonts w:ascii="Arial" w:hAnsi="Arial" w:cs="Arial" w:eastAsia="Arial" w:hint="default"/>
          <w:spacing w:val="-2"/>
          <w:w w:val="99"/>
        </w:rPr>
        <w:t> </w:t>
      </w:r>
      <w:r>
        <w:rPr>
          <w:spacing w:val="-2"/>
          <w:w w:val="99"/>
        </w:rPr>
        <w:t>号）的有关规定，</w:t>
      </w:r>
      <w:r>
        <w:rPr>
          <w:rFonts w:ascii="Arial" w:hAnsi="Arial" w:cs="Arial" w:eastAsia="Arial" w:hint="default"/>
          <w:spacing w:val="-2"/>
          <w:w w:val="99"/>
        </w:rPr>
        <w:t>2016</w:t>
      </w:r>
      <w:r>
        <w:rPr>
          <w:rFonts w:ascii="Arial" w:hAnsi="Arial" w:cs="Arial" w:eastAsia="Arial" w:hint="default"/>
          <w:spacing w:val="-4"/>
          <w:w w:val="99"/>
        </w:rPr>
        <w:t> </w:t>
      </w:r>
      <w:r>
        <w:rPr/>
        <w:t>年</w:t>
      </w:r>
      <w:r>
        <w:rPr>
          <w:spacing w:val="-61"/>
        </w:rPr>
        <w:t> </w:t>
      </w:r>
      <w:r>
        <w:rPr>
          <w:rFonts w:ascii="Arial" w:hAnsi="Arial" w:cs="Arial" w:eastAsia="Arial" w:hint="default"/>
          <w:spacing w:val="-8"/>
          <w:w w:val="99"/>
        </w:rPr>
        <w:t>11</w:t>
      </w:r>
      <w:r>
        <w:rPr>
          <w:rFonts w:ascii="Arial" w:hAnsi="Arial" w:cs="Arial" w:eastAsia="Arial" w:hint="default"/>
          <w:spacing w:val="-7"/>
          <w:w w:val="99"/>
        </w:rPr>
        <w:t> </w:t>
      </w:r>
      <w:r>
        <w:rPr/>
        <w:t>月</w:t>
      </w:r>
      <w:r>
        <w:rPr>
          <w:spacing w:val="-58"/>
        </w:rPr>
        <w:t> </w:t>
      </w:r>
      <w:r>
        <w:rPr>
          <w:rFonts w:ascii="Arial" w:hAnsi="Arial" w:cs="Arial" w:eastAsia="Arial" w:hint="default"/>
          <w:w w:val="99"/>
        </w:rPr>
        <w:t>2</w:t>
      </w:r>
      <w:r>
        <w:rPr>
          <w:rFonts w:ascii="Arial" w:hAnsi="Arial" w:cs="Arial" w:eastAsia="Arial" w:hint="default"/>
          <w:spacing w:val="-4"/>
          <w:w w:val="99"/>
        </w:rPr>
        <w:t> </w:t>
      </w:r>
      <w:r>
        <w:rPr>
          <w:spacing w:val="-1"/>
        </w:rPr>
        <w:t>日，河北省科学技术厅</w:t>
      </w:r>
      <w:r>
        <w:rPr/>
        <w:t> 颁发了编号为</w:t>
      </w:r>
      <w:r>
        <w:rPr>
          <w:spacing w:val="-50"/>
        </w:rPr>
        <w:t> </w:t>
      </w:r>
      <w:r>
        <w:rPr>
          <w:rFonts w:ascii="Arial" w:hAnsi="Arial" w:cs="Arial" w:eastAsia="Arial" w:hint="default"/>
          <w:spacing w:val="-4"/>
          <w:w w:val="99"/>
        </w:rPr>
        <w:t>GR201613000111</w:t>
      </w:r>
      <w:r>
        <w:rPr>
          <w:rFonts w:ascii="Arial" w:hAnsi="Arial" w:cs="Arial" w:eastAsia="Arial" w:hint="default"/>
          <w:spacing w:val="6"/>
          <w:w w:val="99"/>
        </w:rPr>
        <w:t> </w:t>
      </w:r>
      <w:r>
        <w:rPr>
          <w:spacing w:val="-9"/>
        </w:rPr>
        <w:t>的《高新技术企业证书》，有效期</w:t>
      </w:r>
      <w:r>
        <w:rPr>
          <w:spacing w:val="-50"/>
        </w:rPr>
        <w:t> </w:t>
      </w:r>
      <w:r>
        <w:rPr>
          <w:rFonts w:ascii="Arial" w:hAnsi="Arial" w:cs="Arial" w:eastAsia="Arial" w:hint="default"/>
          <w:w w:val="99"/>
        </w:rPr>
        <w:t>3</w:t>
      </w:r>
      <w:r>
        <w:rPr>
          <w:rFonts w:ascii="Arial" w:hAnsi="Arial" w:cs="Arial" w:eastAsia="Arial" w:hint="default"/>
          <w:spacing w:val="4"/>
          <w:w w:val="99"/>
        </w:rPr>
        <w:t> </w:t>
      </w:r>
      <w:r>
        <w:rPr/>
        <w:t>年。根据国家税务局下 发的国税函</w:t>
      </w:r>
      <w:r>
        <w:rPr>
          <w:rFonts w:ascii="Arial" w:hAnsi="Arial" w:cs="Arial" w:eastAsia="Arial" w:hint="default"/>
        </w:rPr>
        <w:t>[2009]203 </w:t>
      </w:r>
      <w:r>
        <w:rPr/>
        <w:t>号，</w:t>
      </w:r>
      <w:r>
        <w:rPr>
          <w:rFonts w:ascii="Arial" w:hAnsi="Arial" w:cs="Arial" w:eastAsia="Arial" w:hint="default"/>
        </w:rPr>
        <w:t>2017 </w:t>
      </w:r>
      <w:r>
        <w:rPr/>
        <w:t>年适用所得税税率为</w:t>
      </w:r>
      <w:r>
        <w:rPr>
          <w:spacing w:val="-79"/>
        </w:rPr>
        <w:t> </w:t>
      </w:r>
      <w:r>
        <w:rPr>
          <w:rFonts w:ascii="Arial" w:hAnsi="Arial" w:cs="Arial" w:eastAsia="Arial" w:hint="default"/>
        </w:rPr>
        <w:t>15%</w:t>
      </w:r>
      <w:r>
        <w:rPr/>
        <w:t>。</w:t>
      </w:r>
    </w:p>
    <w:p>
      <w:pPr>
        <w:pStyle w:val="BodyText"/>
        <w:spacing w:line="338" w:lineRule="auto" w:before="27"/>
        <w:ind w:left="633" w:right="215"/>
        <w:jc w:val="left"/>
      </w:pPr>
      <w:r>
        <w:rPr/>
        <w:t>（</w:t>
      </w:r>
      <w:r>
        <w:rPr>
          <w:rFonts w:ascii="Arial" w:hAnsi="Arial" w:cs="Arial" w:eastAsia="Arial" w:hint="default"/>
        </w:rPr>
        <w:t>4</w:t>
      </w:r>
      <w:r>
        <w:rPr/>
        <w:t>）保定金迪科学仪器有限公司 </w:t>
      </w:r>
      <w:r>
        <w:rPr>
          <w:spacing w:val="-4"/>
          <w:w w:val="99"/>
        </w:rPr>
        <w:t>根据《财政部、国家税务总局关于软件产品增值税政策的通知》（财税</w:t>
      </w:r>
      <w:r>
        <w:rPr>
          <w:rFonts w:ascii="Arial" w:hAnsi="Arial" w:cs="Arial" w:eastAsia="Arial" w:hint="default"/>
          <w:spacing w:val="-4"/>
          <w:w w:val="99"/>
        </w:rPr>
        <w:t>[2011]100</w:t>
      </w:r>
      <w:r>
        <w:rPr>
          <w:rFonts w:ascii="Arial" w:hAnsi="Arial" w:cs="Arial" w:eastAsia="Arial" w:hint="default"/>
          <w:spacing w:val="24"/>
          <w:w w:val="99"/>
        </w:rPr>
        <w:t> </w:t>
      </w:r>
      <w:r>
        <w:rPr/>
        <w:t>号）等</w:t>
      </w:r>
    </w:p>
    <w:p>
      <w:pPr>
        <w:pStyle w:val="BodyText"/>
        <w:spacing w:line="338" w:lineRule="auto" w:before="27"/>
        <w:ind w:right="214"/>
        <w:jc w:val="left"/>
      </w:pPr>
      <w:r>
        <w:rPr/>
        <w:t>相关规定，当期嵌入式软件产品增值税应纳税额按</w:t>
      </w:r>
      <w:r>
        <w:rPr>
          <w:spacing w:val="-80"/>
        </w:rPr>
        <w:t> </w:t>
      </w:r>
      <w:r>
        <w:rPr>
          <w:rFonts w:ascii="Arial" w:hAnsi="Arial" w:cs="Arial" w:eastAsia="Arial" w:hint="default"/>
        </w:rPr>
        <w:t>17%</w:t>
      </w:r>
      <w:r>
        <w:rPr/>
        <w:t>税率征收，对于超过当期嵌入式软件 产品销售额</w:t>
      </w:r>
      <w:r>
        <w:rPr>
          <w:spacing w:val="-61"/>
        </w:rPr>
        <w:t> </w:t>
      </w:r>
      <w:r>
        <w:rPr>
          <w:rFonts w:ascii="Arial" w:hAnsi="Arial" w:cs="Arial" w:eastAsia="Arial" w:hint="default"/>
        </w:rPr>
        <w:t>3%</w:t>
      </w:r>
      <w:r>
        <w:rPr/>
        <w:t>的部分实行即征即退政策。</w:t>
      </w:r>
    </w:p>
    <w:p>
      <w:pPr>
        <w:spacing w:after="0" w:line="338" w:lineRule="auto"/>
        <w:jc w:val="left"/>
        <w:sectPr>
          <w:pgSz w:w="11910" w:h="16840"/>
          <w:pgMar w:header="745" w:footer="979" w:top="1060" w:bottom="1160" w:left="980" w:right="900"/>
        </w:sectPr>
      </w:pPr>
    </w:p>
    <w:p>
      <w:pPr>
        <w:spacing w:line="240" w:lineRule="auto" w:before="7"/>
        <w:rPr>
          <w:rFonts w:ascii="宋体" w:hAnsi="宋体" w:cs="宋体" w:eastAsia="宋体" w:hint="default"/>
          <w:sz w:val="29"/>
          <w:szCs w:val="29"/>
        </w:rPr>
      </w:pPr>
    </w:p>
    <w:p>
      <w:pPr>
        <w:pStyle w:val="BodyText"/>
        <w:spacing w:line="345" w:lineRule="auto" w:before="26"/>
        <w:ind w:right="155" w:firstLine="480"/>
        <w:jc w:val="both"/>
      </w:pPr>
      <w:r>
        <w:rPr>
          <w:spacing w:val="-6"/>
        </w:rPr>
        <w:t>根据《中华人民共和国企业所得税法》、《中华人民共和国企业所得税法实施条例》第二</w:t>
      </w:r>
      <w:r>
        <w:rPr/>
        <w:t> 十</w:t>
      </w:r>
      <w:r>
        <w:rPr>
          <w:spacing w:val="-80"/>
        </w:rPr>
        <w:t> </w:t>
      </w:r>
      <w:r>
        <w:rPr/>
        <w:t>八</w:t>
      </w:r>
      <w:r>
        <w:rPr>
          <w:spacing w:val="-80"/>
        </w:rPr>
        <w:t> </w:t>
      </w:r>
      <w:r>
        <w:rPr/>
        <w:t>条</w:t>
      </w:r>
      <w:r>
        <w:rPr>
          <w:spacing w:val="-80"/>
        </w:rPr>
        <w:t> </w:t>
      </w:r>
      <w:r>
        <w:rPr/>
        <w:t>规</w:t>
      </w:r>
      <w:r>
        <w:rPr>
          <w:spacing w:val="-78"/>
        </w:rPr>
        <w:t> </w:t>
      </w:r>
      <w:r>
        <w:rPr/>
        <w:t>定</w:t>
      </w:r>
      <w:r>
        <w:rPr>
          <w:spacing w:val="-80"/>
        </w:rPr>
        <w:t> </w:t>
      </w:r>
      <w:r>
        <w:rPr/>
        <w:t>，</w:t>
      </w:r>
      <w:r>
        <w:rPr>
          <w:spacing w:val="-78"/>
        </w:rPr>
        <w:t> </w:t>
      </w:r>
      <w:r>
        <w:rPr>
          <w:rFonts w:ascii="Arial" w:hAnsi="Arial" w:cs="Arial" w:eastAsia="Arial" w:hint="default"/>
        </w:rPr>
        <w:t>2017</w:t>
      </w:r>
      <w:r>
        <w:rPr>
          <w:rFonts w:ascii="Arial" w:hAnsi="Arial" w:cs="Arial" w:eastAsia="Arial" w:hint="default"/>
          <w:spacing w:val="27"/>
        </w:rPr>
        <w:t> </w:t>
      </w:r>
      <w:r>
        <w:rPr/>
        <w:t>年</w:t>
      </w:r>
      <w:r>
        <w:rPr>
          <w:spacing w:val="40"/>
        </w:rPr>
        <w:t> </w:t>
      </w:r>
      <w:r>
        <w:rPr>
          <w:rFonts w:ascii="Arial" w:hAnsi="Arial" w:cs="Arial" w:eastAsia="Arial" w:hint="default"/>
        </w:rPr>
        <w:t>10</w:t>
      </w:r>
      <w:r>
        <w:rPr>
          <w:rFonts w:ascii="Arial" w:hAnsi="Arial" w:cs="Arial" w:eastAsia="Arial" w:hint="default"/>
          <w:spacing w:val="27"/>
        </w:rPr>
        <w:t> </w:t>
      </w:r>
      <w:r>
        <w:rPr/>
        <w:t>月</w:t>
      </w:r>
      <w:r>
        <w:rPr>
          <w:spacing w:val="39"/>
        </w:rPr>
        <w:t> </w:t>
      </w:r>
      <w:r>
        <w:rPr>
          <w:rFonts w:ascii="Arial" w:hAnsi="Arial" w:cs="Arial" w:eastAsia="Arial" w:hint="default"/>
        </w:rPr>
        <w:t>27</w:t>
      </w:r>
      <w:r>
        <w:rPr>
          <w:rFonts w:ascii="Arial" w:hAnsi="Arial" w:cs="Arial" w:eastAsia="Arial" w:hint="default"/>
          <w:spacing w:val="27"/>
        </w:rPr>
        <w:t> </w:t>
      </w:r>
      <w:r>
        <w:rPr/>
        <w:t>日</w:t>
      </w:r>
      <w:r>
        <w:rPr>
          <w:spacing w:val="-80"/>
        </w:rPr>
        <w:t> </w:t>
      </w:r>
      <w:r>
        <w:rPr/>
        <w:t>，</w:t>
      </w:r>
      <w:r>
        <w:rPr>
          <w:spacing w:val="-78"/>
        </w:rPr>
        <w:t> </w:t>
      </w:r>
      <w:r>
        <w:rPr/>
        <w:t>河</w:t>
      </w:r>
      <w:r>
        <w:rPr>
          <w:spacing w:val="-80"/>
        </w:rPr>
        <w:t> </w:t>
      </w:r>
      <w:r>
        <w:rPr/>
        <w:t>北</w:t>
      </w:r>
      <w:r>
        <w:rPr>
          <w:spacing w:val="-80"/>
        </w:rPr>
        <w:t> </w:t>
      </w:r>
      <w:r>
        <w:rPr/>
        <w:t>省</w:t>
      </w:r>
      <w:r>
        <w:rPr>
          <w:spacing w:val="-80"/>
        </w:rPr>
        <w:t> </w:t>
      </w:r>
      <w:r>
        <w:rPr/>
        <w:t>科</w:t>
      </w:r>
      <w:r>
        <w:rPr>
          <w:spacing w:val="-78"/>
        </w:rPr>
        <w:t> </w:t>
      </w:r>
      <w:r>
        <w:rPr/>
        <w:t>学</w:t>
      </w:r>
      <w:r>
        <w:rPr>
          <w:spacing w:val="-80"/>
        </w:rPr>
        <w:t> </w:t>
      </w:r>
      <w:r>
        <w:rPr/>
        <w:t>技</w:t>
      </w:r>
      <w:r>
        <w:rPr>
          <w:spacing w:val="-78"/>
        </w:rPr>
        <w:t> </w:t>
      </w:r>
      <w:r>
        <w:rPr/>
        <w:t>术</w:t>
      </w:r>
      <w:r>
        <w:rPr>
          <w:spacing w:val="-80"/>
        </w:rPr>
        <w:t> </w:t>
      </w:r>
      <w:r>
        <w:rPr/>
        <w:t>厅</w:t>
      </w:r>
      <w:r>
        <w:rPr>
          <w:spacing w:val="-78"/>
        </w:rPr>
        <w:t> </w:t>
      </w:r>
      <w:r>
        <w:rPr/>
        <w:t>向</w:t>
      </w:r>
      <w:r>
        <w:rPr>
          <w:spacing w:val="-80"/>
        </w:rPr>
        <w:t> </w:t>
      </w:r>
      <w:r>
        <w:rPr/>
        <w:t>本</w:t>
      </w:r>
      <w:r>
        <w:rPr>
          <w:spacing w:val="-80"/>
        </w:rPr>
        <w:t> </w:t>
      </w:r>
      <w:r>
        <w:rPr/>
        <w:t>公</w:t>
      </w:r>
      <w:r>
        <w:rPr>
          <w:spacing w:val="-80"/>
        </w:rPr>
        <w:t> </w:t>
      </w:r>
      <w:r>
        <w:rPr/>
        <w:t>司</w:t>
      </w:r>
      <w:r>
        <w:rPr>
          <w:spacing w:val="-78"/>
        </w:rPr>
        <w:t> </w:t>
      </w:r>
      <w:r>
        <w:rPr/>
        <w:t>颁</w:t>
      </w:r>
      <w:r>
        <w:rPr>
          <w:spacing w:val="-80"/>
        </w:rPr>
        <w:t> </w:t>
      </w:r>
      <w:r>
        <w:rPr/>
        <w:t>发</w:t>
      </w:r>
      <w:r>
        <w:rPr>
          <w:spacing w:val="-78"/>
        </w:rPr>
        <w:t> </w:t>
      </w:r>
      <w:r>
        <w:rPr/>
        <w:t>了</w:t>
      </w:r>
      <w:r>
        <w:rPr>
          <w:spacing w:val="-80"/>
        </w:rPr>
        <w:t> </w:t>
      </w:r>
      <w:r>
        <w:rPr/>
        <w:t>编</w:t>
      </w:r>
      <w:r>
        <w:rPr>
          <w:spacing w:val="-78"/>
        </w:rPr>
        <w:t> </w:t>
      </w:r>
      <w:r>
        <w:rPr/>
        <w:t>号</w:t>
      </w:r>
      <w:r>
        <w:rPr>
          <w:spacing w:val="-80"/>
        </w:rPr>
        <w:t> </w:t>
      </w:r>
      <w:r>
        <w:rPr/>
        <w:t>为</w:t>
      </w:r>
      <w:r>
        <w:rPr/>
        <w:t> </w:t>
      </w:r>
      <w:r>
        <w:rPr>
          <w:rFonts w:ascii="Arial" w:hAnsi="Arial" w:cs="Arial" w:eastAsia="Arial" w:hint="default"/>
          <w:spacing w:val="-1"/>
          <w:w w:val="99"/>
        </w:rPr>
        <w:t>GR201713001066</w:t>
      </w:r>
      <w:r>
        <w:rPr>
          <w:rFonts w:ascii="Arial" w:hAnsi="Arial" w:cs="Arial" w:eastAsia="Arial" w:hint="default"/>
          <w:w w:val="99"/>
        </w:rPr>
        <w:t> </w:t>
      </w:r>
      <w:r>
        <w:rPr>
          <w:spacing w:val="-6"/>
        </w:rPr>
        <w:t>的《高新技术企业证书》，有效期</w:t>
      </w:r>
      <w:r>
        <w:rPr/>
        <w:t> </w:t>
      </w:r>
      <w:r>
        <w:rPr>
          <w:rFonts w:ascii="Arial" w:hAnsi="Arial" w:cs="Arial" w:eastAsia="Arial" w:hint="default"/>
          <w:w w:val="99"/>
        </w:rPr>
        <w:t>3</w:t>
      </w:r>
      <w:r>
        <w:rPr>
          <w:rFonts w:ascii="Arial" w:hAnsi="Arial" w:cs="Arial" w:eastAsia="Arial" w:hint="default"/>
          <w:spacing w:val="10"/>
          <w:w w:val="99"/>
        </w:rPr>
        <w:t> </w:t>
      </w:r>
      <w:r>
        <w:rPr>
          <w:spacing w:val="2"/>
        </w:rPr>
        <w:t>年。根据国家税务局下发的国税函</w:t>
      </w:r>
      <w:r>
        <w:rPr/>
        <w:t> </w:t>
      </w:r>
      <w:r>
        <w:rPr>
          <w:rFonts w:ascii="Arial" w:hAnsi="Arial" w:cs="Arial" w:eastAsia="Arial" w:hint="default"/>
        </w:rPr>
        <w:t>[2009]203</w:t>
      </w:r>
      <w:r>
        <w:rPr>
          <w:rFonts w:ascii="Arial" w:hAnsi="Arial" w:cs="Arial" w:eastAsia="Arial" w:hint="default"/>
          <w:spacing w:val="-7"/>
        </w:rPr>
        <w:t> </w:t>
      </w:r>
      <w:r>
        <w:rPr/>
        <w:t>号，本公司</w:t>
      </w:r>
      <w:r>
        <w:rPr>
          <w:spacing w:val="-65"/>
        </w:rPr>
        <w:t> </w:t>
      </w:r>
      <w:r>
        <w:rPr>
          <w:rFonts w:ascii="Arial" w:hAnsi="Arial" w:cs="Arial" w:eastAsia="Arial" w:hint="default"/>
        </w:rPr>
        <w:t>2017</w:t>
      </w:r>
      <w:r>
        <w:rPr>
          <w:rFonts w:ascii="Arial" w:hAnsi="Arial" w:cs="Arial" w:eastAsia="Arial" w:hint="default"/>
          <w:spacing w:val="-7"/>
        </w:rPr>
        <w:t> </w:t>
      </w:r>
      <w:r>
        <w:rPr/>
        <w:t>年适用所得税税率为</w:t>
      </w:r>
      <w:r>
        <w:rPr>
          <w:spacing w:val="-62"/>
        </w:rPr>
        <w:t> </w:t>
      </w:r>
      <w:r>
        <w:rPr>
          <w:rFonts w:ascii="Arial" w:hAnsi="Arial" w:cs="Arial" w:eastAsia="Arial" w:hint="default"/>
        </w:rPr>
        <w:t>15%</w:t>
      </w:r>
      <w:r>
        <w:rPr/>
        <w:t>。</w:t>
      </w:r>
    </w:p>
    <w:p>
      <w:pPr>
        <w:pStyle w:val="BodyText"/>
        <w:spacing w:line="240" w:lineRule="auto" w:before="19"/>
        <w:ind w:left="633" w:right="153"/>
        <w:jc w:val="left"/>
      </w:pPr>
      <w:r>
        <w:rPr/>
        <w:t>（</w:t>
      </w:r>
      <w:r>
        <w:rPr>
          <w:rFonts w:ascii="Arial" w:hAnsi="Arial" w:cs="Arial" w:eastAsia="Arial" w:hint="default"/>
        </w:rPr>
        <w:t>5</w:t>
      </w:r>
      <w:r>
        <w:rPr/>
        <w:t>）焦作市市民健康促进服务有限责任公司</w:t>
      </w:r>
    </w:p>
    <w:p>
      <w:pPr>
        <w:pStyle w:val="BodyText"/>
        <w:spacing w:line="345" w:lineRule="auto" w:before="137"/>
        <w:ind w:right="138" w:firstLine="480"/>
        <w:jc w:val="both"/>
      </w:pPr>
      <w:r>
        <w:rPr>
          <w:spacing w:val="11"/>
        </w:rPr>
        <w:t>根据财政部</w:t>
      </w:r>
      <w:r>
        <w:rPr>
          <w:spacing w:val="31"/>
        </w:rPr>
        <w:t> </w:t>
      </w:r>
      <w:r>
        <w:rPr>
          <w:spacing w:val="10"/>
        </w:rPr>
        <w:t>税务总局《关于扩大小型微利企业所得税优惠政策范围的通知》（财税</w:t>
      </w:r>
      <w:r>
        <w:rPr>
          <w:spacing w:val="14"/>
        </w:rPr>
        <w:t> </w:t>
      </w:r>
      <w:r>
        <w:rPr>
          <w:rFonts w:ascii="Arial" w:hAnsi="Arial" w:cs="Arial" w:eastAsia="Arial" w:hint="default"/>
        </w:rPr>
        <w:t>[2017]43</w:t>
      </w:r>
      <w:r>
        <w:rPr>
          <w:rFonts w:ascii="Arial" w:hAnsi="Arial" w:cs="Arial" w:eastAsia="Arial" w:hint="default"/>
          <w:spacing w:val="-6"/>
        </w:rPr>
        <w:t> </w:t>
      </w:r>
      <w:r>
        <w:rPr>
          <w:spacing w:val="-5"/>
        </w:rPr>
        <w:t>号）规定：自</w:t>
      </w:r>
      <w:r>
        <w:rPr>
          <w:spacing w:val="-61"/>
        </w:rPr>
        <w:t> </w:t>
      </w:r>
      <w:r>
        <w:rPr>
          <w:rFonts w:ascii="Arial" w:hAnsi="Arial" w:cs="Arial" w:eastAsia="Arial" w:hint="default"/>
        </w:rPr>
        <w:t>2017</w:t>
      </w:r>
      <w:r>
        <w:rPr>
          <w:rFonts w:ascii="Arial" w:hAnsi="Arial" w:cs="Arial" w:eastAsia="Arial" w:hint="default"/>
          <w:spacing w:val="-6"/>
        </w:rPr>
        <w:t> </w:t>
      </w:r>
      <w:r>
        <w:rPr/>
        <w:t>年</w:t>
      </w:r>
      <w:r>
        <w:rPr>
          <w:spacing w:val="-61"/>
        </w:rPr>
        <w:t> </w:t>
      </w:r>
      <w:r>
        <w:rPr>
          <w:rFonts w:ascii="Arial" w:hAnsi="Arial" w:cs="Arial" w:eastAsia="Arial" w:hint="default"/>
        </w:rPr>
        <w:t>1</w:t>
      </w:r>
      <w:r>
        <w:rPr>
          <w:rFonts w:ascii="Arial" w:hAnsi="Arial" w:cs="Arial" w:eastAsia="Arial" w:hint="default"/>
          <w:spacing w:val="-7"/>
        </w:rPr>
        <w:t> </w:t>
      </w:r>
      <w:r>
        <w:rPr/>
        <w:t>月</w:t>
      </w:r>
      <w:r>
        <w:rPr>
          <w:spacing w:val="-61"/>
        </w:rPr>
        <w:t> </w:t>
      </w:r>
      <w:r>
        <w:rPr>
          <w:rFonts w:ascii="Arial" w:hAnsi="Arial" w:cs="Arial" w:eastAsia="Arial" w:hint="default"/>
        </w:rPr>
        <w:t>1</w:t>
      </w:r>
      <w:r>
        <w:rPr>
          <w:rFonts w:ascii="Arial" w:hAnsi="Arial" w:cs="Arial" w:eastAsia="Arial" w:hint="default"/>
          <w:spacing w:val="-7"/>
        </w:rPr>
        <w:t> </w:t>
      </w:r>
      <w:r>
        <w:rPr/>
        <w:t>日至</w:t>
      </w:r>
      <w:r>
        <w:rPr>
          <w:spacing w:val="-64"/>
        </w:rPr>
        <w:t> </w:t>
      </w:r>
      <w:r>
        <w:rPr>
          <w:rFonts w:ascii="Arial" w:hAnsi="Arial" w:cs="Arial" w:eastAsia="Arial" w:hint="default"/>
        </w:rPr>
        <w:t>2019</w:t>
      </w:r>
      <w:r>
        <w:rPr>
          <w:rFonts w:ascii="Arial" w:hAnsi="Arial" w:cs="Arial" w:eastAsia="Arial" w:hint="default"/>
          <w:spacing w:val="-7"/>
        </w:rPr>
        <w:t> </w:t>
      </w:r>
      <w:r>
        <w:rPr/>
        <w:t>年</w:t>
      </w:r>
      <w:r>
        <w:rPr>
          <w:spacing w:val="-61"/>
        </w:rPr>
        <w:t> </w:t>
      </w:r>
      <w:r>
        <w:rPr>
          <w:rFonts w:ascii="Arial" w:hAnsi="Arial" w:cs="Arial" w:eastAsia="Arial" w:hint="default"/>
        </w:rPr>
        <w:t>12</w:t>
      </w:r>
      <w:r>
        <w:rPr>
          <w:rFonts w:ascii="Arial" w:hAnsi="Arial" w:cs="Arial" w:eastAsia="Arial" w:hint="default"/>
          <w:spacing w:val="-7"/>
        </w:rPr>
        <w:t> </w:t>
      </w:r>
      <w:r>
        <w:rPr/>
        <w:t>月</w:t>
      </w:r>
      <w:r>
        <w:rPr>
          <w:spacing w:val="-64"/>
        </w:rPr>
        <w:t> </w:t>
      </w:r>
      <w:r>
        <w:rPr>
          <w:rFonts w:ascii="Arial" w:hAnsi="Arial" w:cs="Arial" w:eastAsia="Arial" w:hint="default"/>
        </w:rPr>
        <w:t>31</w:t>
      </w:r>
      <w:r>
        <w:rPr>
          <w:rFonts w:ascii="Arial" w:hAnsi="Arial" w:cs="Arial" w:eastAsia="Arial" w:hint="default"/>
          <w:spacing w:val="-7"/>
        </w:rPr>
        <w:t> </w:t>
      </w:r>
      <w:r>
        <w:rPr/>
        <w:t>日，对年应纳税所得额低于</w:t>
      </w:r>
      <w:r>
        <w:rPr>
          <w:spacing w:val="-61"/>
        </w:rPr>
        <w:t> </w:t>
      </w:r>
      <w:r>
        <w:rPr>
          <w:rFonts w:ascii="Arial" w:hAnsi="Arial" w:cs="Arial" w:eastAsia="Arial" w:hint="default"/>
        </w:rPr>
        <w:t>50</w:t>
      </w:r>
      <w:r>
        <w:rPr>
          <w:rFonts w:ascii="Arial" w:hAnsi="Arial" w:cs="Arial" w:eastAsia="Arial" w:hint="default"/>
          <w:w w:val="99"/>
        </w:rPr>
        <w:t> </w:t>
      </w:r>
      <w:r>
        <w:rPr/>
        <w:t>万元（含</w:t>
      </w:r>
      <w:r>
        <w:rPr>
          <w:spacing w:val="-61"/>
        </w:rPr>
        <w:t> </w:t>
      </w:r>
      <w:r>
        <w:rPr>
          <w:rFonts w:ascii="Arial" w:hAnsi="Arial" w:cs="Arial" w:eastAsia="Arial" w:hint="default"/>
        </w:rPr>
        <w:t>50</w:t>
      </w:r>
      <w:r>
        <w:rPr>
          <w:rFonts w:ascii="Arial" w:hAnsi="Arial" w:cs="Arial" w:eastAsia="Arial" w:hint="default"/>
          <w:spacing w:val="-7"/>
        </w:rPr>
        <w:t> </w:t>
      </w:r>
      <w:r>
        <w:rPr/>
        <w:t>万元）的小型微利企业，其所得减按</w:t>
      </w:r>
      <w:r>
        <w:rPr>
          <w:spacing w:val="-60"/>
        </w:rPr>
        <w:t> </w:t>
      </w:r>
      <w:r>
        <w:rPr>
          <w:rFonts w:ascii="Arial" w:hAnsi="Arial" w:cs="Arial" w:eastAsia="Arial" w:hint="default"/>
        </w:rPr>
        <w:t>50%</w:t>
      </w:r>
      <w:r>
        <w:rPr/>
        <w:t>计入应纳税所得额，按</w:t>
      </w:r>
      <w:r>
        <w:rPr>
          <w:spacing w:val="-60"/>
        </w:rPr>
        <w:t> </w:t>
      </w:r>
      <w:r>
        <w:rPr>
          <w:rFonts w:ascii="Arial" w:hAnsi="Arial" w:cs="Arial" w:eastAsia="Arial" w:hint="default"/>
        </w:rPr>
        <w:t>20%</w:t>
      </w:r>
      <w:r>
        <w:rPr/>
        <w:t>的税率缴 纳企业所得税。</w:t>
      </w:r>
    </w:p>
    <w:p>
      <w:pPr>
        <w:spacing w:line="240" w:lineRule="auto" w:before="10"/>
        <w:rPr>
          <w:rFonts w:ascii="宋体" w:hAnsi="宋体" w:cs="宋体" w:eastAsia="宋体" w:hint="default"/>
          <w:sz w:val="20"/>
          <w:szCs w:val="20"/>
        </w:rPr>
      </w:pPr>
    </w:p>
    <w:p>
      <w:pPr>
        <w:pStyle w:val="Heading2"/>
        <w:spacing w:line="240" w:lineRule="auto"/>
        <w:ind w:right="153"/>
        <w:jc w:val="left"/>
        <w:rPr>
          <w:b w:val="0"/>
          <w:bCs w:val="0"/>
        </w:rPr>
      </w:pPr>
      <w:r>
        <w:rPr/>
        <w:t>七、合并财务报表项目注释</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101,215.43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142,838.49</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675,548,541.03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398,330,120.59</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19,026,017.41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2,042,585.27</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694,675,773.87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400,515,544.35</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148"/>
        <w:ind w:left="633" w:right="0"/>
        <w:jc w:val="left"/>
      </w:pPr>
      <w:r>
        <w:rPr/>
        <w:t>截至</w:t>
      </w:r>
      <w:r>
        <w:rPr>
          <w:spacing w:val="-53"/>
        </w:rPr>
        <w:t> </w:t>
      </w:r>
      <w:r>
        <w:rPr>
          <w:rFonts w:ascii="Arial" w:hAnsi="Arial" w:cs="Arial" w:eastAsia="Arial" w:hint="default"/>
        </w:rPr>
        <w:t>2017</w:t>
      </w:r>
      <w:r>
        <w:rPr>
          <w:rFonts w:ascii="Arial" w:hAnsi="Arial" w:cs="Arial" w:eastAsia="Arial" w:hint="default"/>
          <w:spacing w:val="2"/>
        </w:rPr>
        <w:t> </w:t>
      </w:r>
      <w:r>
        <w:rPr/>
        <w:t>年</w:t>
      </w:r>
      <w:r>
        <w:rPr>
          <w:spacing w:val="-53"/>
        </w:rPr>
        <w:t> </w:t>
      </w:r>
      <w:r>
        <w:rPr>
          <w:rFonts w:ascii="Arial" w:hAnsi="Arial" w:cs="Arial" w:eastAsia="Arial" w:hint="default"/>
        </w:rPr>
        <w:t>12</w:t>
      </w:r>
      <w:r>
        <w:rPr>
          <w:rFonts w:ascii="Arial" w:hAnsi="Arial" w:cs="Arial" w:eastAsia="Arial" w:hint="default"/>
          <w:spacing w:val="1"/>
        </w:rPr>
        <w:t> </w:t>
      </w:r>
      <w:r>
        <w:rPr/>
        <w:t>月</w:t>
      </w:r>
      <w:r>
        <w:rPr>
          <w:spacing w:val="-53"/>
        </w:rPr>
        <w:t> </w:t>
      </w:r>
      <w:r>
        <w:rPr>
          <w:rFonts w:ascii="Arial" w:hAnsi="Arial" w:cs="Arial" w:eastAsia="Arial" w:hint="default"/>
        </w:rPr>
        <w:t>31 </w:t>
      </w:r>
      <w:r>
        <w:rPr/>
        <w:t>日公司开立保函及银行承兑汇票保证金</w:t>
      </w:r>
      <w:r>
        <w:rPr>
          <w:spacing w:val="-52"/>
        </w:rPr>
        <w:t> </w:t>
      </w:r>
      <w:r>
        <w:rPr>
          <w:rFonts w:ascii="Arial" w:hAnsi="Arial" w:cs="Arial" w:eastAsia="Arial" w:hint="default"/>
        </w:rPr>
        <w:t>14,693,817.41</w:t>
      </w:r>
      <w:r>
        <w:rPr>
          <w:rFonts w:ascii="Arial" w:hAnsi="Arial" w:cs="Arial" w:eastAsia="Arial" w:hint="default"/>
          <w:spacing w:val="3"/>
        </w:rPr>
        <w:t> </w:t>
      </w:r>
      <w:r>
        <w:rPr/>
        <w:t>元尚未到</w:t>
      </w:r>
    </w:p>
    <w:p>
      <w:pPr>
        <w:spacing w:line="240" w:lineRule="auto" w:before="6"/>
        <w:rPr>
          <w:rFonts w:ascii="宋体" w:hAnsi="宋体" w:cs="宋体" w:eastAsia="宋体" w:hint="default"/>
          <w:sz w:val="8"/>
          <w:szCs w:val="8"/>
        </w:rPr>
      </w:pPr>
    </w:p>
    <w:p>
      <w:pPr>
        <w:pStyle w:val="BodyText"/>
        <w:spacing w:line="240" w:lineRule="auto" w:before="26"/>
        <w:ind w:right="153"/>
        <w:jc w:val="left"/>
      </w:pPr>
      <w:r>
        <w:rPr/>
        <w:t>期。</w:t>
      </w:r>
    </w:p>
    <w:p>
      <w:pPr>
        <w:spacing w:line="240" w:lineRule="auto" w:before="11"/>
        <w:rPr>
          <w:rFonts w:ascii="宋体" w:hAnsi="宋体" w:cs="宋体" w:eastAsia="宋体" w:hint="default"/>
          <w:sz w:val="30"/>
          <w:szCs w:val="30"/>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、衍生金融资产</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）应收票据分类列示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2,917,031.00</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2,917,031.00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）期末公司已背书或贴现且在资产负债表日尚未到期的应收票据</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4,758,433.53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4,758,433.53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）应收账款分类披露</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24"/>
        <w:gridCol w:w="774"/>
        <w:gridCol w:w="761"/>
        <w:gridCol w:w="763"/>
        <w:gridCol w:w="763"/>
        <w:gridCol w:w="788"/>
        <w:gridCol w:w="655"/>
        <w:gridCol w:w="761"/>
        <w:gridCol w:w="814"/>
        <w:gridCol w:w="934"/>
        <w:gridCol w:w="931"/>
      </w:tblGrid>
      <w:tr>
        <w:trPr>
          <w:trHeight w:val="396" w:hRule="exact"/>
        </w:trPr>
        <w:tc>
          <w:tcPr>
            <w:tcW w:w="1624"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4"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4"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2" w:hRule="exact"/>
        </w:trPr>
        <w:tc>
          <w:tcPr>
            <w:tcW w:w="1624"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4"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4"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1,149,33</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0,770.82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124,632,</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822.48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10.84%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1,024,697</w:t>
            </w:r>
          </w:p>
          <w:p>
            <w:pPr>
              <w:pStyle w:val="TableParagraph"/>
              <w:spacing w:line="240" w:lineRule="auto" w:before="105"/>
              <w:ind w:left="194" w:right="0"/>
              <w:jc w:val="center"/>
              <w:rPr>
                <w:rFonts w:ascii="Times New Roman" w:hAnsi="Times New Roman" w:cs="Times New Roman" w:eastAsia="Times New Roman" w:hint="default"/>
                <w:sz w:val="18"/>
                <w:szCs w:val="18"/>
              </w:rPr>
            </w:pPr>
            <w:r>
              <w:rPr>
                <w:rFonts w:ascii="Times New Roman"/>
                <w:sz w:val="18"/>
              </w:rPr>
              <w:t>,948.34</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766,734</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,449.12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83,996,66</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4.94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10.96%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682,737,78</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4.18</w:t>
            </w:r>
          </w:p>
        </w:tc>
      </w:tr>
      <w:tr>
        <w:trPr>
          <w:trHeight w:val="161" w:hRule="exact"/>
        </w:trPr>
        <w:tc>
          <w:tcPr>
            <w:tcW w:w="1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1,149,33</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0,770.82</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75" w:right="0"/>
              <w:jc w:val="center"/>
              <w:rPr>
                <w:rFonts w:ascii="Times New Roman" w:hAnsi="Times New Roman" w:cs="Times New Roman" w:eastAsia="Times New Roman" w:hint="default"/>
                <w:sz w:val="18"/>
                <w:szCs w:val="18"/>
              </w:rPr>
            </w:pPr>
            <w:r>
              <w:rPr>
                <w:rFonts w:ascii="Times New Roman"/>
                <w:sz w:val="18"/>
              </w:rPr>
              <w:t>124,632,</w:t>
            </w:r>
          </w:p>
          <w:p>
            <w:pPr>
              <w:pStyle w:val="TableParagraph"/>
              <w:spacing w:line="240" w:lineRule="auto" w:before="102"/>
              <w:ind w:left="211" w:right="0"/>
              <w:jc w:val="center"/>
              <w:rPr>
                <w:rFonts w:ascii="Times New Roman" w:hAnsi="Times New Roman" w:cs="Times New Roman" w:eastAsia="Times New Roman" w:hint="default"/>
                <w:sz w:val="18"/>
                <w:szCs w:val="18"/>
              </w:rPr>
            </w:pPr>
            <w:r>
              <w:rPr>
                <w:rFonts w:ascii="Times New Roman"/>
                <w:sz w:val="18"/>
              </w:rPr>
              <w:t>822.48</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10.84%</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14" w:right="0"/>
              <w:jc w:val="center"/>
              <w:rPr>
                <w:rFonts w:ascii="Times New Roman" w:hAnsi="Times New Roman" w:cs="Times New Roman" w:eastAsia="Times New Roman" w:hint="default"/>
                <w:sz w:val="18"/>
                <w:szCs w:val="18"/>
              </w:rPr>
            </w:pPr>
            <w:r>
              <w:rPr>
                <w:rFonts w:ascii="Times New Roman"/>
                <w:sz w:val="18"/>
              </w:rPr>
              <w:t>1,024,697</w:t>
            </w:r>
          </w:p>
          <w:p>
            <w:pPr>
              <w:pStyle w:val="TableParagraph"/>
              <w:spacing w:line="240" w:lineRule="auto" w:before="102"/>
              <w:ind w:left="194" w:right="0"/>
              <w:jc w:val="center"/>
              <w:rPr>
                <w:rFonts w:ascii="Times New Roman" w:hAnsi="Times New Roman" w:cs="Times New Roman" w:eastAsia="Times New Roman" w:hint="default"/>
                <w:sz w:val="18"/>
                <w:szCs w:val="18"/>
              </w:rPr>
            </w:pPr>
            <w:r>
              <w:rPr>
                <w:rFonts w:ascii="Times New Roman"/>
                <w:sz w:val="18"/>
              </w:rPr>
              <w:t>,948.34</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766,734</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,449.12</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83,996,66</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4.94</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10.96%</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682,737,78</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4.18</w:t>
            </w:r>
          </w:p>
        </w:tc>
      </w:tr>
      <w:tr>
        <w:trPr>
          <w:trHeight w:val="391" w:hRule="exact"/>
        </w:trPr>
        <w:tc>
          <w:tcPr>
            <w:tcW w:w="1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5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组合中，按账龄分析法计提坏账准备的应收账款：</w:t>
      </w:r>
    </w:p>
    <w:p>
      <w:pPr>
        <w:spacing w:before="43"/>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293" w:space="4536"/>
            <w:col w:w="1121"/>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5"/>
        <w:gridCol w:w="2398"/>
        <w:gridCol w:w="2393"/>
        <w:gridCol w:w="2393"/>
      </w:tblGrid>
      <w:tr>
        <w:trPr>
          <w:trHeight w:val="206" w:hRule="exact"/>
        </w:trPr>
        <w:tc>
          <w:tcPr>
            <w:tcW w:w="23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6"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3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账龄</w:t>
            </w:r>
          </w:p>
        </w:tc>
        <w:tc>
          <w:tcPr>
            <w:tcW w:w="7184"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75" w:type="dxa"/>
            <w:vMerge/>
            <w:tcBorders>
              <w:left w:val="single" w:sz="4" w:space="0" w:color="000000"/>
              <w:bottom w:val="nil" w:sz="6" w:space="0" w:color="auto"/>
              <w:right w:val="single" w:sz="4" w:space="0" w:color="000000"/>
            </w:tcBorders>
            <w:shd w:val="clear" w:color="auto" w:fill="D2D2D2"/>
          </w:tcPr>
          <w:p>
            <w:pPr/>
          </w:p>
        </w:tc>
        <w:tc>
          <w:tcPr>
            <w:tcW w:w="23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6"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9" w:hRule="exact"/>
        </w:trPr>
        <w:tc>
          <w:tcPr>
            <w:tcW w:w="2375"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8"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9"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1"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736,348,825.31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36,817,441.26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w:t>
            </w:r>
          </w:p>
        </w:tc>
      </w:tr>
      <w:tr>
        <w:trPr>
          <w:trHeight w:val="403"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248,859,501.51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24,885,950.15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71,269,965.15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21,380,989.55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30.00%</w:t>
            </w:r>
          </w:p>
        </w:tc>
      </w:tr>
      <w:tr>
        <w:trPr>
          <w:trHeight w:val="403"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32,845,604.72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16,422,802.37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14,079,111.23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11,263,288.99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3"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13,862,350.16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13,862,350.16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1,117,265,358.08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124,632,822.48</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49"/>
        <w:ind w:left="152" w:right="545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after="0" w:line="360" w:lineRule="auto"/>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10"/>
        <w:rPr>
          <w:rFonts w:ascii="宋体" w:hAnsi="宋体" w:cs="宋体" w:eastAsia="宋体" w:hint="default"/>
          <w:sz w:val="25"/>
          <w:szCs w:val="25"/>
        </w:rPr>
      </w:pPr>
    </w:p>
    <w:p>
      <w:pPr>
        <w:spacing w:line="340" w:lineRule="auto" w:before="44"/>
        <w:ind w:left="152" w:right="58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组合中，采用其他方法计提坏账准备的应收账款：</w:t>
      </w:r>
    </w:p>
    <w:p>
      <w:pPr>
        <w:spacing w:line="240" w:lineRule="auto" w:before="5"/>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3087"/>
        <w:gridCol w:w="2268"/>
        <w:gridCol w:w="1985"/>
        <w:gridCol w:w="1875"/>
      </w:tblGrid>
      <w:tr>
        <w:trPr>
          <w:trHeight w:val="355" w:hRule="exact"/>
        </w:trPr>
        <w:tc>
          <w:tcPr>
            <w:tcW w:w="3087" w:type="dxa"/>
            <w:vMerge w:val="restart"/>
            <w:tcBorders>
              <w:top w:val="single" w:sz="6" w:space="0" w:color="000000"/>
              <w:left w:val="single" w:sz="6" w:space="0" w:color="000000"/>
              <w:right w:val="single" w:sz="6"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6128" w:type="dxa"/>
            <w:gridSpan w:val="3"/>
            <w:tcBorders>
              <w:top w:val="single" w:sz="6" w:space="0" w:color="000000"/>
              <w:left w:val="single" w:sz="6" w:space="0" w:color="000000"/>
              <w:bottom w:val="single" w:sz="12" w:space="0" w:color="000000"/>
              <w:right w:val="single" w:sz="4"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年末余额</w:t>
            </w:r>
          </w:p>
        </w:tc>
      </w:tr>
      <w:tr>
        <w:trPr>
          <w:trHeight w:val="353" w:hRule="exact"/>
        </w:trPr>
        <w:tc>
          <w:tcPr>
            <w:tcW w:w="3087" w:type="dxa"/>
            <w:vMerge/>
            <w:tcBorders>
              <w:left w:val="single" w:sz="6" w:space="0" w:color="000000"/>
              <w:bottom w:val="single" w:sz="12" w:space="0" w:color="000000"/>
              <w:right w:val="single" w:sz="6" w:space="0" w:color="000000"/>
            </w:tcBorders>
          </w:tcPr>
          <w:p>
            <w:pPr/>
          </w:p>
        </w:tc>
        <w:tc>
          <w:tcPr>
            <w:tcW w:w="2268"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70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56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875" w:type="dxa"/>
            <w:tcBorders>
              <w:top w:val="single" w:sz="12" w:space="0" w:color="000000"/>
              <w:left w:val="single" w:sz="6" w:space="0" w:color="000000"/>
              <w:bottom w:val="single" w:sz="12" w:space="0" w:color="000000"/>
              <w:right w:val="single" w:sz="4" w:space="0" w:color="000000"/>
            </w:tcBorders>
          </w:tcPr>
          <w:p>
            <w:pPr>
              <w:pStyle w:val="TableParagraph"/>
              <w:spacing w:line="278" w:lineRule="exact"/>
              <w:ind w:left="213"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50" w:hRule="exact"/>
        </w:trPr>
        <w:tc>
          <w:tcPr>
            <w:tcW w:w="3087"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sz w:val="21"/>
                <w:szCs w:val="21"/>
              </w:rPr>
              <w:t>关联方组合</w:t>
            </w:r>
          </w:p>
        </w:tc>
        <w:tc>
          <w:tcPr>
            <w:tcW w:w="22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3"/>
              <w:jc w:val="right"/>
              <w:rPr>
                <w:rFonts w:ascii="Times New Roman" w:hAnsi="Times New Roman" w:cs="Times New Roman" w:eastAsia="Times New Roman" w:hint="default"/>
                <w:sz w:val="21"/>
                <w:szCs w:val="21"/>
              </w:rPr>
            </w:pPr>
            <w:r>
              <w:rPr>
                <w:rFonts w:ascii="Times New Roman"/>
                <w:spacing w:val="-1"/>
                <w:sz w:val="21"/>
              </w:rPr>
              <w:t>32,065,412.74</w:t>
            </w:r>
          </w:p>
        </w:tc>
        <w:tc>
          <w:tcPr>
            <w:tcW w:w="1985" w:type="dxa"/>
            <w:tcBorders>
              <w:top w:val="single" w:sz="12" w:space="0" w:color="000000"/>
              <w:left w:val="single" w:sz="6" w:space="0" w:color="000000"/>
              <w:bottom w:val="single" w:sz="12" w:space="0" w:color="000000"/>
              <w:right w:val="single" w:sz="6" w:space="0" w:color="000000"/>
            </w:tcBorders>
          </w:tcPr>
          <w:p>
            <w:pPr/>
          </w:p>
        </w:tc>
        <w:tc>
          <w:tcPr>
            <w:tcW w:w="1875" w:type="dxa"/>
            <w:tcBorders>
              <w:top w:val="single" w:sz="12" w:space="0" w:color="000000"/>
              <w:left w:val="single" w:sz="6" w:space="0" w:color="000000"/>
              <w:bottom w:val="single" w:sz="12" w:space="0" w:color="000000"/>
              <w:right w:val="single" w:sz="4" w:space="0" w:color="000000"/>
            </w:tcBorders>
          </w:tcPr>
          <w:p>
            <w:pPr/>
          </w:p>
        </w:tc>
      </w:tr>
      <w:tr>
        <w:trPr>
          <w:trHeight w:val="353" w:hRule="exact"/>
        </w:trPr>
        <w:tc>
          <w:tcPr>
            <w:tcW w:w="3087"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65"/>
                <w:sz w:val="21"/>
                <w:szCs w:val="21"/>
              </w:rPr>
              <w:t> </w:t>
            </w:r>
            <w:r>
              <w:rPr>
                <w:rFonts w:ascii="宋体" w:hAnsi="宋体" w:cs="宋体" w:eastAsia="宋体" w:hint="default"/>
                <w:sz w:val="21"/>
                <w:szCs w:val="21"/>
              </w:rPr>
              <w:t>计</w:t>
            </w:r>
          </w:p>
        </w:tc>
        <w:tc>
          <w:tcPr>
            <w:tcW w:w="226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6"/>
              <w:ind w:right="-3"/>
              <w:jc w:val="right"/>
              <w:rPr>
                <w:rFonts w:ascii="Times New Roman" w:hAnsi="Times New Roman" w:cs="Times New Roman" w:eastAsia="Times New Roman" w:hint="default"/>
                <w:sz w:val="21"/>
                <w:szCs w:val="21"/>
              </w:rPr>
            </w:pPr>
            <w:r>
              <w:rPr>
                <w:rFonts w:ascii="Times New Roman"/>
                <w:spacing w:val="-1"/>
                <w:sz w:val="21"/>
              </w:rPr>
              <w:t>32,065,412.74</w:t>
            </w:r>
          </w:p>
        </w:tc>
        <w:tc>
          <w:tcPr>
            <w:tcW w:w="1985" w:type="dxa"/>
            <w:tcBorders>
              <w:top w:val="single" w:sz="12" w:space="0" w:color="000000"/>
              <w:left w:val="single" w:sz="6" w:space="0" w:color="000000"/>
              <w:bottom w:val="single" w:sz="12" w:space="0" w:color="000000"/>
              <w:right w:val="single" w:sz="6" w:space="0" w:color="000000"/>
            </w:tcBorders>
          </w:tcPr>
          <w:p>
            <w:pPr/>
          </w:p>
        </w:tc>
        <w:tc>
          <w:tcPr>
            <w:tcW w:w="1875" w:type="dxa"/>
            <w:tcBorders>
              <w:top w:val="single" w:sz="12" w:space="0" w:color="000000"/>
              <w:left w:val="single" w:sz="6" w:space="0" w:color="000000"/>
              <w:bottom w:val="single" w:sz="12"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）本期计提、收回或转回的坏账准备情况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40,636,157.54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）按欠款方归集的期末余额前五名的应收账款情况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671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7" w:lineRule="auto" w:before="58"/>
        <w:ind w:right="146" w:firstLine="480"/>
        <w:jc w:val="both"/>
      </w:pPr>
      <w:r>
        <w:rPr/>
        <w:t>本公司本年按欠款方归集的年末余额前五名应收账款汇总金额为</w:t>
      </w:r>
      <w:r>
        <w:rPr>
          <w:rFonts w:ascii="宋体" w:hAnsi="宋体" w:cs="宋体" w:eastAsia="宋体" w:hint="default"/>
        </w:rPr>
        <w:t>176,321,060.73</w:t>
      </w:r>
      <w:r>
        <w:rPr/>
        <w:t>元，占</w:t>
      </w:r>
      <w:r>
        <w:rPr>
          <w:spacing w:val="2"/>
        </w:rPr>
        <w:t> </w:t>
      </w:r>
      <w:r>
        <w:rPr>
          <w:spacing w:val="20"/>
        </w:rPr>
        <w:t>应收账款年末余额合计数的比例为</w:t>
      </w:r>
      <w:r>
        <w:rPr>
          <w:spacing w:val="-94"/>
        </w:rPr>
        <w:t> </w:t>
      </w:r>
      <w:r>
        <w:rPr>
          <w:rFonts w:ascii="宋体" w:hAnsi="宋体" w:cs="宋体" w:eastAsia="宋体" w:hint="default"/>
        </w:rPr>
        <w:t>15.34%</w:t>
      </w:r>
      <w:r>
        <w:rPr>
          <w:rFonts w:ascii="宋体" w:hAnsi="宋体" w:cs="宋体" w:eastAsia="宋体" w:hint="default"/>
          <w:spacing w:val="-93"/>
        </w:rPr>
        <w:t> </w:t>
      </w:r>
      <w:r>
        <w:rPr/>
        <w:t>，</w:t>
      </w:r>
      <w:r>
        <w:rPr>
          <w:spacing w:val="-97"/>
        </w:rPr>
        <w:t> </w:t>
      </w:r>
      <w:r>
        <w:rPr>
          <w:spacing w:val="20"/>
        </w:rPr>
        <w:t>相应计提的坏账准备年末余额汇总金额为</w:t>
      </w:r>
      <w:r>
        <w:rPr>
          <w:spacing w:val="-116"/>
        </w:rPr>
        <w:t> </w:t>
      </w:r>
      <w:r>
        <w:rPr>
          <w:spacing w:val="-116"/>
        </w:rPr>
      </w:r>
      <w:r>
        <w:rPr>
          <w:rFonts w:ascii="宋体" w:hAnsi="宋体" w:cs="宋体" w:eastAsia="宋体" w:hint="default"/>
        </w:rPr>
        <w:t>7,778,740.15</w:t>
      </w:r>
      <w:r>
        <w:rPr/>
        <w:t>元</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3"/>
        <w:gridCol w:w="1915"/>
        <w:gridCol w:w="1916"/>
      </w:tblGrid>
      <w:tr>
        <w:trPr>
          <w:trHeight w:val="204"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1"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41,500,261.33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82.27%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26,183,618.26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99.78%</w:t>
            </w: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8,929,146.15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3,800.00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3,800.00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0.17%</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50,443,207.48</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26,242,418.26</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pStyle w:val="BodyText"/>
        <w:spacing w:line="357" w:lineRule="auto" w:before="134"/>
        <w:ind w:right="153" w:firstLine="480"/>
        <w:jc w:val="left"/>
      </w:pPr>
      <w:r>
        <w:rPr/>
        <w:t>本公司预付赣州鼎伟数字科技有限公司项目设备采购款，由于相关项目未到结算期，至 今尚未办理款项结算，预付的采购款作为预付款项列报。</w:t>
      </w:r>
    </w:p>
    <w:p>
      <w:pPr>
        <w:spacing w:after="0" w:line="357"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）按预付对象归集的期末余额前五名的预付款情况</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44" w:firstLine="480"/>
        <w:jc w:val="left"/>
      </w:pPr>
      <w:r>
        <w:rPr>
          <w:spacing w:val="-2"/>
        </w:rPr>
        <w:t>本公司按预付对象归集的年末余额前五名预付账款汇总金额为</w:t>
      </w:r>
      <w:r>
        <w:rPr>
          <w:rFonts w:ascii="宋体" w:hAnsi="宋体" w:cs="宋体" w:eastAsia="宋体" w:hint="default"/>
          <w:spacing w:val="-2"/>
        </w:rPr>
        <w:t>47,361,286.85</w:t>
      </w:r>
      <w:r>
        <w:rPr>
          <w:spacing w:val="-2"/>
        </w:rPr>
        <w:t>元，占预付</w:t>
      </w:r>
      <w:r>
        <w:rPr/>
        <w:t> 账款年末余额合计数的比例为</w:t>
      </w:r>
      <w:r>
        <w:rPr>
          <w:rFonts w:ascii="宋体" w:hAnsi="宋体" w:cs="宋体" w:eastAsia="宋体" w:hint="default"/>
        </w:rPr>
        <w:t>93.89%</w:t>
      </w:r>
      <w:r>
        <w:rPr/>
        <w:t>。</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）其他应收款分类披露</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8"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155,013,</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533.58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3,989,67</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2.43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2.57%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151,023,8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61.15</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114,510</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,085.68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3,618,883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.22</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3.16%</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110,891,20</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2.46</w:t>
            </w: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155,013,</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533.58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3,989,67</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2.43</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2.57%</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151,023,8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61.15</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114,510</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,085.68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3,618,883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.22</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3.16%</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96" w:right="0"/>
              <w:jc w:val="left"/>
              <w:rPr>
                <w:rFonts w:ascii="Times New Roman" w:hAnsi="Times New Roman" w:cs="Times New Roman" w:eastAsia="Times New Roman" w:hint="default"/>
                <w:sz w:val="18"/>
                <w:szCs w:val="18"/>
              </w:rPr>
            </w:pPr>
            <w:r>
              <w:rPr>
                <w:rFonts w:ascii="Times New Roman"/>
                <w:sz w:val="18"/>
              </w:rPr>
              <w:t>110,891,20</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2.46</w:t>
            </w:r>
          </w:p>
        </w:tc>
      </w:tr>
      <w:tr>
        <w:trPr>
          <w:trHeight w:val="394"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40" w:lineRule="auto" w:before="115"/>
        <w:ind w:left="15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组合中，按账龄分析法计提坏账准备的其他应收款：</w:t>
      </w:r>
    </w:p>
    <w:p>
      <w:pPr>
        <w:spacing w:before="41"/>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473" w:space="4356"/>
            <w:col w:w="1121"/>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9"/>
        <w:gridCol w:w="2393"/>
        <w:gridCol w:w="2393"/>
        <w:gridCol w:w="2393"/>
      </w:tblGrid>
      <w:tr>
        <w:trPr>
          <w:trHeight w:val="206" w:hRule="exact"/>
        </w:trPr>
        <w:tc>
          <w:tcPr>
            <w:tcW w:w="2379"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37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9"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379"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79"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3"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1,662,739.86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83,136.99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5,029,537.20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502,953.72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181,116.00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90,558.00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3,313,023.72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3,313,023.72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10,186,416.78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3,989,672.43</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49"/>
        <w:ind w:left="152" w:right="527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40" w:lineRule="auto" w:before="29"/>
        <w:ind w:left="152" w:right="56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组合中，采用其他方法计提坏账准备的其他应收款：</w:t>
      </w:r>
    </w:p>
    <w:p>
      <w:pPr>
        <w:spacing w:before="39"/>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3087"/>
        <w:gridCol w:w="1985"/>
        <w:gridCol w:w="1985"/>
        <w:gridCol w:w="2158"/>
      </w:tblGrid>
      <w:tr>
        <w:trPr>
          <w:trHeight w:val="356" w:hRule="exact"/>
        </w:trPr>
        <w:tc>
          <w:tcPr>
            <w:tcW w:w="3087" w:type="dxa"/>
            <w:vMerge w:val="restart"/>
            <w:tcBorders>
              <w:top w:val="single" w:sz="6" w:space="0" w:color="000000"/>
              <w:left w:val="single" w:sz="6" w:space="0" w:color="000000"/>
              <w:right w:val="single" w:sz="6" w:space="0" w:color="000000"/>
            </w:tcBorders>
          </w:tcPr>
          <w:p>
            <w:pPr>
              <w:pStyle w:val="TableParagraph"/>
              <w:spacing w:line="272" w:lineRule="exact"/>
              <w:ind w:left="7" w:right="0"/>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6128" w:type="dxa"/>
            <w:gridSpan w:val="3"/>
            <w:tcBorders>
              <w:top w:val="single" w:sz="6" w:space="0" w:color="000000"/>
              <w:left w:val="single" w:sz="6" w:space="0" w:color="000000"/>
              <w:bottom w:val="single" w:sz="12"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年末余额</w:t>
            </w:r>
          </w:p>
        </w:tc>
      </w:tr>
      <w:tr>
        <w:trPr>
          <w:trHeight w:val="350" w:hRule="exact"/>
        </w:trPr>
        <w:tc>
          <w:tcPr>
            <w:tcW w:w="3087" w:type="dxa"/>
            <w:vMerge/>
            <w:tcBorders>
              <w:left w:val="single" w:sz="6" w:space="0" w:color="000000"/>
              <w:bottom w:val="single" w:sz="12" w:space="0" w:color="000000"/>
              <w:right w:val="single" w:sz="6" w:space="0" w:color="000000"/>
            </w:tcBorders>
          </w:tcPr>
          <w:p>
            <w:pP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6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56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158" w:type="dxa"/>
            <w:tcBorders>
              <w:top w:val="single" w:sz="12" w:space="0" w:color="000000"/>
              <w:left w:val="single" w:sz="6" w:space="0" w:color="000000"/>
              <w:bottom w:val="single" w:sz="12" w:space="0" w:color="000000"/>
              <w:right w:val="single" w:sz="4" w:space="0" w:color="000000"/>
            </w:tcBorders>
          </w:tcPr>
          <w:p>
            <w:pPr>
              <w:pStyle w:val="TableParagraph"/>
              <w:spacing w:line="278" w:lineRule="exact"/>
              <w:ind w:left="352"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53" w:hRule="exact"/>
        </w:trPr>
        <w:tc>
          <w:tcPr>
            <w:tcW w:w="3087"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4" w:right="0"/>
              <w:jc w:val="left"/>
              <w:rPr>
                <w:rFonts w:ascii="宋体" w:hAnsi="宋体" w:cs="宋体" w:eastAsia="宋体" w:hint="default"/>
                <w:sz w:val="21"/>
                <w:szCs w:val="21"/>
              </w:rPr>
            </w:pPr>
            <w:r>
              <w:rPr>
                <w:rFonts w:ascii="宋体" w:hAnsi="宋体" w:cs="宋体" w:eastAsia="宋体" w:hint="default"/>
                <w:sz w:val="21"/>
                <w:szCs w:val="21"/>
              </w:rPr>
              <w:t>关联方组合</w:t>
            </w: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6"/>
              <w:ind w:right="-1"/>
              <w:jc w:val="right"/>
              <w:rPr>
                <w:rFonts w:ascii="Times New Roman" w:hAnsi="Times New Roman" w:cs="Times New Roman" w:eastAsia="Times New Roman" w:hint="default"/>
                <w:sz w:val="21"/>
                <w:szCs w:val="21"/>
              </w:rPr>
            </w:pPr>
            <w:r>
              <w:rPr>
                <w:rFonts w:ascii="Times New Roman"/>
                <w:spacing w:val="-1"/>
                <w:sz w:val="21"/>
              </w:rPr>
              <w:t>1,253,580.33</w:t>
            </w:r>
          </w:p>
        </w:tc>
        <w:tc>
          <w:tcPr>
            <w:tcW w:w="1985" w:type="dxa"/>
            <w:tcBorders>
              <w:top w:val="single" w:sz="12" w:space="0" w:color="000000"/>
              <w:left w:val="single" w:sz="6" w:space="0" w:color="000000"/>
              <w:bottom w:val="single" w:sz="12" w:space="0" w:color="000000"/>
              <w:right w:val="single" w:sz="6" w:space="0" w:color="000000"/>
            </w:tcBorders>
          </w:tcPr>
          <w:p>
            <w:pPr/>
          </w:p>
        </w:tc>
        <w:tc>
          <w:tcPr>
            <w:tcW w:w="2158" w:type="dxa"/>
            <w:tcBorders>
              <w:top w:val="single" w:sz="12" w:space="0" w:color="000000"/>
              <w:left w:val="single" w:sz="6" w:space="0" w:color="000000"/>
              <w:bottom w:val="single" w:sz="12" w:space="0" w:color="000000"/>
              <w:right w:val="single" w:sz="4" w:space="0" w:color="000000"/>
            </w:tcBorders>
          </w:tcPr>
          <w:p>
            <w:pPr/>
          </w:p>
        </w:tc>
      </w:tr>
      <w:tr>
        <w:trPr>
          <w:trHeight w:val="353" w:hRule="exact"/>
        </w:trPr>
        <w:tc>
          <w:tcPr>
            <w:tcW w:w="3087"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sz w:val="21"/>
                <w:szCs w:val="21"/>
              </w:rPr>
              <w:t>保证金、押金及备用金组合</w:t>
            </w: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143,573,536.47</w:t>
            </w:r>
          </w:p>
        </w:tc>
        <w:tc>
          <w:tcPr>
            <w:tcW w:w="1985" w:type="dxa"/>
            <w:tcBorders>
              <w:top w:val="single" w:sz="12" w:space="0" w:color="000000"/>
              <w:left w:val="single" w:sz="6" w:space="0" w:color="000000"/>
              <w:bottom w:val="single" w:sz="12" w:space="0" w:color="000000"/>
              <w:right w:val="single" w:sz="6" w:space="0" w:color="000000"/>
            </w:tcBorders>
          </w:tcPr>
          <w:p>
            <w:pPr/>
          </w:p>
        </w:tc>
        <w:tc>
          <w:tcPr>
            <w:tcW w:w="2158" w:type="dxa"/>
            <w:tcBorders>
              <w:top w:val="single" w:sz="12" w:space="0" w:color="000000"/>
              <w:left w:val="single" w:sz="6" w:space="0" w:color="000000"/>
              <w:bottom w:val="single" w:sz="12" w:space="0" w:color="000000"/>
              <w:right w:val="single" w:sz="4" w:space="0" w:color="000000"/>
            </w:tcBorders>
          </w:tcPr>
          <w:p>
            <w:pPr/>
          </w:p>
        </w:tc>
      </w:tr>
      <w:tr>
        <w:trPr>
          <w:trHeight w:val="353" w:hRule="exact"/>
        </w:trPr>
        <w:tc>
          <w:tcPr>
            <w:tcW w:w="3087"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65"/>
                <w:sz w:val="21"/>
                <w:szCs w:val="21"/>
              </w:rPr>
              <w:t> </w:t>
            </w:r>
            <w:r>
              <w:rPr>
                <w:rFonts w:ascii="宋体" w:hAnsi="宋体" w:cs="宋体" w:eastAsia="宋体" w:hint="default"/>
                <w:sz w:val="21"/>
                <w:szCs w:val="21"/>
              </w:rPr>
              <w:t>计</w:t>
            </w:r>
          </w:p>
        </w:tc>
        <w:tc>
          <w:tcPr>
            <w:tcW w:w="198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3"/>
              <w:jc w:val="right"/>
              <w:rPr>
                <w:rFonts w:ascii="Times New Roman" w:hAnsi="Times New Roman" w:cs="Times New Roman" w:eastAsia="Times New Roman" w:hint="default"/>
                <w:sz w:val="21"/>
                <w:szCs w:val="21"/>
              </w:rPr>
            </w:pPr>
            <w:r>
              <w:rPr>
                <w:rFonts w:ascii="Times New Roman"/>
                <w:spacing w:val="-1"/>
                <w:sz w:val="21"/>
              </w:rPr>
              <w:t>144,827,116.80</w:t>
            </w:r>
          </w:p>
        </w:tc>
        <w:tc>
          <w:tcPr>
            <w:tcW w:w="1985" w:type="dxa"/>
            <w:tcBorders>
              <w:top w:val="single" w:sz="12" w:space="0" w:color="000000"/>
              <w:left w:val="single" w:sz="6" w:space="0" w:color="000000"/>
              <w:bottom w:val="single" w:sz="12" w:space="0" w:color="000000"/>
              <w:right w:val="single" w:sz="6" w:space="0" w:color="000000"/>
            </w:tcBorders>
          </w:tcPr>
          <w:p>
            <w:pPr/>
          </w:p>
        </w:tc>
        <w:tc>
          <w:tcPr>
            <w:tcW w:w="2158" w:type="dxa"/>
            <w:tcBorders>
              <w:top w:val="single" w:sz="12" w:space="0" w:color="000000"/>
              <w:left w:val="single" w:sz="6" w:space="0" w:color="000000"/>
              <w:bottom w:val="single" w:sz="12"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）本期计提、收回或转回的坏账准备情况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370,789.21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 </w:t>
      </w:r>
      <w:r>
        <w:rPr>
          <w:rFonts w:ascii="宋体" w:hAnsi="宋体" w:cs="宋体" w:eastAsia="宋体" w:hint="default"/>
          <w:sz w:val="18"/>
          <w:szCs w:val="18"/>
        </w:rPr>
        <w:t>元。</w:t>
      </w:r>
    </w:p>
    <w:p>
      <w:pPr>
        <w:spacing w:line="240" w:lineRule="auto" w:before="3"/>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）其他应收款按款项性质分类情况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押金、备用金、保证金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143,573,536.47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105,985,452.03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2"/>
                <w:sz w:val="18"/>
              </w:rPr>
              <w:t>11,439,997.11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8,524,633.65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155,013,533.58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114,510,085.68</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）按欠款方归集的期末余额前五名的其他应收款情况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6"/>
        <w:gridCol w:w="1594"/>
        <w:gridCol w:w="1594"/>
        <w:gridCol w:w="1596"/>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7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商城县财政支付中 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1.55%</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保定金迪企业发展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2,240,233.80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2,240,233.80</w:t>
            </w:r>
          </w:p>
        </w:tc>
      </w:tr>
      <w:tr>
        <w:trPr>
          <w:trHeight w:val="71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洛阳市城市监察管 理局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2,171,927.00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1.40%</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合肥时代智慧高新 投资管理有限公司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1,868,830.00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1.21%</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北京中关村软件园 发展有限责任公司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1,822,057.52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1.18%</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10,503,048.32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2,240,233.80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6534" w:firstLine="0"/>
        <w:jc w:val="left"/>
        <w:rPr>
          <w:rFonts w:ascii="宋体" w:hAnsi="宋体" w:cs="宋体" w:eastAsia="宋体" w:hint="default"/>
          <w:sz w:val="18"/>
          <w:szCs w:val="18"/>
        </w:rPr>
      </w:pPr>
      <w:r>
        <w:rPr>
          <w:rFonts w:ascii="宋体" w:hAnsi="宋体" w:cs="宋体" w:eastAsia="宋体" w:hint="default"/>
          <w:sz w:val="18"/>
          <w:szCs w:val="18"/>
        </w:rPr>
        <w:t>公司是否需要遵守房地产行业的披露要求 否</w:t>
      </w:r>
    </w:p>
    <w:p>
      <w:pPr>
        <w:spacing w:after="0" w:line="36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8"/>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9,881,530.87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9,881,530.87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27,770,722.91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27,770,722.91</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161,983,709.35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161,983,709.35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128,410,858.66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128,410,858.66</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12,418,574.71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12,418,574.71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12,388,502.52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12,388,502.52</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1,446,783.81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1,446,783.81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60,648.52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60,648.52</w:t>
            </w:r>
          </w:p>
        </w:tc>
      </w:tr>
      <w:tr>
        <w:trPr>
          <w:trHeight w:val="40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185,730,598.74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185,730,598.74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168,630,732.61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168,630,732.61</w:t>
            </w:r>
          </w:p>
        </w:tc>
      </w:tr>
    </w:tbl>
    <w:p>
      <w:pPr>
        <w:spacing w:line="338" w:lineRule="auto" w:before="49"/>
        <w:ind w:left="152" w:right="149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上市公司从事种业、种植业务》的披露要求 否</w:t>
      </w:r>
    </w:p>
    <w:p>
      <w:pPr>
        <w:spacing w:line="340" w:lineRule="auto" w:before="43"/>
        <w:ind w:left="152" w:right="59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40" w:lineRule="auto" w:before="39"/>
        <w:ind w:left="152" w:right="77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line="240" w:lineRule="auto" w:before="5"/>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8"/>
        <w:gridCol w:w="1366"/>
        <w:gridCol w:w="1368"/>
        <w:gridCol w:w="1366"/>
        <w:gridCol w:w="1368"/>
      </w:tblGrid>
      <w:tr>
        <w:trPr>
          <w:trHeight w:val="403" w:hRule="exact"/>
        </w:trPr>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367"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、一年内到期的非流动资产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46,315,598.92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52,402,548.77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46,315,598.92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52,402,548.77</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5,554,722.87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12,013,536.36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预缴税金</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145.63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5,554,722.87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12,013,681.99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、可供出售金融资产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）可供出售金融资产情况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89"/>
        <w:gridCol w:w="1195"/>
        <w:gridCol w:w="1198"/>
        <w:gridCol w:w="1196"/>
        <w:gridCol w:w="1248"/>
        <w:gridCol w:w="1369"/>
        <w:gridCol w:w="1366"/>
      </w:tblGrid>
      <w:tr>
        <w:trPr>
          <w:trHeight w:val="206"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9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8"/>
              <w:jc w:val="center"/>
              <w:rPr>
                <w:rFonts w:ascii="宋体" w:hAnsi="宋体" w:cs="宋体" w:eastAsia="宋体" w:hint="default"/>
                <w:sz w:val="18"/>
                <w:szCs w:val="18"/>
              </w:rPr>
            </w:pPr>
            <w:r>
              <w:rPr>
                <w:rFonts w:ascii="宋体" w:hAnsi="宋体" w:cs="宋体" w:eastAsia="宋体" w:hint="default"/>
                <w:sz w:val="18"/>
                <w:szCs w:val="18"/>
              </w:rPr>
              <w:t>项目</w:t>
            </w:r>
          </w:p>
        </w:tc>
        <w:tc>
          <w:tcPr>
            <w:tcW w:w="3588"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89"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r>
      <w:tr>
        <w:trPr>
          <w:trHeight w:val="404"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r>
      <w:tr>
        <w:trPr>
          <w:trHeight w:val="401"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15,020,000.00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）期末按成本计量的可供出售金融资产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1"/>
        <w:gridCol w:w="869"/>
        <w:gridCol w:w="872"/>
        <w:gridCol w:w="869"/>
        <w:gridCol w:w="871"/>
      </w:tblGrid>
      <w:tr>
        <w:trPr>
          <w:trHeight w:val="401" w:hRule="exact"/>
        </w:trPr>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336"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69" w:right="67"/>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49" w:right="71"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4" w:type="dxa"/>
            <w:vMerge/>
            <w:tcBorders>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7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期末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vMerge/>
            <w:tcBorders>
              <w:left w:val="single" w:sz="4" w:space="0" w:color="000000"/>
              <w:bottom w:val="single" w:sz="4" w:space="0" w:color="000000"/>
              <w:right w:val="single" w:sz="4" w:space="0" w:color="000000"/>
            </w:tcBorders>
            <w:shd w:val="clear" w:color="auto" w:fill="D2D2D2"/>
          </w:tcPr>
          <w:p>
            <w:pPr/>
          </w:p>
        </w:tc>
        <w:tc>
          <w:tcPr>
            <w:tcW w:w="871" w:type="dxa"/>
            <w:vMerge/>
            <w:tcBorders>
              <w:left w:val="single" w:sz="4" w:space="0" w:color="000000"/>
              <w:bottom w:val="single" w:sz="4" w:space="0" w:color="000000"/>
              <w:right w:val="single" w:sz="4" w:space="0" w:color="000000"/>
            </w:tcBorders>
            <w:shd w:val="clear" w:color="auto" w:fill="D2D2D2"/>
          </w:tcPr>
          <w:p>
            <w:pPr/>
          </w:p>
        </w:tc>
      </w:tr>
      <w:tr>
        <w:trPr>
          <w:trHeight w:val="102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重庆小爱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13.30%</w:t>
            </w:r>
          </w:p>
        </w:tc>
        <w:tc>
          <w:tcPr>
            <w:tcW w:w="871"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北京天健 源达科技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12,000,000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5.81%</w:t>
            </w:r>
          </w:p>
        </w:tc>
        <w:tc>
          <w:tcPr>
            <w:tcW w:w="871"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保定市市 区农村信 用合作联 社</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20,000.00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20,000.00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3,000.00</w:t>
            </w:r>
          </w:p>
        </w:tc>
      </w:tr>
      <w:tr>
        <w:trPr>
          <w:trHeight w:val="713"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43,020,000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3,000.00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、长期应收款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）长期应收款情况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04"/>
        <w:gridCol w:w="1166"/>
        <w:gridCol w:w="1167"/>
        <w:gridCol w:w="1168"/>
        <w:gridCol w:w="1168"/>
        <w:gridCol w:w="1166"/>
        <w:gridCol w:w="1167"/>
        <w:gridCol w:w="1164"/>
      </w:tblGrid>
      <w:tr>
        <w:trPr>
          <w:trHeight w:val="206" w:hRule="exact"/>
        </w:trPr>
        <w:tc>
          <w:tcPr>
            <w:tcW w:w="1404" w:type="dxa"/>
            <w:tcBorders>
              <w:top w:val="single" w:sz="4" w:space="0" w:color="000000"/>
              <w:left w:val="single" w:sz="4" w:space="0" w:color="000000"/>
              <w:bottom w:val="nil" w:sz="6" w:space="0" w:color="auto"/>
              <w:right w:val="single" w:sz="4" w:space="0" w:color="000000"/>
            </w:tcBorders>
            <w:shd w:val="clear" w:color="auto" w:fill="D2D2D2"/>
          </w:tcPr>
          <w:p>
            <w:pPr/>
          </w:p>
        </w:tc>
        <w:tc>
          <w:tcPr>
            <w:tcW w:w="350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192" w:hRule="exact"/>
        </w:trPr>
        <w:tc>
          <w:tcPr>
            <w:tcW w:w="140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501" w:type="dxa"/>
            <w:gridSpan w:val="3"/>
            <w:vMerge/>
            <w:tcBorders>
              <w:left w:val="single" w:sz="4" w:space="0" w:color="000000"/>
              <w:bottom w:val="single" w:sz="4" w:space="0" w:color="000000"/>
              <w:right w:val="single" w:sz="4" w:space="0" w:color="000000"/>
            </w:tcBorders>
            <w:shd w:val="clear" w:color="auto" w:fill="D2D2D2"/>
          </w:tcPr>
          <w:p>
            <w:pPr/>
          </w:p>
        </w:tc>
        <w:tc>
          <w:tcPr>
            <w:tcW w:w="3502" w:type="dxa"/>
            <w:gridSpan w:val="3"/>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right w:val="single" w:sz="4" w:space="0" w:color="000000"/>
            </w:tcBorders>
            <w:shd w:val="clear" w:color="auto" w:fill="D2D2D2"/>
          </w:tcPr>
          <w:p>
            <w:pPr/>
          </w:p>
        </w:tc>
      </w:tr>
      <w:tr>
        <w:trPr>
          <w:trHeight w:val="199" w:hRule="exact"/>
        </w:trPr>
        <w:tc>
          <w:tcPr>
            <w:tcW w:w="1404" w:type="dxa"/>
            <w:vMerge/>
            <w:tcBorders>
              <w:left w:val="single" w:sz="4" w:space="0" w:color="000000"/>
              <w:bottom w:val="nil" w:sz="6" w:space="0" w:color="auto"/>
              <w:right w:val="single" w:sz="4" w:space="0" w:color="000000"/>
            </w:tcBorders>
            <w:shd w:val="clear" w:color="auto" w:fill="D2D2D2"/>
          </w:tcPr>
          <w:p>
            <w:pP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4" w:type="dxa"/>
            <w:vMerge/>
            <w:tcBorders>
              <w:left w:val="single" w:sz="4" w:space="0" w:color="000000"/>
              <w:right w:val="single" w:sz="4" w:space="0" w:color="000000"/>
            </w:tcBorders>
            <w:shd w:val="clear" w:color="auto" w:fill="D2D2D2"/>
          </w:tcPr>
          <w:p>
            <w:pPr/>
          </w:p>
        </w:tc>
      </w:tr>
      <w:tr>
        <w:trPr>
          <w:trHeight w:val="207" w:hRule="exact"/>
        </w:trPr>
        <w:tc>
          <w:tcPr>
            <w:tcW w:w="14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7" w:type="dxa"/>
            <w:vMerge/>
            <w:tcBorders>
              <w:left w:val="single" w:sz="4" w:space="0" w:color="000000"/>
              <w:bottom w:val="single" w:sz="4" w:space="0" w:color="000000"/>
              <w:right w:val="single" w:sz="4" w:space="0" w:color="000000"/>
            </w:tcBorders>
            <w:shd w:val="clear" w:color="auto" w:fill="D2D2D2"/>
          </w:tcPr>
          <w:p>
            <w:pPr/>
          </w:p>
        </w:tc>
        <w:tc>
          <w:tcPr>
            <w:tcW w:w="1168" w:type="dxa"/>
            <w:vMerge/>
            <w:tcBorders>
              <w:left w:val="single" w:sz="4" w:space="0" w:color="000000"/>
              <w:bottom w:val="single" w:sz="4" w:space="0" w:color="000000"/>
              <w:right w:val="single" w:sz="4" w:space="0" w:color="000000"/>
            </w:tcBorders>
            <w:shd w:val="clear" w:color="auto" w:fill="D2D2D2"/>
          </w:tcPr>
          <w:p>
            <w:pPr/>
          </w:p>
        </w:tc>
        <w:tc>
          <w:tcPr>
            <w:tcW w:w="1168" w:type="dxa"/>
            <w:vMerge/>
            <w:tcBorders>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7" w:type="dxa"/>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分期收款销售商</w:t>
            </w:r>
          </w:p>
        </w:tc>
        <w:tc>
          <w:tcPr>
            <w:tcW w:w="11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2"/>
              <w:ind w:left="88" w:right="0"/>
              <w:jc w:val="left"/>
              <w:rPr>
                <w:rFonts w:ascii="Times New Roman" w:hAnsi="Times New Roman" w:cs="Times New Roman" w:eastAsia="Times New Roman" w:hint="default"/>
                <w:sz w:val="18"/>
                <w:szCs w:val="18"/>
              </w:rPr>
            </w:pPr>
            <w:r>
              <w:rPr>
                <w:rFonts w:ascii="Times New Roman"/>
                <w:sz w:val="18"/>
              </w:rPr>
              <w:t>107,204,595.8</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0" w:right="0"/>
              <w:jc w:val="left"/>
              <w:rPr>
                <w:rFonts w:ascii="Times New Roman" w:hAnsi="Times New Roman" w:cs="Times New Roman" w:eastAsia="Times New Roman" w:hint="default"/>
                <w:sz w:val="18"/>
                <w:szCs w:val="18"/>
              </w:rPr>
            </w:pPr>
            <w:r>
              <w:rPr>
                <w:rFonts w:ascii="Times New Roman"/>
                <w:sz w:val="18"/>
              </w:rPr>
              <w:t>107,204,595.8</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99" w:right="0"/>
              <w:jc w:val="left"/>
              <w:rPr>
                <w:rFonts w:ascii="Times New Roman" w:hAnsi="Times New Roman" w:cs="Times New Roman" w:eastAsia="Times New Roman" w:hint="default"/>
                <w:sz w:val="18"/>
                <w:szCs w:val="18"/>
              </w:rPr>
            </w:pPr>
            <w:r>
              <w:rPr>
                <w:rFonts w:ascii="Times New Roman"/>
                <w:sz w:val="18"/>
              </w:rPr>
              <w:t>150,009,656.2</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98" w:right="0"/>
              <w:jc w:val="left"/>
              <w:rPr>
                <w:rFonts w:ascii="Times New Roman" w:hAnsi="Times New Roman" w:cs="Times New Roman" w:eastAsia="Times New Roman" w:hint="default"/>
                <w:sz w:val="18"/>
                <w:szCs w:val="18"/>
              </w:rPr>
            </w:pPr>
            <w:r>
              <w:rPr>
                <w:rFonts w:ascii="Times New Roman"/>
                <w:sz w:val="18"/>
              </w:rPr>
              <w:t>150,009,656.2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4.75%-6.00%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04"/>
        <w:gridCol w:w="1166"/>
        <w:gridCol w:w="1167"/>
        <w:gridCol w:w="1166"/>
        <w:gridCol w:w="1169"/>
        <w:gridCol w:w="1166"/>
        <w:gridCol w:w="1167"/>
        <w:gridCol w:w="1164"/>
      </w:tblGrid>
      <w:tr>
        <w:trPr>
          <w:trHeight w:val="363" w:hRule="exact"/>
        </w:trPr>
        <w:tc>
          <w:tcPr>
            <w:tcW w:w="1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品</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5</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减：一年内到期 部分</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-46,315,598.92</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-46,315,598.92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-52,402,548.77</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-52,402,548.77</w:t>
            </w:r>
          </w:p>
        </w:tc>
        <w:tc>
          <w:tcPr>
            <w:tcW w:w="116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60,888,996.95</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60,888,996.95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97,607,107.48</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97,607,107.48</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799"/>
        <w:gridCol w:w="797"/>
      </w:tblGrid>
      <w:tr>
        <w:trPr>
          <w:trHeight w:val="403"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302" w:right="32"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北京通通 易联科技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3,163,744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460,125.0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2,023,488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山东信通 智能泊车 管理技术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1,747,494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90,802.72</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1,838,297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湖南好泊 信息技术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483,437.5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483,437.5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5,394,677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943,562.5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2,114,291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.24</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11,530,43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2.97</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5,394,677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943,562.5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2"/>
                <w:sz w:val="18"/>
              </w:rPr>
              <w:t>2,114,291</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.24</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11,530,43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2.97</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）采用成本计量模式的投资性房地产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850" w:right="0"/>
              <w:jc w:val="left"/>
              <w:rPr>
                <w:rFonts w:ascii="Times New Roman" w:hAnsi="Times New Roman" w:cs="Times New Roman" w:eastAsia="Times New Roman" w:hint="default"/>
                <w:sz w:val="18"/>
                <w:szCs w:val="18"/>
              </w:rPr>
            </w:pPr>
            <w:r>
              <w:rPr>
                <w:rFonts w:ascii="Times New Roman"/>
                <w:sz w:val="18"/>
              </w:rPr>
              <w:t>91,016,849.58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91,016,849.58</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1"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2,979,982.46</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2,979,982.46</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58"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2,979,982.46</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2,979,982.46</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88,036,867.12</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88,036,867.12</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12,477,257.43</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12,477,257.43</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3,013,093.69</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3,013,093.69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3,013,093.69</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3,013,093.69</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2"/>
                <w:sz w:val="18"/>
              </w:rPr>
              <w:t>49,111.78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2"/>
                <w:sz w:val="18"/>
              </w:rPr>
              <w:t>49,111.78</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3"/>
              <w:jc w:val="right"/>
              <w:rPr>
                <w:rFonts w:ascii="宋体" w:hAnsi="宋体" w:cs="宋体" w:eastAsia="宋体" w:hint="default"/>
                <w:sz w:val="18"/>
                <w:szCs w:val="18"/>
              </w:rPr>
            </w:pPr>
            <w:r>
              <w:rPr>
                <w:rFonts w:ascii="宋体" w:hAnsi="宋体" w:cs="宋体" w:eastAsia="宋体" w:hint="default"/>
                <w:sz w:val="18"/>
                <w:szCs w:val="18"/>
              </w:rPr>
              <w:t>转入</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49,111.78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49,111.78</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15,441,239.34</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15,441,239.34</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72,595,627.78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72,595,627.78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0" w:right="0"/>
              <w:jc w:val="left"/>
              <w:rPr>
                <w:rFonts w:ascii="Times New Roman" w:hAnsi="Times New Roman" w:cs="Times New Roman" w:eastAsia="Times New Roman" w:hint="default"/>
                <w:sz w:val="18"/>
                <w:szCs w:val="18"/>
              </w:rPr>
            </w:pPr>
            <w:r>
              <w:rPr>
                <w:rFonts w:ascii="Times New Roman"/>
                <w:sz w:val="18"/>
              </w:rPr>
              <w:t>78,539,592.15</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78,539,592.15</w:t>
            </w:r>
          </w:p>
        </w:tc>
      </w:tr>
    </w:tbl>
    <w:p>
      <w:pPr>
        <w:spacing w:line="240" w:lineRule="auto" w:before="10"/>
        <w:rPr>
          <w:rFonts w:ascii="Times New Roman" w:hAnsi="Times New Roman" w:cs="Times New Roman" w:eastAsia="Times New Roman" w:hint="default"/>
          <w:sz w:val="21"/>
          <w:szCs w:val="21"/>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）采用公允价值计量模式的投资性房地产</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13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9"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6"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50,809,904.88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17,416,276.90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16,887,685.03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16,885,306.03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5,610,734.21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107,609,907.05</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2,979,982.46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2,367,186.92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4,044,234.47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1,458,458.05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224,968.62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11,074,830.52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2,367,186.92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4,044,234.47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1,458,458.05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224,968.62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8,094,848.06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4" w:lineRule="auto" w:before="51"/>
              <w:ind w:left="24" w:right="158" w:firstLine="634"/>
              <w:jc w:val="left"/>
              <w:rPr>
                <w:rFonts w:ascii="宋体" w:hAnsi="宋体" w:cs="宋体" w:eastAsia="宋体" w:hint="default"/>
                <w:sz w:val="18"/>
                <w:szCs w:val="18"/>
              </w:rPr>
            </w:pPr>
            <w:r>
              <w:rPr>
                <w:rFonts w:ascii="宋体" w:hAnsi="宋体" w:cs="宋体" w:eastAsia="宋体" w:hint="default"/>
                <w:sz w:val="18"/>
                <w:szCs w:val="18"/>
              </w:rPr>
              <w:t>投资性 房地产转入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2,979,982.46</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2,979,982.46</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291,890.57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467,124.40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635,799.19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66,473.84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1,461,288.00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291,890.57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467,124.40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635,799.19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66,473.84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1,461,288.00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53,789,887.34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19,491,573.25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20,464,795.10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17,707,964.89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5,769,228.99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117,223,449.57</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7,844,083.05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12,070,456.16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9,869,649.61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13,254,093.67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4,554,845.63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47,593,128.12</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1,837,332.46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2,889,066.95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2,809,079.54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1,663,686.22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794,100.29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9,993,265.46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1,788,220.68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2,889,066.95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2,809,079.54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1,663,686.22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794,100.29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9,944,153.68</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0" w:lineRule="auto" w:before="49"/>
              <w:ind w:left="24" w:right="71" w:firstLine="63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）投 资性房地产转入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49,111.78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49,111.78</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1"/>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280,475.91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453,110.83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607,767.42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63,150.15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1,404,504.31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280,475.91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453,110.83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607,767.42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63,150.15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1,404,504.31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9,681,415.51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14,679,047.20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12,225,618.32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14,310,012.47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5,285,795.77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56,181,889.27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44,108,471.83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4,812,526.05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8,239,176.78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3,397,952.42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483,433.22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61,041,560.30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42,965,821.83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5,345,820.74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7,018,035.42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3,631,212.36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1,055,888.58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60,016,778.93</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w:t>
      </w:r>
    </w:p>
    <w:p>
      <w:pPr>
        <w:spacing w:before="102"/>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6"/>
        <w:gridCol w:w="1368"/>
        <w:gridCol w:w="1369"/>
        <w:gridCol w:w="1366"/>
      </w:tblGrid>
      <w:tr>
        <w:trPr>
          <w:trHeight w:val="401"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7"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8" w:type="dxa"/>
            <w:tcBorders>
              <w:top w:val="single" w:sz="4" w:space="0" w:color="000000"/>
              <w:left w:val="single" w:sz="10" w:space="0" w:color="D2D2D2"/>
              <w:bottom w:val="single" w:sz="4" w:space="0" w:color="000000"/>
              <w:right w:val="single" w:sz="4" w:space="0" w:color="000000"/>
            </w:tcBorders>
            <w:shd w:val="clear" w:color="auto" w:fill="E0FFFF"/>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369"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366"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9,971,717.33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15,323,814.82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191,502,525.65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693,077.71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217,491,135.51</w:t>
            </w:r>
          </w:p>
        </w:tc>
      </w:tr>
      <w:tr>
        <w:trPr>
          <w:trHeight w:val="715"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45,638,083.28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5,180,000.00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50,818,083.28</w:t>
            </w:r>
          </w:p>
        </w:tc>
      </w:tr>
      <w:tr>
        <w:trPr>
          <w:trHeight w:val="401"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5,180,000.00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5,180,000.00</w:t>
            </w:r>
          </w:p>
        </w:tc>
      </w:tr>
      <w:tr>
        <w:trPr>
          <w:trHeight w:val="716"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3"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）内部</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45,638,083.28</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45,638,083.28</w:t>
            </w:r>
          </w:p>
        </w:tc>
      </w:tr>
      <w:tr>
        <w:trPr>
          <w:trHeight w:val="401"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right="7"/>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36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合并增加</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9,971,717.33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15,323,814.82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237,140,608.93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5,873,077.71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268,309,218.79</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957,305.23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7,613,021.80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106,143,118.77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350,314.35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115,063,760.15</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210,453.20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1,576,375.30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28,109,205.13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122,182.58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30,018,216.21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210,453.20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1,576,375.30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28,109,205.13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122,182.58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30,018,216.21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1,167,758.43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9,189,397.10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134,252,323.90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472,496.93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145,081,976.36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8,803,958.90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6,134,417.72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102,888,285.03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5,400,580.78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123,227,242.43</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9,014,412.10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7,710,793.02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85,359,406.88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342,763.36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102,427,375.36</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53.41%</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、开发支出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2"/>
        <w:gridCol w:w="1063"/>
        <w:gridCol w:w="1064"/>
        <w:gridCol w:w="1063"/>
        <w:gridCol w:w="1064"/>
        <w:gridCol w:w="1063"/>
        <w:gridCol w:w="1061"/>
        <w:gridCol w:w="1064"/>
        <w:gridCol w:w="1063"/>
      </w:tblGrid>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7"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319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9"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数字执法系 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5,969,463.84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5,969,463.84</w:t>
            </w:r>
          </w:p>
        </w:tc>
      </w:tr>
      <w:tr>
        <w:trPr>
          <w:trHeight w:val="1027"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智慧环卫管 理信息系统 </w:t>
            </w:r>
            <w:r>
              <w:rPr>
                <w:rFonts w:ascii="Times New Roman" w:hAnsi="Times New Roman" w:cs="Times New Roman" w:eastAsia="Times New Roman" w:hint="default"/>
                <w:sz w:val="18"/>
                <w:szCs w:val="18"/>
              </w:rPr>
              <w:t>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5,284,683.29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5,284,683.29</w:t>
            </w: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40"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智慧市政综 合监管平台 </w:t>
            </w:r>
            <w:r>
              <w:rPr>
                <w:rFonts w:ascii="Times New Roman" w:hAnsi="Times New Roman" w:cs="Times New Roman" w:eastAsia="Times New Roman" w:hint="default"/>
                <w:sz w:val="18"/>
                <w:szCs w:val="18"/>
              </w:rPr>
              <w:t>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5,209,775.00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5,209,775.00</w:t>
            </w:r>
          </w:p>
        </w:tc>
      </w:tr>
      <w:tr>
        <w:trPr>
          <w:trHeight w:val="71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不动产登记 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5,173,619.60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5,173,619.60</w:t>
            </w: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智慧环保管 理信息系统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4,575,520.35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4,575,520.35</w:t>
            </w:r>
          </w:p>
        </w:tc>
      </w:tr>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云鹭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V1.0-Z</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1,720,776.71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center"/>
              <w:rPr>
                <w:rFonts w:ascii="Times New Roman" w:hAnsi="Times New Roman" w:cs="Times New Roman" w:eastAsia="Times New Roman" w:hint="default"/>
                <w:sz w:val="18"/>
                <w:szCs w:val="18"/>
              </w:rPr>
            </w:pPr>
            <w:r>
              <w:rPr>
                <w:rFonts w:ascii="Times New Roman"/>
                <w:sz w:val="18"/>
              </w:rPr>
              <w:t>1,720,776.71</w:t>
            </w:r>
          </w:p>
        </w:tc>
      </w:tr>
      <w:tr>
        <w:trPr>
          <w:trHeight w:val="401"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云隼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V4.0-Z</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1,569,396.27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center"/>
              <w:rPr>
                <w:rFonts w:ascii="Times New Roman" w:hAnsi="Times New Roman" w:cs="Times New Roman" w:eastAsia="Times New Roman" w:hint="default"/>
                <w:sz w:val="18"/>
                <w:szCs w:val="18"/>
              </w:rPr>
            </w:pPr>
            <w:r>
              <w:rPr>
                <w:rFonts w:ascii="Times New Roman"/>
                <w:sz w:val="18"/>
              </w:rPr>
              <w:t>1,569,396.27</w:t>
            </w:r>
          </w:p>
        </w:tc>
      </w:tr>
      <w:tr>
        <w:trPr>
          <w:trHeight w:val="1028"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left"/>
              <w:rPr>
                <w:rFonts w:ascii="宋体" w:hAnsi="宋体" w:cs="宋体" w:eastAsia="宋体" w:hint="default"/>
                <w:sz w:val="18"/>
                <w:szCs w:val="18"/>
              </w:rPr>
            </w:pPr>
            <w:r>
              <w:rPr>
                <w:rFonts w:ascii="宋体" w:hAnsi="宋体" w:cs="宋体" w:eastAsia="宋体" w:hint="default"/>
                <w:sz w:val="18"/>
                <w:szCs w:val="18"/>
              </w:rPr>
              <w:t>车辆多维特 征识别终端</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sz w:val="18"/>
              </w:rPr>
              <w:t>-Z</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1,379,417.65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1,379,417.65</w:t>
            </w: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0" w:lineRule="auto" w:before="49"/>
              <w:ind w:left="22" w:right="33"/>
              <w:jc w:val="left"/>
              <w:rPr>
                <w:rFonts w:ascii="宋体" w:hAnsi="宋体" w:cs="宋体" w:eastAsia="宋体" w:hint="default"/>
                <w:sz w:val="18"/>
                <w:szCs w:val="18"/>
              </w:rPr>
            </w:pPr>
            <w:r>
              <w:rPr>
                <w:rFonts w:ascii="宋体" w:hAnsi="宋体" w:cs="宋体" w:eastAsia="宋体" w:hint="default"/>
                <w:sz w:val="18"/>
                <w:szCs w:val="18"/>
              </w:rPr>
              <w:t>智信</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研 发项目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8,055,677.33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111,829.63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8,167,506.96</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both"/>
              <w:rPr>
                <w:rFonts w:ascii="宋体" w:hAnsi="宋体" w:cs="宋体" w:eastAsia="宋体" w:hint="default"/>
                <w:sz w:val="18"/>
                <w:szCs w:val="18"/>
              </w:rPr>
            </w:pPr>
            <w:r>
              <w:rPr>
                <w:rFonts w:ascii="宋体" w:hAnsi="宋体" w:cs="宋体" w:eastAsia="宋体" w:hint="default"/>
                <w:sz w:val="18"/>
                <w:szCs w:val="18"/>
              </w:rPr>
              <w:t>数字执法系 统智云版研 发项目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5,549,493.09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18,448.20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5,567,941.29</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9" w:lineRule="auto" w:before="49"/>
              <w:ind w:left="22" w:right="33"/>
              <w:jc w:val="left"/>
              <w:rPr>
                <w:rFonts w:ascii="宋体" w:hAnsi="宋体" w:cs="宋体" w:eastAsia="宋体" w:hint="default"/>
                <w:sz w:val="18"/>
                <w:szCs w:val="18"/>
              </w:rPr>
            </w:pPr>
            <w:r>
              <w:rPr>
                <w:rFonts w:ascii="宋体" w:hAnsi="宋体" w:cs="宋体" w:eastAsia="宋体" w:hint="default"/>
                <w:sz w:val="18"/>
                <w:szCs w:val="18"/>
              </w:rPr>
              <w:t>智慧城管智 云版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研 发项目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5,179,542.16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20,822.00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5,200,364.16</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智通盒子</w:t>
            </w:r>
          </w:p>
          <w:p>
            <w:pPr>
              <w:pStyle w:val="TableParagraph"/>
              <w:spacing w:line="240" w:lineRule="auto" w:before="118"/>
              <w:ind w:left="22" w:right="0"/>
              <w:jc w:val="left"/>
              <w:rPr>
                <w:rFonts w:ascii="Times New Roman" w:hAnsi="Times New Roman" w:cs="Times New Roman" w:eastAsia="Times New Roman" w:hint="default"/>
                <w:sz w:val="18"/>
                <w:szCs w:val="18"/>
              </w:rPr>
            </w:pPr>
            <w:r>
              <w:rPr>
                <w:rFonts w:ascii="Times New Roman"/>
                <w:sz w:val="18"/>
              </w:rPr>
              <w:t>ZTBOX</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3,146,618.28</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3,146,618.28</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left"/>
              <w:rPr>
                <w:rFonts w:ascii="宋体" w:hAnsi="宋体" w:cs="宋体" w:eastAsia="宋体" w:hint="default"/>
                <w:sz w:val="18"/>
                <w:szCs w:val="18"/>
              </w:rPr>
            </w:pPr>
            <w:r>
              <w:rPr>
                <w:rFonts w:ascii="宋体" w:hAnsi="宋体" w:cs="宋体" w:eastAsia="宋体" w:hint="default"/>
                <w:sz w:val="18"/>
                <w:szCs w:val="18"/>
              </w:rPr>
              <w:t>专业版城管 通研发项目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2,706,195.83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14,679.34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2,720,875.17</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智通云隼</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center"/>
              <w:rPr>
                <w:rFonts w:ascii="Times New Roman" w:hAnsi="Times New Roman" w:cs="Times New Roman" w:eastAsia="Times New Roman" w:hint="default"/>
                <w:sz w:val="18"/>
                <w:szCs w:val="18"/>
              </w:rPr>
            </w:pPr>
            <w:r>
              <w:rPr>
                <w:rFonts w:ascii="Times New Roman"/>
                <w:sz w:val="18"/>
              </w:rPr>
              <w:t>2,271,165.01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1,283,206.99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3,554,372.00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TC200BP1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center"/>
              <w:rPr>
                <w:rFonts w:ascii="Times New Roman" w:hAnsi="Times New Roman" w:cs="Times New Roman" w:eastAsia="Times New Roman" w:hint="default"/>
                <w:sz w:val="18"/>
                <w:szCs w:val="18"/>
              </w:rPr>
            </w:pPr>
            <w:r>
              <w:rPr>
                <w:rFonts w:ascii="Times New Roman"/>
                <w:sz w:val="18"/>
              </w:rPr>
              <w:t>2,642,856.05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2,642,856.05</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智通云隼</w:t>
            </w:r>
          </w:p>
          <w:p>
            <w:pPr>
              <w:pStyle w:val="TableParagraph"/>
              <w:spacing w:line="240" w:lineRule="auto" w:before="119"/>
              <w:ind w:left="22" w:right="0"/>
              <w:jc w:val="left"/>
              <w:rPr>
                <w:rFonts w:ascii="Times New Roman" w:hAnsi="Times New Roman" w:cs="Times New Roman" w:eastAsia="Times New Roman" w:hint="default"/>
                <w:sz w:val="18"/>
                <w:szCs w:val="18"/>
              </w:rPr>
            </w:pPr>
            <w:r>
              <w:rPr>
                <w:rFonts w:ascii="Times New Roman"/>
                <w:spacing w:val="-3"/>
                <w:sz w:val="18"/>
              </w:rPr>
              <w:t>ZT-PCIA</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2,653,725.52</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2,653,725.52</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68"/>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ZTHY-HD</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高</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center"/>
              <w:rPr>
                <w:rFonts w:ascii="Times New Roman" w:hAnsi="Times New Roman" w:cs="Times New Roman" w:eastAsia="Times New Roman" w:hint="default"/>
                <w:sz w:val="18"/>
                <w:szCs w:val="18"/>
              </w:rPr>
            </w:pPr>
            <w:r>
              <w:rPr>
                <w:rFonts w:ascii="Times New Roman"/>
                <w:sz w:val="18"/>
              </w:rPr>
              <w:t>2,608,659.76</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2,608,659.76</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4"/>
        <w:gridCol w:w="1063"/>
        <w:gridCol w:w="1064"/>
        <w:gridCol w:w="1063"/>
        <w:gridCol w:w="1064"/>
        <w:gridCol w:w="1063"/>
        <w:gridCol w:w="1061"/>
        <w:gridCol w:w="1064"/>
        <w:gridCol w:w="1063"/>
      </w:tblGrid>
      <w:tr>
        <w:trPr>
          <w:trHeight w:val="363"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清智通慧眼</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7,000,433.98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34,300,388.0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9,375,164.09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31,925,657.9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41,814,367.0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66,632,026.8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45,638,083.2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31,925,657.9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30,882,652.7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）商誉账面原值</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8"/>
        <w:gridCol w:w="1366"/>
        <w:gridCol w:w="1368"/>
        <w:gridCol w:w="1369"/>
        <w:gridCol w:w="1366"/>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6" w:right="48"/>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27,283,004.88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27,283,004.88</w:t>
            </w:r>
          </w:p>
        </w:tc>
      </w:tr>
      <w:tr>
        <w:trPr>
          <w:trHeight w:val="1028"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373,680,196.95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373,680,196.95</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保定市金迪科技 开发有限公司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34,438,999.60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34,438,999.60</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4"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保定金迪科学仪 器有限公司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32,660,244.49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32,660,244.49</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468,062,445.92</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468,062,445.92</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）商誉减值准备</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8"/>
        <w:gridCol w:w="1366"/>
        <w:gridCol w:w="1368"/>
        <w:gridCol w:w="1369"/>
        <w:gridCol w:w="1366"/>
      </w:tblGrid>
      <w:tr>
        <w:trPr>
          <w:trHeight w:val="102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6" w:right="48"/>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2,782,199.75</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18"/>
                <w:szCs w:val="18"/>
              </w:rPr>
            </w:pPr>
            <w:r>
              <w:rPr>
                <w:rFonts w:ascii="Times New Roman"/>
                <w:sz w:val="18"/>
              </w:rPr>
              <w:t>2,782,199.75</w:t>
            </w:r>
          </w:p>
        </w:tc>
      </w:tr>
      <w:tr>
        <w:trPr>
          <w:trHeight w:val="1025"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72"/>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49"/>
              <w:ind w:left="22" w:right="72"/>
              <w:jc w:val="left"/>
              <w:rPr>
                <w:rFonts w:ascii="宋体" w:hAnsi="宋体" w:cs="宋体" w:eastAsia="宋体" w:hint="default"/>
                <w:sz w:val="18"/>
                <w:szCs w:val="18"/>
              </w:rPr>
            </w:pPr>
            <w:r>
              <w:rPr>
                <w:rFonts w:ascii="宋体" w:hAnsi="宋体" w:cs="宋体" w:eastAsia="宋体" w:hint="default"/>
                <w:sz w:val="18"/>
                <w:szCs w:val="18"/>
              </w:rPr>
              <w:t>保定市金迪科技 开发有限公司</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68"/>
              <w:ind w:left="22" w:right="0"/>
              <w:jc w:val="left"/>
              <w:rPr>
                <w:rFonts w:ascii="宋体" w:hAnsi="宋体" w:cs="宋体" w:eastAsia="宋体" w:hint="default"/>
                <w:sz w:val="18"/>
                <w:szCs w:val="18"/>
              </w:rPr>
            </w:pPr>
            <w:r>
              <w:rPr>
                <w:rFonts w:ascii="宋体" w:hAnsi="宋体" w:cs="宋体" w:eastAsia="宋体" w:hint="default"/>
                <w:sz w:val="18"/>
                <w:szCs w:val="18"/>
              </w:rPr>
              <w:t>保定金迪科学仪</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36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器有限公司</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2,782,199.75</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2,782,199.75</w:t>
            </w:r>
          </w:p>
        </w:tc>
      </w:tr>
    </w:tbl>
    <w:p>
      <w:pPr>
        <w:spacing w:line="360" w:lineRule="auto" w:before="49"/>
        <w:ind w:left="152" w:right="5094" w:firstLine="0"/>
        <w:jc w:val="left"/>
        <w:rPr>
          <w:rFonts w:ascii="宋体" w:hAnsi="宋体" w:cs="宋体" w:eastAsia="宋体" w:hint="default"/>
          <w:sz w:val="18"/>
          <w:szCs w:val="18"/>
        </w:rPr>
      </w:pPr>
      <w:r>
        <w:rPr>
          <w:rFonts w:ascii="宋体" w:hAnsi="宋体" w:cs="宋体" w:eastAsia="宋体" w:hint="default"/>
          <w:sz w:val="18"/>
          <w:szCs w:val="18"/>
        </w:rPr>
        <w:t>说明商誉减值测试过程、参数及商誉减值损失的确认方法： 其他说明</w:t>
      </w:r>
    </w:p>
    <w:p>
      <w:pPr>
        <w:spacing w:line="240" w:lineRule="auto" w:before="2"/>
        <w:rPr>
          <w:rFonts w:ascii="宋体" w:hAnsi="宋体" w:cs="宋体" w:eastAsia="宋体" w:hint="default"/>
          <w:sz w:val="20"/>
          <w:szCs w:val="20"/>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986,676.69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950,308.49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36,368.20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986,676.69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950,308.49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36,368.20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）未经抵销的递延所得税资产</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128,125,147.24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19,375,344.14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87,329,247.39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12,556,757.14</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6,503,316.60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975,497.49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870,044.80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130,506.72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236,787.99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59,197.00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936,659.13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140,498.87</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46,464,038.47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8,488,103.02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40,933,073.93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7,313,095.13</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未确认融资费用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11,545,095.12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1,767,552.20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14,921,471.20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2,495,630.88</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18,963,500.00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2,844,525.00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14,703,126.34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2,205,468.95</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10,988,000.00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1,648,200.00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1,170,000.00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222,825,885.42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35,158,418.85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167,493,622.79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26,011,957.69</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）未经抵销的递延所得税负债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01"/>
        <w:gridCol w:w="1928"/>
        <w:gridCol w:w="1916"/>
        <w:gridCol w:w="1913"/>
        <w:gridCol w:w="1916"/>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3"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44"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4"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65"/>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54,934,098.13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11,375,904.41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63,619,967.40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13,278,261.30</w:t>
            </w:r>
          </w:p>
        </w:tc>
      </w:tr>
      <w:tr>
        <w:trPr>
          <w:trHeight w:val="404"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54,934,098.13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11,375,904.41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63,619,967.40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13,278,261.30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）以抵销后净额列示的递延所得税资产或负债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161"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12"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12" w:right="48"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22" w:right="51"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4" w:hRule="exact"/>
        </w:trPr>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r>
      <w:tr>
        <w:trPr>
          <w:trHeight w:val="161"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35,158,418.85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26,011,957.69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11,375,904.41</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13,278,261.30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）未确认递延所得税资产明细</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497,347.67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406.50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5,281,272.44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4,792,134.38</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5,778,620.11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4,792,540.88</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）未确认递延所得税资产的可抵扣亏损将于以下年度到期</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4"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90"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
              <w:jc w:val="right"/>
              <w:rPr>
                <w:rFonts w:ascii="Arial Narrow" w:hAnsi="Arial Narrow" w:cs="Arial Narrow" w:eastAsia="Arial Narrow" w:hint="default"/>
                <w:sz w:val="18"/>
                <w:szCs w:val="18"/>
              </w:rPr>
            </w:pPr>
            <w:r>
              <w:rPr>
                <w:rFonts w:ascii="Arial Narrow"/>
                <w:spacing w:val="-1"/>
                <w:sz w:val="18"/>
              </w:rPr>
              <w:t>3,821,058.56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3,821,058.56</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
              <w:jc w:val="right"/>
              <w:rPr>
                <w:rFonts w:ascii="Arial Narrow" w:hAnsi="Arial Narrow" w:cs="Arial Narrow" w:eastAsia="Arial Narrow" w:hint="default"/>
                <w:sz w:val="18"/>
                <w:szCs w:val="18"/>
              </w:rPr>
            </w:pPr>
            <w:r>
              <w:rPr>
                <w:rFonts w:ascii="Arial Narrow"/>
                <w:spacing w:val="-1"/>
                <w:sz w:val="18"/>
              </w:rPr>
              <w:t>864,529.67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971,075.82</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
              <w:jc w:val="right"/>
              <w:rPr>
                <w:rFonts w:ascii="Arial Narrow" w:hAnsi="Arial Narrow" w:cs="Arial Narrow" w:eastAsia="Arial Narrow" w:hint="default"/>
                <w:sz w:val="18"/>
                <w:szCs w:val="18"/>
              </w:rPr>
            </w:pPr>
            <w:r>
              <w:rPr>
                <w:rFonts w:ascii="Arial Narrow"/>
                <w:spacing w:val="-1"/>
                <w:sz w:val="18"/>
              </w:rPr>
              <w:t>595,684.21</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5,281,272.44</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3"/>
              <w:ind w:right="9"/>
              <w:jc w:val="right"/>
              <w:rPr>
                <w:rFonts w:ascii="Times New Roman" w:hAnsi="Times New Roman" w:cs="Times New Roman" w:eastAsia="Times New Roman" w:hint="default"/>
                <w:sz w:val="18"/>
                <w:szCs w:val="18"/>
              </w:rPr>
            </w:pPr>
            <w:r>
              <w:rPr>
                <w:rFonts w:ascii="Times New Roman"/>
                <w:spacing w:val="-1"/>
                <w:sz w:val="18"/>
              </w:rPr>
              <w:t>4,792,134.38</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14,790,217.00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67,500,000.00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89,790,217.00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112,500,000.00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92" w:firstLine="482"/>
        <w:jc w:val="left"/>
      </w:pPr>
      <w:r>
        <w:rPr/>
        <w:t>注：房产权证字第</w:t>
      </w:r>
      <w:r>
        <w:rPr>
          <w:rFonts w:ascii="宋体" w:hAnsi="宋体" w:cs="宋体" w:eastAsia="宋体" w:hint="default"/>
        </w:rPr>
        <w:t>U20120188</w:t>
      </w:r>
      <w:r>
        <w:rPr/>
        <w:t>号的房屋（包括固定资产、投资性房地产）用于贷款抵押， 抵押金额</w:t>
      </w:r>
      <w:r>
        <w:rPr>
          <w:rFonts w:ascii="宋体" w:hAnsi="宋体" w:cs="宋体" w:eastAsia="宋体" w:hint="default"/>
        </w:rPr>
        <w:t>1,000.00</w:t>
      </w:r>
      <w:r>
        <w:rPr/>
        <w:t>万；保定市国用（</w:t>
      </w:r>
      <w:r>
        <w:rPr>
          <w:rFonts w:ascii="宋体" w:hAnsi="宋体" w:cs="宋体" w:eastAsia="宋体" w:hint="default"/>
        </w:rPr>
        <w:t>2010</w:t>
      </w:r>
      <w:r>
        <w:rPr/>
        <w:t>）第</w:t>
      </w:r>
      <w:r>
        <w:rPr>
          <w:rFonts w:ascii="宋体" w:hAnsi="宋体" w:cs="宋体" w:eastAsia="宋体" w:hint="default"/>
        </w:rPr>
        <w:t>130600005574</w:t>
      </w:r>
      <w:r>
        <w:rPr/>
        <w:t>号的土地使用权用于贷款抵押，</w:t>
      </w:r>
      <w:r>
        <w:rPr>
          <w:spacing w:val="-83"/>
        </w:rPr>
        <w:t> </w:t>
      </w:r>
      <w:r>
        <w:rPr>
          <w:spacing w:val="-83"/>
        </w:rPr>
      </w:r>
      <w:r>
        <w:rPr/>
        <w:t>抵押金额</w:t>
      </w:r>
      <w:r>
        <w:rPr>
          <w:rFonts w:ascii="宋体" w:hAnsi="宋体" w:cs="宋体" w:eastAsia="宋体" w:hint="default"/>
        </w:rPr>
        <w:t>500.00</w:t>
      </w:r>
      <w:r>
        <w:rPr/>
        <w:t>万元。详见附注、六</w:t>
      </w:r>
      <w:r>
        <w:rPr>
          <w:rFonts w:ascii="宋体" w:hAnsi="宋体" w:cs="宋体" w:eastAsia="宋体" w:hint="default"/>
        </w:rPr>
        <w:t>52</w:t>
      </w:r>
      <w:r>
        <w:rPr/>
        <w:t>所有权或使用权受限制的资产</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、应付票据</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9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20,351,179.75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3,591,816.44</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20,351,179.75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3,591,816.44</w:t>
            </w:r>
          </w:p>
        </w:tc>
      </w:tr>
    </w:tbl>
    <w:p>
      <w:pPr>
        <w:spacing w:before="49"/>
        <w:ind w:left="152" w:right="94"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0"/>
        <w:rPr>
          <w:rFonts w:ascii="宋体" w:hAnsi="宋体" w:cs="宋体" w:eastAsia="宋体" w:hint="default"/>
          <w:sz w:val="18"/>
          <w:szCs w:val="18"/>
        </w:rPr>
      </w:pPr>
    </w:p>
    <w:p>
      <w:pPr>
        <w:spacing w:before="118"/>
        <w:ind w:left="152"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4"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）应付账款列示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9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应付采购款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151,464,332.38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131,268,401.07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项目服务费及数据款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146,594,301.40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65,400,291.33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871,854.42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261,379.42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298,930,488.20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196,930,071.82</w:t>
            </w:r>
          </w:p>
        </w:tc>
      </w:tr>
    </w:tbl>
    <w:p>
      <w:pPr>
        <w:spacing w:line="240" w:lineRule="auto" w:before="3"/>
        <w:rPr>
          <w:rFonts w:ascii="宋体" w:hAnsi="宋体" w:cs="宋体" w:eastAsia="宋体" w:hint="default"/>
          <w:sz w:val="19"/>
          <w:szCs w:val="19"/>
        </w:rPr>
      </w:pPr>
    </w:p>
    <w:p>
      <w:pPr>
        <w:spacing w:before="36"/>
        <w:ind w:left="152" w:right="94"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年的重要应付账款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9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河南</w:t>
            </w:r>
            <w:r>
              <w:rPr>
                <w:rFonts w:ascii="Times New Roman" w:hAnsi="Times New Roman" w:cs="Times New Roman" w:eastAsia="Times New Roman" w:hint="default"/>
                <w:sz w:val="18"/>
                <w:szCs w:val="18"/>
              </w:rPr>
              <w:t>"</w:t>
            </w:r>
            <w:r>
              <w:rPr>
                <w:rFonts w:ascii="宋体" w:hAnsi="宋体" w:cs="宋体" w:eastAsia="宋体" w:hint="default"/>
                <w:sz w:val="18"/>
                <w:szCs w:val="18"/>
              </w:rPr>
              <w:t>智慧新安</w:t>
            </w:r>
            <w:r>
              <w:rPr>
                <w:rFonts w:ascii="Times New Roman" w:hAnsi="Times New Roman" w:cs="Times New Roman" w:eastAsia="Times New Roman" w:hint="default"/>
                <w:sz w:val="18"/>
                <w:szCs w:val="18"/>
              </w:rPr>
              <w:t>"</w:t>
            </w:r>
            <w:r>
              <w:rPr>
                <w:rFonts w:ascii="宋体" w:hAnsi="宋体" w:cs="宋体" w:eastAsia="宋体" w:hint="default"/>
                <w:sz w:val="18"/>
                <w:szCs w:val="18"/>
              </w:rPr>
              <w:t>一期建设运营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18,957,217.00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项目未到结算期</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河南济源视频监控项目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2,457,190.00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项目未到结算期</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河南晨马科技有限公司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1,786,733.34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项目未到结算期</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宁夏固原城管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项目未到结算期</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甘肃兰州国土电子政务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项目未到结算期</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26,381,140.34</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4"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）预收款项列示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预收销货款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125,938,504.19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125,107,975.15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125,938,504.19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125,107,975.15</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年的重要预收款项</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佛山市南海区狮山镇国土城建和水务局</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4,269,225.50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江苏省地质勘查技术院</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2,874,528.31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武汉市勘测设计研究院（信息中心）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2,763,490.57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海东市平安区综治办</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740,615.13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成都捷瑞智信科技有限公司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11,047,859.51</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）应付职工薪酬列示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15,752,514.11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335,604,047.80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332,987,464.09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18,369,097.82</w:t>
            </w:r>
          </w:p>
        </w:tc>
      </w:tr>
      <w:tr>
        <w:trPr>
          <w:trHeight w:val="716"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1"/>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3,021,999.38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49,906,395.47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50,688,390.27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2,240,004.58</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221,795.05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221,795.05</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18,774,513.49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385,732,238.32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383,897,649.41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20,609,102.40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）短期薪酬列示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6"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1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50" w:right="0"/>
              <w:jc w:val="left"/>
              <w:rPr>
                <w:rFonts w:ascii="Times New Roman" w:hAnsi="Times New Roman" w:cs="Times New Roman" w:eastAsia="Times New Roman" w:hint="default"/>
                <w:sz w:val="18"/>
                <w:szCs w:val="18"/>
              </w:rPr>
            </w:pPr>
            <w:r>
              <w:rPr>
                <w:rFonts w:ascii="Times New Roman"/>
                <w:sz w:val="18"/>
              </w:rPr>
              <w:t>13,232,527.25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295,094,142.60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291,780,679.67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47" w:right="0"/>
              <w:jc w:val="left"/>
              <w:rPr>
                <w:rFonts w:ascii="Times New Roman" w:hAnsi="Times New Roman" w:cs="Times New Roman" w:eastAsia="Times New Roman" w:hint="default"/>
                <w:sz w:val="18"/>
                <w:szCs w:val="18"/>
              </w:rPr>
            </w:pPr>
            <w:r>
              <w:rPr>
                <w:rFonts w:ascii="Times New Roman"/>
                <w:sz w:val="18"/>
              </w:rPr>
              <w:t>16,545,990.18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5,110,671.69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5,110,671.69</w:t>
            </w:r>
          </w:p>
        </w:tc>
        <w:tc>
          <w:tcPr>
            <w:tcW w:w="191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1,771,738.26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24,497,918.92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25,178,081.52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1,091,575.66</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1,530,199.88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20,636,158.35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21,380,283.00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786,075.23</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7"/>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117,454.98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1,418,429.29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1,392,126.51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143,757.76</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124,083.40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1,665,743.16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1,632,996.23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156,830.33</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3"/>
              <w:jc w:val="right"/>
              <w:rPr>
                <w:rFonts w:ascii="宋体" w:hAnsi="宋体" w:cs="宋体" w:eastAsia="宋体" w:hint="default"/>
                <w:sz w:val="18"/>
                <w:szCs w:val="18"/>
              </w:rPr>
            </w:pPr>
            <w:r>
              <w:rPr>
                <w:rFonts w:ascii="宋体" w:hAnsi="宋体" w:cs="宋体" w:eastAsia="宋体" w:hint="default"/>
                <w:sz w:val="18"/>
                <w:szCs w:val="18"/>
              </w:rPr>
              <w:t>商</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业险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777,588.12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772,675.78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4,912.34</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227,518.13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10,558,499.85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10,665,684.52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120,333.46</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、工会经费和职工教育</w:t>
            </w:r>
            <w:r>
              <w:rPr>
                <w:rFonts w:ascii="宋体" w:hAnsi="宋体" w:cs="宋体" w:eastAsia="宋体" w:hint="default"/>
                <w:sz w:val="18"/>
                <w:szCs w:val="18"/>
              </w:rPr>
              <w:t> 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505,748.96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287,932.66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221,036.42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572,645.20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、其他短期薪酬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14,981.51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54,882.08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31,310.27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38,553.32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15,752,514.11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335,604,047.80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332,987,464.09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18,369,097.82</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）设定提存计划列示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2,698,505.79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47,910,788.03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49,085,779.02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1,523,514.80</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323,493.59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1,995,607.44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1,602,611.25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716,489.78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3,021,999.38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49,906,395.47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50,688,390.27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2,240,004.58</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357" w:lineRule="auto" w:before="145"/>
        <w:ind w:right="149" w:firstLine="482"/>
        <w:jc w:val="both"/>
      </w:pPr>
      <w:r>
        <w:rPr/>
        <w:t>本公司按规定参加由政府机构设立的养老保险、失业保险计划。根据该等计划，本公司 </w:t>
      </w:r>
      <w:r>
        <w:rPr>
          <w:spacing w:val="-2"/>
        </w:rPr>
        <w:t>基本养老保险缴费比例为</w:t>
      </w:r>
      <w:r>
        <w:rPr>
          <w:rFonts w:ascii="宋体" w:hAnsi="宋体" w:cs="宋体" w:eastAsia="宋体" w:hint="default"/>
          <w:spacing w:val="-2"/>
        </w:rPr>
        <w:t>19.00%</w:t>
      </w:r>
      <w:r>
        <w:rPr>
          <w:spacing w:val="-2"/>
        </w:rPr>
        <w:t>，失业保险缴费比例为</w:t>
      </w:r>
      <w:r>
        <w:rPr>
          <w:rFonts w:ascii="宋体" w:hAnsi="宋体" w:cs="宋体" w:eastAsia="宋体" w:hint="default"/>
          <w:spacing w:val="-2"/>
        </w:rPr>
        <w:t>0.80%</w:t>
      </w:r>
      <w:r>
        <w:rPr>
          <w:spacing w:val="-2"/>
        </w:rPr>
        <w:t>。除上述每月缴存费用外，本公</w:t>
      </w:r>
      <w:r>
        <w:rPr>
          <w:spacing w:val="-109"/>
        </w:rPr>
        <w:t> </w:t>
      </w:r>
      <w:r>
        <w:rPr>
          <w:spacing w:val="-109"/>
        </w:rPr>
      </w:r>
      <w:r>
        <w:rPr/>
        <w:t>司不再承担进一步支付义务。相应的支出于发生时计入当期损益或相关资产的成本。</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34,044,011.01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12,344,884.26</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28,581,864.36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22,559,460.71</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13,932,358.06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17,489,081.39</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2,274,356.25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956,780.02</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974,872.98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409,740.06</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649,915.31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272,961.93</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33,280.72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74,083.40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11,897.60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防洪税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1,192.89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80,532,654.26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54,078,086.69</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22,656.25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22,656.25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22,656.25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22,656.25</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重要的已逾期未支付的利息情况：</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、应付股利</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中国冶金地质总局地球物理勘查院</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2,560,000.00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其他自然人</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4,796,790.00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4,796,790.00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7,356,790.00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7,356,790.00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）按款项性质列示其他应付款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应付股权投资款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184,807,000.00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165,000,000.00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73,843,725.00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104,720,400.00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已报销未支付项目差旅费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58,410,941.90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67,760,287.94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7,713,551.94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8,693,088.24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代扣代缴款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2,661,657.86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3,622,916.30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1,948,641.29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2,567,506.42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应付房屋租赁费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6,054,725.41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1,561,883.84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3,581,435.29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2,018,068.46</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339,021,678.69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355,944,151.20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年的重要其他应付款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应付股权投资款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128,275,000.00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收购少数股东股权款</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73,843,725.00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保定雷迪科学仪器有限公司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1,488,033.64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203,606,758.64</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1,664,008.26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9,138,880.23</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1,664,008.26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9,138,880.23</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、长期应付款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）按款项性质列示长期应付款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售后回租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1,664,008.26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10,802,888.49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减：一年内到期部分（附注六、</w:t>
            </w:r>
            <w:r>
              <w:rPr>
                <w:rFonts w:ascii="Times New Roman" w:hAnsi="Times New Roman" w:cs="Times New Roman" w:eastAsia="Times New Roman" w:hint="default"/>
                <w:sz w:val="18"/>
                <w:szCs w:val="18"/>
              </w:rPr>
              <w:t>28</w:t>
            </w:r>
            <w:r>
              <w:rPr>
                <w:rFonts w:ascii="宋体" w:hAnsi="宋体" w:cs="宋体" w:eastAsia="宋体" w:hint="default"/>
                <w:sz w:val="18"/>
                <w:szCs w:val="18"/>
              </w:rPr>
              <w:t>）</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1,664,008.26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9,138,880.23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1,664,008.26</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76"/>
        <w:gridCol w:w="2396"/>
        <w:gridCol w:w="2393"/>
        <w:gridCol w:w="2393"/>
      </w:tblGrid>
      <w:tr>
        <w:trPr>
          <w:trHeight w:val="401" w:hRule="exact"/>
        </w:trPr>
        <w:tc>
          <w:tcPr>
            <w:tcW w:w="2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319" w:hRule="exact"/>
        </w:trPr>
        <w:tc>
          <w:tcPr>
            <w:tcW w:w="237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325" w:right="0"/>
              <w:jc w:val="left"/>
              <w:rPr>
                <w:rFonts w:ascii="Times New Roman" w:hAnsi="Times New Roman" w:cs="Times New Roman" w:eastAsia="Times New Roman" w:hint="default"/>
                <w:sz w:val="18"/>
                <w:szCs w:val="18"/>
              </w:rPr>
            </w:pPr>
            <w:r>
              <w:rPr>
                <w:rFonts w:ascii="Times New Roman"/>
                <w:sz w:val="18"/>
              </w:rPr>
              <w:t>10,988,000.00</w:t>
            </w:r>
          </w:p>
        </w:tc>
        <w:tc>
          <w:tcPr>
            <w:tcW w:w="239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413" w:right="0"/>
              <w:jc w:val="left"/>
              <w:rPr>
                <w:rFonts w:ascii="Times New Roman" w:hAnsi="Times New Roman" w:cs="Times New Roman" w:eastAsia="Times New Roman" w:hint="default"/>
                <w:sz w:val="18"/>
                <w:szCs w:val="18"/>
              </w:rPr>
            </w:pPr>
            <w:r>
              <w:rPr>
                <w:rFonts w:ascii="Times New Roman"/>
                <w:sz w:val="18"/>
              </w:rPr>
              <w:t>7,800,000.00</w:t>
            </w:r>
          </w:p>
        </w:tc>
        <w:tc>
          <w:tcPr>
            <w:tcW w:w="2393"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17"/>
              <w:jc w:val="left"/>
              <w:rPr>
                <w:rFonts w:ascii="宋体" w:hAnsi="宋体" w:cs="宋体" w:eastAsia="宋体" w:hint="default"/>
                <w:sz w:val="18"/>
                <w:szCs w:val="18"/>
              </w:rPr>
            </w:pPr>
            <w:r>
              <w:rPr>
                <w:rFonts w:ascii="宋体" w:hAnsi="宋体" w:cs="宋体" w:eastAsia="宋体" w:hint="default"/>
                <w:sz w:val="18"/>
                <w:szCs w:val="18"/>
              </w:rPr>
              <w:t>本公司与部分客户签订的不 可撤销的销售软件产品合同， 合同存在质保期。</w:t>
            </w:r>
          </w:p>
        </w:tc>
      </w:tr>
      <w:tr>
        <w:trPr>
          <w:trHeight w:val="391" w:hRule="exact"/>
        </w:trPr>
        <w:tc>
          <w:tcPr>
            <w:tcW w:w="23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396" w:type="dxa"/>
            <w:vMerge/>
            <w:tcBorders>
              <w:left w:val="single" w:sz="10" w:space="0" w:color="D2D2D2"/>
              <w:right w:val="single" w:sz="4" w:space="0" w:color="000000"/>
            </w:tcBorders>
          </w:tcPr>
          <w:p>
            <w:pPr/>
          </w:p>
        </w:tc>
        <w:tc>
          <w:tcPr>
            <w:tcW w:w="2393" w:type="dxa"/>
            <w:vMerge/>
            <w:tcBorders>
              <w:left w:val="single" w:sz="4" w:space="0" w:color="000000"/>
              <w:right w:val="single" w:sz="4" w:space="0" w:color="000000"/>
            </w:tcBorders>
          </w:tcPr>
          <w:p>
            <w:pPr/>
          </w:p>
        </w:tc>
        <w:tc>
          <w:tcPr>
            <w:tcW w:w="2393" w:type="dxa"/>
            <w:vMerge/>
            <w:tcBorders>
              <w:left w:val="single" w:sz="4" w:space="0" w:color="000000"/>
              <w:right w:val="single" w:sz="4" w:space="0" w:color="000000"/>
            </w:tcBorders>
          </w:tcPr>
          <w:p>
            <w:pPr/>
          </w:p>
        </w:tc>
      </w:tr>
      <w:tr>
        <w:trPr>
          <w:trHeight w:val="317" w:hRule="exact"/>
        </w:trPr>
        <w:tc>
          <w:tcPr>
            <w:tcW w:w="23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vMerge/>
            <w:tcBorders>
              <w:left w:val="single" w:sz="10" w:space="0" w:color="D2D2D2"/>
              <w:bottom w:val="single" w:sz="4" w:space="0" w:color="000000"/>
              <w:right w:val="single" w:sz="4" w:space="0" w:color="000000"/>
            </w:tcBorders>
          </w:tcPr>
          <w:p>
            <w:pPr/>
          </w:p>
        </w:tc>
        <w:tc>
          <w:tcPr>
            <w:tcW w:w="2393" w:type="dxa"/>
            <w:vMerge/>
            <w:tcBorders>
              <w:left w:val="single" w:sz="4" w:space="0" w:color="000000"/>
              <w:bottom w:val="single" w:sz="4" w:space="0" w:color="000000"/>
              <w:right w:val="single" w:sz="4" w:space="0" w:color="000000"/>
            </w:tcBorders>
          </w:tcPr>
          <w:p>
            <w:pPr/>
          </w:p>
        </w:tc>
        <w:tc>
          <w:tcPr>
            <w:tcW w:w="2393" w:type="dxa"/>
            <w:vMerge/>
            <w:tcBorders>
              <w:left w:val="single" w:sz="4" w:space="0" w:color="000000"/>
              <w:bottom w:val="single" w:sz="4" w:space="0" w:color="000000"/>
              <w:right w:val="single" w:sz="4" w:space="0" w:color="000000"/>
            </w:tcBorders>
          </w:tcPr>
          <w:p>
            <w:pPr/>
          </w:p>
        </w:tc>
      </w:tr>
      <w:tr>
        <w:trPr>
          <w:trHeight w:val="403" w:hRule="exact"/>
        </w:trPr>
        <w:tc>
          <w:tcPr>
            <w:tcW w:w="2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325" w:right="0"/>
              <w:jc w:val="left"/>
              <w:rPr>
                <w:rFonts w:ascii="Times New Roman" w:hAnsi="Times New Roman" w:cs="Times New Roman" w:eastAsia="Times New Roman" w:hint="default"/>
                <w:sz w:val="18"/>
                <w:szCs w:val="18"/>
              </w:rPr>
            </w:pPr>
            <w:r>
              <w:rPr>
                <w:rFonts w:ascii="Times New Roman"/>
                <w:sz w:val="18"/>
              </w:rPr>
              <w:t>10,988,000.00</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1413" w:right="0"/>
              <w:jc w:val="left"/>
              <w:rPr>
                <w:rFonts w:ascii="Times New Roman" w:hAnsi="Times New Roman" w:cs="Times New Roman" w:eastAsia="Times New Roman" w:hint="default"/>
                <w:sz w:val="18"/>
                <w:szCs w:val="18"/>
              </w:rPr>
            </w:pPr>
            <w:r>
              <w:rPr>
                <w:rFonts w:ascii="Times New Roman"/>
                <w:sz w:val="18"/>
              </w:rPr>
              <w:t>7,800,000.00</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其他说明，包括重要预计负债的相关重要假设、估计说明：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32</w:t>
      </w:r>
      <w:r>
        <w:rPr>
          <w:rFonts w:ascii="宋体" w:hAnsi="宋体" w:cs="宋体" w:eastAsia="宋体" w:hint="default"/>
          <w:b/>
          <w:bCs/>
          <w:sz w:val="21"/>
          <w:szCs w:val="21"/>
        </w:rPr>
        <w:t>、递延收益</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71"/>
        <w:gridCol w:w="1607"/>
        <w:gridCol w:w="1594"/>
        <w:gridCol w:w="1596"/>
        <w:gridCol w:w="1594"/>
        <w:gridCol w:w="1594"/>
      </w:tblGrid>
      <w:tr>
        <w:trPr>
          <w:trHeight w:val="403"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106,799.47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106,799.47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106,799.47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106,799.47</w:t>
            </w:r>
          </w:p>
        </w:tc>
        <w:tc>
          <w:tcPr>
            <w:tcW w:w="1594" w:type="dxa"/>
            <w:tcBorders>
              <w:top w:val="single" w:sz="4" w:space="0" w:color="000000"/>
              <w:left w:val="single" w:sz="4" w:space="0" w:color="000000"/>
              <w:bottom w:val="single" w:sz="4" w:space="0" w:color="000000"/>
              <w:right w:val="single" w:sz="13" w:space="0" w:color="D2D2D2"/>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5"/>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4"/>
        <w:gridCol w:w="1066"/>
        <w:gridCol w:w="1064"/>
        <w:gridCol w:w="1063"/>
        <w:gridCol w:w="1061"/>
        <w:gridCol w:w="1063"/>
        <w:gridCol w:w="1063"/>
        <w:gridCol w:w="1064"/>
        <w:gridCol w:w="1063"/>
      </w:tblGrid>
      <w:tr>
        <w:trPr>
          <w:trHeight w:val="102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8"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56" w:right="75"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6" w:right="74"/>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6" w:right="72"/>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9" w:right="72"/>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7"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339"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9"/>
              <w:jc w:val="both"/>
              <w:rPr>
                <w:rFonts w:ascii="宋体" w:hAnsi="宋体" w:cs="宋体" w:eastAsia="宋体" w:hint="default"/>
                <w:sz w:val="18"/>
                <w:szCs w:val="18"/>
              </w:rPr>
            </w:pPr>
            <w:r>
              <w:rPr>
                <w:rFonts w:ascii="宋体" w:hAnsi="宋体" w:cs="宋体" w:eastAsia="宋体" w:hint="default"/>
                <w:sz w:val="18"/>
                <w:szCs w:val="18"/>
              </w:rPr>
              <w:t>基于大数据 技术的城市 公共管理服 务平台</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33,723.93</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33,723.93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49"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29"/>
              <w:jc w:val="both"/>
              <w:rPr>
                <w:rFonts w:ascii="宋体" w:hAnsi="宋体" w:cs="宋体" w:eastAsia="宋体" w:hint="default"/>
                <w:sz w:val="18"/>
                <w:szCs w:val="18"/>
              </w:rPr>
            </w:pPr>
            <w:r>
              <w:rPr>
                <w:rFonts w:ascii="宋体" w:hAnsi="宋体" w:cs="宋体" w:eastAsia="宋体" w:hint="default"/>
                <w:sz w:val="18"/>
                <w:szCs w:val="18"/>
              </w:rPr>
              <w:t>基于卫星导 航技术的网 格化城市管 理综合应用 服务平台</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73,075.54</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73,075.54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106,799.47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106,799.47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13" w:space="0" w:color="D2D2D2"/>
            </w:tcBorders>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33</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10"/>
        <w:gridCol w:w="1184"/>
        <w:gridCol w:w="1195"/>
        <w:gridCol w:w="1198"/>
        <w:gridCol w:w="1195"/>
        <w:gridCol w:w="1185"/>
        <w:gridCol w:w="1208"/>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7"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7" w:type="dxa"/>
            <w:gridSpan w:val="5"/>
            <w:vMerge/>
            <w:tcBorders>
              <w:left w:val="single" w:sz="4" w:space="0" w:color="000000"/>
              <w:bottom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2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4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85" w:type="dxa"/>
            <w:vMerge/>
            <w:tcBorders>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4"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1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395,487,010.00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29,374,895.00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-235,000.00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29,139,895.00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424,626,905.00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526,250,366.50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499,131,506.36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91,134,191.61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934,247,681.25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14,703,126.33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20,117,227.19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257,426.33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34,562,927.19</w:t>
            </w: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540,953,492.83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519,248,733.55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91,391,617.94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968,810,608.44</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47" w:firstLine="482"/>
        <w:jc w:val="both"/>
      </w:pPr>
      <w:r>
        <w:rPr>
          <w:spacing w:val="-3"/>
        </w:rPr>
        <w:t>注：</w:t>
      </w:r>
      <w:r>
        <w:rPr>
          <w:rFonts w:ascii="宋体" w:hAnsi="宋体" w:cs="宋体" w:eastAsia="宋体" w:hint="default"/>
          <w:spacing w:val="-3"/>
        </w:rPr>
        <w:t>2017</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24</w:t>
      </w:r>
      <w:r>
        <w:rPr>
          <w:spacing w:val="-3"/>
        </w:rPr>
        <w:t>日，公司召开了第三届董事会第二十一次会议和第三届监事会第十七次</w:t>
      </w:r>
      <w:r>
        <w:rPr/>
        <w:t> 会议，审议通过了《关于回购注销已不符合激励条件的激励对象已获授但尚未解锁的限制性</w:t>
      </w:r>
      <w:r>
        <w:rPr>
          <w:spacing w:val="-91"/>
        </w:rPr>
        <w:t> </w:t>
      </w:r>
      <w:r>
        <w:rPr>
          <w:spacing w:val="-91"/>
        </w:rPr>
      </w:r>
      <w:r>
        <w:rPr>
          <w:spacing w:val="-2"/>
        </w:rPr>
        <w:t>股票的议案》，公司董事会决定对刘一、吴疆、杨波、韩锁所持已获授但尚未解锁的</w:t>
      </w:r>
      <w:r>
        <w:rPr>
          <w:rFonts w:ascii="宋体" w:hAnsi="宋体" w:cs="宋体" w:eastAsia="宋体" w:hint="default"/>
          <w:spacing w:val="-2"/>
        </w:rPr>
        <w:t>235,000</w:t>
      </w:r>
      <w:r>
        <w:rPr>
          <w:rFonts w:ascii="宋体" w:hAnsi="宋体" w:cs="宋体" w:eastAsia="宋体" w:hint="default"/>
          <w:spacing w:val="-115"/>
        </w:rPr>
        <w:t> </w:t>
      </w:r>
      <w:r>
        <w:rPr/>
        <w:t>股限制性股票进行回购注销，回购价格为</w:t>
      </w:r>
      <w:r>
        <w:rPr>
          <w:rFonts w:ascii="宋体" w:hAnsi="宋体" w:cs="宋体" w:eastAsia="宋体" w:hint="default"/>
        </w:rPr>
        <w:t>10.37</w:t>
      </w:r>
      <w:r>
        <w:rPr/>
        <w:t>元</w:t>
      </w:r>
      <w:r>
        <w:rPr>
          <w:rFonts w:ascii="宋体" w:hAnsi="宋体" w:cs="宋体" w:eastAsia="宋体" w:hint="default"/>
        </w:rPr>
        <w:t>/</w:t>
      </w:r>
      <w:r>
        <w:rPr/>
        <w:t>股，回购总金额为</w:t>
      </w:r>
      <w:r>
        <w:rPr>
          <w:rFonts w:ascii="宋体" w:hAnsi="宋体" w:cs="宋体" w:eastAsia="宋体" w:hint="default"/>
        </w:rPr>
        <w:t>2,436,950.00</w:t>
      </w:r>
      <w:r>
        <w:rPr/>
        <w:t>元，减少</w:t>
      </w:r>
      <w:r>
        <w:rPr>
          <w:spacing w:val="-88"/>
        </w:rPr>
        <w:t> </w:t>
      </w:r>
      <w:r>
        <w:rPr>
          <w:spacing w:val="-88"/>
        </w:rPr>
      </w:r>
      <w:r>
        <w:rPr>
          <w:spacing w:val="-2"/>
        </w:rPr>
        <w:t>资本溢价</w:t>
      </w:r>
      <w:r>
        <w:rPr>
          <w:rFonts w:ascii="宋体" w:hAnsi="宋体" w:cs="宋体" w:eastAsia="宋体" w:hint="default"/>
          <w:spacing w:val="-2"/>
        </w:rPr>
        <w:t>2,201,950.00</w:t>
      </w:r>
      <w:r>
        <w:rPr>
          <w:spacing w:val="-2"/>
        </w:rPr>
        <w:t>元。公司于</w:t>
      </w:r>
      <w:r>
        <w:rPr>
          <w:rFonts w:ascii="宋体" w:hAnsi="宋体" w:cs="宋体" w:eastAsia="宋体" w:hint="default"/>
          <w:spacing w:val="-2"/>
        </w:rPr>
        <w:t>2017</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17</w:t>
      </w:r>
      <w:r>
        <w:rPr>
          <w:spacing w:val="-2"/>
        </w:rPr>
        <w:t>日在中国登记结算有限责任公司深圳分公司完</w:t>
      </w:r>
      <w:r>
        <w:rPr>
          <w:spacing w:val="-102"/>
        </w:rPr>
        <w:t> </w:t>
      </w:r>
      <w:r>
        <w:rPr>
          <w:spacing w:val="-2"/>
        </w:rPr>
        <w:t>成回购注销；</w:t>
      </w:r>
      <w:r>
        <w:rPr>
          <w:rFonts w:ascii="宋体" w:hAnsi="宋体" w:cs="宋体" w:eastAsia="宋体" w:hint="default"/>
          <w:spacing w:val="-2"/>
        </w:rPr>
        <w:t>2016</w:t>
      </w:r>
      <w:r>
        <w:rPr>
          <w:spacing w:val="-2"/>
        </w:rPr>
        <w:t>年授予限制性股票本年确认股份支付成本费用</w:t>
      </w:r>
      <w:r>
        <w:rPr>
          <w:rFonts w:ascii="宋体" w:hAnsi="宋体" w:cs="宋体" w:eastAsia="宋体" w:hint="default"/>
          <w:spacing w:val="-2"/>
        </w:rPr>
        <w:t>15,152,200.00</w:t>
      </w:r>
      <w:r>
        <w:rPr>
          <w:spacing w:val="-2"/>
        </w:rPr>
        <w:t>元，增加其他</w:t>
      </w:r>
      <w:r>
        <w:rPr>
          <w:spacing w:val="-103"/>
        </w:rPr>
        <w:t> </w:t>
      </w:r>
      <w:r>
        <w:rPr>
          <w:spacing w:val="-103"/>
        </w:rPr>
      </w:r>
      <w:r>
        <w:rPr/>
        <w:t>资本公积；</w:t>
      </w:r>
      <w:r>
        <w:rPr>
          <w:rFonts w:ascii="宋体" w:hAnsi="宋体" w:cs="宋体" w:eastAsia="宋体" w:hint="default"/>
        </w:rPr>
        <w:t>2017</w:t>
      </w:r>
      <w:r>
        <w:rPr/>
        <w:t>年度股票期权行权结算其他资本公积转资本溢价</w:t>
      </w:r>
      <w:r>
        <w:rPr>
          <w:rFonts w:ascii="宋体" w:hAnsi="宋体" w:cs="宋体" w:eastAsia="宋体" w:hint="default"/>
        </w:rPr>
        <w:t>257,426.33</w:t>
      </w:r>
      <w:r>
        <w:rPr/>
        <w:t>元，行权的股本</w:t>
      </w:r>
      <w:r>
        <w:rPr>
          <w:spacing w:val="-88"/>
        </w:rPr>
        <w:t> </w:t>
      </w:r>
      <w:r>
        <w:rPr>
          <w:spacing w:val="-88"/>
        </w:rPr>
      </w:r>
      <w:r>
        <w:rPr/>
        <w:t>溢价</w:t>
      </w:r>
      <w:r>
        <w:rPr>
          <w:rFonts w:ascii="宋体" w:hAnsi="宋体" w:cs="宋体" w:eastAsia="宋体" w:hint="default"/>
        </w:rPr>
        <w:t>1,453,565.50</w:t>
      </w:r>
      <w:r>
        <w:rPr/>
        <w:t>元；</w:t>
      </w:r>
      <w:r>
        <w:rPr>
          <w:rFonts w:ascii="宋体" w:hAnsi="宋体" w:cs="宋体" w:eastAsia="宋体" w:hint="default"/>
        </w:rPr>
        <w:t>2017</w:t>
      </w:r>
      <w:r>
        <w:rPr/>
        <w:t>年</w:t>
      </w:r>
      <w:r>
        <w:rPr>
          <w:rFonts w:ascii="宋体" w:hAnsi="宋体" w:cs="宋体" w:eastAsia="宋体" w:hint="default"/>
        </w:rPr>
        <w:t>8</w:t>
      </w:r>
      <w:r>
        <w:rPr/>
        <w:t>月</w:t>
      </w:r>
      <w:r>
        <w:rPr>
          <w:rFonts w:ascii="宋体" w:hAnsi="宋体" w:cs="宋体" w:eastAsia="宋体" w:hint="default"/>
        </w:rPr>
        <w:t>21</w:t>
      </w:r>
      <w:r>
        <w:rPr/>
        <w:t>日，采用非公开发行方式公开发行人民币普通股（</w:t>
      </w:r>
      <w:r>
        <w:rPr>
          <w:rFonts w:ascii="宋体" w:hAnsi="宋体" w:cs="宋体" w:eastAsia="宋体" w:hint="default"/>
        </w:rPr>
        <w:t>A</w:t>
      </w:r>
      <w:r>
        <w:rPr/>
        <w:t>股）</w:t>
      </w:r>
      <w:r>
        <w:rPr>
          <w:spacing w:val="-84"/>
        </w:rPr>
        <w:t> </w:t>
      </w:r>
      <w:r>
        <w:rPr>
          <w:rFonts w:ascii="宋体" w:hAnsi="宋体" w:cs="宋体" w:eastAsia="宋体" w:hint="default"/>
        </w:rPr>
        <w:t>29,039,395.00</w:t>
      </w:r>
      <w:r>
        <w:rPr/>
        <w:t>股，每股面值人民币</w:t>
      </w:r>
      <w:r>
        <w:rPr>
          <w:rFonts w:ascii="宋体" w:hAnsi="宋体" w:cs="宋体" w:eastAsia="宋体" w:hint="default"/>
        </w:rPr>
        <w:t>1</w:t>
      </w:r>
      <w:r>
        <w:rPr/>
        <w:t>元，每股发行价格为人民币</w:t>
      </w:r>
      <w:r>
        <w:rPr>
          <w:rFonts w:ascii="宋体" w:hAnsi="宋体" w:cs="宋体" w:eastAsia="宋体" w:hint="default"/>
        </w:rPr>
        <w:t>18.53</w:t>
      </w:r>
      <w:r>
        <w:rPr/>
        <w:t>元。截至</w:t>
      </w:r>
      <w:r>
        <w:rPr>
          <w:rFonts w:ascii="宋体" w:hAnsi="宋体" w:cs="宋体" w:eastAsia="宋体" w:hint="default"/>
        </w:rPr>
        <w:t>2017</w:t>
      </w:r>
      <w:r>
        <w:rPr/>
        <w:t>年</w:t>
      </w:r>
      <w:r>
        <w:rPr>
          <w:rFonts w:ascii="宋体" w:hAnsi="宋体" w:cs="宋体" w:eastAsia="宋体" w:hint="default"/>
        </w:rPr>
        <w:t>7</w:t>
      </w:r>
      <w:r>
        <w:rPr/>
        <w:t>月</w:t>
      </w:r>
      <w:r>
        <w:rPr>
          <w:rFonts w:ascii="宋体" w:hAnsi="宋体" w:cs="宋体" w:eastAsia="宋体" w:hint="default"/>
        </w:rPr>
        <w:t>18</w:t>
      </w:r>
      <w:r>
        <w:rPr>
          <w:rFonts w:ascii="宋体" w:hAnsi="宋体" w:cs="宋体" w:eastAsia="宋体" w:hint="default"/>
          <w:spacing w:val="-84"/>
        </w:rPr>
        <w:t> </w:t>
      </w:r>
      <w:r>
        <w:rPr/>
        <w:t>日止，公司已收到投资者缴入的出资款人民币</w:t>
      </w:r>
      <w:r>
        <w:rPr>
          <w:rFonts w:ascii="宋体" w:hAnsi="宋体" w:cs="宋体" w:eastAsia="宋体" w:hint="default"/>
        </w:rPr>
        <w:t>538,099,989.35</w:t>
      </w:r>
      <w:r>
        <w:rPr/>
        <w:t>元，扣除发行费用后实际募集</w:t>
      </w:r>
      <w:r>
        <w:rPr>
          <w:spacing w:val="-89"/>
        </w:rPr>
        <w:t> </w:t>
      </w:r>
      <w:r>
        <w:rPr>
          <w:spacing w:val="-89"/>
        </w:rPr>
      </w:r>
      <w:r>
        <w:rPr>
          <w:spacing w:val="-2"/>
        </w:rPr>
        <w:t>资金净额人民币</w:t>
      </w:r>
      <w:r>
        <w:rPr>
          <w:rFonts w:ascii="宋体" w:hAnsi="宋体" w:cs="宋体" w:eastAsia="宋体" w:hint="default"/>
          <w:spacing w:val="-2"/>
        </w:rPr>
        <w:t>526,459,909.53</w:t>
      </w:r>
      <w:r>
        <w:rPr>
          <w:spacing w:val="-2"/>
        </w:rPr>
        <w:t>元，其中新增注册资本人民币</w:t>
      </w:r>
      <w:r>
        <w:rPr>
          <w:rFonts w:ascii="宋体" w:hAnsi="宋体" w:cs="宋体" w:eastAsia="宋体" w:hint="default"/>
          <w:spacing w:val="-2"/>
        </w:rPr>
        <w:t>29,039,395.00</w:t>
      </w:r>
      <w:r>
        <w:rPr>
          <w:spacing w:val="-2"/>
        </w:rPr>
        <w:t>元，余额人民币</w:t>
      </w:r>
      <w:r>
        <w:rPr>
          <w:spacing w:val="-94"/>
        </w:rPr>
        <w:t> </w:t>
      </w:r>
      <w:r>
        <w:rPr>
          <w:spacing w:val="-94"/>
        </w:rPr>
      </w:r>
      <w:r>
        <w:rPr>
          <w:rFonts w:ascii="宋体" w:hAnsi="宋体" w:cs="宋体" w:eastAsia="宋体" w:hint="default"/>
          <w:spacing w:val="2"/>
        </w:rPr>
        <w:t>497,420,514.53</w:t>
      </w:r>
      <w:r>
        <w:rPr>
          <w:spacing w:val="2"/>
        </w:rPr>
        <w:t>元转入资本公积</w:t>
      </w:r>
      <w:r>
        <w:rPr>
          <w:rFonts w:ascii="宋体" w:hAnsi="宋体" w:cs="宋体" w:eastAsia="宋体" w:hint="default"/>
          <w:spacing w:val="2"/>
        </w:rPr>
        <w:t>-</w:t>
      </w:r>
      <w:r>
        <w:rPr>
          <w:spacing w:val="2"/>
        </w:rPr>
        <w:t>资本溢价。本期购买保定金迪地下管线探测工程有限公司</w:t>
      </w:r>
      <w:r>
        <w:rPr/>
      </w:r>
    </w:p>
    <w:p>
      <w:pPr>
        <w:pStyle w:val="BodyText"/>
        <w:spacing w:line="357" w:lineRule="auto"/>
        <w:ind w:right="151"/>
        <w:jc w:val="both"/>
      </w:pPr>
      <w:r>
        <w:rPr/>
        <w:t>（以下简称“金迪管线”）、保定市金迪科技开发有限公司（以下简称“金迪科技”）、保</w:t>
      </w:r>
      <w:r>
        <w:rPr>
          <w:spacing w:val="-91"/>
        </w:rPr>
        <w:t> </w:t>
      </w:r>
      <w:r>
        <w:rPr>
          <w:spacing w:val="-91"/>
        </w:rPr>
      </w:r>
      <w:r>
        <w:rPr/>
        <w:t>定</w:t>
      </w:r>
      <w:r>
        <w:rPr>
          <w:spacing w:val="-90"/>
        </w:rPr>
        <w:t> </w:t>
      </w:r>
      <w:r>
        <w:rPr/>
        <w:t>金</w:t>
      </w:r>
      <w:r>
        <w:rPr>
          <w:spacing w:val="-90"/>
        </w:rPr>
        <w:t> </w:t>
      </w:r>
      <w:r>
        <w:rPr>
          <w:spacing w:val="14"/>
        </w:rPr>
        <w:t>迪科</w:t>
      </w:r>
      <w:r>
        <w:rPr>
          <w:spacing w:val="-90"/>
        </w:rPr>
        <w:t> </w:t>
      </w:r>
      <w:r>
        <w:rPr/>
        <w:t>学</w:t>
      </w:r>
      <w:r>
        <w:rPr>
          <w:spacing w:val="-90"/>
        </w:rPr>
        <w:t> </w:t>
      </w:r>
      <w:r>
        <w:rPr>
          <w:spacing w:val="14"/>
        </w:rPr>
        <w:t>仪器</w:t>
      </w:r>
      <w:r>
        <w:rPr>
          <w:spacing w:val="-90"/>
        </w:rPr>
        <w:t> </w:t>
      </w:r>
      <w:r>
        <w:rPr>
          <w:spacing w:val="18"/>
        </w:rPr>
        <w:t>有限公</w:t>
      </w:r>
      <w:r>
        <w:rPr>
          <w:spacing w:val="-90"/>
        </w:rPr>
        <w:t> </w:t>
      </w:r>
      <w:r>
        <w:rPr/>
        <w:t>司</w:t>
      </w:r>
      <w:r>
        <w:rPr>
          <w:spacing w:val="-90"/>
        </w:rPr>
        <w:t> </w:t>
      </w:r>
      <w:r>
        <w:rPr/>
        <w:t>（</w:t>
      </w:r>
      <w:r>
        <w:rPr>
          <w:spacing w:val="-92"/>
        </w:rPr>
        <w:t> </w:t>
      </w:r>
      <w:r>
        <w:rPr/>
        <w:t>以</w:t>
      </w:r>
      <w:r>
        <w:rPr>
          <w:spacing w:val="-90"/>
        </w:rPr>
        <w:t> </w:t>
      </w:r>
      <w:r>
        <w:rPr/>
        <w:t>下</w:t>
      </w:r>
      <w:r>
        <w:rPr>
          <w:spacing w:val="-90"/>
        </w:rPr>
        <w:t> </w:t>
      </w:r>
      <w:r>
        <w:rPr>
          <w:spacing w:val="14"/>
        </w:rPr>
        <w:t>简称</w:t>
      </w:r>
      <w:r>
        <w:rPr>
          <w:spacing w:val="-90"/>
        </w:rPr>
        <w:t> </w:t>
      </w:r>
      <w:r>
        <w:rPr/>
        <w:t>“</w:t>
      </w:r>
      <w:r>
        <w:rPr>
          <w:spacing w:val="-92"/>
        </w:rPr>
        <w:t> </w:t>
      </w:r>
      <w:r>
        <w:rPr>
          <w:spacing w:val="14"/>
        </w:rPr>
        <w:t>金迪</w:t>
      </w:r>
      <w:r>
        <w:rPr>
          <w:spacing w:val="-90"/>
        </w:rPr>
        <w:t> </w:t>
      </w:r>
      <w:r>
        <w:rPr/>
        <w:t>科</w:t>
      </w:r>
      <w:r>
        <w:rPr>
          <w:spacing w:val="-90"/>
        </w:rPr>
        <w:t> </w:t>
      </w:r>
      <w:r>
        <w:rPr>
          <w:spacing w:val="14"/>
        </w:rPr>
        <w:t>仪”</w:t>
      </w:r>
      <w:r>
        <w:rPr>
          <w:spacing w:val="-90"/>
        </w:rPr>
        <w:t> </w:t>
      </w:r>
      <w:r>
        <w:rPr/>
        <w:t>）</w:t>
      </w:r>
      <w:r>
        <w:rPr>
          <w:spacing w:val="-83"/>
        </w:rPr>
        <w:t> </w:t>
      </w:r>
      <w:r>
        <w:rPr>
          <w:rFonts w:ascii="宋体" w:hAnsi="宋体" w:cs="宋体" w:eastAsia="宋体" w:hint="default"/>
        </w:rPr>
        <w:t>25.00%</w:t>
      </w:r>
      <w:r>
        <w:rPr>
          <w:rFonts w:ascii="宋体" w:hAnsi="宋体" w:cs="宋体" w:eastAsia="宋体" w:hint="default"/>
          <w:spacing w:val="-92"/>
        </w:rPr>
        <w:t> </w:t>
      </w:r>
      <w:r>
        <w:rPr>
          <w:spacing w:val="14"/>
        </w:rPr>
        <w:t>少数</w:t>
      </w:r>
      <w:r>
        <w:rPr>
          <w:spacing w:val="-90"/>
        </w:rPr>
        <w:t> </w:t>
      </w:r>
      <w:r>
        <w:rPr/>
        <w:t>股</w:t>
      </w:r>
      <w:r>
        <w:rPr>
          <w:spacing w:val="-90"/>
        </w:rPr>
        <w:t> </w:t>
      </w:r>
      <w:r>
        <w:rPr>
          <w:spacing w:val="14"/>
        </w:rPr>
        <w:t>权减</w:t>
      </w:r>
      <w:r>
        <w:rPr>
          <w:spacing w:val="-90"/>
        </w:rPr>
        <w:t> </w:t>
      </w:r>
      <w:r>
        <w:rPr/>
        <w:t>少</w:t>
      </w:r>
      <w:r>
        <w:rPr>
          <w:spacing w:val="-90"/>
        </w:rPr>
        <w:t> </w:t>
      </w:r>
      <w:r>
        <w:rPr>
          <w:spacing w:val="14"/>
        </w:rPr>
        <w:t>资本</w:t>
      </w:r>
      <w:r>
        <w:rPr>
          <w:spacing w:val="-90"/>
        </w:rPr>
        <w:t> </w:t>
      </w:r>
      <w:r>
        <w:rPr/>
        <w:t>溢</w:t>
      </w:r>
      <w:r>
        <w:rPr>
          <w:spacing w:val="-90"/>
        </w:rPr>
        <w:t> </w:t>
      </w:r>
      <w:r>
        <w:rPr/>
        <w:t>价</w:t>
      </w:r>
      <w:r>
        <w:rPr/>
        <w:t> </w:t>
      </w:r>
      <w:r>
        <w:rPr>
          <w:rFonts w:ascii="宋体" w:hAnsi="宋体" w:cs="宋体" w:eastAsia="宋体" w:hint="default"/>
          <w:spacing w:val="-2"/>
        </w:rPr>
        <w:t>88,932,241.61</w:t>
      </w:r>
      <w:r>
        <w:rPr>
          <w:spacing w:val="-2"/>
        </w:rPr>
        <w:t>元。</w:t>
      </w:r>
      <w:r>
        <w:rPr>
          <w:rFonts w:ascii="宋体" w:hAnsi="宋体" w:cs="宋体" w:eastAsia="宋体" w:hint="default"/>
          <w:spacing w:val="-2"/>
        </w:rPr>
        <w:t>2017</w:t>
      </w:r>
      <w:r>
        <w:rPr>
          <w:spacing w:val="-2"/>
        </w:rPr>
        <w:t>年福州云和方圆投资合伙企业（有限合伙）向北京通通易联科技有限</w:t>
      </w:r>
      <w:r>
        <w:rPr>
          <w:spacing w:val="-104"/>
        </w:rPr>
        <w:t> </w:t>
      </w:r>
      <w:r>
        <w:rPr>
          <w:spacing w:val="-104"/>
        </w:rPr>
      </w:r>
      <w:r>
        <w:rPr/>
        <w:t>公司进行增资，本公司持股比例下降，由此产生的享有净资产份额的差异</w:t>
      </w:r>
      <w:r>
        <w:rPr>
          <w:rFonts w:ascii="宋体" w:hAnsi="宋体" w:cs="宋体" w:eastAsia="宋体" w:hint="default"/>
        </w:rPr>
        <w:t>4,965,027.19</w:t>
      </w:r>
      <w:r>
        <w:rPr/>
        <w:t>元计</w:t>
      </w:r>
      <w:r>
        <w:rPr>
          <w:spacing w:val="-83"/>
        </w:rPr>
        <w:t> </w:t>
      </w:r>
      <w:r>
        <w:rPr/>
        <w:t>入资本公积</w:t>
      </w:r>
      <w:r>
        <w:rPr>
          <w:rFonts w:ascii="宋体" w:hAnsi="宋体" w:cs="宋体" w:eastAsia="宋体" w:hint="default"/>
        </w:rPr>
        <w:t>-</w:t>
      </w:r>
      <w:r>
        <w:rPr/>
        <w:t>其他资本公积。</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35</w:t>
      </w:r>
      <w:r>
        <w:rPr>
          <w:rFonts w:ascii="宋体" w:hAnsi="宋体" w:cs="宋体" w:eastAsia="宋体" w:hint="default"/>
          <w:b/>
          <w:bCs/>
          <w:sz w:val="21"/>
          <w:szCs w:val="21"/>
        </w:rPr>
        <w:t>、库存股</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为奖励职工而收购的本 公司股份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104,720,400.00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29,113,775.00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75,606,625.00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104,720,400.00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29,113,775.00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75,606,625.00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357" w:lineRule="auto" w:before="145"/>
        <w:ind w:right="151" w:firstLine="482"/>
        <w:jc w:val="both"/>
      </w:pPr>
      <w:r>
        <w:rPr/>
        <w:t>注：</w:t>
      </w:r>
      <w:r>
        <w:rPr>
          <w:rFonts w:ascii="宋体" w:hAnsi="宋体" w:cs="宋体" w:eastAsia="宋体" w:hint="default"/>
        </w:rPr>
        <w:t>2017</w:t>
      </w:r>
      <w:r>
        <w:rPr/>
        <w:t>年度激励对象刘一、吴疆、杨波、韩锁因个人原因已离职，不具备本次限制性 </w:t>
      </w:r>
      <w:r>
        <w:rPr>
          <w:spacing w:val="-2"/>
        </w:rPr>
        <w:t>股票激励计划激励对象资格，对上述</w:t>
      </w:r>
      <w:r>
        <w:rPr>
          <w:rFonts w:ascii="宋体" w:hAnsi="宋体" w:cs="宋体" w:eastAsia="宋体" w:hint="default"/>
          <w:spacing w:val="-2"/>
        </w:rPr>
        <w:t>4</w:t>
      </w:r>
      <w:r>
        <w:rPr>
          <w:spacing w:val="-2"/>
        </w:rPr>
        <w:t>人已获授但尚未解锁的限制性股票合计</w:t>
      </w:r>
      <w:r>
        <w:rPr>
          <w:rFonts w:ascii="宋体" w:hAnsi="宋体" w:cs="宋体" w:eastAsia="宋体" w:hint="default"/>
          <w:spacing w:val="-2"/>
        </w:rPr>
        <w:t>235,000.00</w:t>
      </w:r>
      <w:r>
        <w:rPr>
          <w:spacing w:val="-2"/>
        </w:rPr>
        <w:t>股进</w:t>
      </w:r>
      <w:r>
        <w:rPr>
          <w:spacing w:val="-108"/>
        </w:rPr>
        <w:t> </w:t>
      </w:r>
      <w:r>
        <w:rPr/>
        <w:t>行回购注销，占本公司已发行限制性股票的总比例为</w:t>
      </w:r>
      <w:r>
        <w:rPr>
          <w:rFonts w:ascii="宋体" w:hAnsi="宋体" w:cs="宋体" w:eastAsia="宋体" w:hint="default"/>
        </w:rPr>
        <w:t>2.35%</w:t>
      </w:r>
      <w:r>
        <w:rPr/>
        <w:t>。</w:t>
      </w:r>
    </w:p>
    <w:p>
      <w:pPr>
        <w:spacing w:after="0" w:line="357" w:lineRule="auto"/>
        <w:jc w:val="both"/>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36</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63,424,623.62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12,837,165.66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76,261,789.28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63,424,623.62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12,837,165.66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76,261,789.28</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pStyle w:val="BodyText"/>
        <w:spacing w:line="357" w:lineRule="auto" w:before="145"/>
        <w:ind w:right="149" w:firstLine="482"/>
        <w:jc w:val="left"/>
      </w:pPr>
      <w:r>
        <w:rPr>
          <w:spacing w:val="-3"/>
        </w:rPr>
        <w:t>注：根据《公司法》、公司章程的规定，本公司按净利润的</w:t>
      </w:r>
      <w:r>
        <w:rPr>
          <w:rFonts w:ascii="宋体" w:hAnsi="宋体" w:cs="宋体" w:eastAsia="宋体" w:hint="default"/>
          <w:spacing w:val="-3"/>
        </w:rPr>
        <w:t>10%</w:t>
      </w:r>
      <w:r>
        <w:rPr>
          <w:spacing w:val="-3"/>
        </w:rPr>
        <w:t>提取法定盈余公积。法定</w:t>
      </w:r>
      <w:r>
        <w:rPr/>
        <w:t> 盈余公积累计额达到本公司注册资本</w:t>
      </w:r>
      <w:r>
        <w:rPr>
          <w:rFonts w:ascii="宋体" w:hAnsi="宋体" w:cs="宋体" w:eastAsia="宋体" w:hint="default"/>
        </w:rPr>
        <w:t>50%</w:t>
      </w:r>
      <w:r>
        <w:rPr/>
        <w:t>以上的，不再提取。</w:t>
      </w:r>
    </w:p>
    <w:p>
      <w:pPr>
        <w:spacing w:line="240" w:lineRule="auto" w:before="11"/>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37</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501,844,043.18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395,911,324.02</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501,844,043.18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395,911,324.02</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169,594,871.96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131,364,945.12</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12,837,165.66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10,128,796.12</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11,866,263.35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15,303,429.84</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646,735,486.13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501,844,043.18</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38</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43"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4"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1,194,528,911.52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775,022,049.81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959,206,457.64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609,989,089.49</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8,448,062.34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5,075,968.37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8,129,608.65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4,120,583.95</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1,202,976,973.86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780,098,018.18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967,336,066.29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614,109,673.44</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39</w:t>
      </w:r>
      <w:r>
        <w:rPr>
          <w:rFonts w:ascii="宋体" w:hAnsi="宋体" w:cs="宋体" w:eastAsia="宋体" w:hint="default"/>
          <w:b/>
          <w:bCs/>
          <w:sz w:val="21"/>
          <w:szCs w:val="21"/>
        </w:rPr>
        <w:t>、税金及附加</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5,517,963.97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4,024,804.91</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2,366,859.78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1,751,839.02</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1,716,802.12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399,517.71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67,313.80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41,481.60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29,952.91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8,950.20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749,153.61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788,469.16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1,577,353.16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1,114,348.65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249,070.57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872,380.60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271,139.91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12,897,779.95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8,649,621.73</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67"/>
        <w:ind w:right="153"/>
        <w:jc w:val="left"/>
      </w:pPr>
      <w:r>
        <w:rPr/>
        <w:t>各项税金及附加的计缴标准详见附注五、税项。</w:t>
      </w:r>
    </w:p>
    <w:p>
      <w:pPr>
        <w:spacing w:line="240" w:lineRule="auto" w:before="12"/>
        <w:rPr>
          <w:rFonts w:ascii="宋体" w:hAnsi="宋体" w:cs="宋体" w:eastAsia="宋体" w:hint="default"/>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40</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25,190,272.26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25,200,158.44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24,130,095.23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19,526,233.39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7,348,804.44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6,942,751.48</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6,956,815.45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5,383,760.94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3,468,342.12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2,503,520.41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维保费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3,383,298.31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1,890,000.00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1,743,123.96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1,637,858.28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1,211,864.79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1,122,140.35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验收费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908,575.00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580,339.29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1,137,808.76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465,093.81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3,863,968.93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2,747,653.53</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79,342,969.25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67,999,509.92</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31,925,657.90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31,611,526.38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29,975,049.21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26,003,431.61</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28,905,736.26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24,150,691.28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股份支付成本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15,152,200.00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14,524,509.00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办公厂租物业费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10,092,894.54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9,072,896.56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3,549,854.71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4,477,718.30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4,015,668.73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4,024,188.23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3,351,891.52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2,656,791.09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3,703,635.09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2,396,135.56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1,010,670.81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1,140,599.53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8,501,173.31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10,617,098.13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140,184,432.08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130,675,585.67</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42</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5,250,412.80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9,989,446.03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6,175,377.12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5,716,797.00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减：利息资本化金额</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减：汇兑损益资本化金额</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415,348.76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182,790.46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-5,540,546.25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-5,840,715.55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-6,050,159.05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-1,385,276.06</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43</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41,006,946.75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20,110,766.17</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2,782,199.75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43,789,146.50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20,110,766.17</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44</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61"/>
        <w:gridCol w:w="3190"/>
        <w:gridCol w:w="2907"/>
      </w:tblGrid>
      <w:tr>
        <w:trPr>
          <w:trHeight w:val="401"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462"/>
        <w:gridCol w:w="3190"/>
        <w:gridCol w:w="2919"/>
      </w:tblGrid>
      <w:tr>
        <w:trPr>
          <w:trHeight w:val="401"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2,114,291.24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-1,157,799.89</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14,757,042.38</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3,000.00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46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85"/>
              <w:jc w:val="left"/>
              <w:rPr>
                <w:rFonts w:ascii="宋体" w:hAnsi="宋体" w:cs="宋体" w:eastAsia="宋体" w:hint="default"/>
                <w:sz w:val="18"/>
                <w:szCs w:val="18"/>
              </w:rPr>
            </w:pPr>
            <w:r>
              <w:rPr>
                <w:rFonts w:ascii="宋体" w:hAnsi="宋体" w:cs="宋体" w:eastAsia="宋体" w:hint="default"/>
                <w:sz w:val="18"/>
                <w:szCs w:val="18"/>
              </w:rPr>
              <w:t>购买日之前原持有股权按照公允价值重新 计量产生的利得或损失</w:t>
            </w:r>
          </w:p>
        </w:tc>
        <w:tc>
          <w:tcPr>
            <w:tcW w:w="3190"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-7,375,108.21</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16,874,333.62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-8,532,908.10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45</w:t>
      </w:r>
      <w:r>
        <w:rPr>
          <w:rFonts w:ascii="宋体" w:hAnsi="宋体" w:cs="宋体" w:eastAsia="宋体" w:hint="default"/>
          <w:b/>
          <w:bCs/>
          <w:sz w:val="21"/>
          <w:szCs w:val="21"/>
        </w:rPr>
        <w:t>、资产处置收益</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2"/>
              <w:jc w:val="center"/>
              <w:rPr>
                <w:rFonts w:ascii="宋体" w:hAnsi="宋体" w:cs="宋体" w:eastAsia="宋体" w:hint="default"/>
                <w:sz w:val="18"/>
                <w:szCs w:val="18"/>
              </w:rPr>
            </w:pPr>
            <w:r>
              <w:rPr>
                <w:rFonts w:ascii="宋体" w:hAnsi="宋体" w:cs="宋体" w:eastAsia="宋体" w:hint="default"/>
                <w:sz w:val="18"/>
                <w:szCs w:val="18"/>
              </w:rPr>
              <w:t>处置固定资产而产生的处置利得或损失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70,666.28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207,460.15</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46</w:t>
      </w:r>
      <w:r>
        <w:rPr>
          <w:rFonts w:ascii="宋体" w:hAnsi="宋体" w:cs="宋体" w:eastAsia="宋体" w:hint="default"/>
          <w:b/>
          <w:bCs/>
          <w:sz w:val="21"/>
          <w:szCs w:val="21"/>
        </w:rPr>
        <w:t>、其他收益</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增值税先征后退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30,962,925.75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社保补贴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847,764.47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办公用房租金补贴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326,000.00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z w:val="18"/>
                <w:szCs w:val="18"/>
              </w:rPr>
              <w:t>基于大数据技术的城市公共管理服务平 台</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33,723.93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96"/>
              <w:jc w:val="left"/>
              <w:rPr>
                <w:rFonts w:ascii="宋体" w:hAnsi="宋体" w:cs="宋体" w:eastAsia="宋体" w:hint="default"/>
                <w:sz w:val="18"/>
                <w:szCs w:val="18"/>
              </w:rPr>
            </w:pPr>
            <w:r>
              <w:rPr>
                <w:rFonts w:ascii="宋体" w:hAnsi="宋体" w:cs="宋体" w:eastAsia="宋体" w:hint="default"/>
                <w:sz w:val="18"/>
                <w:szCs w:val="18"/>
              </w:rPr>
              <w:t>基于卫星导航技术的网格化城市管理综 合应用服务平台</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73,075.54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tabs>
                <w:tab w:pos="566" w:val="left" w:leader="none"/>
              </w:tabs>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32,243,489.69</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47</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71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715"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2"/>
              <w:jc w:val="left"/>
              <w:rPr>
                <w:rFonts w:ascii="宋体" w:hAnsi="宋体" w:cs="宋体" w:eastAsia="宋体" w:hint="default"/>
                <w:sz w:val="18"/>
                <w:szCs w:val="18"/>
              </w:rPr>
            </w:pPr>
            <w:r>
              <w:rPr>
                <w:rFonts w:ascii="宋体" w:hAnsi="宋体" w:cs="宋体" w:eastAsia="宋体" w:hint="default"/>
                <w:sz w:val="18"/>
                <w:szCs w:val="18"/>
              </w:rPr>
              <w:t>与企业日常活动无关的政府 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3,851,286.93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36,486,992.31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3,851,286.93</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34,298.23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207,761.54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34,298.23</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3,885,585.16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36,694,753.85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3,885,585.16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48</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21,964.69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19,365.19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21,964.69</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48,773.22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99,694.25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48,773.22</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其他支出</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10,973.69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2,693.73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10,973.69</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w w:val="95"/>
                <w:sz w:val="18"/>
              </w:rPr>
              <w:t>81,711.60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121,753.17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81,711.60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49</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）所得税费用表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32,298,569.35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21,984,313.98</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-11,048,818.05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-8,643,794.40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21,249,751.30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13,340,519.58</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）会计利润与所得税费用调整过程</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57"/>
        <w:gridCol w:w="4802"/>
      </w:tblGrid>
      <w:tr>
        <w:trPr>
          <w:trHeight w:val="401"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205,707,150.10</w:t>
            </w:r>
          </w:p>
        </w:tc>
      </w:tr>
      <w:tr>
        <w:trPr>
          <w:trHeight w:val="401"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30,856,072.53</w:t>
            </w:r>
          </w:p>
        </w:tc>
      </w:tr>
      <w:tr>
        <w:trPr>
          <w:trHeight w:val="40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-121,464.84</w:t>
            </w:r>
          </w:p>
        </w:tc>
      </w:tr>
      <w:tr>
        <w:trPr>
          <w:trHeight w:val="401"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-5,962,145.43</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-326,223.97</w:t>
            </w:r>
          </w:p>
        </w:tc>
      </w:tr>
      <w:tr>
        <w:trPr>
          <w:trHeight w:val="401"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735,437.32</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-26,636.54</w:t>
            </w:r>
          </w:p>
        </w:tc>
      </w:tr>
      <w:tr>
        <w:trPr>
          <w:trHeight w:val="713"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106,638.41</w:t>
            </w:r>
          </w:p>
        </w:tc>
      </w:tr>
      <w:tr>
        <w:trPr>
          <w:trHeight w:val="403"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税率调整导致年初递延所得税资产</w:t>
            </w:r>
            <w:r>
              <w:rPr>
                <w:rFonts w:ascii="Times New Roman" w:hAnsi="Times New Roman" w:cs="Times New Roman" w:eastAsia="Times New Roman" w:hint="default"/>
                <w:sz w:val="18"/>
                <w:szCs w:val="18"/>
              </w:rPr>
              <w:t>/</w:t>
            </w:r>
            <w:r>
              <w:rPr>
                <w:rFonts w:ascii="宋体" w:hAnsi="宋体" w:cs="宋体" w:eastAsia="宋体" w:hint="default"/>
                <w:sz w:val="18"/>
                <w:szCs w:val="18"/>
              </w:rPr>
              <w:t>负债余额的变化</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-985,028.71</w:t>
            </w:r>
          </w:p>
        </w:tc>
      </w:tr>
      <w:tr>
        <w:trPr>
          <w:trHeight w:val="401"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额外可扣除费用的影响</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-3,026,897.47</w:t>
            </w:r>
          </w:p>
        </w:tc>
      </w:tr>
      <w:tr>
        <w:trPr>
          <w:trHeight w:val="40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21,249,751.30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50</w:t>
      </w:r>
      <w:r>
        <w:rPr>
          <w:rFonts w:ascii="宋体" w:hAnsi="宋体" w:cs="宋体" w:eastAsia="宋体" w:hint="default"/>
          <w:b/>
          <w:bCs/>
          <w:sz w:val="21"/>
          <w:szCs w:val="21"/>
        </w:rPr>
        <w:t>、现金流量表项目</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投标保证金、押金及个人备用金等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89,345,986.34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22"/>
              <w:jc w:val="right"/>
              <w:rPr>
                <w:rFonts w:ascii="Times New Roman" w:hAnsi="Times New Roman" w:cs="Times New Roman" w:eastAsia="Times New Roman" w:hint="default"/>
                <w:sz w:val="18"/>
                <w:szCs w:val="18"/>
              </w:rPr>
            </w:pPr>
            <w:r>
              <w:rPr>
                <w:rFonts w:ascii="Times New Roman"/>
                <w:spacing w:val="-1"/>
                <w:sz w:val="18"/>
              </w:rPr>
              <w:t>69,987,516.80</w:t>
            </w:r>
          </w:p>
        </w:tc>
      </w:tr>
      <w:tr>
        <w:trPr>
          <w:trHeight w:val="49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24" w:right="0"/>
              <w:jc w:val="left"/>
              <w:rPr>
                <w:rFonts w:ascii="宋体" w:hAnsi="宋体" w:cs="宋体" w:eastAsia="宋体" w:hint="default"/>
                <w:sz w:val="18"/>
                <w:szCs w:val="18"/>
              </w:rPr>
            </w:pPr>
            <w:r>
              <w:rPr>
                <w:rFonts w:ascii="宋体" w:hAnsi="宋体" w:cs="宋体" w:eastAsia="宋体" w:hint="default"/>
                <w:sz w:val="18"/>
                <w:szCs w:val="18"/>
              </w:rPr>
              <w:t>代收代扣款项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5,549,701.72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22"/>
              <w:jc w:val="right"/>
              <w:rPr>
                <w:rFonts w:ascii="Times New Roman" w:hAnsi="Times New Roman" w:cs="Times New Roman" w:eastAsia="Times New Roman" w:hint="default"/>
                <w:sz w:val="18"/>
                <w:szCs w:val="18"/>
              </w:rPr>
            </w:pPr>
            <w:r>
              <w:rPr>
                <w:rFonts w:ascii="Times New Roman"/>
                <w:spacing w:val="-1"/>
                <w:sz w:val="18"/>
              </w:rPr>
              <w:t>17,920,836.88</w:t>
            </w:r>
          </w:p>
        </w:tc>
      </w:tr>
      <w:tr>
        <w:trPr>
          <w:trHeight w:val="49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6,175,329.50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1"/>
              <w:jc w:val="right"/>
              <w:rPr>
                <w:rFonts w:ascii="Times New Roman" w:hAnsi="Times New Roman" w:cs="Times New Roman" w:eastAsia="Times New Roman" w:hint="default"/>
                <w:sz w:val="18"/>
                <w:szCs w:val="18"/>
              </w:rPr>
            </w:pPr>
            <w:r>
              <w:rPr>
                <w:rFonts w:ascii="Times New Roman"/>
                <w:spacing w:val="-1"/>
                <w:sz w:val="18"/>
              </w:rPr>
              <w:t>5,716,797.00</w:t>
            </w:r>
          </w:p>
        </w:tc>
      </w:tr>
      <w:tr>
        <w:trPr>
          <w:trHeight w:val="49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除税费返还外的其他政府补助收入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5,025,051.40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1"/>
              <w:jc w:val="right"/>
              <w:rPr>
                <w:rFonts w:ascii="Times New Roman" w:hAnsi="Times New Roman" w:cs="Times New Roman" w:eastAsia="Times New Roman" w:hint="default"/>
                <w:sz w:val="18"/>
                <w:szCs w:val="18"/>
              </w:rPr>
            </w:pPr>
            <w:r>
              <w:rPr>
                <w:rFonts w:ascii="Times New Roman"/>
                <w:spacing w:val="-1"/>
                <w:sz w:val="18"/>
              </w:rPr>
              <w:t>3,103,361.87</w:t>
            </w:r>
          </w:p>
        </w:tc>
      </w:tr>
      <w:tr>
        <w:trPr>
          <w:trHeight w:val="49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104,492.75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1"/>
              <w:jc w:val="right"/>
              <w:rPr>
                <w:rFonts w:ascii="Times New Roman" w:hAnsi="Times New Roman" w:cs="Times New Roman" w:eastAsia="Times New Roman" w:hint="default"/>
                <w:sz w:val="18"/>
                <w:szCs w:val="18"/>
              </w:rPr>
            </w:pPr>
            <w:r>
              <w:rPr>
                <w:rFonts w:ascii="Times New Roman"/>
                <w:spacing w:val="-1"/>
                <w:sz w:val="18"/>
              </w:rPr>
              <w:t>593,052.24</w:t>
            </w:r>
          </w:p>
        </w:tc>
      </w:tr>
      <w:tr>
        <w:trPr>
          <w:trHeight w:val="49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1,135,964.59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21"/>
              <w:jc w:val="right"/>
              <w:rPr>
                <w:rFonts w:ascii="Times New Roman" w:hAnsi="Times New Roman" w:cs="Times New Roman" w:eastAsia="Times New Roman" w:hint="default"/>
                <w:sz w:val="18"/>
                <w:szCs w:val="18"/>
              </w:rPr>
            </w:pPr>
            <w:r>
              <w:rPr>
                <w:rFonts w:ascii="Times New Roman"/>
                <w:spacing w:val="-1"/>
                <w:sz w:val="18"/>
              </w:rPr>
              <w:t>1,584,674.11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107,336,526.30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98,906,238.90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投标保证金、押金及个人备用金等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135,114,033.28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60,723,042.39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29,584,399.28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34,375,869.14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代收代扣款项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6,077,384.98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19,895,000.00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7,480,551.09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13,994,583.58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24,003,757.00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13,581,593.58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办公厂租物业费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8,621,794.21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10,549,580.58</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招待费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9,841,325.91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9,062,902.49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3,028,916.59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3,203,570.73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中介机构服务费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3,614,362.03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2,304,970.52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2,280,057.82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1,705,693.34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8,585,263.33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6,920,400.65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238,231,845.52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176,317,207.00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r>
        <w:rPr/>
        <w:pict>
          <v:group style="position:absolute;margin-left:223.369995pt;margin-top:718.716003pt;width:151.25pt;height:40.85pt;mso-position-horizontal-relative:page;mso-position-vertical-relative:page;z-index:-868576" coordorigin="4467,14374" coordsize="3025,817">
            <v:group style="position:absolute;left:4478;top:14385;width:2;height:395" coordorigin="4478,14385" coordsize="2,395">
              <v:shape style="position:absolute;left:4478;top:14385;width:2;height:395" coordorigin="4478,14385" coordsize="0,395" path="m4478,14385l4478,14779e" filled="false" stroked="true" strokeweight="1.08pt" strokecolor="#ffffff">
                <v:path arrowok="t"/>
              </v:shape>
            </v:group>
            <v:group style="position:absolute;left:4489;top:14385;width:3003;height:395" coordorigin="4489,14385" coordsize="3003,395">
              <v:shape style="position:absolute;left:4489;top:14385;width:3003;height:395" coordorigin="4489,14385" coordsize="3003,395" path="m4489,14779l7492,14779,7492,14385,4489,14385,4489,14779xe" filled="true" fillcolor="#ffffff" stroked="false">
                <v:path arrowok="t"/>
                <v:fill type="solid"/>
              </v:shape>
            </v:group>
            <v:group style="position:absolute;left:4478;top:14789;width:2;height:392" coordorigin="4478,14789" coordsize="2,392">
              <v:shape style="position:absolute;left:4478;top:14789;width:2;height:392" coordorigin="4478,14789" coordsize="0,392" path="m4478,14789l4478,15180e" filled="false" stroked="true" strokeweight="1.08pt" strokecolor="#ffffff">
                <v:path arrowok="t"/>
              </v:shape>
            </v:group>
            <v:group style="position:absolute;left:4489;top:14789;width:3003;height:392" coordorigin="4489,14789" coordsize="3003,392">
              <v:shape style="position:absolute;left:4489;top:14789;width:3003;height:392" coordorigin="4489,14789" coordsize="3003,392" path="m4489,15180l7492,15180,7492,14789,4489,14789,4489,15180xe" filled="true" fillcolor="#ffffff" stroked="false">
                <v:path arrowok="t"/>
                <v:fill type="solid"/>
              </v:shape>
            </v:group>
            <w10:wrap type="none"/>
          </v:group>
        </w:pict>
      </w: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取得子公司收到的现金净额</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15,687,395.22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15,687,395.22</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支付购买少数股权款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5,121,792.88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支付以前年度收购金迪投资款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36,725,000.00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回购本公司限制性股票支付的现金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3,957,628.08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非公开发行验资费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分红派息手续费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35,598.79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110,818,226.87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5,121,792.88</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51</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184,457,398.80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142,083,218.57</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43,789,146.50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20,110,766.17</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12,957,247.37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14,143,610.46</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30,018,216.21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26,003,431.61</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950,308.49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1,032,122.22</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-70,666.28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-207,460.15</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48,773.22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99,694.25</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-290,133.45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4,148,730.48</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-16,874,333.62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8,532,908.10</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tabs>
                <w:tab w:pos="2022" w:val="left" w:leader="none"/>
              </w:tabs>
              <w:spacing w:line="240" w:lineRule="auto" w:before="49"/>
              <w:ind w:left="-120"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-9,146,461.16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-6,172,642.71</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tabs>
                <w:tab w:pos="2022" w:val="left" w:leader="none"/>
              </w:tabs>
              <w:spacing w:line="240" w:lineRule="auto" w:before="49"/>
              <w:ind w:left="-120"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-1,902,356.89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-2,471,151.69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-17,099,866.13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-121,457,332.06</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-444,433,527.82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-296,204,767.35</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181,558,464.86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233,325,907.03</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-36,037,789.90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22,967,034.93</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12"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05" w:type="dxa"/>
            <w:vMerge/>
            <w:tcBorders>
              <w:left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74"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2"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474"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679,981,956.46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398,193,141.60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398,193,141.60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575,337,088.95</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281,788,814.86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-177,143,947.35</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679,981,956.46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398,193,141.60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101,215.43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142,838.49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669,880,741.03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398,050,303.11</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679,981,956.46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398,193,141.60</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66"/>
        <w:ind w:left="633" w:right="153"/>
        <w:jc w:val="left"/>
      </w:pPr>
      <w:r>
        <w:rPr/>
        <w:t>现金和现金等价物不含母公司或集团内子公司使用受限制的现金和现金等价物。</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52</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94"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14,693,817.41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17,492,399.60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5,212,098.67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8,357,370.74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45,755,686.42</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2"/>
        <w:spacing w:line="240" w:lineRule="auto" w:before="26"/>
        <w:ind w:right="96"/>
        <w:jc w:val="left"/>
        <w:rPr>
          <w:b w:val="0"/>
          <w:bCs w:val="0"/>
        </w:rPr>
      </w:pPr>
      <w:r>
        <w:rPr/>
        <w:t>八、合并范围的变更</w:t>
      </w:r>
      <w:r>
        <w:rPr>
          <w:b w:val="0"/>
          <w:bCs w:val="0"/>
        </w:rPr>
      </w:r>
    </w:p>
    <w:p>
      <w:pPr>
        <w:spacing w:line="240" w:lineRule="auto" w:before="12"/>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、处置子公司</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38" w:lineRule="auto" w:before="117"/>
        <w:ind w:left="152" w:right="40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是否存在通过多次交易分步处置对子公司投资且在本期丧失控制权的情形</w:t>
      </w:r>
    </w:p>
    <w:p>
      <w:pPr>
        <w:spacing w:before="43"/>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2"/>
        <w:rPr>
          <w:rFonts w:ascii="宋体" w:hAnsi="宋体" w:cs="宋体" w:eastAsia="宋体" w:hint="default"/>
          <w:sz w:val="26"/>
          <w:szCs w:val="26"/>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96" w:firstLine="480"/>
        <w:jc w:val="left"/>
      </w:pPr>
      <w:r>
        <w:rPr/>
        <w:t>本公司新设子公司江西政通城运科技有限公司，注册资本</w:t>
      </w:r>
      <w:r>
        <w:rPr>
          <w:rFonts w:ascii="宋体" w:hAnsi="宋体" w:cs="宋体" w:eastAsia="宋体" w:hint="default"/>
        </w:rPr>
        <w:t>3,750.03</w:t>
      </w:r>
      <w:r>
        <w:rPr/>
        <w:t>万元，本公司持股比 例</w:t>
      </w:r>
      <w:r>
        <w:rPr>
          <w:rFonts w:ascii="宋体" w:hAnsi="宋体" w:cs="宋体" w:eastAsia="宋体" w:hint="default"/>
        </w:rPr>
        <w:t>100%</w:t>
      </w:r>
      <w:r>
        <w:rPr/>
        <w:t>，已认缴出资额</w:t>
      </w:r>
      <w:r>
        <w:rPr>
          <w:rFonts w:ascii="宋体" w:hAnsi="宋体" w:cs="宋体" w:eastAsia="宋体" w:hint="default"/>
        </w:rPr>
        <w:t>3,750.03</w:t>
      </w:r>
      <w:r>
        <w:rPr/>
        <w:t>万元。统一社会信用代码：</w:t>
      </w:r>
      <w:r>
        <w:rPr>
          <w:rFonts w:ascii="宋体" w:hAnsi="宋体" w:cs="宋体" w:eastAsia="宋体" w:hint="default"/>
        </w:rPr>
        <w:t>91360723MA36W2BWXG</w:t>
      </w:r>
      <w:r>
        <w:rPr/>
        <w:t>，注册地：</w:t>
      </w:r>
      <w:r>
        <w:rPr>
          <w:spacing w:val="-84"/>
        </w:rPr>
        <w:t> </w:t>
      </w:r>
      <w:r>
        <w:rPr>
          <w:spacing w:val="-84"/>
        </w:rPr>
      </w:r>
      <w:r>
        <w:rPr/>
        <w:t>赣州市；业务范围：城市及道路照明亮化工程专业承包；市政公用工程施工总承包；基础软</w:t>
      </w:r>
      <w:r>
        <w:rPr>
          <w:spacing w:val="-91"/>
        </w:rPr>
        <w:t> </w:t>
      </w:r>
      <w:r>
        <w:rPr>
          <w:spacing w:val="-91"/>
        </w:rPr>
      </w:r>
      <w:r>
        <w:rPr>
          <w:spacing w:val="-3"/>
        </w:rPr>
        <w:t>件服务、应用软件服务、技术开发、技术转让、技术服务、技术咨询、技术推广；产品设计；</w:t>
      </w:r>
      <w:r>
        <w:rPr>
          <w:spacing w:val="-81"/>
        </w:rPr>
        <w:t> </w:t>
      </w:r>
      <w:r>
        <w:rPr>
          <w:spacing w:val="-81"/>
        </w:rPr>
      </w:r>
      <w:r>
        <w:rPr/>
        <w:t>计算机系统服务；数据处理服务；机械设备租赁；销售通讯设备、电子产品、计算机、软件</w:t>
      </w:r>
      <w:r>
        <w:rPr>
          <w:spacing w:val="-91"/>
        </w:rPr>
        <w:t> </w:t>
      </w:r>
      <w:r>
        <w:rPr>
          <w:spacing w:val="-91"/>
        </w:rPr>
      </w:r>
      <w:r>
        <w:rPr/>
        <w:t>及辅助设备。（依法须经批准的项目，经相关部门批准后方可开展经营活动）。</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pStyle w:val="Heading2"/>
        <w:spacing w:line="240" w:lineRule="auto"/>
        <w:ind w:right="96"/>
        <w:jc w:val="left"/>
        <w:rPr>
          <w:b w:val="0"/>
          <w:bCs w:val="0"/>
        </w:rPr>
      </w:pPr>
      <w:r>
        <w:rPr/>
        <w:t>九、在其他主体中的权益</w:t>
      </w:r>
      <w:r>
        <w:rPr>
          <w:b w:val="0"/>
          <w:bCs w:val="0"/>
        </w:rPr>
      </w:r>
    </w:p>
    <w:p>
      <w:pPr>
        <w:spacing w:line="240" w:lineRule="auto" w:before="9"/>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）企业集团的构成</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1368"/>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1"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92.53%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上海政通信息科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北京数字政通智 能泊车技术有限 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武汉智慧政通科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74"/>
              <w:jc w:val="both"/>
              <w:rPr>
                <w:rFonts w:ascii="宋体" w:hAnsi="宋体" w:cs="宋体" w:eastAsia="宋体" w:hint="default"/>
                <w:sz w:val="18"/>
                <w:szCs w:val="18"/>
              </w:rPr>
            </w:pPr>
            <w:r>
              <w:rPr>
                <w:rFonts w:ascii="宋体" w:hAnsi="宋体" w:cs="宋体" w:eastAsia="宋体" w:hint="default"/>
                <w:sz w:val="18"/>
                <w:szCs w:val="18"/>
              </w:rPr>
              <w:t>克拉玛依数字政 通信息科技有限 责任公司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克拉玛依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克拉玛依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0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1368"/>
        <w:gridCol w:w="1366"/>
        <w:gridCol w:w="1366"/>
      </w:tblGrid>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安徽数字政通科 技有限责任公司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75"/>
              <w:jc w:val="left"/>
              <w:rPr>
                <w:rFonts w:ascii="宋体" w:hAnsi="宋体" w:cs="宋体" w:eastAsia="宋体" w:hint="default"/>
                <w:sz w:val="18"/>
                <w:szCs w:val="18"/>
              </w:rPr>
            </w:pPr>
            <w:r>
              <w:rPr>
                <w:rFonts w:ascii="宋体" w:hAnsi="宋体" w:cs="宋体" w:eastAsia="宋体" w:hint="default"/>
                <w:sz w:val="18"/>
                <w:szCs w:val="18"/>
              </w:rPr>
              <w:t>北京数聚联盟科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65.00%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政通智慧城市运 营科技有限公司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75"/>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4" w:lineRule="auto"/>
              <w:ind w:left="26" w:right="70"/>
              <w:jc w:val="left"/>
              <w:rPr>
                <w:rFonts w:ascii="宋体" w:hAnsi="宋体" w:cs="宋体" w:eastAsia="宋体" w:hint="default"/>
                <w:sz w:val="18"/>
                <w:szCs w:val="18"/>
              </w:rPr>
            </w:pPr>
            <w:r>
              <w:rPr>
                <w:rFonts w:ascii="宋体" w:hAnsi="宋体" w:cs="宋体" w:eastAsia="宋体" w:hint="default"/>
                <w:sz w:val="18"/>
                <w:szCs w:val="18"/>
              </w:rPr>
              <w:t>地下管线探测检 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保定市金迪科技 开发有限公司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环境检测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75"/>
              <w:jc w:val="left"/>
              <w:rPr>
                <w:rFonts w:ascii="宋体" w:hAnsi="宋体" w:cs="宋体" w:eastAsia="宋体" w:hint="default"/>
                <w:sz w:val="18"/>
                <w:szCs w:val="18"/>
              </w:rPr>
            </w:pPr>
            <w:r>
              <w:rPr>
                <w:rFonts w:ascii="宋体" w:hAnsi="宋体" w:cs="宋体" w:eastAsia="宋体" w:hint="default"/>
                <w:sz w:val="18"/>
                <w:szCs w:val="18"/>
              </w:rPr>
              <w:t>保定金迪科学仪 器有限公司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6" w:right="70"/>
              <w:jc w:val="left"/>
              <w:rPr>
                <w:rFonts w:ascii="宋体" w:hAnsi="宋体" w:cs="宋体" w:eastAsia="宋体" w:hint="default"/>
                <w:sz w:val="18"/>
                <w:szCs w:val="18"/>
              </w:rPr>
            </w:pPr>
            <w:r>
              <w:rPr>
                <w:rFonts w:ascii="宋体" w:hAnsi="宋体" w:cs="宋体" w:eastAsia="宋体" w:hint="default"/>
                <w:sz w:val="18"/>
                <w:szCs w:val="18"/>
              </w:rPr>
              <w:t>仪器仪表研制销 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焦作市市民健康 促进服务有限责 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焦作</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焦作</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居民健康咨询服 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4" w:lineRule="auto"/>
              <w:ind w:left="24" w:right="75"/>
              <w:jc w:val="left"/>
              <w:rPr>
                <w:rFonts w:ascii="宋体" w:hAnsi="宋体" w:cs="宋体" w:eastAsia="宋体" w:hint="default"/>
                <w:sz w:val="18"/>
                <w:szCs w:val="18"/>
              </w:rPr>
            </w:pPr>
            <w:r>
              <w:rPr>
                <w:rFonts w:ascii="宋体" w:hAnsi="宋体" w:cs="宋体" w:eastAsia="宋体" w:hint="default"/>
                <w:sz w:val="18"/>
                <w:szCs w:val="18"/>
              </w:rPr>
              <w:t>江西政通城运科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赣州</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赣州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70"/>
              <w:jc w:val="both"/>
              <w:rPr>
                <w:rFonts w:ascii="宋体" w:hAnsi="宋体" w:cs="宋体" w:eastAsia="宋体" w:hint="default"/>
                <w:sz w:val="18"/>
                <w:szCs w:val="18"/>
              </w:rPr>
            </w:pPr>
            <w:r>
              <w:rPr>
                <w:rFonts w:ascii="宋体" w:hAnsi="宋体" w:cs="宋体" w:eastAsia="宋体" w:hint="default"/>
                <w:sz w:val="18"/>
                <w:szCs w:val="18"/>
              </w:rPr>
              <w:t>城市及道路照明 亮化工程专业承 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240" w:lineRule="auto" w:before="3"/>
        <w:rPr>
          <w:rFonts w:ascii="宋体" w:hAnsi="宋体" w:cs="宋体" w:eastAsia="宋体" w:hint="default"/>
          <w:b/>
          <w:bCs/>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）重要的非全资子公司</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3"/>
        <w:gridCol w:w="1913"/>
        <w:gridCol w:w="1916"/>
      </w:tblGrid>
      <w:tr>
        <w:trPr>
          <w:trHeight w:val="76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4"/>
              <w:ind w:left="772" w:right="48"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4"/>
              <w:ind w:left="592" w:right="48"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北京数字智通科技有限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92" w:right="0"/>
              <w:jc w:val="left"/>
              <w:rPr>
                <w:rFonts w:ascii="Times New Roman" w:hAnsi="Times New Roman" w:cs="Times New Roman" w:eastAsia="Times New Roman" w:hint="default"/>
                <w:sz w:val="18"/>
                <w:szCs w:val="18"/>
              </w:rPr>
            </w:pPr>
            <w:r>
              <w:rPr>
                <w:rFonts w:ascii="Times New Roman"/>
                <w:sz w:val="18"/>
              </w:rPr>
              <w:t>-3,954.44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8,891,113.63</w:t>
            </w:r>
          </w:p>
        </w:tc>
      </w:tr>
    </w:tbl>
    <w:p>
      <w:pPr>
        <w:spacing w:line="360" w:lineRule="auto" w:before="49"/>
        <w:ind w:left="152" w:right="5454"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其他说明：</w:t>
      </w:r>
    </w:p>
    <w:p>
      <w:pPr>
        <w:spacing w:line="240" w:lineRule="auto" w:before="2"/>
        <w:rPr>
          <w:rFonts w:ascii="宋体" w:hAnsi="宋体" w:cs="宋体" w:eastAsia="宋体" w:hint="default"/>
          <w:sz w:val="20"/>
          <w:szCs w:val="20"/>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）重要非全资子公司的主要财务信息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5"/>
        <w:gridCol w:w="734"/>
        <w:gridCol w:w="737"/>
        <w:gridCol w:w="737"/>
        <w:gridCol w:w="734"/>
        <w:gridCol w:w="737"/>
      </w:tblGrid>
      <w:tr>
        <w:trPr>
          <w:trHeight w:val="401" w:hRule="exact"/>
        </w:trPr>
        <w:tc>
          <w:tcPr>
            <w:tcW w:w="7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82"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5" w:hRule="exact"/>
        </w:trPr>
        <w:tc>
          <w:tcPr>
            <w:tcW w:w="737"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92"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4"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92"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340"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北京数 字智通 科技有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403,043,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289.78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66,043,2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43.13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469,086,</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532.91</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368,441,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304.43</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368,441,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304.43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367,459,</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557.67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118,358,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748.47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485,818,</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306.14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356,612,</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581.53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10,128,5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08.25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366,741,</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089.78</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4"/>
        <w:gridCol w:w="1063"/>
        <w:gridCol w:w="1066"/>
        <w:gridCol w:w="1063"/>
        <w:gridCol w:w="1063"/>
        <w:gridCol w:w="1064"/>
        <w:gridCol w:w="1066"/>
      </w:tblGrid>
      <w:tr>
        <w:trPr>
          <w:trHeight w:val="401"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5"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7" w:right="75" w:hanging="361"/>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北京数字智 通科技有限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151,458,657.</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6,961,512.13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6,961,512.13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80,864,006.5</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182,712,254.</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14,426,686.8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14,426,686.8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90,460,688.6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）使用企业集团资产和清偿企业集团债务的重大限制</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）向纳入合并财务报表范围的结构化主体提供的财务支持或其他支持</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、在子公司的所有者权益份额发生变化且仍控制子公司的交易</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）在子公司所有者权益份额发生变化的情况说明</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55" w:firstLine="480"/>
        <w:jc w:val="both"/>
      </w:pPr>
      <w:r>
        <w:rPr>
          <w:spacing w:val="6"/>
        </w:rPr>
        <w:t>本公司本年度发生的导致在子公司所有者权益发生变化但仍控制子公司的交易主要包</w:t>
      </w:r>
      <w:r>
        <w:rPr/>
        <w:t> </w:t>
      </w:r>
      <w:r>
        <w:rPr>
          <w:spacing w:val="5"/>
        </w:rPr>
        <w:t>括：分别购买金迪管线、金迪科技、金迪科仪</w:t>
      </w:r>
      <w:r>
        <w:rPr>
          <w:rFonts w:ascii="宋体" w:hAnsi="宋体" w:cs="宋体" w:eastAsia="宋体" w:hint="default"/>
          <w:spacing w:val="5"/>
        </w:rPr>
        <w:t>25.00%</w:t>
      </w:r>
      <w:r>
        <w:rPr>
          <w:spacing w:val="5"/>
        </w:rPr>
        <w:t>股权（交易发生后分别持有上述公司</w:t>
      </w:r>
      <w:r>
        <w:rPr>
          <w:spacing w:val="-84"/>
        </w:rPr>
        <w:t> </w:t>
      </w:r>
      <w:r>
        <w:rPr>
          <w:spacing w:val="-84"/>
        </w:rPr>
      </w:r>
      <w:r>
        <w:rPr>
          <w:rFonts w:ascii="宋体" w:hAnsi="宋体" w:cs="宋体" w:eastAsia="宋体" w:hint="default"/>
        </w:rPr>
        <w:t>100.00%</w:t>
      </w:r>
      <w:r>
        <w:rPr/>
        <w:t>股权）。</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）交易对于少数股东权益及归属于母公司所有者权益的影响</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1"/>
        <w:gridCol w:w="2393"/>
        <w:gridCol w:w="2393"/>
      </w:tblGrid>
      <w:tr>
        <w:trPr>
          <w:trHeight w:val="403" w:hRule="exact"/>
        </w:trPr>
        <w:tc>
          <w:tcPr>
            <w:tcW w:w="2392" w:type="dxa"/>
            <w:tcBorders>
              <w:top w:val="single" w:sz="4" w:space="0" w:color="000000"/>
              <w:left w:val="single" w:sz="4" w:space="0" w:color="000000"/>
              <w:bottom w:val="single" w:sz="4" w:space="0" w:color="000000"/>
              <w:right w:val="single" w:sz="10" w:space="0" w:color="E0FFFF"/>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金迪管线</w:t>
            </w:r>
          </w:p>
        </w:tc>
        <w:tc>
          <w:tcPr>
            <w:tcW w:w="239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金迪科技</w:t>
            </w:r>
          </w:p>
        </w:tc>
        <w:tc>
          <w:tcPr>
            <w:tcW w:w="239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金迪科仪</w:t>
            </w:r>
          </w:p>
        </w:tc>
      </w:tr>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113,636,500.00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11,363,500.00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113,636,500.00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11,363,500.00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113,636,500.00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11,363,500.00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23"/>
              <w:jc w:val="left"/>
              <w:rPr>
                <w:rFonts w:ascii="宋体" w:hAnsi="宋体" w:cs="宋体" w:eastAsia="宋体" w:hint="default"/>
                <w:sz w:val="18"/>
                <w:szCs w:val="18"/>
              </w:rPr>
            </w:pPr>
            <w:r>
              <w:rPr>
                <w:rFonts w:ascii="宋体" w:hAnsi="宋体" w:cs="宋体" w:eastAsia="宋体" w:hint="default"/>
                <w:spacing w:val="-4"/>
                <w:sz w:val="18"/>
                <w:szCs w:val="18"/>
              </w:rPr>
              <w:t>减：按取得</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处置的股权比例计</w:t>
            </w:r>
            <w:r>
              <w:rPr>
                <w:rFonts w:ascii="宋体" w:hAnsi="宋体" w:cs="宋体" w:eastAsia="宋体" w:hint="default"/>
                <w:sz w:val="18"/>
                <w:szCs w:val="18"/>
              </w:rPr>
              <w:t> 算的子公司净资产份额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43,644,555.73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1,938,979.67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5,484,222.99</w:t>
            </w:r>
          </w:p>
        </w:tc>
      </w:tr>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69,991,944.27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9,424,520.33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9,515,777.01</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69,991,944.27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9,424,520.33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9,515,777.01</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、在合营安排或联营企业中的权益</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）重要的合营企业或联营企业</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425"/>
        <w:gridCol w:w="943"/>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22" w:right="48" w:hanging="272"/>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北京通通易联科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108"/>
              <w:jc w:val="left"/>
              <w:rPr>
                <w:rFonts w:ascii="宋体" w:hAnsi="宋体" w:cs="宋体" w:eastAsia="宋体" w:hint="default"/>
                <w:sz w:val="18"/>
                <w:szCs w:val="18"/>
              </w:rPr>
            </w:pPr>
            <w:r>
              <w:rPr>
                <w:rFonts w:ascii="宋体" w:hAnsi="宋体" w:cs="宋体" w:eastAsia="宋体" w:hint="default"/>
                <w:spacing w:val="-6"/>
                <w:sz w:val="18"/>
                <w:szCs w:val="18"/>
              </w:rPr>
              <w:t>技术转让、咨询</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服务</w:t>
            </w:r>
          </w:p>
        </w:tc>
        <w:tc>
          <w:tcPr>
            <w:tcW w:w="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w:t>
            </w:r>
          </w:p>
        </w:tc>
        <w:tc>
          <w:tcPr>
            <w:tcW w:w="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33.91%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49"/>
        <w:ind w:left="152" w:right="153" w:firstLine="0"/>
        <w:jc w:val="left"/>
        <w:rPr>
          <w:rFonts w:ascii="宋体" w:hAnsi="宋体" w:cs="宋体" w:eastAsia="宋体" w:hint="default"/>
          <w:sz w:val="18"/>
          <w:szCs w:val="18"/>
        </w:rPr>
      </w:pPr>
      <w:r>
        <w:rPr/>
        <w:pict>
          <v:group style="position:absolute;margin-left:330.670013pt;margin-top:-35.638268pt;width:67.8pt;height:27.9pt;mso-position-horizontal-relative:page;mso-position-vertical-relative:paragraph;z-index:-868552" coordorigin="6613,-713" coordsize="1356,558">
            <v:group style="position:absolute;left:6613;top:-713;width:1356;height:156" coordorigin="6613,-713" coordsize="1356,156">
              <v:shape style="position:absolute;left:6613;top:-713;width:1356;height:156" coordorigin="6613,-713" coordsize="1356,156" path="m6613,-557l7969,-557,7969,-713,6613,-713,6613,-557xe" filled="true" fillcolor="#ffffff" stroked="false">
                <v:path arrowok="t"/>
                <v:fill type="solid"/>
              </v:shape>
            </v:group>
            <v:group style="position:absolute;left:6624;top:-557;width:2;height:392" coordorigin="6624,-557" coordsize="2,392">
              <v:shape style="position:absolute;left:6624;top:-557;width:2;height:392" coordorigin="6624,-557" coordsize="0,392" path="m6624,-557l6624,-166e" filled="false" stroked="true" strokeweight="1.08pt" strokecolor="#ffffff">
                <v:path arrowok="t"/>
              </v:shape>
            </v:group>
            <v:group style="position:absolute;left:6635;top:-557;width:1311;height:392" coordorigin="6635,-557" coordsize="1311,392">
              <v:shape style="position:absolute;left:6635;top:-557;width:1311;height:392" coordorigin="6635,-557" coordsize="1311,392" path="m6635,-166l7945,-166,7945,-557,6635,-557,6635,-166xe" filled="true" fillcolor="#ffffff" stroked="false">
                <v:path arrowok="t"/>
                <v:fill type="solid"/>
              </v:shape>
            </v:group>
            <w10:wrap type="none"/>
          </v:group>
        </w:pict>
      </w:r>
      <w:r>
        <w:rPr>
          <w:rFonts w:ascii="宋体" w:hAnsi="宋体" w:cs="宋体" w:eastAsia="宋体" w:hint="default"/>
          <w:sz w:val="18"/>
          <w:szCs w:val="18"/>
        </w:rPr>
        <w:t>在合营企业或联营企业的持股比例不同于表决权比例的说明：</w:t>
      </w:r>
    </w:p>
    <w:p>
      <w:pPr>
        <w:spacing w:before="118"/>
        <w:ind w:left="152" w:right="153"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13"/>
        <w:rPr>
          <w:rFonts w:ascii="宋体" w:hAnsi="宋体" w:cs="宋体" w:eastAsia="宋体" w:hint="default"/>
          <w:sz w:val="25"/>
          <w:szCs w:val="25"/>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）重要联营企业的主要财务信息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3"/>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10" w:space="0" w:color="D2D2D2"/>
              <w:bottom w:val="single" w:sz="4" w:space="0" w:color="000000"/>
              <w:right w:val="single" w:sz="4" w:space="0" w:color="000000"/>
            </w:tcBorders>
            <w:shd w:val="clear" w:color="auto" w:fill="E0FFFF"/>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92,276,474.24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49,986,905.44</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5,380,807.71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6,553,376.18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97,657,281.95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56,540,281.62</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69,077,871.14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48,630,919.41</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69,077,871.14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48,630,919.41</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28,579,410.81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7,909,362.21</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9,692,135.59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3,163,744.88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4,727,108.40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3,163,744.88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81,807,577.72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45,152,452.37</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5,670,048.60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-12,090,637.79</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5,670,048.60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-12,090,637.79</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357" w:lineRule="auto" w:before="148"/>
        <w:ind w:right="149" w:firstLine="480"/>
        <w:jc w:val="both"/>
      </w:pPr>
      <w:r>
        <w:rPr/>
        <w:t>注：</w:t>
      </w:r>
      <w:r>
        <w:rPr>
          <w:rFonts w:ascii="宋体" w:hAnsi="宋体" w:cs="宋体" w:eastAsia="宋体" w:hint="default"/>
        </w:rPr>
        <w:t>2017</w:t>
      </w:r>
      <w:r>
        <w:rPr/>
        <w:t>年福州云和方圆投资合伙企业（有限合伙）以人民币</w:t>
      </w:r>
      <w:r>
        <w:rPr>
          <w:rFonts w:ascii="宋体" w:hAnsi="宋体" w:cs="宋体" w:eastAsia="宋体" w:hint="default"/>
        </w:rPr>
        <w:t>1,500.00</w:t>
      </w:r>
      <w:r>
        <w:rPr/>
        <w:t>万元受让本公司 </w:t>
      </w:r>
      <w:r>
        <w:rPr>
          <w:spacing w:val="-2"/>
        </w:rPr>
        <w:t>所持有北京通通易联科技有限公司的</w:t>
      </w:r>
      <w:r>
        <w:rPr>
          <w:rFonts w:ascii="宋体" w:hAnsi="宋体" w:cs="宋体" w:eastAsia="宋体" w:hint="default"/>
          <w:spacing w:val="-2"/>
        </w:rPr>
        <w:t>4.55%</w:t>
      </w:r>
      <w:r>
        <w:rPr>
          <w:spacing w:val="-2"/>
        </w:rPr>
        <w:t>股权，至此北京通通易联科技有限公司注册资本由</w:t>
      </w:r>
      <w:r>
        <w:rPr>
          <w:spacing w:val="-115"/>
        </w:rPr>
        <w:t> </w:t>
      </w:r>
      <w:r>
        <w:rPr>
          <w:spacing w:val="-115"/>
        </w:rPr>
      </w:r>
      <w:r>
        <w:rPr>
          <w:spacing w:val="-2"/>
        </w:rPr>
        <w:t>人民币</w:t>
      </w:r>
      <w:r>
        <w:rPr>
          <w:rFonts w:ascii="宋体" w:hAnsi="宋体" w:cs="宋体" w:eastAsia="宋体" w:hint="default"/>
          <w:spacing w:val="-2"/>
        </w:rPr>
        <w:t>2,000.00</w:t>
      </w:r>
      <w:r>
        <w:rPr>
          <w:spacing w:val="-2"/>
        </w:rPr>
        <w:t>万元增加至人民币</w:t>
      </w:r>
      <w:r>
        <w:rPr>
          <w:rFonts w:ascii="宋体" w:hAnsi="宋体" w:cs="宋体" w:eastAsia="宋体" w:hint="default"/>
          <w:spacing w:val="-2"/>
        </w:rPr>
        <w:t>2,090.91</w:t>
      </w:r>
      <w:r>
        <w:rPr>
          <w:spacing w:val="-2"/>
        </w:rPr>
        <w:t>万元，新增注册资本</w:t>
      </w:r>
      <w:r>
        <w:rPr>
          <w:rFonts w:ascii="宋体" w:hAnsi="宋体" w:cs="宋体" w:eastAsia="宋体" w:hint="default"/>
          <w:spacing w:val="-2"/>
        </w:rPr>
        <w:t>90.91</w:t>
      </w:r>
      <w:r>
        <w:rPr>
          <w:spacing w:val="-2"/>
        </w:rPr>
        <w:t>万元由福州云和方圆投</w:t>
      </w:r>
      <w:r>
        <w:rPr>
          <w:spacing w:val="-101"/>
        </w:rPr>
        <w:t> </w:t>
      </w:r>
      <w:r>
        <w:rPr>
          <w:spacing w:val="-2"/>
        </w:rPr>
        <w:t>资合伙企业（有限合伙）以人民币</w:t>
      </w:r>
      <w:r>
        <w:rPr>
          <w:rFonts w:ascii="宋体" w:hAnsi="宋体" w:cs="宋体" w:eastAsia="宋体" w:hint="default"/>
          <w:spacing w:val="-2"/>
        </w:rPr>
        <w:t>1500</w:t>
      </w:r>
      <w:r>
        <w:rPr>
          <w:spacing w:val="-2"/>
        </w:rPr>
        <w:t>万元认缴，其中人民币</w:t>
      </w:r>
      <w:r>
        <w:rPr>
          <w:rFonts w:ascii="宋体" w:hAnsi="宋体" w:cs="宋体" w:eastAsia="宋体" w:hint="default"/>
          <w:spacing w:val="-2"/>
        </w:rPr>
        <w:t>90.91</w:t>
      </w:r>
      <w:r>
        <w:rPr>
          <w:spacing w:val="-2"/>
        </w:rPr>
        <w:t>万元计入实收资本，剩余</w:t>
      </w:r>
      <w:r>
        <w:rPr>
          <w:spacing w:val="-111"/>
        </w:rPr>
        <w:t> </w:t>
      </w:r>
      <w:r>
        <w:rPr>
          <w:spacing w:val="-111"/>
        </w:rPr>
      </w:r>
      <w:r>
        <w:rPr/>
        <w:t>人民币</w:t>
      </w:r>
      <w:r>
        <w:rPr>
          <w:rFonts w:ascii="宋体" w:hAnsi="宋体" w:cs="宋体" w:eastAsia="宋体" w:hint="default"/>
        </w:rPr>
        <w:t>1,409.91</w:t>
      </w:r>
      <w:r>
        <w:rPr/>
        <w:t>万元计入资本公积，期末按持股比例计算的净资产份额与对联营企业权益投</w:t>
      </w:r>
      <w:r>
        <w:rPr>
          <w:spacing w:val="-93"/>
        </w:rPr>
        <w:t> </w:t>
      </w:r>
      <w:r>
        <w:rPr>
          <w:spacing w:val="-93"/>
        </w:rPr>
      </w:r>
      <w:r>
        <w:rPr/>
        <w:t>资的账面价值差额由此产生。</w:t>
      </w:r>
    </w:p>
    <w:p>
      <w:pPr>
        <w:spacing w:after="0" w:line="357" w:lineRule="auto"/>
        <w:jc w:val="both"/>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）不重要的合营企业和联营企业的汇总财务信息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1,838,297.38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1,747,494.66</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90,802.72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-2,505.34</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90,802.72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-2,505.34</w:t>
            </w:r>
          </w:p>
        </w:tc>
      </w:tr>
    </w:tbl>
    <w:p>
      <w:pPr>
        <w:spacing w:before="49"/>
        <w:ind w:left="152"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spacing w:line="692" w:lineRule="exact" w:before="57"/>
        <w:ind w:left="633" w:right="153" w:hanging="481"/>
        <w:jc w:val="left"/>
        <w:rPr>
          <w:rFonts w:ascii="宋体" w:hAnsi="宋体" w:cs="宋体" w:eastAsia="宋体" w:hint="default"/>
          <w:sz w:val="24"/>
          <w:szCs w:val="24"/>
        </w:rPr>
      </w:pPr>
      <w:r>
        <w:rPr>
          <w:rFonts w:ascii="宋体" w:hAnsi="宋体" w:cs="宋体" w:eastAsia="宋体" w:hint="default"/>
          <w:b/>
          <w:bCs/>
          <w:sz w:val="24"/>
          <w:szCs w:val="24"/>
        </w:rPr>
        <w:t>十、与金融工具相关的风险</w:t>
      </w:r>
      <w:r>
        <w:rPr>
          <w:rFonts w:ascii="宋体" w:hAnsi="宋体" w:cs="宋体" w:eastAsia="宋体" w:hint="default"/>
          <w:b/>
          <w:bCs/>
          <w:w w:val="99"/>
          <w:sz w:val="24"/>
          <w:szCs w:val="24"/>
        </w:rPr>
        <w:t> </w:t>
      </w:r>
      <w:r>
        <w:rPr>
          <w:rFonts w:ascii="宋体" w:hAnsi="宋体" w:cs="宋体" w:eastAsia="宋体" w:hint="default"/>
          <w:sz w:val="24"/>
          <w:szCs w:val="24"/>
        </w:rPr>
        <w:t>本公司的主要金融工具包括股权投资、借款、应收账款、长期应收款、应付账款、长期</w:t>
      </w:r>
    </w:p>
    <w:p>
      <w:pPr>
        <w:pStyle w:val="BodyText"/>
        <w:spacing w:line="357" w:lineRule="auto" w:before="49"/>
        <w:ind w:right="154"/>
        <w:jc w:val="both"/>
      </w:pPr>
      <w:r>
        <w:rPr/>
        <w:t>应付款等，各项金融工具的详细情况说明见本附注、六相关项目。与这些金融工具有关的风</w:t>
      </w:r>
      <w:r>
        <w:rPr>
          <w:spacing w:val="-87"/>
        </w:rPr>
        <w:t> </w:t>
      </w:r>
      <w:r>
        <w:rPr>
          <w:spacing w:val="-87"/>
        </w:rPr>
      </w:r>
      <w:r>
        <w:rPr/>
        <w:t>险，以及本公司为降低这些风险所采取的风险管理政策如下所述。本公司管理层对这些风险</w:t>
      </w:r>
      <w:r>
        <w:rPr>
          <w:spacing w:val="-91"/>
        </w:rPr>
        <w:t> </w:t>
      </w:r>
      <w:r>
        <w:rPr>
          <w:spacing w:val="-91"/>
        </w:rPr>
      </w:r>
      <w:r>
        <w:rPr/>
        <w:t>敞口进行管理和监控以确保将上述风险控制在限定的范围之内。</w:t>
      </w:r>
    </w:p>
    <w:p>
      <w:pPr>
        <w:pStyle w:val="BodyText"/>
        <w:spacing w:line="357" w:lineRule="auto"/>
        <w:ind w:left="633" w:right="153"/>
        <w:jc w:val="left"/>
      </w:pPr>
      <w:r>
        <w:rPr/>
        <w:t>风险管理目标和政策 本公司从事风险管理的目标是在风险和收益之间取得适当的平衡，将风险对本公司经营</w:t>
      </w:r>
    </w:p>
    <w:p>
      <w:pPr>
        <w:pStyle w:val="BodyText"/>
        <w:spacing w:line="357" w:lineRule="auto"/>
        <w:ind w:right="159"/>
        <w:jc w:val="both"/>
      </w:pPr>
      <w:r>
        <w:rPr/>
        <w:t>业绩的负面影响降低到最低水平，使股东及其其他权益投资者的利益最大化。基于该风险管</w:t>
      </w:r>
      <w:r>
        <w:rPr>
          <w:spacing w:val="-91"/>
        </w:rPr>
        <w:t> </w:t>
      </w:r>
      <w:r>
        <w:rPr>
          <w:spacing w:val="-91"/>
        </w:rPr>
      </w:r>
      <w:r>
        <w:rPr/>
        <w:t>理目标，本公司风险管理的基本策略是确定和分析本公司所面临的各种风险，建立适当的风</w:t>
      </w:r>
      <w:r>
        <w:rPr>
          <w:spacing w:val="-91"/>
        </w:rPr>
        <w:t> </w:t>
      </w:r>
      <w:r>
        <w:rPr>
          <w:spacing w:val="-91"/>
        </w:rPr>
      </w:r>
      <w:r>
        <w:rPr/>
        <w:t>险承受底线和进行风险管理，并及时可靠地对各种风险进行监督，将风险控制在限定的范围</w:t>
      </w:r>
      <w:r>
        <w:rPr>
          <w:spacing w:val="-91"/>
        </w:rPr>
        <w:t> </w:t>
      </w:r>
      <w:r>
        <w:rPr>
          <w:spacing w:val="-91"/>
        </w:rPr>
      </w:r>
      <w:r>
        <w:rPr/>
        <w:t>之内。</w:t>
      </w:r>
    </w:p>
    <w:p>
      <w:pPr>
        <w:pStyle w:val="BodyText"/>
        <w:spacing w:line="357" w:lineRule="auto"/>
        <w:ind w:left="633" w:right="6173"/>
        <w:jc w:val="left"/>
      </w:pPr>
      <w:r>
        <w:rPr>
          <w:rFonts w:ascii="宋体" w:hAnsi="宋体" w:cs="宋体" w:eastAsia="宋体" w:hint="default"/>
        </w:rPr>
        <w:t>1</w:t>
      </w:r>
      <w:r>
        <w:rPr/>
        <w:t>、市场风险 利率风险－现金流量变动风险</w:t>
      </w:r>
    </w:p>
    <w:p>
      <w:pPr>
        <w:pStyle w:val="BodyText"/>
        <w:spacing w:line="357" w:lineRule="auto"/>
        <w:ind w:right="160" w:firstLine="480"/>
        <w:jc w:val="both"/>
      </w:pPr>
      <w:r>
        <w:rPr/>
        <w:t>本公司因利率变动引起金融工具现金流量变动的风险主要与浮动利率银行借款有关。本 公司的政策是保持这些借款的固定利率。</w:t>
      </w:r>
    </w:p>
    <w:p>
      <w:pPr>
        <w:pStyle w:val="BodyText"/>
        <w:spacing w:line="240" w:lineRule="auto"/>
        <w:ind w:left="633" w:right="153"/>
        <w:jc w:val="left"/>
      </w:pPr>
      <w:r>
        <w:rPr>
          <w:rFonts w:ascii="宋体" w:hAnsi="宋体" w:cs="宋体" w:eastAsia="宋体" w:hint="default"/>
        </w:rPr>
        <w:t>2</w:t>
      </w:r>
      <w:r>
        <w:rPr/>
        <w:t>、信用风险</w:t>
      </w:r>
    </w:p>
    <w:p>
      <w:pPr>
        <w:pStyle w:val="BodyText"/>
        <w:spacing w:line="357" w:lineRule="auto" w:before="154"/>
        <w:ind w:right="159" w:firstLine="480"/>
        <w:jc w:val="both"/>
      </w:pP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31</w:t>
      </w:r>
      <w:r>
        <w:rPr/>
        <w:t>日，可能引起本公司财务损失的最大信用风险敞口主要来自于合同另一方 未能履行义务而导致本公司金融资产产生的损失具体包括：合并资产负债表中已确认的金融</w:t>
      </w:r>
      <w:r>
        <w:rPr>
          <w:spacing w:val="-91"/>
        </w:rPr>
        <w:t> </w:t>
      </w:r>
      <w:r>
        <w:rPr>
          <w:spacing w:val="-91"/>
        </w:rPr>
      </w:r>
      <w:r>
        <w:rPr/>
        <w:t>资产的账面金额。</w:t>
      </w:r>
    </w:p>
    <w:p>
      <w:pPr>
        <w:spacing w:after="0" w:line="357" w:lineRule="auto"/>
        <w:jc w:val="both"/>
        <w:sectPr>
          <w:pgSz w:w="11910" w:h="16840"/>
          <w:pgMar w:header="745" w:footer="979" w:top="1060" w:bottom="1160" w:left="980" w:right="980"/>
        </w:sectPr>
      </w:pPr>
    </w:p>
    <w:p>
      <w:pPr>
        <w:spacing w:line="240" w:lineRule="auto" w:before="7"/>
        <w:rPr>
          <w:rFonts w:ascii="宋体" w:hAnsi="宋体" w:cs="宋体" w:eastAsia="宋体" w:hint="default"/>
          <w:sz w:val="29"/>
          <w:szCs w:val="29"/>
        </w:rPr>
      </w:pPr>
    </w:p>
    <w:p>
      <w:pPr>
        <w:pStyle w:val="BodyText"/>
        <w:spacing w:line="357" w:lineRule="auto" w:before="26"/>
        <w:ind w:right="158" w:firstLine="480"/>
        <w:jc w:val="both"/>
      </w:pPr>
      <w:r>
        <w:rPr/>
        <w:t>为降低信用风险，本公司严控信用审批，并执行其他监控程序以确保采取必要的措施回 收过期债权。此外，本公司于每个资产负债表日审核每一单项应收款的回收情况，以确保就</w:t>
      </w:r>
      <w:r>
        <w:rPr>
          <w:spacing w:val="-91"/>
        </w:rPr>
        <w:t> </w:t>
      </w:r>
      <w:r>
        <w:rPr>
          <w:spacing w:val="-91"/>
        </w:rPr>
      </w:r>
      <w:r>
        <w:rPr/>
        <w:t>无法回收的款项计提充分的坏账准备。因此，本公司管理层认为本公司所承担的信用风险已</w:t>
      </w:r>
      <w:r>
        <w:rPr>
          <w:spacing w:val="-91"/>
        </w:rPr>
        <w:t> </w:t>
      </w:r>
      <w:r>
        <w:rPr>
          <w:spacing w:val="-91"/>
        </w:rPr>
      </w:r>
      <w:r>
        <w:rPr/>
        <w:t>经大为降低。</w:t>
      </w:r>
    </w:p>
    <w:p>
      <w:pPr>
        <w:pStyle w:val="BodyText"/>
        <w:spacing w:line="357" w:lineRule="auto"/>
        <w:ind w:left="633" w:right="153"/>
        <w:jc w:val="left"/>
      </w:pPr>
      <w:r>
        <w:rPr/>
        <w:t>本公司的流动资金存放在信用评级较高的银行，故流动资金的信用风险较低。 </w:t>
      </w:r>
      <w:r>
        <w:rPr>
          <w:rFonts w:ascii="宋体" w:hAnsi="宋体" w:cs="宋体" w:eastAsia="宋体" w:hint="default"/>
        </w:rPr>
        <w:t>3</w:t>
      </w:r>
      <w:r>
        <w:rPr/>
        <w:t>、流动风险 管理流动风险时，本公司保持管理层认为充分的现金及现金等价物并对其进行监控，以</w:t>
      </w:r>
    </w:p>
    <w:p>
      <w:pPr>
        <w:pStyle w:val="BodyText"/>
        <w:spacing w:line="357" w:lineRule="auto" w:before="37"/>
        <w:ind w:right="153"/>
        <w:jc w:val="left"/>
      </w:pPr>
      <w:r>
        <w:rPr/>
        <w:t>满足本公司经营需要，并降低现金流量波动的影响。本公司管理层对银行借款的使用情况进</w:t>
      </w:r>
      <w:r>
        <w:rPr>
          <w:spacing w:val="-91"/>
        </w:rPr>
        <w:t> </w:t>
      </w:r>
      <w:r>
        <w:rPr>
          <w:spacing w:val="-91"/>
        </w:rPr>
      </w:r>
      <w:r>
        <w:rPr/>
        <w:t>行监控并确保遵守借款协议。</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pStyle w:val="Heading2"/>
        <w:spacing w:line="240" w:lineRule="auto"/>
        <w:ind w:right="153"/>
        <w:jc w:val="left"/>
        <w:rPr>
          <w:b w:val="0"/>
          <w:bCs w:val="0"/>
        </w:rPr>
      </w:pPr>
      <w:r>
        <w:rPr/>
        <w:t>十一、关联方及关联交易</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w:t>
      </w:r>
    </w:p>
    <w:p>
      <w:pPr>
        <w:pStyle w:val="BodyText"/>
        <w:spacing w:line="240" w:lineRule="auto" w:before="68"/>
        <w:ind w:right="0"/>
        <w:jc w:val="left"/>
        <w:rPr>
          <w:rFonts w:ascii="Times New Roman" w:hAnsi="Times New Roman" w:cs="Times New Roman" w:eastAsia="Times New Roman" w:hint="default"/>
        </w:rPr>
      </w:pPr>
      <w:r>
        <w:rPr/>
        <w:t>本公司股东吴强华为实际控制人，持有公司</w:t>
      </w:r>
      <w:r>
        <w:rPr>
          <w:rFonts w:ascii="Times New Roman" w:hAnsi="Times New Roman" w:cs="Times New Roman" w:eastAsia="Times New Roman" w:hint="default"/>
        </w:rPr>
        <w:t>28.36%</w:t>
      </w:r>
      <w:r>
        <w:rPr/>
        <w:t>的股权，对本公司的表决权比例为</w:t>
      </w:r>
      <w:r>
        <w:rPr>
          <w:rFonts w:ascii="Times New Roman" w:hAnsi="Times New Roman" w:cs="Times New Roman" w:eastAsia="Times New Roman" w:hint="default"/>
        </w:rPr>
        <w:t>28.36%</w:t>
      </w:r>
    </w:p>
    <w:p>
      <w:pPr>
        <w:spacing w:before="69"/>
        <w:ind w:left="152" w:right="153" w:firstLine="0"/>
        <w:jc w:val="left"/>
        <w:rPr>
          <w:rFonts w:ascii="宋体" w:hAnsi="宋体" w:cs="宋体" w:eastAsia="宋体" w:hint="default"/>
          <w:sz w:val="18"/>
          <w:szCs w:val="18"/>
        </w:rPr>
      </w:pPr>
      <w:r>
        <w:rPr>
          <w:rFonts w:ascii="宋体" w:hAnsi="宋体" w:cs="宋体" w:eastAsia="宋体" w:hint="default"/>
          <w:sz w:val="18"/>
          <w:szCs w:val="18"/>
        </w:rPr>
        <w:t>本企业最终控制方是吴强华。</w:t>
      </w:r>
    </w:p>
    <w:p>
      <w:pPr>
        <w:spacing w:line="240" w:lineRule="auto" w:before="0"/>
        <w:rPr>
          <w:rFonts w:ascii="宋体" w:hAnsi="宋体" w:cs="宋体" w:eastAsia="宋体" w:hint="default"/>
          <w:sz w:val="18"/>
          <w:szCs w:val="18"/>
        </w:rPr>
      </w:pPr>
    </w:p>
    <w:p>
      <w:pPr>
        <w:spacing w:line="547" w:lineRule="auto" w:before="118"/>
        <w:ind w:left="152" w:right="401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rFonts w:ascii="宋体" w:hAnsi="宋体" w:cs="宋体" w:eastAsia="宋体" w:hint="default"/>
          <w:spacing w:val="-4"/>
          <w:sz w:val="18"/>
          <w:szCs w:val="18"/>
        </w:rPr>
        <w:t>本企业子公司的情况详见附注八、</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、在子公司中的权益。。</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本企业重要的合营或联营企业详见附注八</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、在合营企业或联营企业中的权益</w:t>
      </w:r>
      <w:r>
        <w:rPr>
          <w:rFonts w:ascii="宋体" w:hAnsi="宋体" w:cs="宋体" w:eastAsia="宋体" w:hint="default"/>
          <w:spacing w:val="-92"/>
          <w:sz w:val="18"/>
          <w:szCs w:val="18"/>
        </w:rPr>
        <w:t>。</w:t>
      </w:r>
      <w:r>
        <w:rPr>
          <w:rFonts w:ascii="宋体" w:hAnsi="宋体" w:cs="宋体" w:eastAsia="宋体" w:hint="default"/>
          <w:sz w:val="18"/>
          <w:szCs w:val="18"/>
        </w:rPr>
        <w:t>。</w:t>
      </w:r>
    </w:p>
    <w:p>
      <w:pPr>
        <w:spacing w:line="240" w:lineRule="auto" w:before="3"/>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、其他关联方情况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北京天健源达科技有限公司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不具有控制、共同控制或重大影响的其他关联方</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）购销商品、提供和接受劳务的关联交易</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41"/>
        <w:gridCol w:w="1455"/>
        <w:gridCol w:w="1452"/>
        <w:gridCol w:w="1709"/>
        <w:gridCol w:w="1707"/>
        <w:gridCol w:w="1706"/>
      </w:tblGrid>
      <w:tr>
        <w:trPr>
          <w:trHeight w:val="401" w:hRule="exact"/>
        </w:trPr>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65"/>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1,228,252.65</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
              <w:jc w:val="right"/>
              <w:rPr>
                <w:rFonts w:ascii="Arial Narrow" w:hAnsi="Arial Narrow" w:cs="Arial Narrow" w:eastAsia="Arial Narrow" w:hint="default"/>
                <w:sz w:val="18"/>
                <w:szCs w:val="18"/>
              </w:rPr>
            </w:pPr>
            <w:r>
              <w:rPr>
                <w:rFonts w:ascii="Arial Narrow"/>
                <w:spacing w:val="-1"/>
                <w:sz w:val="18"/>
              </w:rPr>
              <w:t>5,088,464.51</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1,407,541.88</w:t>
            </w:r>
          </w:p>
        </w:tc>
      </w:tr>
      <w:tr>
        <w:trPr>
          <w:trHeight w:val="715"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65"/>
              <w:jc w:val="left"/>
              <w:rPr>
                <w:rFonts w:ascii="宋体" w:hAnsi="宋体" w:cs="宋体" w:eastAsia="宋体" w:hint="default"/>
                <w:sz w:val="18"/>
                <w:szCs w:val="18"/>
              </w:rPr>
            </w:pPr>
            <w:r>
              <w:rPr>
                <w:rFonts w:ascii="宋体" w:hAnsi="宋体" w:cs="宋体" w:eastAsia="宋体" w:hint="default"/>
                <w:sz w:val="18"/>
                <w:szCs w:val="18"/>
              </w:rPr>
              <w:t>北京天健源达科技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5,180,000.00</w:t>
            </w: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1"/>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8"/>
        <w:gridCol w:w="2259"/>
        <w:gridCol w:w="2259"/>
        <w:gridCol w:w="2655"/>
      </w:tblGrid>
      <w:tr>
        <w:trPr>
          <w:trHeight w:val="404"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35,829,812.33</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7" w:right="0"/>
              <w:jc w:val="left"/>
              <w:rPr>
                <w:rFonts w:ascii="Times New Roman" w:hAnsi="Times New Roman" w:cs="Times New Roman" w:eastAsia="Times New Roman" w:hint="default"/>
                <w:sz w:val="18"/>
                <w:szCs w:val="18"/>
              </w:rPr>
            </w:pPr>
            <w:r>
              <w:rPr>
                <w:rFonts w:ascii="Times New Roman"/>
                <w:sz w:val="18"/>
              </w:rPr>
              <w:t>34,099,901.06</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3,300,000.00</w:t>
            </w:r>
          </w:p>
        </w:tc>
        <w:tc>
          <w:tcPr>
            <w:tcW w:w="2655"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）关联受托管理</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承包及委托管理</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出包情况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8"/>
        <w:gridCol w:w="1366"/>
        <w:gridCol w:w="1368"/>
        <w:gridCol w:w="1367"/>
        <w:gridCol w:w="1367"/>
      </w:tblGrid>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589" w:right="21" w:hanging="567"/>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587" w:right="22" w:hanging="564"/>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590" w:right="23" w:hanging="567"/>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承包资产类 型</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7" w:right="21" w:hanging="204"/>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11" w:right="48" w:hanging="65"/>
              <w:jc w:val="left"/>
              <w:rPr>
                <w:rFonts w:ascii="宋体" w:hAnsi="宋体" w:cs="宋体" w:eastAsia="宋体" w:hint="default"/>
                <w:sz w:val="18"/>
                <w:szCs w:val="18"/>
              </w:rPr>
            </w:pPr>
            <w:r>
              <w:rPr>
                <w:rFonts w:ascii="宋体" w:hAnsi="宋体" w:cs="宋体" w:eastAsia="宋体" w:hint="default"/>
                <w:sz w:val="18"/>
                <w:szCs w:val="18"/>
              </w:rPr>
              <w:t>本期确认的托管 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314" w:lineRule="auto"/>
        <w:jc w:val="left"/>
        <w:rPr>
          <w:rFonts w:ascii="宋体" w:hAnsi="宋体" w:cs="宋体" w:eastAsia="宋体" w:hint="default"/>
          <w:sz w:val="18"/>
          <w:szCs w:val="18"/>
        </w:rPr>
        <w:sectPr>
          <w:pgSz w:w="11910" w:h="16840"/>
          <w:pgMar w:header="745" w:footer="979" w:top="1060" w:bottom="1160" w:left="980" w:right="980"/>
        </w:sectPr>
      </w:pPr>
    </w:p>
    <w:p>
      <w:pPr>
        <w:spacing w:line="338" w:lineRule="auto" w:before="49"/>
        <w:ind w:left="152" w:right="-19" w:firstLine="0"/>
        <w:jc w:val="left"/>
        <w:rPr>
          <w:rFonts w:ascii="宋体" w:hAnsi="宋体" w:cs="宋体" w:eastAsia="宋体" w:hint="default"/>
          <w:sz w:val="18"/>
          <w:szCs w:val="18"/>
        </w:rPr>
      </w:pPr>
      <w:r>
        <w:rPr>
          <w:rFonts w:ascii="宋体" w:hAnsi="宋体" w:cs="宋体" w:eastAsia="宋体" w:hint="default"/>
          <w:sz w:val="18"/>
          <w:szCs w:val="18"/>
        </w:rPr>
        <w:t>关联托管</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承包情况说明 本公司委托管理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2544" w:space="6285"/>
            <w:col w:w="1121"/>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9"/>
        <w:gridCol w:w="1368"/>
        <w:gridCol w:w="1366"/>
        <w:gridCol w:w="1368"/>
        <w:gridCol w:w="1367"/>
        <w:gridCol w:w="1367"/>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589" w:right="21" w:hanging="567"/>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587" w:right="22" w:hanging="564"/>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590" w:right="23" w:hanging="567"/>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出包资产类 型</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407" w:right="21" w:hanging="384"/>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出包费定 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91" w:right="48" w:hanging="245"/>
              <w:jc w:val="left"/>
              <w:rPr>
                <w:rFonts w:ascii="宋体" w:hAnsi="宋体" w:cs="宋体" w:eastAsia="宋体" w:hint="default"/>
                <w:sz w:val="18"/>
                <w:szCs w:val="18"/>
              </w:rPr>
            </w:pPr>
            <w:r>
              <w:rPr>
                <w:rFonts w:ascii="宋体" w:hAnsi="宋体" w:cs="宋体" w:eastAsia="宋体" w:hint="default"/>
                <w:sz w:val="18"/>
                <w:szCs w:val="18"/>
              </w:rPr>
              <w:t>本期确认的托管 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关联管理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出包情况说明</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）关联租赁情况</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5"/>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9"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3"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经营租赁资产</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141,587.45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127,869.59</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北京天健源达科技有限公司</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4,821.62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137,127.77</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after="0"/>
        <w:jc w:val="left"/>
        <w:rPr>
          <w:rFonts w:ascii="宋体" w:hAnsi="宋体" w:cs="宋体" w:eastAsia="宋体" w:hint="default"/>
          <w:sz w:val="18"/>
          <w:szCs w:val="18"/>
        </w:rPr>
        <w:sectPr>
          <w:type w:val="continuous"/>
          <w:pgSz w:w="11910" w:h="16840"/>
          <w:pgMar w:top="1060" w:bottom="1160" w:left="980" w:right="980"/>
        </w:sectPr>
      </w:pPr>
    </w:p>
    <w:p>
      <w:pPr>
        <w:spacing w:line="240" w:lineRule="auto" w:before="10"/>
        <w:rPr>
          <w:rFonts w:ascii="宋体" w:hAnsi="宋体" w:cs="宋体" w:eastAsia="宋体" w:hint="default"/>
          <w:sz w:val="25"/>
          <w:szCs w:val="25"/>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北京数字智通科技有限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0" w:right="0"/>
              <w:jc w:val="left"/>
              <w:rPr>
                <w:rFonts w:ascii="Times New Roman" w:hAnsi="Times New Roman" w:cs="Times New Roman" w:eastAsia="Times New Roman" w:hint="default"/>
                <w:sz w:val="18"/>
                <w:szCs w:val="18"/>
              </w:rPr>
            </w:pPr>
            <w:r>
              <w:rPr>
                <w:rFonts w:ascii="Times New Roman"/>
                <w:sz w:val="18"/>
              </w:rPr>
              <w:t>50,000,000.00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）关联方资金拆借</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957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1" w:hRule="exact"/>
        </w:trPr>
        <w:tc>
          <w:tcPr>
            <w:tcW w:w="957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）关联方资产转让、债务重组情况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4"/>
        <w:gridCol w:w="2392"/>
        <w:gridCol w:w="2381"/>
      </w:tblGrid>
      <w:tr>
        <w:trPr>
          <w:trHeight w:val="40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）关键管理人员报酬</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4,009,000.00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3,763,000.00</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）其他关联交易</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、关联方应收应付款项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）应收项目</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北京天健源达科技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5,728,371.79</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26,337,040.95</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13,515,582.51</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32,065,412.74</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13,515,582.51</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1,253,580.33</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4"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6" w:right="0"/>
              <w:jc w:val="left"/>
              <w:rPr>
                <w:rFonts w:ascii="Times New Roman" w:hAnsi="Times New Roman" w:cs="Times New Roman" w:eastAsia="Times New Roman" w:hint="default"/>
                <w:sz w:val="18"/>
                <w:szCs w:val="18"/>
              </w:rPr>
            </w:pPr>
            <w:r>
              <w:rPr>
                <w:rFonts w:ascii="Times New Roman"/>
                <w:sz w:val="18"/>
              </w:rPr>
              <w:t>1,253,580.33</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）应付项目</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2393"/>
        <w:gridCol w:w="2393"/>
        <w:gridCol w:w="2393"/>
      </w:tblGrid>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1,228,252.65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1,407,541.88</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1,228,252.65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1,407,541.88</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158,478.32</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158,478.32</w:t>
            </w:r>
          </w:p>
        </w:tc>
      </w:tr>
    </w:tbl>
    <w:p>
      <w:pPr>
        <w:spacing w:line="240" w:lineRule="auto" w:before="1"/>
        <w:rPr>
          <w:rFonts w:ascii="宋体" w:hAnsi="宋体" w:cs="宋体" w:eastAsia="宋体" w:hint="default"/>
          <w:sz w:val="18"/>
          <w:szCs w:val="18"/>
        </w:rPr>
      </w:pPr>
    </w:p>
    <w:p>
      <w:pPr>
        <w:pStyle w:val="Heading2"/>
        <w:spacing w:line="240" w:lineRule="auto" w:before="26"/>
        <w:ind w:right="153"/>
        <w:jc w:val="left"/>
        <w:rPr>
          <w:b w:val="0"/>
          <w:bCs w:val="0"/>
        </w:rPr>
      </w:pPr>
      <w:r>
        <w:rPr/>
        <w:t>十二、股份支付</w:t>
      </w:r>
      <w:r>
        <w:rPr>
          <w:b w:val="0"/>
          <w:bCs w:val="0"/>
        </w:rPr>
      </w:r>
    </w:p>
    <w:p>
      <w:pPr>
        <w:spacing w:line="240" w:lineRule="auto" w:before="9"/>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2,908,000.00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235,000.00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96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日授予限制性股票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898 </w:t>
            </w:r>
            <w:r>
              <w:rPr>
                <w:rFonts w:ascii="宋体" w:hAnsi="宋体" w:cs="宋体" w:eastAsia="宋体" w:hint="default"/>
                <w:sz w:val="18"/>
                <w:szCs w:val="18"/>
              </w:rPr>
              <w:t>万股，</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第一个锁定期已于</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日届满</w:t>
            </w:r>
            <w:r>
              <w:rPr>
                <w:rFonts w:ascii="宋体" w:hAnsi="宋体" w:cs="宋体" w:eastAsia="宋体" w:hint="default"/>
                <w:spacing w:val="-92"/>
                <w:sz w:val="18"/>
                <w:szCs w:val="18"/>
              </w:rPr>
              <w:t>，</w:t>
            </w:r>
            <w:r>
              <w:rPr>
                <w:rFonts w:ascii="宋体" w:hAnsi="宋体" w:cs="宋体" w:eastAsia="宋体" w:hint="default"/>
                <w:sz w:val="18"/>
                <w:szCs w:val="18"/>
              </w:rPr>
              <w:t>剩余</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万股限制性股票，每股行权价格为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10.37</w:t>
            </w:r>
            <w:r>
              <w:rPr>
                <w:rFonts w:ascii="Times New Roman" w:hAnsi="Times New Roman" w:cs="Times New Roman" w:eastAsia="Times New Roman" w:hint="default"/>
                <w:spacing w:val="-10"/>
                <w:sz w:val="18"/>
                <w:szCs w:val="18"/>
              </w:rPr>
              <w:t> </w:t>
            </w:r>
            <w:r>
              <w:rPr>
                <w:rFonts w:ascii="宋体" w:hAnsi="宋体" w:cs="宋体" w:eastAsia="宋体" w:hint="default"/>
                <w:spacing w:val="-4"/>
                <w:sz w:val="18"/>
                <w:szCs w:val="18"/>
              </w:rPr>
              <w:t>元，合同剩</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余期限为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个月；</w:t>
            </w:r>
            <w:r>
              <w:rPr>
                <w:rFonts w:ascii="Times New Roman" w:hAnsi="Times New Roman" w:cs="Times New Roman" w:eastAsia="Times New Roman" w:hint="default"/>
                <w:spacing w:val="-5"/>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日授予限制性股</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票</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万股，每股行权价格为</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11.26</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元，合同剩余期</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限为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、以权益结算的股份支付情况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模型</w:t>
            </w:r>
          </w:p>
        </w:tc>
      </w:tr>
      <w:tr>
        <w:trPr>
          <w:trHeight w:val="71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51"/>
              <w:jc w:val="left"/>
              <w:rPr>
                <w:rFonts w:ascii="宋体" w:hAnsi="宋体" w:cs="宋体" w:eastAsia="宋体" w:hint="default"/>
                <w:sz w:val="18"/>
                <w:szCs w:val="18"/>
              </w:rPr>
            </w:pPr>
            <w:r>
              <w:rPr>
                <w:rFonts w:ascii="宋体" w:hAnsi="宋体" w:cs="宋体" w:eastAsia="宋体" w:hint="default"/>
                <w:sz w:val="18"/>
                <w:szCs w:val="18"/>
              </w:rPr>
              <w:t>根据最新取得的可行权人数变动、业绩指标完成情况等后 续信息，修正预计可行权的限制性数量。</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29,597,900.00</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15,152,200.00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before="44"/>
        <w:ind w:left="152" w:right="96"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4"/>
        <w:rPr>
          <w:rFonts w:ascii="宋体" w:hAnsi="宋体" w:cs="宋体" w:eastAsia="宋体" w:hint="default"/>
          <w:sz w:val="8"/>
          <w:szCs w:val="8"/>
        </w:rPr>
      </w:pPr>
    </w:p>
    <w:tbl>
      <w:tblPr>
        <w:tblW w:w="0" w:type="auto"/>
        <w:jc w:val="left"/>
        <w:tblInd w:w="145" w:type="dxa"/>
        <w:tblLayout w:type="fixed"/>
        <w:tblCellMar>
          <w:top w:w="0" w:type="dxa"/>
          <w:left w:w="0" w:type="dxa"/>
          <w:bottom w:w="0" w:type="dxa"/>
          <w:right w:w="0" w:type="dxa"/>
        </w:tblCellMar>
        <w:tblLook w:val="01E0"/>
      </w:tblPr>
      <w:tblGrid>
        <w:gridCol w:w="2580"/>
        <w:gridCol w:w="3263"/>
        <w:gridCol w:w="3212"/>
      </w:tblGrid>
      <w:tr>
        <w:trPr>
          <w:trHeight w:val="353" w:hRule="exact"/>
        </w:trPr>
        <w:tc>
          <w:tcPr>
            <w:tcW w:w="2580" w:type="dxa"/>
            <w:tcBorders>
              <w:top w:val="single" w:sz="6" w:space="0" w:color="000000"/>
              <w:left w:val="single" w:sz="6" w:space="0" w:color="000000"/>
              <w:bottom w:val="single" w:sz="12" w:space="0" w:color="000000"/>
              <w:right w:val="single" w:sz="6" w:space="0" w:color="000000"/>
            </w:tcBorders>
          </w:tcPr>
          <w:p>
            <w:pPr>
              <w:pStyle w:val="TableParagraph"/>
              <w:tabs>
                <w:tab w:pos="468" w:val="left" w:leader="none"/>
              </w:tabs>
              <w:spacing w:line="272" w:lineRule="exact"/>
              <w:ind w:left="5"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63"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ind w:left="785" w:right="0"/>
              <w:jc w:val="left"/>
              <w:rPr>
                <w:rFonts w:ascii="宋体" w:hAnsi="宋体" w:cs="宋体" w:eastAsia="宋体" w:hint="default"/>
                <w:sz w:val="21"/>
                <w:szCs w:val="21"/>
              </w:rPr>
            </w:pPr>
            <w:r>
              <w:rPr>
                <w:rFonts w:ascii="宋体" w:hAnsi="宋体" w:cs="宋体" w:eastAsia="宋体" w:hint="default"/>
                <w:sz w:val="21"/>
                <w:szCs w:val="21"/>
              </w:rPr>
              <w:t>股票期权相关内容</w:t>
            </w:r>
          </w:p>
        </w:tc>
        <w:tc>
          <w:tcPr>
            <w:tcW w:w="3212" w:type="dxa"/>
            <w:tcBorders>
              <w:top w:val="single" w:sz="6" w:space="0" w:color="000000"/>
              <w:left w:val="single" w:sz="6" w:space="0" w:color="000000"/>
              <w:bottom w:val="single" w:sz="12" w:space="0" w:color="000000"/>
              <w:right w:val="single" w:sz="4" w:space="0" w:color="000000"/>
            </w:tcBorders>
          </w:tcPr>
          <w:p>
            <w:pPr>
              <w:pStyle w:val="TableParagraph"/>
              <w:spacing w:line="272" w:lineRule="exact"/>
              <w:ind w:left="652" w:right="0"/>
              <w:jc w:val="left"/>
              <w:rPr>
                <w:rFonts w:ascii="宋体" w:hAnsi="宋体" w:cs="宋体" w:eastAsia="宋体" w:hint="default"/>
                <w:sz w:val="21"/>
                <w:szCs w:val="21"/>
              </w:rPr>
            </w:pPr>
            <w:r>
              <w:rPr>
                <w:rFonts w:ascii="宋体" w:hAnsi="宋体" w:cs="宋体" w:eastAsia="宋体" w:hint="default"/>
                <w:sz w:val="21"/>
                <w:szCs w:val="21"/>
              </w:rPr>
              <w:t>限制性股票相关内容</w:t>
            </w:r>
          </w:p>
        </w:tc>
      </w:tr>
      <w:tr>
        <w:trPr>
          <w:trHeight w:val="665" w:hRule="exact"/>
        </w:trPr>
        <w:tc>
          <w:tcPr>
            <w:tcW w:w="2580"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3"/>
              <w:jc w:val="left"/>
              <w:rPr>
                <w:rFonts w:ascii="宋体" w:hAnsi="宋体" w:cs="宋体" w:eastAsia="宋体" w:hint="default"/>
                <w:sz w:val="21"/>
                <w:szCs w:val="21"/>
              </w:rPr>
            </w:pPr>
            <w:r>
              <w:rPr>
                <w:rFonts w:ascii="宋体" w:hAnsi="宋体" w:cs="宋体" w:eastAsia="宋体" w:hint="default"/>
                <w:spacing w:val="2"/>
                <w:sz w:val="21"/>
                <w:szCs w:val="21"/>
              </w:rPr>
              <w:t>授予日权益工具公允价值的</w:t>
            </w:r>
            <w:r>
              <w:rPr>
                <w:rFonts w:ascii="宋体" w:hAnsi="宋体" w:cs="宋体" w:eastAsia="宋体" w:hint="default"/>
                <w:spacing w:val="-91"/>
                <w:sz w:val="21"/>
                <w:szCs w:val="21"/>
              </w:rPr>
              <w:t> </w:t>
            </w:r>
            <w:r>
              <w:rPr>
                <w:rFonts w:ascii="宋体" w:hAnsi="宋体" w:cs="宋体" w:eastAsia="宋体" w:hint="default"/>
                <w:sz w:val="21"/>
                <w:szCs w:val="21"/>
              </w:rPr>
              <w:t>确定方法</w:t>
            </w:r>
          </w:p>
        </w:tc>
        <w:tc>
          <w:tcPr>
            <w:tcW w:w="3263" w:type="dxa"/>
            <w:tcBorders>
              <w:top w:val="single" w:sz="12" w:space="0" w:color="000000"/>
              <w:left w:val="single" w:sz="6" w:space="0" w:color="000000"/>
              <w:bottom w:val="single" w:sz="12" w:space="0" w:color="000000"/>
              <w:right w:val="single" w:sz="6" w:space="0" w:color="000000"/>
            </w:tcBorders>
          </w:tcPr>
          <w:p>
            <w:pPr>
              <w:pStyle w:val="TableParagraph"/>
              <w:spacing w:line="281" w:lineRule="exact"/>
              <w:ind w:left="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Black-Scholes</w:t>
            </w:r>
            <w:r>
              <w:rPr>
                <w:rFonts w:ascii="宋体" w:hAnsi="宋体" w:cs="宋体" w:eastAsia="宋体" w:hint="default"/>
                <w:sz w:val="21"/>
                <w:szCs w:val="21"/>
              </w:rPr>
              <w:t>模型</w:t>
            </w:r>
          </w:p>
        </w:tc>
        <w:tc>
          <w:tcPr>
            <w:tcW w:w="3212" w:type="dxa"/>
            <w:tcBorders>
              <w:top w:val="single" w:sz="12" w:space="0" w:color="000000"/>
              <w:left w:val="single" w:sz="6" w:space="0" w:color="000000"/>
              <w:bottom w:val="single" w:sz="12" w:space="0" w:color="000000"/>
              <w:right w:val="single" w:sz="4" w:space="0" w:color="000000"/>
            </w:tcBorders>
          </w:tcPr>
          <w:p>
            <w:pPr>
              <w:pStyle w:val="TableParagraph"/>
              <w:spacing w:line="281" w:lineRule="exact"/>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Black-Scholes</w:t>
            </w:r>
            <w:r>
              <w:rPr>
                <w:rFonts w:ascii="宋体" w:hAnsi="宋体" w:cs="宋体" w:eastAsia="宋体" w:hint="default"/>
                <w:sz w:val="21"/>
                <w:szCs w:val="21"/>
              </w:rPr>
              <w:t>模型</w:t>
            </w:r>
          </w:p>
        </w:tc>
      </w:tr>
      <w:tr>
        <w:trPr>
          <w:trHeight w:val="977" w:hRule="exact"/>
        </w:trPr>
        <w:tc>
          <w:tcPr>
            <w:tcW w:w="2580"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3"/>
              <w:jc w:val="left"/>
              <w:rPr>
                <w:rFonts w:ascii="宋体" w:hAnsi="宋体" w:cs="宋体" w:eastAsia="宋体" w:hint="default"/>
                <w:sz w:val="21"/>
                <w:szCs w:val="21"/>
              </w:rPr>
            </w:pPr>
            <w:r>
              <w:rPr>
                <w:rFonts w:ascii="宋体" w:hAnsi="宋体" w:cs="宋体" w:eastAsia="宋体" w:hint="default"/>
                <w:spacing w:val="2"/>
                <w:sz w:val="21"/>
                <w:szCs w:val="21"/>
              </w:rPr>
              <w:t>可行权权益工具数量的确定</w:t>
            </w:r>
            <w:r>
              <w:rPr>
                <w:rFonts w:ascii="宋体" w:hAnsi="宋体" w:cs="宋体" w:eastAsia="宋体" w:hint="default"/>
                <w:spacing w:val="-91"/>
                <w:sz w:val="21"/>
                <w:szCs w:val="21"/>
              </w:rPr>
              <w:t> </w:t>
            </w:r>
            <w:r>
              <w:rPr>
                <w:rFonts w:ascii="宋体" w:hAnsi="宋体" w:cs="宋体" w:eastAsia="宋体" w:hint="default"/>
                <w:sz w:val="21"/>
                <w:szCs w:val="21"/>
              </w:rPr>
              <w:t>依据</w:t>
            </w:r>
          </w:p>
        </w:tc>
        <w:tc>
          <w:tcPr>
            <w:tcW w:w="3263"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1"/>
              <w:jc w:val="both"/>
              <w:rPr>
                <w:rFonts w:ascii="宋体" w:hAnsi="宋体" w:cs="宋体" w:eastAsia="宋体" w:hint="default"/>
                <w:sz w:val="21"/>
                <w:szCs w:val="21"/>
              </w:rPr>
            </w:pPr>
            <w:r>
              <w:rPr>
                <w:rFonts w:ascii="宋体" w:hAnsi="宋体" w:cs="宋体" w:eastAsia="宋体" w:hint="default"/>
                <w:spacing w:val="3"/>
                <w:sz w:val="21"/>
                <w:szCs w:val="21"/>
              </w:rPr>
              <w:t>根据最新取得的可行权人数变动、</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3"/>
                <w:sz w:val="21"/>
                <w:szCs w:val="21"/>
              </w:rPr>
              <w:t>业绩指标完成情况等后续信息，修</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正预计可行权的股票期权数量。</w:t>
            </w:r>
          </w:p>
        </w:tc>
        <w:tc>
          <w:tcPr>
            <w:tcW w:w="3212" w:type="dxa"/>
            <w:tcBorders>
              <w:top w:val="single" w:sz="12" w:space="0" w:color="000000"/>
              <w:left w:val="single" w:sz="6" w:space="0" w:color="000000"/>
              <w:bottom w:val="single" w:sz="12" w:space="0" w:color="000000"/>
              <w:right w:val="single" w:sz="4" w:space="0" w:color="000000"/>
            </w:tcBorders>
          </w:tcPr>
          <w:p>
            <w:pPr>
              <w:pStyle w:val="TableParagraph"/>
              <w:spacing w:line="273" w:lineRule="auto"/>
              <w:ind w:left="2" w:right="4"/>
              <w:jc w:val="both"/>
              <w:rPr>
                <w:rFonts w:ascii="宋体" w:hAnsi="宋体" w:cs="宋体" w:eastAsia="宋体" w:hint="default"/>
                <w:sz w:val="21"/>
                <w:szCs w:val="21"/>
              </w:rPr>
            </w:pPr>
            <w:r>
              <w:rPr>
                <w:rFonts w:ascii="宋体" w:hAnsi="宋体" w:cs="宋体" w:eastAsia="宋体" w:hint="default"/>
                <w:sz w:val="21"/>
                <w:szCs w:val="21"/>
              </w:rPr>
              <w:t>根据最新取得的可行权人数变动、</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业绩指标完成情况等后续信息，修</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正预计可行权的限制性数量。</w:t>
            </w:r>
          </w:p>
        </w:tc>
      </w:tr>
      <w:tr>
        <w:trPr>
          <w:trHeight w:val="662" w:hRule="exact"/>
        </w:trPr>
        <w:tc>
          <w:tcPr>
            <w:tcW w:w="2580"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3"/>
              <w:jc w:val="left"/>
              <w:rPr>
                <w:rFonts w:ascii="宋体" w:hAnsi="宋体" w:cs="宋体" w:eastAsia="宋体" w:hint="default"/>
                <w:sz w:val="21"/>
                <w:szCs w:val="21"/>
              </w:rPr>
            </w:pPr>
            <w:r>
              <w:rPr>
                <w:rFonts w:ascii="宋体" w:hAnsi="宋体" w:cs="宋体" w:eastAsia="宋体" w:hint="default"/>
                <w:spacing w:val="2"/>
                <w:sz w:val="21"/>
                <w:szCs w:val="21"/>
              </w:rPr>
              <w:t>本年估计与上年估计有重大</w:t>
            </w:r>
            <w:r>
              <w:rPr>
                <w:rFonts w:ascii="宋体" w:hAnsi="宋体" w:cs="宋体" w:eastAsia="宋体" w:hint="default"/>
                <w:spacing w:val="-91"/>
                <w:sz w:val="21"/>
                <w:szCs w:val="21"/>
              </w:rPr>
              <w:t> </w:t>
            </w:r>
            <w:r>
              <w:rPr>
                <w:rFonts w:ascii="宋体" w:hAnsi="宋体" w:cs="宋体" w:eastAsia="宋体" w:hint="default"/>
                <w:sz w:val="21"/>
                <w:szCs w:val="21"/>
              </w:rPr>
              <w:t>差异的原因</w:t>
            </w:r>
          </w:p>
        </w:tc>
        <w:tc>
          <w:tcPr>
            <w:tcW w:w="3263"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3212" w:type="dxa"/>
            <w:tcBorders>
              <w:top w:val="single" w:sz="12" w:space="0" w:color="000000"/>
              <w:left w:val="single" w:sz="6" w:space="0" w:color="000000"/>
              <w:bottom w:val="single" w:sz="12" w:space="0" w:color="000000"/>
              <w:right w:val="single" w:sz="4" w:space="0" w:color="000000"/>
            </w:tcBorders>
          </w:tcPr>
          <w:p>
            <w:pPr>
              <w:pStyle w:val="TableParagraph"/>
              <w:spacing w:line="262" w:lineRule="exact"/>
              <w:ind w:left="2"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665" w:hRule="exact"/>
        </w:trPr>
        <w:tc>
          <w:tcPr>
            <w:tcW w:w="2580"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3"/>
              <w:jc w:val="left"/>
              <w:rPr>
                <w:rFonts w:ascii="宋体" w:hAnsi="宋体" w:cs="宋体" w:eastAsia="宋体" w:hint="default"/>
                <w:sz w:val="21"/>
                <w:szCs w:val="21"/>
              </w:rPr>
            </w:pPr>
            <w:r>
              <w:rPr>
                <w:rFonts w:ascii="宋体" w:hAnsi="宋体" w:cs="宋体" w:eastAsia="宋体" w:hint="default"/>
                <w:spacing w:val="2"/>
                <w:sz w:val="21"/>
                <w:szCs w:val="21"/>
              </w:rPr>
              <w:t>以权益结算的股份支付计入</w:t>
            </w:r>
            <w:r>
              <w:rPr>
                <w:rFonts w:ascii="宋体" w:hAnsi="宋体" w:cs="宋体" w:eastAsia="宋体" w:hint="default"/>
                <w:spacing w:val="-91"/>
                <w:sz w:val="21"/>
                <w:szCs w:val="21"/>
              </w:rPr>
              <w:t> </w:t>
            </w:r>
            <w:r>
              <w:rPr>
                <w:rFonts w:ascii="宋体" w:hAnsi="宋体" w:cs="宋体" w:eastAsia="宋体" w:hint="default"/>
                <w:sz w:val="21"/>
                <w:szCs w:val="21"/>
              </w:rPr>
              <w:t>资本公积的累计金额</w:t>
            </w:r>
          </w:p>
        </w:tc>
        <w:tc>
          <w:tcPr>
            <w:tcW w:w="326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6"/>
              <w:ind w:left="2143" w:right="0"/>
              <w:jc w:val="left"/>
              <w:rPr>
                <w:rFonts w:ascii="Times New Roman" w:hAnsi="Times New Roman" w:cs="Times New Roman" w:eastAsia="Times New Roman" w:hint="default"/>
                <w:sz w:val="21"/>
                <w:szCs w:val="21"/>
              </w:rPr>
            </w:pPr>
            <w:r>
              <w:rPr>
                <w:rFonts w:ascii="Times New Roman"/>
                <w:sz w:val="21"/>
              </w:rPr>
              <w:t>8,529,115.00</w:t>
            </w:r>
          </w:p>
        </w:tc>
        <w:tc>
          <w:tcPr>
            <w:tcW w:w="3212" w:type="dxa"/>
            <w:tcBorders>
              <w:top w:val="single" w:sz="12" w:space="0" w:color="000000"/>
              <w:left w:val="single" w:sz="6" w:space="0" w:color="000000"/>
              <w:bottom w:val="single" w:sz="12" w:space="0" w:color="000000"/>
              <w:right w:val="single" w:sz="4" w:space="0" w:color="000000"/>
            </w:tcBorders>
          </w:tcPr>
          <w:p>
            <w:pPr>
              <w:pStyle w:val="TableParagraph"/>
              <w:spacing w:line="240" w:lineRule="auto" w:before="36"/>
              <w:ind w:right="0"/>
              <w:jc w:val="right"/>
              <w:rPr>
                <w:rFonts w:ascii="Times New Roman" w:hAnsi="Times New Roman" w:cs="Times New Roman" w:eastAsia="Times New Roman" w:hint="default"/>
                <w:sz w:val="21"/>
                <w:szCs w:val="21"/>
              </w:rPr>
            </w:pPr>
            <w:r>
              <w:rPr>
                <w:rFonts w:ascii="Times New Roman"/>
                <w:spacing w:val="-1"/>
                <w:sz w:val="21"/>
              </w:rPr>
              <w:t>29,597,900.00</w:t>
            </w:r>
          </w:p>
        </w:tc>
      </w:tr>
      <w:tr>
        <w:trPr>
          <w:trHeight w:val="665" w:hRule="exact"/>
        </w:trPr>
        <w:tc>
          <w:tcPr>
            <w:tcW w:w="2580"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ind w:left="4" w:right="-3"/>
              <w:jc w:val="left"/>
              <w:rPr>
                <w:rFonts w:ascii="宋体" w:hAnsi="宋体" w:cs="宋体" w:eastAsia="宋体" w:hint="default"/>
                <w:sz w:val="21"/>
                <w:szCs w:val="21"/>
              </w:rPr>
            </w:pPr>
            <w:r>
              <w:rPr>
                <w:rFonts w:ascii="宋体" w:hAnsi="宋体" w:cs="宋体" w:eastAsia="宋体" w:hint="default"/>
                <w:spacing w:val="2"/>
                <w:sz w:val="21"/>
                <w:szCs w:val="21"/>
              </w:rPr>
              <w:t>本年以权益结算的股份支付</w:t>
            </w:r>
            <w:r>
              <w:rPr>
                <w:rFonts w:ascii="宋体" w:hAnsi="宋体" w:cs="宋体" w:eastAsia="宋体" w:hint="default"/>
                <w:spacing w:val="-91"/>
                <w:sz w:val="21"/>
                <w:szCs w:val="21"/>
              </w:rPr>
              <w:t> </w:t>
            </w:r>
            <w:r>
              <w:rPr>
                <w:rFonts w:ascii="宋体" w:hAnsi="宋体" w:cs="宋体" w:eastAsia="宋体" w:hint="default"/>
                <w:sz w:val="21"/>
                <w:szCs w:val="21"/>
              </w:rPr>
              <w:t>确认的费用总额</w:t>
            </w:r>
          </w:p>
        </w:tc>
        <w:tc>
          <w:tcPr>
            <w:tcW w:w="3263"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3212" w:type="dxa"/>
            <w:tcBorders>
              <w:top w:val="single" w:sz="12" w:space="0" w:color="000000"/>
              <w:left w:val="single" w:sz="6" w:space="0" w:color="000000"/>
              <w:bottom w:val="single" w:sz="12" w:space="0" w:color="000000"/>
              <w:right w:val="single" w:sz="4"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15,152,200.00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6"/>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、以现金结算的股份支付情况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6"/>
        <w:jc w:val="left"/>
        <w:rPr>
          <w:b w:val="0"/>
          <w:bCs w:val="0"/>
        </w:rPr>
      </w:pPr>
      <w:r>
        <w:rPr/>
        <w:t>十三、承诺及或有事项</w:t>
      </w:r>
      <w:r>
        <w:rPr>
          <w:b w:val="0"/>
          <w:bCs w:val="0"/>
        </w:rPr>
      </w:r>
    </w:p>
    <w:p>
      <w:pPr>
        <w:spacing w:line="240" w:lineRule="auto" w:before="12"/>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pStyle w:val="BodyText"/>
        <w:spacing w:line="240" w:lineRule="auto" w:before="54"/>
        <w:ind w:left="633" w:right="96"/>
        <w:jc w:val="left"/>
        <w:rPr>
          <w:rFonts w:ascii="宋体" w:hAnsi="宋体" w:cs="宋体" w:eastAsia="宋体" w:hint="default"/>
          <w:sz w:val="25"/>
          <w:szCs w:val="25"/>
        </w:rPr>
      </w:pPr>
      <w:r>
        <w:rPr/>
        <w:t>截至</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31</w:t>
      </w:r>
      <w:r>
        <w:rPr/>
        <w:t>日，本公司无需要披露的重大承诺事项</w:t>
      </w:r>
      <w:r>
        <w:rPr>
          <w:rFonts w:ascii="宋体" w:hAnsi="宋体" w:cs="宋体" w:eastAsia="宋体" w:hint="default"/>
          <w:i/>
          <w:sz w:val="25"/>
          <w:szCs w:val="25"/>
        </w:rPr>
        <w:t>。</w:t>
      </w:r>
      <w:r>
        <w:rPr>
          <w:rFonts w:ascii="宋体" w:hAnsi="宋体" w:cs="宋体" w:eastAsia="宋体" w:hint="default"/>
          <w:sz w:val="25"/>
          <w:szCs w:val="25"/>
        </w:rPr>
      </w:r>
    </w:p>
    <w:p>
      <w:pPr>
        <w:spacing w:line="240" w:lineRule="auto" w:before="0"/>
        <w:rPr>
          <w:rFonts w:ascii="宋体" w:hAnsi="宋体" w:cs="宋体" w:eastAsia="宋体" w:hint="default"/>
          <w:i/>
          <w:sz w:val="24"/>
          <w:szCs w:val="24"/>
        </w:rPr>
      </w:pPr>
    </w:p>
    <w:p>
      <w:pPr>
        <w:spacing w:line="240" w:lineRule="auto" w:before="8"/>
        <w:rPr>
          <w:rFonts w:ascii="宋体" w:hAnsi="宋体" w:cs="宋体" w:eastAsia="宋体" w:hint="default"/>
          <w:i/>
          <w:sz w:val="24"/>
          <w:szCs w:val="24"/>
        </w:rPr>
      </w:pPr>
    </w:p>
    <w:p>
      <w:pPr>
        <w:spacing w:before="0"/>
        <w:ind w:left="152" w:right="9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、或有事项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）资产负债表日存在的重要或有事项</w:t>
      </w:r>
      <w:r>
        <w:rPr>
          <w:rFonts w:ascii="宋体" w:hAnsi="宋体" w:cs="宋体" w:eastAsia="宋体" w:hint="default"/>
          <w:sz w:val="21"/>
          <w:szCs w:val="21"/>
        </w:rPr>
      </w:r>
    </w:p>
    <w:p>
      <w:pPr>
        <w:spacing w:line="240" w:lineRule="auto" w:before="7"/>
        <w:rPr>
          <w:rFonts w:ascii="宋体" w:hAnsi="宋体" w:cs="宋体" w:eastAsia="宋体" w:hint="default"/>
          <w:b/>
          <w:bCs/>
          <w:sz w:val="28"/>
          <w:szCs w:val="28"/>
        </w:rPr>
      </w:pPr>
    </w:p>
    <w:p>
      <w:pPr>
        <w:pStyle w:val="BodyText"/>
        <w:spacing w:line="357" w:lineRule="auto" w:before="0"/>
        <w:ind w:right="104" w:firstLine="480"/>
        <w:jc w:val="left"/>
      </w:pPr>
      <w:r>
        <w:rPr/>
        <w:t>董事会同意向北京银行中关村支行申请综合授信</w:t>
      </w:r>
      <w:r>
        <w:rPr>
          <w:rFonts w:ascii="宋体" w:hAnsi="宋体" w:cs="宋体" w:eastAsia="宋体" w:hint="default"/>
        </w:rPr>
        <w:t>10,000</w:t>
      </w:r>
      <w:r>
        <w:rPr/>
        <w:t>万元，同时子公司北京数字智通 </w:t>
      </w:r>
      <w:r>
        <w:rPr>
          <w:spacing w:val="-2"/>
        </w:rPr>
        <w:t>科技有限公司向北京银行股份有限公司中关村支行申请综合授信人民币</w:t>
      </w:r>
      <w:r>
        <w:rPr>
          <w:rFonts w:ascii="宋体" w:hAnsi="宋体" w:cs="宋体" w:eastAsia="宋体" w:hint="default"/>
          <w:spacing w:val="-2"/>
        </w:rPr>
        <w:t>5,000.00</w:t>
      </w:r>
      <w:r>
        <w:rPr>
          <w:spacing w:val="-2"/>
        </w:rPr>
        <w:t>万元，其中，</w:t>
      </w:r>
      <w:r>
        <w:rPr>
          <w:spacing w:val="-111"/>
        </w:rPr>
        <w:t> </w:t>
      </w:r>
      <w:r>
        <w:rPr>
          <w:spacing w:val="-111"/>
        </w:rPr>
      </w:r>
      <w:r>
        <w:rPr/>
        <w:t>流动资金贷款授信额度不超过</w:t>
      </w:r>
      <w:r>
        <w:rPr>
          <w:rFonts w:ascii="宋体" w:hAnsi="宋体" w:cs="宋体" w:eastAsia="宋体" w:hint="default"/>
        </w:rPr>
        <w:t>3000</w:t>
      </w:r>
      <w:r>
        <w:rPr/>
        <w:t>万元，由公司为该笔综合授信提供</w:t>
      </w:r>
      <w:r>
        <w:rPr>
          <w:rFonts w:ascii="宋体" w:hAnsi="宋体" w:cs="宋体" w:eastAsia="宋体" w:hint="default"/>
        </w:rPr>
        <w:t>5,000.00</w:t>
      </w:r>
      <w:r>
        <w:rPr/>
        <w:t>万元连带责任</w:t>
      </w:r>
      <w:r>
        <w:rPr>
          <w:spacing w:val="-85"/>
        </w:rPr>
        <w:t> </w:t>
      </w:r>
      <w:r>
        <w:rPr>
          <w:spacing w:val="-85"/>
        </w:rPr>
      </w:r>
      <w:r>
        <w:rPr/>
        <w:t>担保。有效期自协议生效之日起一年。</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96"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）公司没有需要披露的重要或有事项，也应予以说明</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6"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after="0"/>
        <w:jc w:val="left"/>
        <w:rPr>
          <w:rFonts w:ascii="宋体" w:hAnsi="宋体" w:cs="宋体" w:eastAsia="宋体" w:hint="default"/>
          <w:sz w:val="18"/>
          <w:szCs w:val="18"/>
        </w:rPr>
        <w:sectPr>
          <w:pgSz w:w="11910" w:h="16840"/>
          <w:pgMar w:header="745" w:footer="979" w:top="1060" w:bottom="1160" w:left="980" w:right="900"/>
        </w:sectPr>
      </w:pPr>
    </w:p>
    <w:p>
      <w:pPr>
        <w:spacing w:line="240" w:lineRule="auto" w:before="8"/>
        <w:rPr>
          <w:rFonts w:ascii="宋体" w:hAnsi="宋体" w:cs="宋体" w:eastAsia="宋体" w:hint="default"/>
          <w:sz w:val="23"/>
          <w:szCs w:val="23"/>
        </w:rPr>
      </w:pPr>
    </w:p>
    <w:p>
      <w:pPr>
        <w:pStyle w:val="Heading2"/>
        <w:spacing w:line="240" w:lineRule="auto" w:before="26"/>
        <w:ind w:right="153"/>
        <w:jc w:val="left"/>
        <w:rPr>
          <w:b w:val="0"/>
          <w:bCs w:val="0"/>
        </w:rPr>
      </w:pPr>
      <w:r>
        <w:rPr/>
        <w:t>十四、资产负债表日后事项</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、利润分配情况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1"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12,738,807.15</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12,738,807.15</w:t>
            </w:r>
          </w:p>
        </w:tc>
      </w:tr>
    </w:tbl>
    <w:p>
      <w:pPr>
        <w:spacing w:line="240" w:lineRule="auto" w:before="1"/>
        <w:rPr>
          <w:rFonts w:ascii="宋体" w:hAnsi="宋体" w:cs="宋体" w:eastAsia="宋体" w:hint="default"/>
          <w:sz w:val="18"/>
          <w:szCs w:val="18"/>
        </w:rPr>
      </w:pPr>
    </w:p>
    <w:p>
      <w:pPr>
        <w:pStyle w:val="Heading2"/>
        <w:spacing w:line="240" w:lineRule="auto" w:before="26"/>
        <w:ind w:right="153"/>
        <w:jc w:val="left"/>
        <w:rPr>
          <w:b w:val="0"/>
          <w:bCs w:val="0"/>
        </w:rPr>
      </w:pPr>
      <w:r>
        <w:rPr/>
        <w:t>十五、母公司财务报表主要项目注释</w:t>
      </w:r>
      <w:r>
        <w:rPr>
          <w:b w:val="0"/>
          <w:bCs w:val="0"/>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）应收账款分类披露</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8"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736,954,</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875.56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71,708,4</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10.07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9.73%</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665,246,4</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65.49</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430,281</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,662.10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44,970,43</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0.76</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10.45%</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385,311,23</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1.34</w:t>
            </w: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736,954,</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875.56</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71,708,4</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10.07</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9.73%</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665,246,4</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65.49</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430,281</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,662.10</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44,970,43</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0.76</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10.45%</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96" w:right="0"/>
              <w:jc w:val="left"/>
              <w:rPr>
                <w:rFonts w:ascii="Times New Roman" w:hAnsi="Times New Roman" w:cs="Times New Roman" w:eastAsia="Times New Roman" w:hint="default"/>
                <w:sz w:val="18"/>
                <w:szCs w:val="18"/>
              </w:rPr>
            </w:pPr>
            <w:r>
              <w:rPr>
                <w:rFonts w:ascii="Times New Roman"/>
                <w:sz w:val="18"/>
              </w:rPr>
              <w:t>385,311,23</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1.34</w:t>
            </w:r>
          </w:p>
        </w:tc>
      </w:tr>
      <w:tr>
        <w:trPr>
          <w:trHeight w:val="394"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40" w:lineRule="auto" w:before="115"/>
        <w:ind w:left="15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组合中，按账龄分析法计提坏账准备的应收账款：</w:t>
      </w:r>
    </w:p>
    <w:p>
      <w:pPr>
        <w:spacing w:before="41"/>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980"/>
          <w:cols w:num="2" w:equalWidth="0">
            <w:col w:w="4293" w:space="4536"/>
            <w:col w:w="1121"/>
          </w:cols>
        </w:sectPr>
      </w:pP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7"/>
        <w:gridCol w:w="2300"/>
        <w:gridCol w:w="2391"/>
        <w:gridCol w:w="2390"/>
      </w:tblGrid>
      <w:tr>
        <w:trPr>
          <w:trHeight w:val="206" w:hRule="exact"/>
        </w:trPr>
        <w:tc>
          <w:tcPr>
            <w:tcW w:w="2477"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账龄</w:t>
            </w:r>
          </w:p>
        </w:tc>
        <w:tc>
          <w:tcPr>
            <w:tcW w:w="708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77" w:type="dxa"/>
            <w:vMerge/>
            <w:tcBorders>
              <w:left w:val="single" w:sz="4" w:space="0" w:color="000000"/>
              <w:bottom w:val="nil" w:sz="6" w:space="0" w:color="auto"/>
              <w:right w:val="single" w:sz="4" w:space="0" w:color="000000"/>
            </w:tcBorders>
            <w:shd w:val="clear" w:color="auto" w:fill="D2D2D2"/>
          </w:tcPr>
          <w:p>
            <w:pPr/>
          </w:p>
        </w:tc>
        <w:tc>
          <w:tcPr>
            <w:tcW w:w="23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77"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0"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551,719,096.80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27,585,954.84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98,617,903.40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9,861,790.34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48,369,084.06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14,510,725.22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14,214,875.28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7,107,437.64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9,983,716.41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7,986,973.13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4"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4,655,528.90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4,655,528.90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2496"/>
        <w:gridCol w:w="2295"/>
        <w:gridCol w:w="2391"/>
        <w:gridCol w:w="2391"/>
      </w:tblGrid>
      <w:tr>
        <w:trPr>
          <w:trHeight w:val="404"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38" w:right="0"/>
              <w:jc w:val="left"/>
              <w:rPr>
                <w:rFonts w:ascii="Times New Roman" w:hAnsi="Times New Roman" w:cs="Times New Roman" w:eastAsia="Times New Roman" w:hint="default"/>
                <w:sz w:val="18"/>
                <w:szCs w:val="18"/>
              </w:rPr>
            </w:pPr>
            <w:r>
              <w:rPr>
                <w:rFonts w:ascii="Times New Roman"/>
                <w:sz w:val="18"/>
              </w:rPr>
              <w:t>727,560,204.85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2" w:right="0"/>
              <w:jc w:val="left"/>
              <w:rPr>
                <w:rFonts w:ascii="Times New Roman" w:hAnsi="Times New Roman" w:cs="Times New Roman" w:eastAsia="Times New Roman" w:hint="default"/>
                <w:sz w:val="18"/>
                <w:szCs w:val="18"/>
              </w:rPr>
            </w:pPr>
            <w:r>
              <w:rPr>
                <w:rFonts w:ascii="Times New Roman"/>
                <w:sz w:val="18"/>
              </w:rPr>
              <w:t>71,708,410.07</w:t>
            </w: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w:t>
      </w:r>
    </w:p>
    <w:p>
      <w:pPr>
        <w:pStyle w:val="BodyText"/>
        <w:spacing w:line="240" w:lineRule="auto" w:before="66"/>
        <w:ind w:left="633" w:right="153"/>
        <w:jc w:val="left"/>
      </w:pPr>
      <w:r>
        <w:rPr/>
        <w:t>本组合为与本公司无关联关系的客户的应收款项。</w:t>
      </w:r>
    </w:p>
    <w:p>
      <w:pPr>
        <w:spacing w:line="240" w:lineRule="auto" w:before="7"/>
        <w:rPr>
          <w:rFonts w:ascii="宋体" w:hAnsi="宋体" w:cs="宋体" w:eastAsia="宋体" w:hint="default"/>
          <w:sz w:val="30"/>
          <w:szCs w:val="30"/>
        </w:rPr>
      </w:pPr>
    </w:p>
    <w:p>
      <w:pPr>
        <w:spacing w:before="0"/>
        <w:ind w:left="152" w:right="153"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组合中，采用余额百分比法计提坏账准备的应收账款：</w:t>
      </w:r>
    </w:p>
    <w:p>
      <w:pPr>
        <w:spacing w:line="340" w:lineRule="auto" w:before="115"/>
        <w:ind w:left="152" w:right="58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组合中，采用其他方法计提坏账准备的应收账款：</w:t>
      </w:r>
    </w:p>
    <w:p>
      <w:pPr>
        <w:spacing w:line="240" w:lineRule="auto" w:before="7"/>
        <w:rPr>
          <w:rFonts w:ascii="宋体" w:hAnsi="宋体" w:cs="宋体" w:eastAsia="宋体" w:hint="default"/>
          <w:sz w:val="2"/>
          <w:szCs w:val="2"/>
        </w:rPr>
      </w:pPr>
    </w:p>
    <w:tbl>
      <w:tblPr>
        <w:tblW w:w="0" w:type="auto"/>
        <w:jc w:val="left"/>
        <w:tblInd w:w="145" w:type="dxa"/>
        <w:tblLayout w:type="fixed"/>
        <w:tblCellMar>
          <w:top w:w="0" w:type="dxa"/>
          <w:left w:w="0" w:type="dxa"/>
          <w:bottom w:w="0" w:type="dxa"/>
          <w:right w:w="0" w:type="dxa"/>
        </w:tblCellMar>
        <w:tblLook w:val="01E0"/>
      </w:tblPr>
      <w:tblGrid>
        <w:gridCol w:w="2141"/>
        <w:gridCol w:w="2393"/>
        <w:gridCol w:w="2391"/>
        <w:gridCol w:w="2290"/>
      </w:tblGrid>
      <w:tr>
        <w:trPr>
          <w:trHeight w:val="353" w:hRule="exact"/>
        </w:trPr>
        <w:tc>
          <w:tcPr>
            <w:tcW w:w="2141" w:type="dxa"/>
            <w:vMerge w:val="restart"/>
            <w:tcBorders>
              <w:top w:val="single" w:sz="6" w:space="0" w:color="000000"/>
              <w:left w:val="single" w:sz="6" w:space="0" w:color="000000"/>
              <w:right w:val="single" w:sz="6" w:space="0" w:color="000000"/>
            </w:tcBorders>
          </w:tcPr>
          <w:p>
            <w:pPr>
              <w:pStyle w:val="TableParagraph"/>
              <w:spacing w:line="272" w:lineRule="exact"/>
              <w:ind w:left="646" w:right="0"/>
              <w:jc w:val="left"/>
              <w:rPr>
                <w:rFonts w:ascii="宋体" w:hAnsi="宋体" w:cs="宋体" w:eastAsia="宋体" w:hint="default"/>
                <w:sz w:val="21"/>
                <w:szCs w:val="21"/>
              </w:rPr>
            </w:pPr>
            <w:r>
              <w:rPr>
                <w:rFonts w:ascii="宋体" w:hAnsi="宋体" w:cs="宋体" w:eastAsia="宋体" w:hint="default"/>
                <w:sz w:val="21"/>
                <w:szCs w:val="21"/>
              </w:rPr>
              <w:t>组合名称</w:t>
            </w:r>
          </w:p>
        </w:tc>
        <w:tc>
          <w:tcPr>
            <w:tcW w:w="7074" w:type="dxa"/>
            <w:gridSpan w:val="3"/>
            <w:tcBorders>
              <w:top w:val="single" w:sz="6" w:space="0" w:color="000000"/>
              <w:left w:val="single" w:sz="6" w:space="0" w:color="000000"/>
              <w:bottom w:val="single" w:sz="12" w:space="0" w:color="000000"/>
              <w:right w:val="nil" w:sz="6" w:space="0" w:color="auto"/>
            </w:tcBorders>
          </w:tcPr>
          <w:p>
            <w:pPr>
              <w:pStyle w:val="TableParagraph"/>
              <w:spacing w:line="272" w:lineRule="exact"/>
              <w:ind w:right="1"/>
              <w:jc w:val="center"/>
              <w:rPr>
                <w:rFonts w:ascii="宋体" w:hAnsi="宋体" w:cs="宋体" w:eastAsia="宋体" w:hint="default"/>
                <w:sz w:val="21"/>
                <w:szCs w:val="21"/>
              </w:rPr>
            </w:pPr>
            <w:r>
              <w:rPr>
                <w:rFonts w:ascii="宋体" w:hAnsi="宋体" w:cs="宋体" w:eastAsia="宋体" w:hint="default"/>
                <w:sz w:val="21"/>
                <w:szCs w:val="21"/>
              </w:rPr>
              <w:t>年末余额</w:t>
            </w:r>
          </w:p>
        </w:tc>
      </w:tr>
      <w:tr>
        <w:trPr>
          <w:trHeight w:val="353" w:hRule="exact"/>
        </w:trPr>
        <w:tc>
          <w:tcPr>
            <w:tcW w:w="2141" w:type="dxa"/>
            <w:vMerge/>
            <w:tcBorders>
              <w:left w:val="single" w:sz="6" w:space="0" w:color="000000"/>
              <w:bottom w:val="single" w:sz="12" w:space="0" w:color="000000"/>
              <w:right w:val="single" w:sz="6" w:space="0" w:color="000000"/>
            </w:tcBorders>
          </w:tcPr>
          <w:p>
            <w:pPr/>
          </w:p>
        </w:tc>
        <w:tc>
          <w:tcPr>
            <w:tcW w:w="2393"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77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391"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76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90" w:type="dxa"/>
            <w:tcBorders>
              <w:top w:val="single" w:sz="12" w:space="0" w:color="000000"/>
              <w:left w:val="single" w:sz="6" w:space="0" w:color="000000"/>
              <w:bottom w:val="single" w:sz="12" w:space="0" w:color="000000"/>
              <w:right w:val="nil" w:sz="6" w:space="0" w:color="auto"/>
            </w:tcBorders>
          </w:tcPr>
          <w:p>
            <w:pPr>
              <w:pStyle w:val="TableParagraph"/>
              <w:spacing w:line="265" w:lineRule="exact"/>
              <w:ind w:left="717" w:right="0"/>
              <w:jc w:val="left"/>
              <w:rPr>
                <w:rFonts w:ascii="宋体" w:hAnsi="宋体" w:cs="宋体" w:eastAsia="宋体" w:hint="default"/>
                <w:sz w:val="21"/>
                <w:szCs w:val="21"/>
              </w:rPr>
            </w:pPr>
            <w:r>
              <w:rPr>
                <w:rFonts w:ascii="宋体" w:hAnsi="宋体" w:cs="宋体" w:eastAsia="宋体" w:hint="default"/>
                <w:sz w:val="21"/>
                <w:szCs w:val="21"/>
              </w:rPr>
              <w:t>计提比例</w:t>
            </w:r>
          </w:p>
        </w:tc>
      </w:tr>
      <w:tr>
        <w:trPr>
          <w:trHeight w:val="353" w:hRule="exact"/>
        </w:trPr>
        <w:tc>
          <w:tcPr>
            <w:tcW w:w="2141" w:type="dxa"/>
            <w:tcBorders>
              <w:top w:val="single" w:sz="12" w:space="0" w:color="000000"/>
              <w:left w:val="single" w:sz="6" w:space="0" w:color="000000"/>
              <w:bottom w:val="single" w:sz="12" w:space="0" w:color="000000"/>
              <w:right w:val="single" w:sz="6" w:space="0" w:color="000000"/>
            </w:tcBorders>
          </w:tcPr>
          <w:p>
            <w:pPr>
              <w:pStyle w:val="TableParagraph"/>
              <w:spacing w:line="263" w:lineRule="exact"/>
              <w:ind w:left="4" w:right="0"/>
              <w:jc w:val="left"/>
              <w:rPr>
                <w:rFonts w:ascii="宋体" w:hAnsi="宋体" w:cs="宋体" w:eastAsia="宋体" w:hint="default"/>
                <w:sz w:val="21"/>
                <w:szCs w:val="21"/>
              </w:rPr>
            </w:pPr>
            <w:r>
              <w:rPr>
                <w:rFonts w:ascii="宋体" w:hAnsi="宋体" w:cs="宋体" w:eastAsia="宋体" w:hint="default"/>
                <w:sz w:val="21"/>
                <w:szCs w:val="21"/>
              </w:rPr>
              <w:t>关联方组合</w:t>
            </w:r>
          </w:p>
        </w:tc>
        <w:tc>
          <w:tcPr>
            <w:tcW w:w="23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5"/>
              <w:ind w:right="0"/>
              <w:jc w:val="right"/>
              <w:rPr>
                <w:rFonts w:ascii="Times New Roman" w:hAnsi="Times New Roman" w:cs="Times New Roman" w:eastAsia="Times New Roman" w:hint="default"/>
                <w:sz w:val="21"/>
                <w:szCs w:val="21"/>
              </w:rPr>
            </w:pPr>
            <w:r>
              <w:rPr>
                <w:rFonts w:ascii="Times New Roman"/>
                <w:spacing w:val="-1"/>
                <w:sz w:val="21"/>
              </w:rPr>
              <w:t>9,394,670.71</w:t>
            </w:r>
          </w:p>
        </w:tc>
        <w:tc>
          <w:tcPr>
            <w:tcW w:w="2391" w:type="dxa"/>
            <w:tcBorders>
              <w:top w:val="single" w:sz="12" w:space="0" w:color="000000"/>
              <w:left w:val="single" w:sz="6" w:space="0" w:color="000000"/>
              <w:bottom w:val="single" w:sz="12" w:space="0" w:color="000000"/>
              <w:right w:val="single" w:sz="6" w:space="0" w:color="000000"/>
            </w:tcBorders>
          </w:tcPr>
          <w:p>
            <w:pPr/>
          </w:p>
        </w:tc>
        <w:tc>
          <w:tcPr>
            <w:tcW w:w="2290"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141"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5"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64"/>
                <w:sz w:val="21"/>
                <w:szCs w:val="21"/>
              </w:rPr>
              <w:t> </w:t>
            </w:r>
            <w:r>
              <w:rPr>
                <w:rFonts w:ascii="宋体" w:hAnsi="宋体" w:cs="宋体" w:eastAsia="宋体" w:hint="default"/>
                <w:sz w:val="21"/>
                <w:szCs w:val="21"/>
              </w:rPr>
              <w:t>计</w:t>
            </w:r>
          </w:p>
        </w:tc>
        <w:tc>
          <w:tcPr>
            <w:tcW w:w="239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9,394,670.71</w:t>
            </w:r>
          </w:p>
        </w:tc>
        <w:tc>
          <w:tcPr>
            <w:tcW w:w="2391" w:type="dxa"/>
            <w:tcBorders>
              <w:top w:val="single" w:sz="12" w:space="0" w:color="000000"/>
              <w:left w:val="single" w:sz="6" w:space="0" w:color="000000"/>
              <w:bottom w:val="single" w:sz="12" w:space="0" w:color="000000"/>
              <w:right w:val="single" w:sz="6" w:space="0" w:color="000000"/>
            </w:tcBorders>
          </w:tcPr>
          <w:p>
            <w:pPr/>
          </w:p>
        </w:tc>
        <w:tc>
          <w:tcPr>
            <w:tcW w:w="2290"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）本期计提、收回或转回的坏账准备情况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3386"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26,737,979.31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 </w:t>
      </w:r>
      <w:r>
        <w:rPr>
          <w:rFonts w:ascii="宋体" w:hAnsi="宋体" w:cs="宋体" w:eastAsia="宋体" w:hint="default"/>
          <w:sz w:val="18"/>
          <w:szCs w:val="18"/>
        </w:rPr>
        <w:t>元。 其中本期坏账准备收回或转回金额重要的：</w:t>
      </w:r>
    </w:p>
    <w:p>
      <w:pPr>
        <w:spacing w:line="240" w:lineRule="auto" w:before="5"/>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）按欠款方归集的期末余额前五名的应收账款情况</w:t>
      </w:r>
      <w:r>
        <w:rPr>
          <w:rFonts w:ascii="宋体" w:hAnsi="宋体" w:cs="宋体" w:eastAsia="宋体" w:hint="default"/>
          <w:sz w:val="21"/>
          <w:szCs w:val="21"/>
        </w:rPr>
      </w:r>
    </w:p>
    <w:p>
      <w:pPr>
        <w:spacing w:line="240" w:lineRule="auto" w:before="7"/>
        <w:rPr>
          <w:rFonts w:ascii="宋体" w:hAnsi="宋体" w:cs="宋体" w:eastAsia="宋体" w:hint="default"/>
          <w:b/>
          <w:bCs/>
          <w:sz w:val="28"/>
          <w:szCs w:val="28"/>
        </w:rPr>
      </w:pPr>
    </w:p>
    <w:p>
      <w:pPr>
        <w:pStyle w:val="BodyText"/>
        <w:spacing w:line="357" w:lineRule="auto" w:before="0"/>
        <w:ind w:right="511" w:firstLine="480"/>
        <w:jc w:val="both"/>
      </w:pPr>
      <w:r>
        <w:rPr>
          <w:spacing w:val="-2"/>
        </w:rPr>
        <w:t>本公司本年按欠款方归集的年末余额前五名应收账款汇总金额</w:t>
      </w:r>
      <w:r>
        <w:rPr>
          <w:rFonts w:ascii="宋体" w:hAnsi="宋体" w:cs="宋体" w:eastAsia="宋体" w:hint="default"/>
          <w:spacing w:val="-2"/>
        </w:rPr>
        <w:t>134,789,118.90</w:t>
      </w:r>
      <w:r>
        <w:rPr>
          <w:spacing w:val="-2"/>
        </w:rPr>
        <w:t>元，占</w:t>
      </w:r>
      <w:r>
        <w:rPr/>
        <w:t> </w:t>
      </w:r>
      <w:r>
        <w:rPr>
          <w:spacing w:val="20"/>
        </w:rPr>
        <w:t>应收账款年末余额合计数的比例</w:t>
      </w:r>
      <w:r>
        <w:rPr>
          <w:spacing w:val="-89"/>
        </w:rPr>
        <w:t> </w:t>
      </w:r>
      <w:r>
        <w:rPr>
          <w:rFonts w:ascii="宋体" w:hAnsi="宋体" w:cs="宋体" w:eastAsia="宋体" w:hint="default"/>
        </w:rPr>
        <w:t>18.29</w:t>
      </w:r>
      <w:r>
        <w:rPr>
          <w:rFonts w:ascii="宋体" w:hAnsi="宋体" w:cs="宋体" w:eastAsia="宋体" w:hint="default"/>
          <w:spacing w:val="37"/>
        </w:rPr>
        <w:t> </w:t>
      </w:r>
      <w:r>
        <w:rPr>
          <w:rFonts w:ascii="宋体" w:hAnsi="宋体" w:cs="宋体" w:eastAsia="宋体" w:hint="default"/>
          <w:spacing w:val="10"/>
        </w:rPr>
        <w:t>%</w:t>
      </w:r>
      <w:r>
        <w:rPr>
          <w:spacing w:val="10"/>
        </w:rPr>
        <w:t>，</w:t>
      </w:r>
      <w:r>
        <w:rPr>
          <w:spacing w:val="-95"/>
        </w:rPr>
        <w:t> </w:t>
      </w:r>
      <w:r>
        <w:rPr>
          <w:spacing w:val="20"/>
        </w:rPr>
        <w:t>相应计提的坏账准备年末余额汇总金额</w:t>
      </w:r>
      <w:r>
        <w:rPr>
          <w:spacing w:val="-117"/>
        </w:rPr>
        <w:t> </w:t>
      </w:r>
      <w:r>
        <w:rPr>
          <w:spacing w:val="-117"/>
        </w:rPr>
      </w:r>
      <w:r>
        <w:rPr>
          <w:rFonts w:ascii="宋体" w:hAnsi="宋体" w:cs="宋体" w:eastAsia="宋体" w:hint="default"/>
        </w:rPr>
        <w:t>7,280,386.90</w:t>
      </w:r>
      <w:r>
        <w:rPr/>
        <w:t>元。</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）其他应收款分类披露</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24"/>
        <w:gridCol w:w="774"/>
        <w:gridCol w:w="761"/>
        <w:gridCol w:w="763"/>
        <w:gridCol w:w="763"/>
        <w:gridCol w:w="788"/>
        <w:gridCol w:w="655"/>
        <w:gridCol w:w="761"/>
        <w:gridCol w:w="814"/>
        <w:gridCol w:w="934"/>
        <w:gridCol w:w="931"/>
      </w:tblGrid>
      <w:tr>
        <w:trPr>
          <w:trHeight w:val="398" w:hRule="exact"/>
        </w:trPr>
        <w:tc>
          <w:tcPr>
            <w:tcW w:w="1624"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4"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4"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4"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4"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4"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307,050,</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910.22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307,050,9</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10.22</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208,823</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,949.53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208,823,94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9.53</w:t>
            </w:r>
          </w:p>
        </w:tc>
      </w:tr>
      <w:tr>
        <w:trPr>
          <w:trHeight w:val="161" w:hRule="exact"/>
        </w:trPr>
        <w:tc>
          <w:tcPr>
            <w:tcW w:w="1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307,050,</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910.22</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
        </w:tc>
        <w:tc>
          <w:tcPr>
            <w:tcW w:w="763" w:type="dxa"/>
            <w:vMerge w:val="restart"/>
            <w:tcBorders>
              <w:top w:val="single" w:sz="4" w:space="0" w:color="000000"/>
              <w:left w:val="single" w:sz="4" w:space="0" w:color="000000"/>
              <w:right w:val="single" w:sz="4" w:space="0" w:color="000000"/>
            </w:tcBorders>
          </w:tcPr>
          <w:p>
            <w:pP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307,050,9</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10.22</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208,823</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,949.53</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
        </w:tc>
        <w:tc>
          <w:tcPr>
            <w:tcW w:w="934" w:type="dxa"/>
            <w:vMerge w:val="restart"/>
            <w:tcBorders>
              <w:top w:val="single" w:sz="4" w:space="0" w:color="000000"/>
              <w:left w:val="single" w:sz="4" w:space="0" w:color="000000"/>
              <w:right w:val="single" w:sz="4" w:space="0" w:color="000000"/>
            </w:tcBorders>
          </w:tcPr>
          <w:p>
            <w:pP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208,823,94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9.53</w:t>
            </w:r>
          </w:p>
        </w:tc>
      </w:tr>
      <w:tr>
        <w:trPr>
          <w:trHeight w:val="394" w:hRule="exact"/>
        </w:trPr>
        <w:tc>
          <w:tcPr>
            <w:tcW w:w="1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5"/>
          <w:szCs w:val="25"/>
        </w:rPr>
      </w:pPr>
    </w:p>
    <w:p>
      <w:pPr>
        <w:spacing w:line="340" w:lineRule="auto" w:before="44"/>
        <w:ind w:left="152" w:right="56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组合中，按账龄分析法计提坏账准备的其他应收款：</w:t>
      </w:r>
    </w:p>
    <w:p>
      <w:pPr>
        <w:spacing w:line="340" w:lineRule="auto" w:before="39"/>
        <w:ind w:left="152" w:right="52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组合中，采用余额百分比法计提坏账准备的其他应收款：</w:t>
      </w:r>
    </w:p>
    <w:p>
      <w:pPr>
        <w:spacing w:line="338" w:lineRule="auto" w:before="41"/>
        <w:ind w:left="152" w:right="56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组合中，采用其他方法计提坏账准备的其他应收款：</w:t>
      </w:r>
    </w:p>
    <w:p>
      <w:pPr>
        <w:spacing w:before="43"/>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2804"/>
        <w:gridCol w:w="2126"/>
        <w:gridCol w:w="1995"/>
        <w:gridCol w:w="2290"/>
      </w:tblGrid>
      <w:tr>
        <w:trPr>
          <w:trHeight w:val="353" w:hRule="exact"/>
        </w:trPr>
        <w:tc>
          <w:tcPr>
            <w:tcW w:w="2804" w:type="dxa"/>
            <w:vMerge w:val="restart"/>
            <w:tcBorders>
              <w:top w:val="single" w:sz="6" w:space="0" w:color="000000"/>
              <w:left w:val="single" w:sz="6" w:space="0" w:color="000000"/>
              <w:right w:val="single" w:sz="6" w:space="0" w:color="000000"/>
            </w:tcBorders>
          </w:tcPr>
          <w:p>
            <w:pPr>
              <w:pStyle w:val="TableParagraph"/>
              <w:spacing w:line="272" w:lineRule="exact"/>
              <w:ind w:left="7" w:right="0"/>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6411" w:type="dxa"/>
            <w:gridSpan w:val="3"/>
            <w:tcBorders>
              <w:top w:val="single" w:sz="6" w:space="0" w:color="000000"/>
              <w:left w:val="single" w:sz="6" w:space="0" w:color="000000"/>
              <w:bottom w:val="single" w:sz="12"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年末余额</w:t>
            </w:r>
          </w:p>
        </w:tc>
      </w:tr>
      <w:tr>
        <w:trPr>
          <w:trHeight w:val="353" w:hRule="exact"/>
        </w:trPr>
        <w:tc>
          <w:tcPr>
            <w:tcW w:w="2804" w:type="dxa"/>
            <w:vMerge/>
            <w:tcBorders>
              <w:left w:val="single" w:sz="6" w:space="0" w:color="000000"/>
              <w:bottom w:val="single" w:sz="12" w:space="0" w:color="000000"/>
              <w:right w:val="single" w:sz="6" w:space="0" w:color="000000"/>
            </w:tcBorders>
          </w:tcPr>
          <w:p>
            <w:pP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63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995"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56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90" w:type="dxa"/>
            <w:tcBorders>
              <w:top w:val="single" w:sz="12" w:space="0" w:color="000000"/>
              <w:left w:val="single" w:sz="6" w:space="0" w:color="000000"/>
              <w:bottom w:val="single" w:sz="12" w:space="0" w:color="000000"/>
              <w:right w:val="single" w:sz="4" w:space="0" w:color="000000"/>
            </w:tcBorders>
          </w:tcPr>
          <w:p>
            <w:pPr>
              <w:pStyle w:val="TableParagraph"/>
              <w:spacing w:line="265" w:lineRule="exact"/>
              <w:ind w:left="717" w:right="0"/>
              <w:jc w:val="left"/>
              <w:rPr>
                <w:rFonts w:ascii="宋体" w:hAnsi="宋体" w:cs="宋体" w:eastAsia="宋体" w:hint="default"/>
                <w:sz w:val="21"/>
                <w:szCs w:val="21"/>
              </w:rPr>
            </w:pPr>
            <w:r>
              <w:rPr>
                <w:rFonts w:ascii="宋体" w:hAnsi="宋体" w:cs="宋体" w:eastAsia="宋体" w:hint="default"/>
                <w:sz w:val="21"/>
                <w:szCs w:val="21"/>
              </w:rPr>
              <w:t>计提比例</w:t>
            </w:r>
          </w:p>
        </w:tc>
      </w:tr>
      <w:tr>
        <w:trPr>
          <w:trHeight w:val="353" w:hRule="exact"/>
        </w:trPr>
        <w:tc>
          <w:tcPr>
            <w:tcW w:w="2804"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sz w:val="21"/>
                <w:szCs w:val="21"/>
              </w:rPr>
              <w:t>关联方组合</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208,671,535.17</w:t>
            </w:r>
          </w:p>
        </w:tc>
        <w:tc>
          <w:tcPr>
            <w:tcW w:w="1995" w:type="dxa"/>
            <w:tcBorders>
              <w:top w:val="single" w:sz="12" w:space="0" w:color="000000"/>
              <w:left w:val="single" w:sz="6" w:space="0" w:color="000000"/>
              <w:bottom w:val="single" w:sz="12" w:space="0" w:color="000000"/>
              <w:right w:val="single" w:sz="6" w:space="0" w:color="000000"/>
            </w:tcBorders>
          </w:tcPr>
          <w:p>
            <w:pPr/>
          </w:p>
        </w:tc>
        <w:tc>
          <w:tcPr>
            <w:tcW w:w="2290" w:type="dxa"/>
            <w:tcBorders>
              <w:top w:val="single" w:sz="12" w:space="0" w:color="000000"/>
              <w:left w:val="single" w:sz="6" w:space="0" w:color="000000"/>
              <w:bottom w:val="single" w:sz="12" w:space="0" w:color="000000"/>
              <w:right w:val="single" w:sz="4" w:space="0" w:color="000000"/>
            </w:tcBorders>
          </w:tcPr>
          <w:p>
            <w:pPr/>
          </w:p>
        </w:tc>
      </w:tr>
      <w:tr>
        <w:trPr>
          <w:trHeight w:val="350" w:hRule="exact"/>
        </w:trPr>
        <w:tc>
          <w:tcPr>
            <w:tcW w:w="2804"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4" w:right="0"/>
              <w:jc w:val="left"/>
              <w:rPr>
                <w:rFonts w:ascii="宋体" w:hAnsi="宋体" w:cs="宋体" w:eastAsia="宋体" w:hint="default"/>
                <w:sz w:val="21"/>
                <w:szCs w:val="21"/>
              </w:rPr>
            </w:pPr>
            <w:r>
              <w:rPr>
                <w:rFonts w:ascii="宋体" w:hAnsi="宋体" w:cs="宋体" w:eastAsia="宋体" w:hint="default"/>
                <w:sz w:val="21"/>
                <w:szCs w:val="21"/>
              </w:rPr>
              <w:t>保证金、押金及备用金组合</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98,379,375.05</w:t>
            </w:r>
          </w:p>
        </w:tc>
        <w:tc>
          <w:tcPr>
            <w:tcW w:w="1995" w:type="dxa"/>
            <w:tcBorders>
              <w:top w:val="single" w:sz="12" w:space="0" w:color="000000"/>
              <w:left w:val="single" w:sz="6" w:space="0" w:color="000000"/>
              <w:bottom w:val="single" w:sz="12" w:space="0" w:color="000000"/>
              <w:right w:val="single" w:sz="6" w:space="0" w:color="000000"/>
            </w:tcBorders>
          </w:tcPr>
          <w:p>
            <w:pPr/>
          </w:p>
        </w:tc>
        <w:tc>
          <w:tcPr>
            <w:tcW w:w="2290" w:type="dxa"/>
            <w:tcBorders>
              <w:top w:val="single" w:sz="12" w:space="0" w:color="000000"/>
              <w:left w:val="single" w:sz="6" w:space="0" w:color="000000"/>
              <w:bottom w:val="single" w:sz="12" w:space="0" w:color="000000"/>
              <w:right w:val="single" w:sz="4" w:space="0" w:color="000000"/>
            </w:tcBorders>
          </w:tcPr>
          <w:p>
            <w:pPr/>
          </w:p>
        </w:tc>
      </w:tr>
      <w:tr>
        <w:trPr>
          <w:trHeight w:val="353" w:hRule="exact"/>
        </w:trPr>
        <w:tc>
          <w:tcPr>
            <w:tcW w:w="2804" w:type="dxa"/>
            <w:tcBorders>
              <w:top w:val="single" w:sz="12" w:space="0" w:color="000000"/>
              <w:left w:val="single" w:sz="6" w:space="0" w:color="000000"/>
              <w:bottom w:val="single" w:sz="12" w:space="0" w:color="000000"/>
              <w:right w:val="single" w:sz="6" w:space="0" w:color="000000"/>
            </w:tcBorders>
          </w:tcPr>
          <w:p>
            <w:pPr>
              <w:pStyle w:val="TableParagraph"/>
              <w:spacing w:line="265" w:lineRule="exact"/>
              <w:ind w:left="4"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65"/>
                <w:sz w:val="21"/>
                <w:szCs w:val="21"/>
              </w:rPr>
              <w:t> </w:t>
            </w:r>
            <w:r>
              <w:rPr>
                <w:rFonts w:ascii="宋体" w:hAnsi="宋体" w:cs="宋体" w:eastAsia="宋体" w:hint="default"/>
                <w:sz w:val="21"/>
                <w:szCs w:val="21"/>
              </w:rPr>
              <w:t>计</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6"/>
              <w:ind w:right="-3"/>
              <w:jc w:val="right"/>
              <w:rPr>
                <w:rFonts w:ascii="Times New Roman" w:hAnsi="Times New Roman" w:cs="Times New Roman" w:eastAsia="Times New Roman" w:hint="default"/>
                <w:sz w:val="21"/>
                <w:szCs w:val="21"/>
              </w:rPr>
            </w:pPr>
            <w:r>
              <w:rPr>
                <w:rFonts w:ascii="Times New Roman"/>
                <w:spacing w:val="-1"/>
                <w:sz w:val="21"/>
              </w:rPr>
              <w:t>307,050,910.22</w:t>
            </w:r>
          </w:p>
        </w:tc>
        <w:tc>
          <w:tcPr>
            <w:tcW w:w="1995" w:type="dxa"/>
            <w:tcBorders>
              <w:top w:val="single" w:sz="12" w:space="0" w:color="000000"/>
              <w:left w:val="single" w:sz="6" w:space="0" w:color="000000"/>
              <w:bottom w:val="single" w:sz="12" w:space="0" w:color="000000"/>
              <w:right w:val="single" w:sz="6" w:space="0" w:color="000000"/>
            </w:tcBorders>
          </w:tcPr>
          <w:p>
            <w:pPr/>
          </w:p>
        </w:tc>
        <w:tc>
          <w:tcPr>
            <w:tcW w:w="2290" w:type="dxa"/>
            <w:tcBorders>
              <w:top w:val="single" w:sz="12" w:space="0" w:color="000000"/>
              <w:left w:val="single" w:sz="6" w:space="0" w:color="000000"/>
              <w:bottom w:val="single" w:sz="12" w:space="0" w:color="000000"/>
              <w:right w:val="single" w:sz="4" w:space="0" w:color="000000"/>
            </w:tcBorders>
          </w:tcPr>
          <w:p>
            <w:pPr/>
          </w:p>
        </w:tc>
      </w:tr>
    </w:tbl>
    <w:p>
      <w:pPr>
        <w:pStyle w:val="BodyText"/>
        <w:spacing w:line="357" w:lineRule="auto" w:before="39"/>
        <w:ind w:right="153" w:firstLine="480"/>
        <w:jc w:val="left"/>
      </w:pPr>
      <w:r>
        <w:rPr>
          <w:spacing w:val="-3"/>
        </w:rPr>
        <w:t>关联方组合为与本公司存在关联关系的客户的应收款项，备用金、押金及保证金组合</w:t>
      </w:r>
      <w:r>
        <w:rPr/>
        <w:t> 为款项性质为备用金、押金及保证金等的应收款项。</w:t>
      </w:r>
    </w:p>
    <w:p>
      <w:pPr>
        <w:spacing w:line="240" w:lineRule="auto" w:before="10"/>
        <w:rPr>
          <w:rFonts w:ascii="宋体" w:hAnsi="宋体" w:cs="宋体" w:eastAsia="宋体" w:hint="default"/>
          <w:sz w:val="21"/>
          <w:szCs w:val="21"/>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）其他应收款按款项性质分类情况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68"/>
        <w:gridCol w:w="3101"/>
        <w:gridCol w:w="3101"/>
      </w:tblGrid>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关联方往来</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208,671,535.17</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140,142,351.01</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98,379,375.05</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68,681,598.52</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307,050,910.22</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208,823,949.53</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）按欠款方归集的期末余额前五名的其他应收款情况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85"/>
        <w:gridCol w:w="1551"/>
        <w:gridCol w:w="1553"/>
        <w:gridCol w:w="1551"/>
        <w:gridCol w:w="1616"/>
        <w:gridCol w:w="1615"/>
      </w:tblGrid>
      <w:tr>
        <w:trPr>
          <w:trHeight w:val="71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3" w:right="8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3"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9"/>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204,667,447.27</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66.66%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商城县财政支付中心</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0.78%</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9"/>
              <w:jc w:val="left"/>
              <w:rPr>
                <w:rFonts w:ascii="宋体" w:hAnsi="宋体" w:cs="宋体" w:eastAsia="宋体" w:hint="default"/>
                <w:sz w:val="18"/>
                <w:szCs w:val="18"/>
              </w:rPr>
            </w:pPr>
            <w:r>
              <w:rPr>
                <w:rFonts w:ascii="宋体" w:hAnsi="宋体" w:cs="宋体" w:eastAsia="宋体" w:hint="default"/>
                <w:sz w:val="18"/>
                <w:szCs w:val="18"/>
              </w:rPr>
              <w:t>洛阳市城市监察管理 局</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2,171,927.00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9"/>
              <w:jc w:val="left"/>
              <w:rPr>
                <w:rFonts w:ascii="宋体" w:hAnsi="宋体" w:cs="宋体" w:eastAsia="宋体" w:hint="default"/>
                <w:sz w:val="18"/>
                <w:szCs w:val="18"/>
              </w:rPr>
            </w:pPr>
            <w:r>
              <w:rPr>
                <w:rFonts w:ascii="宋体" w:hAnsi="宋体" w:cs="宋体" w:eastAsia="宋体" w:hint="default"/>
                <w:sz w:val="18"/>
                <w:szCs w:val="18"/>
              </w:rPr>
              <w:t>合肥时代智慧高新投 资管理有限公司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1,868,830.00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9"/>
              <w:jc w:val="left"/>
              <w:rPr>
                <w:rFonts w:ascii="宋体" w:hAnsi="宋体" w:cs="宋体" w:eastAsia="宋体" w:hint="default"/>
                <w:sz w:val="18"/>
                <w:szCs w:val="18"/>
              </w:rPr>
            </w:pPr>
            <w:r>
              <w:rPr>
                <w:rFonts w:ascii="宋体" w:hAnsi="宋体" w:cs="宋体" w:eastAsia="宋体" w:hint="default"/>
                <w:sz w:val="18"/>
                <w:szCs w:val="18"/>
              </w:rPr>
              <w:t>北京中关村软件园发 展有限责任公司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1,822,057.52</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212,930,261.79</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69.35%</w:t>
            </w: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8"/>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883,634,427.94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883,634,427.94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701,634,127.94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701,634,127.94</w:t>
            </w:r>
          </w:p>
        </w:tc>
      </w:tr>
      <w:tr>
        <w:trPr>
          <w:trHeight w:val="71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3"/>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9,692,135.59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9,692,135.59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4,810,634.60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4,810,634.60</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893,326,563.53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893,326,563.53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706,444,762.54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706,444,762.54</w:t>
            </w: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）对子公司投资</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4"/>
        <w:gridCol w:w="1335"/>
        <w:gridCol w:w="1334"/>
        <w:gridCol w:w="1390"/>
        <w:gridCol w:w="1390"/>
      </w:tblGrid>
      <w:tr>
        <w:trPr>
          <w:trHeight w:val="715"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8" w:hanging="540"/>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上海政通信息科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武汉智慧政通科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北京数字政通智 能泊车技术有限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111,986,000.00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111,986,000.00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克拉玛依数字政 通科技有限责任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政通智慧城市运 营科技有限公司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北京数聚联盟科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3,250,000.00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安徽数字政通科 技有限责任公司</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442,790,230.34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113,636,500.00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556,426,730.34</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保定市金迪科技 开发有限公司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42,107,897.60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11,363,500.00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53,471,397.60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保定金迪科学仪</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4"/>
        <w:gridCol w:w="1335"/>
        <w:gridCol w:w="1334"/>
        <w:gridCol w:w="1390"/>
        <w:gridCol w:w="1390"/>
      </w:tblGrid>
      <w:tr>
        <w:trPr>
          <w:trHeight w:val="36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器有限公司</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焦作市市民健康 促进服务有限责 任公司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江西政通城运科 技有限公司</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37,500,300.00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37,500,300.00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701,634,127.94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182,000,300.00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883,634,427.94</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）对联营、合营企业投资</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799"/>
        <w:gridCol w:w="797"/>
      </w:tblGrid>
      <w:tr>
        <w:trPr>
          <w:trHeight w:val="401"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4"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7"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北京通通 易联科技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3,063,139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359,520.0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2,023,488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4,965,027.</w:t>
            </w:r>
          </w:p>
          <w:p>
            <w:pPr>
              <w:pStyle w:val="TableParagraph"/>
              <w:spacing w:line="240" w:lineRule="auto" w:before="106"/>
              <w:ind w:right="23"/>
              <w:jc w:val="right"/>
              <w:rPr>
                <w:rFonts w:ascii="Arial Narrow" w:hAnsi="Arial Narrow" w:cs="Arial Narrow" w:eastAsia="Arial Narrow" w:hint="default"/>
                <w:sz w:val="18"/>
                <w:szCs w:val="18"/>
              </w:rPr>
            </w:pPr>
            <w:r>
              <w:rPr>
                <w:rFonts w:ascii="Arial Narrow"/>
                <w:spacing w:val="-1"/>
                <w:w w:val="95"/>
                <w:sz w:val="18"/>
              </w:rPr>
              <w:t>19</w:t>
            </w:r>
            <w:r>
              <w:rPr>
                <w:rFonts w:ascii="Arial Narrow"/>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山东信通 智能泊车 管理技术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1,747,494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1,747,494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.66</w:t>
            </w: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4,810,634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2,107,014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.72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2,023,488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4"/>
              <w:jc w:val="right"/>
              <w:rPr>
                <w:rFonts w:ascii="Arial Narrow" w:hAnsi="Arial Narrow" w:cs="Arial Narrow" w:eastAsia="Arial Narrow" w:hint="default"/>
                <w:sz w:val="18"/>
                <w:szCs w:val="18"/>
              </w:rPr>
            </w:pPr>
            <w:r>
              <w:rPr>
                <w:rFonts w:ascii="Arial Narrow"/>
                <w:spacing w:val="-1"/>
                <w:sz w:val="18"/>
              </w:rPr>
              <w:t>4,965,027.</w:t>
            </w:r>
          </w:p>
          <w:p>
            <w:pPr>
              <w:pStyle w:val="TableParagraph"/>
              <w:spacing w:line="240" w:lineRule="auto" w:before="105"/>
              <w:ind w:right="23"/>
              <w:jc w:val="right"/>
              <w:rPr>
                <w:rFonts w:ascii="Arial Narrow" w:hAnsi="Arial Narrow" w:cs="Arial Narrow" w:eastAsia="Arial Narrow" w:hint="default"/>
                <w:sz w:val="18"/>
                <w:szCs w:val="18"/>
              </w:rPr>
            </w:pPr>
            <w:r>
              <w:rPr>
                <w:rFonts w:ascii="Arial Narrow"/>
                <w:spacing w:val="-1"/>
                <w:w w:val="95"/>
                <w:sz w:val="18"/>
              </w:rPr>
              <w:t>19</w:t>
            </w:r>
            <w:r>
              <w:rPr>
                <w:rFonts w:ascii="Arial Narrow"/>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4,810,634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2,107,014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.72</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2,023,488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4"/>
              <w:jc w:val="right"/>
              <w:rPr>
                <w:rFonts w:ascii="Arial Narrow" w:hAnsi="Arial Narrow" w:cs="Arial Narrow" w:eastAsia="Arial Narrow" w:hint="default"/>
                <w:sz w:val="18"/>
                <w:szCs w:val="18"/>
              </w:rPr>
            </w:pPr>
            <w:r>
              <w:rPr>
                <w:rFonts w:ascii="Arial Narrow"/>
                <w:spacing w:val="-1"/>
                <w:sz w:val="18"/>
              </w:rPr>
              <w:t>4,965,027.</w:t>
            </w:r>
          </w:p>
          <w:p>
            <w:pPr>
              <w:pStyle w:val="TableParagraph"/>
              <w:spacing w:line="240" w:lineRule="auto" w:before="105"/>
              <w:ind w:right="23"/>
              <w:jc w:val="right"/>
              <w:rPr>
                <w:rFonts w:ascii="Arial Narrow" w:hAnsi="Arial Narrow" w:cs="Arial Narrow" w:eastAsia="Arial Narrow" w:hint="default"/>
                <w:sz w:val="18"/>
                <w:szCs w:val="18"/>
              </w:rPr>
            </w:pPr>
            <w:r>
              <w:rPr>
                <w:rFonts w:ascii="Arial Narrow"/>
                <w:spacing w:val="-1"/>
                <w:w w:val="95"/>
                <w:sz w:val="18"/>
              </w:rPr>
              <w:t>19</w:t>
            </w:r>
            <w:r>
              <w:rPr>
                <w:rFonts w:ascii="Arial Narrow"/>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84"/>
        <w:gridCol w:w="1835"/>
        <w:gridCol w:w="1913"/>
        <w:gridCol w:w="1913"/>
        <w:gridCol w:w="1916"/>
      </w:tblGrid>
      <w:tr>
        <w:trPr>
          <w:trHeight w:val="206" w:hRule="exact"/>
        </w:trPr>
        <w:tc>
          <w:tcPr>
            <w:tcW w:w="1984" w:type="dxa"/>
            <w:tcBorders>
              <w:top w:val="single" w:sz="4" w:space="0" w:color="000000"/>
              <w:left w:val="single" w:sz="4" w:space="0" w:color="000000"/>
              <w:bottom w:val="nil" w:sz="6" w:space="0" w:color="auto"/>
              <w:right w:val="single" w:sz="4" w:space="0" w:color="000000"/>
            </w:tcBorders>
            <w:shd w:val="clear" w:color="auto" w:fill="D2D2D2"/>
          </w:tcPr>
          <w:p>
            <w:pPr/>
          </w:p>
        </w:tc>
        <w:tc>
          <w:tcPr>
            <w:tcW w:w="3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3"/>
              <w:jc w:val="center"/>
              <w:rPr>
                <w:rFonts w:ascii="宋体" w:hAnsi="宋体" w:cs="宋体" w:eastAsia="宋体" w:hint="default"/>
                <w:sz w:val="18"/>
                <w:szCs w:val="18"/>
              </w:rPr>
            </w:pPr>
            <w:r>
              <w:rPr>
                <w:rFonts w:ascii="宋体" w:hAnsi="宋体" w:cs="宋体" w:eastAsia="宋体" w:hint="default"/>
                <w:sz w:val="18"/>
                <w:szCs w:val="18"/>
              </w:rPr>
              <w:t>项目</w:t>
            </w:r>
          </w:p>
        </w:tc>
        <w:tc>
          <w:tcPr>
            <w:tcW w:w="3749"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984" w:type="dxa"/>
            <w:vMerge/>
            <w:tcBorders>
              <w:left w:val="single" w:sz="4" w:space="0" w:color="000000"/>
              <w:bottom w:val="nil" w:sz="6" w:space="0" w:color="auto"/>
              <w:right w:val="single" w:sz="4" w:space="0" w:color="000000"/>
            </w:tcBorders>
            <w:shd w:val="clear" w:color="auto" w:fill="D2D2D2"/>
          </w:tcPr>
          <w:p>
            <w:pPr/>
          </w:p>
        </w:tc>
        <w:tc>
          <w:tcPr>
            <w:tcW w:w="18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5"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869,295,555.16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594,184,626.27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624,066,201.58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395,118,256.47</w:t>
            </w:r>
          </w:p>
        </w:tc>
      </w:tr>
      <w:tr>
        <w:trPr>
          <w:trHeight w:val="401"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5,154,633.25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1,455,018.34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5,179,434.94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1,455,018.34</w:t>
            </w:r>
          </w:p>
        </w:tc>
      </w:tr>
      <w:tr>
        <w:trPr>
          <w:trHeight w:val="403" w:hRule="exact"/>
        </w:trPr>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874,450,188.41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595,639,644.61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629,245,636.52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396,573,274.81</w:t>
            </w:r>
          </w:p>
        </w:tc>
      </w:tr>
    </w:tbl>
    <w:p>
      <w:pPr>
        <w:spacing w:before="49"/>
        <w:ind w:left="152" w:right="153"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2,023,488.52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-1,041,237.46</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14,642,985.28</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16,666,473.80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-1,041,237.46</w:t>
            </w:r>
          </w:p>
        </w:tc>
      </w:tr>
    </w:tbl>
    <w:p>
      <w:pPr>
        <w:spacing w:line="240" w:lineRule="auto" w:before="1"/>
        <w:rPr>
          <w:rFonts w:ascii="宋体" w:hAnsi="宋体" w:cs="宋体" w:eastAsia="宋体" w:hint="default"/>
          <w:sz w:val="18"/>
          <w:szCs w:val="18"/>
        </w:rPr>
      </w:pPr>
    </w:p>
    <w:p>
      <w:pPr>
        <w:pStyle w:val="Heading2"/>
        <w:spacing w:line="240" w:lineRule="auto" w:before="26"/>
        <w:ind w:right="153"/>
        <w:jc w:val="left"/>
        <w:rPr>
          <w:b w:val="0"/>
          <w:bCs w:val="0"/>
        </w:rPr>
      </w:pPr>
      <w:r>
        <w:rPr/>
        <w:t>十六、补充资料</w:t>
      </w:r>
      <w:r>
        <w:rPr>
          <w:b w:val="0"/>
          <w:bCs w:val="0"/>
        </w:rPr>
      </w:r>
    </w:p>
    <w:p>
      <w:pPr>
        <w:spacing w:line="240" w:lineRule="auto" w:before="12"/>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14,778,935.44</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5,131,850.87</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1,359.85</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3,076,490.71</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292,013.38</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10"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16,543,642.07</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0" w:lineRule="auto" w:before="63"/>
        <w:ind w:left="152" w:right="139"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2"/>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662"/>
        <w:gridCol w:w="3083"/>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2"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6"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3"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4"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0.42</w:t>
            </w:r>
          </w:p>
        </w:tc>
      </w:tr>
      <w:tr>
        <w:trPr>
          <w:trHeight w:val="71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06"/>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9.26%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0.38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b/>
          <w:bCs/>
          <w:sz w:val="24"/>
          <w:szCs w:val="24"/>
        </w:rPr>
      </w:pPr>
    </w:p>
    <w:p>
      <w:pPr>
        <w:spacing w:before="36"/>
        <w:ind w:left="152" w:right="1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）同时按照国际会计准则与按中国会计准则披露的财务报告中净利润和净资产差异情况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）同时按照境外会计准则与按中国会计准则披露的财务报告中净利润和净资产差异情况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line="259" w:lineRule="auto" w:before="0"/>
        <w:ind w:left="152" w:right="15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）境内外会计准则下会计数据差异原因说明，对已经境外审计机构审计的数据进行差异调节的，应注</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b/>
          <w:bCs/>
          <w:sz w:val="21"/>
          <w:szCs w:val="21"/>
        </w:rPr>
        <w:t>明该境外机构的名称</w:t>
      </w:r>
      <w:r>
        <w:rPr>
          <w:rFonts w:ascii="宋体" w:hAnsi="宋体" w:cs="宋体" w:eastAsia="宋体" w:hint="default"/>
          <w:sz w:val="21"/>
          <w:szCs w:val="21"/>
        </w:rPr>
      </w:r>
    </w:p>
    <w:p>
      <w:pPr>
        <w:spacing w:after="0" w:line="259" w:lineRule="auto"/>
        <w:jc w:val="left"/>
        <w:rPr>
          <w:rFonts w:ascii="宋体" w:hAnsi="宋体" w:cs="宋体" w:eastAsia="宋体" w:hint="default"/>
          <w:sz w:val="21"/>
          <w:szCs w:val="21"/>
        </w:rPr>
        <w:sectPr>
          <w:pgSz w:w="11910" w:h="16840"/>
          <w:pgMar w:header="745" w:footer="979" w:top="1060" w:bottom="1160" w:left="980" w:right="98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3285" w:right="96"/>
        <w:jc w:val="left"/>
        <w:rPr>
          <w:b w:val="0"/>
          <w:bCs w:val="0"/>
        </w:rPr>
      </w:pPr>
      <w:bookmarkStart w:name="_bookmark11" w:id="12"/>
      <w:bookmarkEnd w:id="12"/>
      <w:r>
        <w:rPr>
          <w:b w:val="0"/>
          <w:bCs w:val="0"/>
        </w:rPr>
      </w:r>
      <w:r>
        <w:rPr/>
        <w:t>第十二节</w:t>
      </w:r>
      <w:r>
        <w:rPr>
          <w:spacing w:val="-6"/>
        </w:rPr>
        <w:t> </w:t>
      </w:r>
      <w:r>
        <w:rPr/>
        <w:t>备查文件目录</w:t>
      </w:r>
      <w:r>
        <w:rPr>
          <w:b w:val="0"/>
          <w:bCs w:val="0"/>
        </w:rPr>
      </w:r>
    </w:p>
    <w:p>
      <w:pPr>
        <w:spacing w:line="240" w:lineRule="auto" w:before="11"/>
        <w:rPr>
          <w:rFonts w:ascii="宋体" w:hAnsi="宋体" w:cs="宋体" w:eastAsia="宋体" w:hint="default"/>
          <w:b/>
          <w:bCs/>
          <w:sz w:val="44"/>
          <w:szCs w:val="44"/>
        </w:rPr>
      </w:pPr>
    </w:p>
    <w:p>
      <w:pPr>
        <w:pStyle w:val="BodyText"/>
        <w:spacing w:line="357" w:lineRule="auto" w:before="0"/>
        <w:ind w:right="96" w:firstLine="480"/>
        <w:jc w:val="left"/>
      </w:pPr>
      <w:r>
        <w:rPr>
          <w:spacing w:val="-3"/>
        </w:rPr>
        <w:t>一、载有公司法定代表人、主管会计工作负责人、公司会计机构负责人（会计主管人员） </w:t>
      </w:r>
      <w:r>
        <w:rPr/>
        <w:t>签名并盖章的财务报表。</w:t>
      </w:r>
    </w:p>
    <w:p>
      <w:pPr>
        <w:pStyle w:val="BodyText"/>
        <w:spacing w:line="357" w:lineRule="auto"/>
        <w:ind w:left="633" w:right="96"/>
        <w:jc w:val="left"/>
      </w:pPr>
      <w:r>
        <w:rPr/>
        <w:t>二、载有会计师事务所盖章、注册会计师签名并盖章的审计报告原件。 </w:t>
      </w:r>
      <w:r>
        <w:rPr>
          <w:spacing w:val="-3"/>
        </w:rPr>
        <w:t>三、报告期内在中国证监会指定网站上公开披露过的所有公司文件的正本及公告的原稿。</w:t>
      </w:r>
      <w:r>
        <w:rPr>
          <w:spacing w:val="-85"/>
        </w:rPr>
        <w:t> </w:t>
      </w:r>
      <w:r>
        <w:rPr>
          <w:spacing w:val="-85"/>
        </w:rPr>
      </w:r>
      <w:r>
        <w:rPr/>
        <w:t>四、经公司法定代表人签名的</w:t>
      </w:r>
      <w:r>
        <w:rPr>
          <w:rFonts w:ascii="Times New Roman" w:hAnsi="Times New Roman" w:cs="Times New Roman" w:eastAsia="Times New Roman" w:hint="default"/>
        </w:rPr>
        <w:t>2017</w:t>
      </w:r>
      <w:r>
        <w:rPr/>
        <w:t>年度报告文件原件。</w:t>
      </w:r>
    </w:p>
    <w:p>
      <w:pPr>
        <w:pStyle w:val="BodyText"/>
        <w:spacing w:line="357" w:lineRule="auto" w:before="6"/>
        <w:ind w:left="633" w:right="3373"/>
        <w:jc w:val="left"/>
      </w:pPr>
      <w:r>
        <w:rPr/>
        <w:t>五、其他相关资料。 六、以上备查文件的备置地点：公司董事会秘书办公室。</w:t>
      </w:r>
    </w:p>
    <w:sectPr>
      <w:pgSz w:w="11910" w:h="16840"/>
      <w:pgMar w:header="745" w:footer="979" w:top="1060" w:bottom="1160" w:left="98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099976pt;margin-top:795.637939pt;width:6.5pt;height:11pt;mso-position-horizontal-relative:page;mso-position-vertical-relative:page;z-index:-8690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869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869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19</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099976pt;margin-top:781.957947pt;width:15.7pt;height:11pt;mso-position-horizontal-relative:page;mso-position-vertical-relative:page;z-index:-86898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868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460022pt;margin-top:781.957947pt;width:17.3pt;height:11pt;mso-position-horizontal-relative:page;mso-position-vertical-relative:page;z-index:-868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868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070007pt;margin-top:36.265610pt;width:213.75pt;height:11.5pt;mso-position-horizontal-relative:page;mso-position-vertical-relative:page;z-index:-8690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94"/>
      <w:ind w:left="152"/>
    </w:pPr>
    <w:rPr>
      <w:rFonts w:ascii="宋体" w:hAnsi="宋体" w:eastAsia="宋体"/>
      <w:b/>
      <w:bCs/>
      <w:sz w:val="24"/>
      <w:szCs w:val="24"/>
    </w:rPr>
  </w:style>
  <w:style w:styleId="BodyText" w:type="paragraph">
    <w:name w:val="Body Text"/>
    <w:basedOn w:val="Normal"/>
    <w:uiPriority w:val="1"/>
    <w:qFormat/>
    <w:pPr>
      <w:spacing w:before="36"/>
      <w:ind w:left="152"/>
    </w:pPr>
    <w:rPr>
      <w:rFonts w:ascii="宋体" w:hAnsi="宋体" w:eastAsia="宋体"/>
      <w:sz w:val="24"/>
      <w:szCs w:val="24"/>
    </w:rPr>
  </w:style>
  <w:style w:styleId="Heading1" w:type="paragraph">
    <w:name w:val="Heading 1"/>
    <w:basedOn w:val="Normal"/>
    <w:uiPriority w:val="1"/>
    <w:qFormat/>
    <w:pPr>
      <w:ind w:left="2421"/>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footer" Target="footer2.xml"/><Relationship Id="rId9" Type="http://schemas.openxmlformats.org/officeDocument/2006/relationships/hyperlink" Target="http://www.egova.com.cn/" TargetMode="External"/><Relationship Id="rId10" Type="http://schemas.openxmlformats.org/officeDocument/2006/relationships/hyperlink" Target="mailto:egova@egova.com.cn" TargetMode="External"/><Relationship Id="rId11" Type="http://schemas.openxmlformats.org/officeDocument/2006/relationships/hyperlink" Target="http://www.cninfo.com.cn/"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footer" Target="footer3.xml"/><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hyperlink" Target="http://www.cninfo.com/" TargetMode="Externa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footer" Target="footer6.xml"/><Relationship Id="rId3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北京数字政通科技股份有限公司</dc:creator>
  <dc:title>北京数字政通科技股份有限公司2017年年度报告全文</dc:title>
  <dcterms:created xsi:type="dcterms:W3CDTF">2020-05-02T23:47:27Z</dcterms:created>
  <dcterms:modified xsi:type="dcterms:W3CDTF">2020-05-02T23:47:27Z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2018-04-23T00:00:00Z</vt:filetime>
  </property>
  <property fmtid="{D5CDD505-2E9C-101B-9397-08002B2CF9AE}" pid="3" name="Creator">
    <vt:lpwstr>Microsoft® Word 2010</vt:lpwstr>
  </property>
  <property fmtid="{D5CDD505-2E9C-101B-9397-08002B2CF9AE}" pid="4" name="LastSaved">
    <vt:filetime>2020-05-02T00:00:00Z</vt:filetime>
  </property>
</Properties>
</file>