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49.079983pt;width:484.9pt;height:.1pt;mso-position-horizontal-relative:page;mso-position-vertical-relative:page;z-index:0" coordorigin="1104,982" coordsize="9698,2">
            <v:shape style="position:absolute;left:1104;top:982;width:9698;height:2" coordorigin="1104,982" coordsize="9698,0" path="m1104,982l10802,982e" filled="false" stroked="true" strokeweight=".72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6"/>
          <w:szCs w:val="16"/>
        </w:rPr>
      </w:pPr>
    </w:p>
    <w:p>
      <w:pPr>
        <w:spacing w:line="3405" w:lineRule="exact"/>
        <w:ind w:left="73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7"/>
          <w:sz w:val="20"/>
          <w:szCs w:val="20"/>
        </w:rPr>
        <w:drawing>
          <wp:inline distT="0" distB="0" distL="0" distR="0">
            <wp:extent cx="5380990" cy="2162175"/>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7" cstate="print"/>
                    <a:stretch>
                      <a:fillRect/>
                    </a:stretch>
                  </pic:blipFill>
                  <pic:spPr>
                    <a:xfrm>
                      <a:off x="0" y="0"/>
                      <a:ext cx="5380990" cy="2162175"/>
                    </a:xfrm>
                    <a:prstGeom prst="rect">
                      <a:avLst/>
                    </a:prstGeom>
                  </pic:spPr>
                </pic:pic>
              </a:graphicData>
            </a:graphic>
          </wp:inline>
        </w:drawing>
      </w:r>
      <w:r>
        <w:rPr>
          <w:rFonts w:ascii="Times New Roman" w:hAnsi="Times New Roman" w:cs="Times New Roman" w:eastAsia="Times New Roman" w:hint="default"/>
          <w:position w:val="-67"/>
          <w:sz w:val="20"/>
          <w:szCs w:val="20"/>
        </w:rPr>
      </w:r>
    </w:p>
    <w:p>
      <w:pPr>
        <w:spacing w:line="240" w:lineRule="auto" w:before="6"/>
        <w:rPr>
          <w:rFonts w:ascii="Times New Roman" w:hAnsi="Times New Roman" w:cs="Times New Roman" w:eastAsia="Times New Roman" w:hint="default"/>
          <w:sz w:val="13"/>
          <w:szCs w:val="13"/>
        </w:rPr>
      </w:pPr>
    </w:p>
    <w:p>
      <w:pPr>
        <w:spacing w:line="460" w:lineRule="exact" w:before="0"/>
        <w:ind w:left="2421" w:right="3405" w:firstLine="0"/>
        <w:jc w:val="center"/>
        <w:rPr>
          <w:rFonts w:ascii="宋体" w:hAnsi="宋体" w:cs="宋体" w:eastAsia="宋体" w:hint="default"/>
          <w:sz w:val="36"/>
          <w:szCs w:val="36"/>
        </w:rPr>
      </w:pPr>
      <w:r>
        <w:rPr>
          <w:rFonts w:ascii="宋体" w:hAnsi="宋体" w:cs="宋体" w:eastAsia="宋体" w:hint="default"/>
          <w:b/>
          <w:bCs/>
          <w:sz w:val="36"/>
          <w:szCs w:val="36"/>
        </w:rPr>
        <w:t>北京数字政通科技股份有限公司</w:t>
      </w:r>
      <w:r>
        <w:rPr>
          <w:rFonts w:ascii="宋体" w:hAnsi="宋体" w:cs="宋体" w:eastAsia="宋体" w:hint="default"/>
          <w:sz w:val="36"/>
          <w:szCs w:val="36"/>
        </w:rPr>
      </w:r>
    </w:p>
    <w:p>
      <w:pPr>
        <w:spacing w:line="240" w:lineRule="auto" w:before="9"/>
        <w:rPr>
          <w:rFonts w:ascii="宋体" w:hAnsi="宋体" w:cs="宋体" w:eastAsia="宋体" w:hint="default"/>
          <w:b/>
          <w:bCs/>
          <w:sz w:val="30"/>
          <w:szCs w:val="30"/>
        </w:rPr>
      </w:pPr>
    </w:p>
    <w:p>
      <w:pPr>
        <w:spacing w:before="0"/>
        <w:ind w:left="2421" w:right="3402"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2018</w:t>
      </w:r>
      <w:r>
        <w:rPr>
          <w:rFonts w:ascii="Times New Roman" w:hAnsi="Times New Roman" w:cs="Times New Roman" w:eastAsia="Times New Roman" w:hint="default"/>
          <w:b/>
          <w:bCs/>
          <w:spacing w:val="-3"/>
          <w:sz w:val="32"/>
          <w:szCs w:val="32"/>
        </w:rPr>
        <w:t> </w:t>
      </w:r>
      <w:r>
        <w:rPr>
          <w:rFonts w:ascii="宋体" w:hAnsi="宋体" w:cs="宋体" w:eastAsia="宋体" w:hint="default"/>
          <w:b/>
          <w:bCs/>
          <w:sz w:val="32"/>
          <w:szCs w:val="32"/>
        </w:rPr>
        <w:t>年年度报告</w:t>
      </w:r>
      <w:r>
        <w:rPr>
          <w:rFonts w:ascii="宋体" w:hAnsi="宋体" w:cs="宋体" w:eastAsia="宋体" w:hint="default"/>
          <w:sz w:val="32"/>
          <w:szCs w:val="32"/>
        </w:rPr>
      </w:r>
    </w:p>
    <w:p>
      <w:pPr>
        <w:spacing w:line="240" w:lineRule="auto" w:before="5"/>
        <w:rPr>
          <w:rFonts w:ascii="宋体" w:hAnsi="宋体" w:cs="宋体" w:eastAsia="宋体" w:hint="default"/>
          <w:b/>
          <w:bCs/>
          <w:sz w:val="32"/>
          <w:szCs w:val="32"/>
        </w:rPr>
      </w:pPr>
    </w:p>
    <w:p>
      <w:pPr>
        <w:spacing w:before="0"/>
        <w:ind w:left="2421" w:right="3401" w:firstLine="0"/>
        <w:jc w:val="center"/>
        <w:rPr>
          <w:rFonts w:ascii="Times New Roman" w:hAnsi="Times New Roman" w:cs="Times New Roman" w:eastAsia="Times New Roman" w:hint="default"/>
          <w:sz w:val="22"/>
          <w:szCs w:val="22"/>
        </w:rPr>
      </w:pPr>
      <w:r>
        <w:rPr>
          <w:rFonts w:ascii="Times New Roman"/>
          <w:b/>
          <w:sz w:val="22"/>
        </w:rPr>
        <w:t>2019-013</w:t>
      </w:r>
      <w:r>
        <w:rPr>
          <w:rFonts w:ascii="Times New Roman"/>
          <w:sz w:val="22"/>
        </w:rPr>
      </w: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before="128"/>
        <w:ind w:left="2421" w:right="3399"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2019</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w:t>
      </w:r>
      <w:r>
        <w:rPr>
          <w:rFonts w:ascii="宋体" w:hAnsi="宋体" w:cs="宋体" w:eastAsia="宋体" w:hint="default"/>
          <w:b/>
          <w:bCs/>
          <w:spacing w:val="-81"/>
          <w:sz w:val="32"/>
          <w:szCs w:val="32"/>
        </w:rPr>
        <w:t> </w:t>
      </w:r>
      <w:r>
        <w:rPr>
          <w:rFonts w:ascii="Times New Roman" w:hAnsi="Times New Roman" w:cs="Times New Roman" w:eastAsia="Times New Roman" w:hint="default"/>
          <w:b/>
          <w:bCs/>
          <w:sz w:val="32"/>
          <w:szCs w:val="32"/>
        </w:rPr>
        <w:t>04</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45" w:footer="979" w:top="1060" w:bottom="1160" w:left="980" w:right="0"/>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1"/>
        <w:spacing w:line="240" w:lineRule="auto"/>
        <w:ind w:left="2802" w:right="982"/>
        <w:jc w:val="left"/>
        <w:rPr>
          <w:b w:val="0"/>
          <w:bCs w:val="0"/>
        </w:rPr>
      </w:pPr>
      <w:r>
        <w:rPr/>
        <w:t>第一节</w:t>
      </w:r>
      <w:r>
        <w:rPr>
          <w:spacing w:val="-5"/>
        </w:rPr>
        <w:t> </w:t>
      </w:r>
      <w:r>
        <w:rPr/>
        <w:t>重要提示、目录和释义</w:t>
      </w:r>
      <w:r>
        <w:rPr>
          <w:b w:val="0"/>
          <w:bCs w:val="0"/>
        </w:rPr>
      </w:r>
    </w:p>
    <w:p>
      <w:pPr>
        <w:spacing w:line="240" w:lineRule="auto" w:before="0"/>
        <w:rPr>
          <w:rFonts w:ascii="宋体" w:hAnsi="宋体" w:cs="宋体" w:eastAsia="宋体" w:hint="default"/>
          <w:b/>
          <w:bCs/>
          <w:sz w:val="32"/>
          <w:szCs w:val="32"/>
        </w:rPr>
      </w:pPr>
    </w:p>
    <w:p>
      <w:pPr>
        <w:spacing w:line="408" w:lineRule="auto" w:before="215"/>
        <w:ind w:left="152" w:right="1136" w:firstLine="562"/>
        <w:jc w:val="both"/>
        <w:rPr>
          <w:rFonts w:ascii="宋体" w:hAnsi="宋体" w:cs="宋体" w:eastAsia="宋体" w:hint="default"/>
          <w:sz w:val="28"/>
          <w:szCs w:val="28"/>
        </w:rPr>
      </w:pPr>
      <w:r>
        <w:rPr>
          <w:rFonts w:ascii="宋体" w:hAnsi="宋体" w:cs="宋体" w:eastAsia="宋体" w:hint="default"/>
          <w:b/>
          <w:bCs/>
          <w:spacing w:val="2"/>
          <w:sz w:val="28"/>
          <w:szCs w:val="28"/>
        </w:rPr>
        <w:t>公司董事会、监事会及董事、监事、高级管理人员保证年度报告内容的真</w:t>
      </w:r>
      <w:r>
        <w:rPr>
          <w:rFonts w:ascii="宋体" w:hAnsi="宋体" w:cs="宋体" w:eastAsia="宋体" w:hint="default"/>
          <w:b/>
          <w:bCs/>
          <w:w w:val="99"/>
          <w:sz w:val="28"/>
          <w:szCs w:val="28"/>
        </w:rPr>
        <w:t> </w:t>
      </w:r>
      <w:r>
        <w:rPr>
          <w:rFonts w:ascii="宋体" w:hAnsi="宋体" w:cs="宋体" w:eastAsia="宋体" w:hint="default"/>
          <w:b/>
          <w:bCs/>
          <w:spacing w:val="2"/>
          <w:sz w:val="28"/>
          <w:szCs w:val="28"/>
        </w:rPr>
        <w:t>实、准确、完整，不存在虚假记载、误导性陈述或重大遗漏，并承担个别和连</w:t>
      </w:r>
      <w:r>
        <w:rPr>
          <w:rFonts w:ascii="宋体" w:hAnsi="宋体" w:cs="宋体" w:eastAsia="宋体" w:hint="default"/>
          <w:b/>
          <w:bCs/>
          <w:w w:val="99"/>
          <w:sz w:val="28"/>
          <w:szCs w:val="28"/>
        </w:rPr>
        <w:t> </w:t>
      </w:r>
      <w:r>
        <w:rPr>
          <w:rFonts w:ascii="宋体" w:hAnsi="宋体" w:cs="宋体" w:eastAsia="宋体" w:hint="default"/>
          <w:b/>
          <w:bCs/>
          <w:sz w:val="28"/>
          <w:szCs w:val="28"/>
        </w:rPr>
        <w:t>带的法律责任。</w:t>
      </w:r>
      <w:r>
        <w:rPr>
          <w:rFonts w:ascii="宋体" w:hAnsi="宋体" w:cs="宋体" w:eastAsia="宋体" w:hint="default"/>
          <w:sz w:val="28"/>
          <w:szCs w:val="28"/>
        </w:rPr>
      </w:r>
    </w:p>
    <w:p>
      <w:pPr>
        <w:spacing w:line="386" w:lineRule="auto" w:before="163"/>
        <w:ind w:left="152" w:right="1131" w:firstLine="562"/>
        <w:jc w:val="both"/>
        <w:rPr>
          <w:rFonts w:ascii="宋体" w:hAnsi="宋体" w:cs="宋体" w:eastAsia="宋体" w:hint="default"/>
          <w:sz w:val="28"/>
          <w:szCs w:val="28"/>
        </w:rPr>
      </w:pPr>
      <w:r>
        <w:rPr>
          <w:rFonts w:ascii="宋体" w:hAnsi="宋体" w:cs="宋体" w:eastAsia="宋体" w:hint="default"/>
          <w:b/>
          <w:bCs/>
          <w:w w:val="95"/>
          <w:sz w:val="28"/>
          <w:szCs w:val="28"/>
        </w:rPr>
        <w:t>公司负责人吴强华、主管会计工作负责人殷小敏及会计机构负责人</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会计主</w:t>
      </w:r>
      <w:r>
        <w:rPr>
          <w:rFonts w:ascii="宋体" w:hAnsi="宋体" w:cs="宋体" w:eastAsia="宋体" w:hint="default"/>
          <w:b/>
          <w:bCs/>
          <w:w w:val="99"/>
          <w:sz w:val="28"/>
          <w:szCs w:val="28"/>
        </w:rPr>
        <w:t> </w:t>
      </w:r>
      <w:r>
        <w:rPr>
          <w:rFonts w:ascii="宋体" w:hAnsi="宋体" w:cs="宋体" w:eastAsia="宋体" w:hint="default"/>
          <w:b/>
          <w:bCs/>
          <w:sz w:val="28"/>
          <w:szCs w:val="28"/>
        </w:rPr>
        <w:t>管人员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向华声明：保证年度报告中财务报告的真实、准确、完整。</w:t>
      </w:r>
      <w:r>
        <w:rPr>
          <w:rFonts w:ascii="宋体" w:hAnsi="宋体" w:cs="宋体" w:eastAsia="宋体" w:hint="default"/>
          <w:sz w:val="28"/>
          <w:szCs w:val="28"/>
        </w:rPr>
      </w:r>
    </w:p>
    <w:p>
      <w:pPr>
        <w:spacing w:line="472" w:lineRule="auto" w:before="148"/>
        <w:ind w:left="714" w:right="982" w:firstLine="0"/>
        <w:jc w:val="left"/>
        <w:rPr>
          <w:rFonts w:ascii="宋体" w:hAnsi="宋体" w:cs="宋体" w:eastAsia="宋体" w:hint="default"/>
          <w:sz w:val="28"/>
          <w:szCs w:val="28"/>
        </w:rPr>
      </w:pPr>
      <w:r>
        <w:rPr>
          <w:rFonts w:ascii="宋体" w:hAnsi="宋体" w:cs="宋体" w:eastAsia="宋体" w:hint="default"/>
          <w:b/>
          <w:bCs/>
          <w:sz w:val="28"/>
          <w:szCs w:val="28"/>
        </w:rPr>
        <w:t>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spacing w:val="-2"/>
          <w:sz w:val="28"/>
          <w:szCs w:val="28"/>
        </w:rPr>
        <w:t>依赖政府采购风险：公司产品主要是各级政府（部、省、市、区、县政府）</w:t>
      </w:r>
      <w:r>
        <w:rPr>
          <w:rFonts w:ascii="宋体" w:hAnsi="宋体" w:cs="宋体" w:eastAsia="宋体" w:hint="default"/>
          <w:spacing w:val="-2"/>
          <w:sz w:val="28"/>
          <w:szCs w:val="28"/>
        </w:rPr>
      </w:r>
    </w:p>
    <w:p>
      <w:pPr>
        <w:spacing w:line="408" w:lineRule="auto" w:before="0"/>
        <w:ind w:left="152" w:right="1136" w:firstLine="0"/>
        <w:jc w:val="both"/>
        <w:rPr>
          <w:rFonts w:ascii="宋体" w:hAnsi="宋体" w:cs="宋体" w:eastAsia="宋体" w:hint="default"/>
          <w:sz w:val="28"/>
          <w:szCs w:val="28"/>
        </w:rPr>
      </w:pPr>
      <w:r>
        <w:rPr>
          <w:rFonts w:ascii="宋体" w:hAnsi="宋体" w:cs="宋体" w:eastAsia="宋体" w:hint="default"/>
          <w:b/>
          <w:bCs/>
          <w:spacing w:val="2"/>
          <w:sz w:val="28"/>
          <w:szCs w:val="28"/>
        </w:rPr>
        <w:t>的数字化城市管理平台以及国土、规划等政府主管部门的专用管理信息系统。</w:t>
      </w:r>
      <w:r>
        <w:rPr>
          <w:rFonts w:ascii="宋体" w:hAnsi="宋体" w:cs="宋体" w:eastAsia="宋体" w:hint="default"/>
          <w:b/>
          <w:bCs/>
          <w:w w:val="99"/>
          <w:sz w:val="28"/>
          <w:szCs w:val="28"/>
        </w:rPr>
        <w:t> </w:t>
      </w:r>
      <w:r>
        <w:rPr>
          <w:rFonts w:ascii="宋体" w:hAnsi="宋体" w:cs="宋体" w:eastAsia="宋体" w:hint="default"/>
          <w:b/>
          <w:bCs/>
          <w:spacing w:val="2"/>
          <w:sz w:val="28"/>
          <w:szCs w:val="28"/>
        </w:rPr>
        <w:t>客户定位于各级政府（部、省、市、区、县政府）部门，虽然街道、乡镇、城</w:t>
      </w:r>
      <w:r>
        <w:rPr>
          <w:rFonts w:ascii="宋体" w:hAnsi="宋体" w:cs="宋体" w:eastAsia="宋体" w:hint="default"/>
          <w:b/>
          <w:bCs/>
          <w:w w:val="99"/>
          <w:sz w:val="28"/>
          <w:szCs w:val="28"/>
        </w:rPr>
        <w:t> </w:t>
      </w:r>
      <w:r>
        <w:rPr>
          <w:rFonts w:ascii="宋体" w:hAnsi="宋体" w:cs="宋体" w:eastAsia="宋体" w:hint="default"/>
          <w:b/>
          <w:bCs/>
          <w:spacing w:val="-6"/>
          <w:w w:val="99"/>
          <w:sz w:val="28"/>
          <w:szCs w:val="28"/>
        </w:rPr>
        <w:t>市各个专业部门（如执法、污水、供水、园林、海塘、公路等）、大型企业也是</w:t>
      </w:r>
      <w:r>
        <w:rPr>
          <w:rFonts w:ascii="宋体" w:hAnsi="宋体" w:cs="宋体" w:eastAsia="宋体" w:hint="default"/>
          <w:b/>
          <w:bCs/>
          <w:spacing w:val="-129"/>
          <w:w w:val="99"/>
          <w:sz w:val="28"/>
          <w:szCs w:val="28"/>
        </w:rPr>
        <w:t> </w:t>
      </w:r>
      <w:r>
        <w:rPr>
          <w:rFonts w:ascii="宋体" w:hAnsi="宋体" w:cs="宋体" w:eastAsia="宋体" w:hint="default"/>
          <w:b/>
          <w:bCs/>
          <w:spacing w:val="-129"/>
          <w:w w:val="99"/>
          <w:sz w:val="28"/>
          <w:szCs w:val="28"/>
        </w:rPr>
      </w:r>
      <w:r>
        <w:rPr>
          <w:rFonts w:ascii="宋体" w:hAnsi="宋体" w:cs="宋体" w:eastAsia="宋体" w:hint="default"/>
          <w:b/>
          <w:bCs/>
          <w:spacing w:val="2"/>
          <w:sz w:val="28"/>
          <w:szCs w:val="28"/>
        </w:rPr>
        <w:t>公司的目标用户群，但目前公司销售收入主要来源于政府采购，项目均通过各</w:t>
      </w:r>
      <w:r>
        <w:rPr>
          <w:rFonts w:ascii="宋体" w:hAnsi="宋体" w:cs="宋体" w:eastAsia="宋体" w:hint="default"/>
          <w:b/>
          <w:bCs/>
          <w:w w:val="99"/>
          <w:sz w:val="28"/>
          <w:szCs w:val="28"/>
        </w:rPr>
        <w:t> </w:t>
      </w:r>
      <w:r>
        <w:rPr>
          <w:rFonts w:ascii="宋体" w:hAnsi="宋体" w:cs="宋体" w:eastAsia="宋体" w:hint="default"/>
          <w:b/>
          <w:bCs/>
          <w:spacing w:val="2"/>
          <w:sz w:val="28"/>
          <w:szCs w:val="28"/>
        </w:rPr>
        <w:t>级政府招投标过程获得。面对尚不明朗的宏观经济形势，地方政府和行业主管</w:t>
      </w:r>
      <w:r>
        <w:rPr>
          <w:rFonts w:ascii="宋体" w:hAnsi="宋体" w:cs="宋体" w:eastAsia="宋体" w:hint="default"/>
          <w:b/>
          <w:bCs/>
          <w:w w:val="99"/>
          <w:sz w:val="28"/>
          <w:szCs w:val="28"/>
        </w:rPr>
        <w:t> </w:t>
      </w:r>
      <w:r>
        <w:rPr>
          <w:rFonts w:ascii="宋体" w:hAnsi="宋体" w:cs="宋体" w:eastAsia="宋体" w:hint="default"/>
          <w:b/>
          <w:bCs/>
          <w:spacing w:val="2"/>
          <w:sz w:val="28"/>
          <w:szCs w:val="28"/>
        </w:rPr>
        <w:t>部门可能存在财政紧缩、推迟或减少对电子政务系统的投入，未来将会对公司</w:t>
      </w:r>
      <w:r>
        <w:rPr>
          <w:rFonts w:ascii="宋体" w:hAnsi="宋体" w:cs="宋体" w:eastAsia="宋体" w:hint="default"/>
          <w:b/>
          <w:bCs/>
          <w:w w:val="99"/>
          <w:sz w:val="28"/>
          <w:szCs w:val="28"/>
        </w:rPr>
        <w:t> </w:t>
      </w:r>
      <w:r>
        <w:rPr>
          <w:rFonts w:ascii="宋体" w:hAnsi="宋体" w:cs="宋体" w:eastAsia="宋体" w:hint="default"/>
          <w:b/>
          <w:bCs/>
          <w:sz w:val="28"/>
          <w:szCs w:val="28"/>
        </w:rPr>
        <w:t>的经营产生一定影响。</w:t>
      </w:r>
      <w:r>
        <w:rPr>
          <w:rFonts w:ascii="宋体" w:hAnsi="宋体" w:cs="宋体" w:eastAsia="宋体" w:hint="default"/>
          <w:sz w:val="28"/>
          <w:szCs w:val="28"/>
        </w:rPr>
      </w:r>
    </w:p>
    <w:p>
      <w:pPr>
        <w:spacing w:line="408" w:lineRule="auto" w:before="162"/>
        <w:ind w:left="152" w:right="1135" w:firstLine="562"/>
        <w:jc w:val="both"/>
        <w:rPr>
          <w:rFonts w:ascii="宋体" w:hAnsi="宋体" w:cs="宋体" w:eastAsia="宋体" w:hint="default"/>
          <w:sz w:val="28"/>
          <w:szCs w:val="28"/>
        </w:rPr>
      </w:pPr>
      <w:r>
        <w:rPr>
          <w:rFonts w:ascii="宋体" w:hAnsi="宋体" w:cs="宋体" w:eastAsia="宋体" w:hint="default"/>
          <w:b/>
          <w:bCs/>
          <w:spacing w:val="2"/>
          <w:sz w:val="28"/>
          <w:szCs w:val="28"/>
        </w:rPr>
        <w:t>市场竞争加剧的风险：公司在传统数字城市管理领域有着较强的市场竞争</w:t>
      </w:r>
      <w:r>
        <w:rPr>
          <w:rFonts w:ascii="宋体" w:hAnsi="宋体" w:cs="宋体" w:eastAsia="宋体" w:hint="default"/>
          <w:b/>
          <w:bCs/>
          <w:w w:val="99"/>
          <w:sz w:val="28"/>
          <w:szCs w:val="28"/>
        </w:rPr>
        <w:t> </w:t>
      </w:r>
      <w:r>
        <w:rPr>
          <w:rFonts w:ascii="宋体" w:hAnsi="宋体" w:cs="宋体" w:eastAsia="宋体" w:hint="default"/>
          <w:b/>
          <w:bCs/>
          <w:spacing w:val="2"/>
          <w:sz w:val="28"/>
          <w:szCs w:val="28"/>
        </w:rPr>
        <w:t>力，但随着智慧城市建设的高速发展，数字政通的业务也在不断延伸，将不可</w:t>
      </w:r>
      <w:r>
        <w:rPr>
          <w:rFonts w:ascii="宋体" w:hAnsi="宋体" w:cs="宋体" w:eastAsia="宋体" w:hint="default"/>
          <w:b/>
          <w:bCs/>
          <w:w w:val="99"/>
          <w:sz w:val="28"/>
          <w:szCs w:val="28"/>
        </w:rPr>
        <w:t> </w:t>
      </w:r>
      <w:r>
        <w:rPr>
          <w:rFonts w:ascii="宋体" w:hAnsi="宋体" w:cs="宋体" w:eastAsia="宋体" w:hint="default"/>
          <w:b/>
          <w:bCs/>
          <w:spacing w:val="2"/>
          <w:sz w:val="28"/>
          <w:szCs w:val="28"/>
        </w:rPr>
        <w:t>避免的与更多规模和实力更强的行业公司进行竞争，市场竞争呈逐步加剧的态</w:t>
      </w:r>
      <w:r>
        <w:rPr>
          <w:rFonts w:ascii="宋体" w:hAnsi="宋体" w:cs="宋体" w:eastAsia="宋体" w:hint="default"/>
          <w:b/>
          <w:bCs/>
          <w:w w:val="99"/>
          <w:sz w:val="28"/>
          <w:szCs w:val="28"/>
        </w:rPr>
        <w:t> </w:t>
      </w:r>
      <w:r>
        <w:rPr>
          <w:rFonts w:ascii="宋体" w:hAnsi="宋体" w:cs="宋体" w:eastAsia="宋体" w:hint="default"/>
          <w:b/>
          <w:bCs/>
          <w:spacing w:val="2"/>
          <w:sz w:val="28"/>
          <w:szCs w:val="28"/>
        </w:rPr>
        <w:t>势，如果公司在发展过程中不能持续保持技术领先优势以及不断提升市场营销</w:t>
      </w:r>
      <w:r>
        <w:rPr>
          <w:rFonts w:ascii="宋体" w:hAnsi="宋体" w:cs="宋体" w:eastAsia="宋体" w:hint="default"/>
          <w:b/>
          <w:bCs/>
          <w:w w:val="99"/>
          <w:sz w:val="28"/>
          <w:szCs w:val="28"/>
        </w:rPr>
        <w:t> </w:t>
      </w:r>
      <w:r>
        <w:rPr>
          <w:rFonts w:ascii="宋体" w:hAnsi="宋体" w:cs="宋体" w:eastAsia="宋体" w:hint="default"/>
          <w:b/>
          <w:bCs/>
          <w:spacing w:val="2"/>
          <w:sz w:val="28"/>
          <w:szCs w:val="28"/>
        </w:rPr>
        <w:t>和本地化服务能力，将有可能面临市场份额下滑，技术、服务能力被竞争对手</w:t>
      </w:r>
      <w:r>
        <w:rPr>
          <w:rFonts w:ascii="宋体" w:hAnsi="宋体" w:cs="宋体" w:eastAsia="宋体" w:hint="default"/>
          <w:spacing w:val="2"/>
          <w:sz w:val="28"/>
          <w:szCs w:val="28"/>
        </w:rPr>
      </w:r>
    </w:p>
    <w:p>
      <w:pPr>
        <w:spacing w:after="0" w:line="408" w:lineRule="auto"/>
        <w:jc w:val="both"/>
        <w:rPr>
          <w:rFonts w:ascii="宋体" w:hAnsi="宋体" w:cs="宋体" w:eastAsia="宋体" w:hint="default"/>
          <w:sz w:val="28"/>
          <w:szCs w:val="28"/>
        </w:rPr>
        <w:sectPr>
          <w:footerReference w:type="default" r:id="rId8"/>
          <w:pgSz w:w="11910" w:h="16840"/>
          <w:pgMar w:footer="979" w:header="745" w:top="1060" w:bottom="1160" w:left="980" w:right="0"/>
          <w:pgNumType w:start="2"/>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b/>
          <w:bCs/>
          <w:sz w:val="29"/>
          <w:szCs w:val="29"/>
        </w:rPr>
      </w:pPr>
    </w:p>
    <w:p>
      <w:pPr>
        <w:spacing w:line="475" w:lineRule="auto" w:before="14"/>
        <w:ind w:left="714" w:right="1133" w:hanging="563"/>
        <w:jc w:val="left"/>
        <w:rPr>
          <w:rFonts w:ascii="宋体" w:hAnsi="宋体" w:cs="宋体" w:eastAsia="宋体" w:hint="default"/>
          <w:sz w:val="28"/>
          <w:szCs w:val="28"/>
        </w:rPr>
      </w:pPr>
      <w:r>
        <w:rPr>
          <w:rFonts w:ascii="宋体" w:hAnsi="宋体" w:cs="宋体" w:eastAsia="宋体" w:hint="default"/>
          <w:b/>
          <w:bCs/>
          <w:sz w:val="28"/>
          <w:szCs w:val="28"/>
        </w:rPr>
        <w:t>超越的风险，同时可能会导致毛利率下降的风险。</w:t>
      </w:r>
      <w:r>
        <w:rPr>
          <w:rFonts w:ascii="宋体" w:hAnsi="宋体" w:cs="宋体" w:eastAsia="宋体" w:hint="default"/>
          <w:b/>
          <w:bCs/>
          <w:w w:val="99"/>
          <w:sz w:val="28"/>
          <w:szCs w:val="28"/>
        </w:rPr>
        <w:t> </w:t>
      </w:r>
      <w:r>
        <w:rPr>
          <w:rFonts w:ascii="宋体" w:hAnsi="宋体" w:cs="宋体" w:eastAsia="宋体" w:hint="default"/>
          <w:b/>
          <w:bCs/>
          <w:spacing w:val="2"/>
          <w:sz w:val="28"/>
          <w:szCs w:val="28"/>
        </w:rPr>
        <w:t>核心技术人员流失风险：软件行业属于智力密集型行业，核心技术人员对</w:t>
      </w:r>
      <w:r>
        <w:rPr>
          <w:rFonts w:ascii="宋体" w:hAnsi="宋体" w:cs="宋体" w:eastAsia="宋体" w:hint="default"/>
          <w:spacing w:val="2"/>
          <w:sz w:val="28"/>
          <w:szCs w:val="28"/>
        </w:rPr>
      </w:r>
    </w:p>
    <w:p>
      <w:pPr>
        <w:spacing w:line="350" w:lineRule="exact" w:before="0"/>
        <w:ind w:left="152" w:right="0" w:firstLine="0"/>
        <w:jc w:val="both"/>
        <w:rPr>
          <w:rFonts w:ascii="宋体" w:hAnsi="宋体" w:cs="宋体" w:eastAsia="宋体" w:hint="default"/>
          <w:sz w:val="28"/>
          <w:szCs w:val="28"/>
        </w:rPr>
      </w:pPr>
      <w:r>
        <w:rPr>
          <w:rFonts w:ascii="宋体" w:hAnsi="宋体" w:cs="宋体" w:eastAsia="宋体" w:hint="default"/>
          <w:b/>
          <w:bCs/>
          <w:spacing w:val="2"/>
          <w:sz w:val="28"/>
          <w:szCs w:val="28"/>
        </w:rPr>
        <w:t>公司的产品创新、持续发展起着关键的作用，核心技术人员的稳定对公司的发</w:t>
      </w:r>
      <w:r>
        <w:rPr>
          <w:rFonts w:ascii="宋体" w:hAnsi="宋体" w:cs="宋体" w:eastAsia="宋体" w:hint="default"/>
          <w:spacing w:val="2"/>
          <w:sz w:val="28"/>
          <w:szCs w:val="28"/>
        </w:rPr>
      </w:r>
    </w:p>
    <w:p>
      <w:pPr>
        <w:spacing w:line="240" w:lineRule="auto" w:before="9"/>
        <w:rPr>
          <w:rFonts w:ascii="宋体" w:hAnsi="宋体" w:cs="宋体" w:eastAsia="宋体" w:hint="default"/>
          <w:b/>
          <w:bCs/>
          <w:sz w:val="19"/>
          <w:szCs w:val="19"/>
        </w:rPr>
      </w:pPr>
    </w:p>
    <w:p>
      <w:pPr>
        <w:spacing w:line="408" w:lineRule="auto" w:before="0"/>
        <w:ind w:left="152" w:right="1139" w:firstLine="0"/>
        <w:jc w:val="both"/>
        <w:rPr>
          <w:rFonts w:ascii="宋体" w:hAnsi="宋体" w:cs="宋体" w:eastAsia="宋体" w:hint="default"/>
          <w:sz w:val="28"/>
          <w:szCs w:val="28"/>
        </w:rPr>
      </w:pPr>
      <w:r>
        <w:rPr>
          <w:rFonts w:ascii="宋体" w:hAnsi="宋体" w:cs="宋体" w:eastAsia="宋体" w:hint="default"/>
          <w:b/>
          <w:bCs/>
          <w:spacing w:val="2"/>
          <w:sz w:val="28"/>
          <w:szCs w:val="28"/>
        </w:rPr>
        <w:t>展具有重要影响。经过多年发展，公司现已拥有一支高素质的技术人员队伍，</w:t>
      </w:r>
      <w:r>
        <w:rPr>
          <w:rFonts w:ascii="宋体" w:hAnsi="宋体" w:cs="宋体" w:eastAsia="宋体" w:hint="default"/>
          <w:b/>
          <w:bCs/>
          <w:w w:val="99"/>
          <w:sz w:val="28"/>
          <w:szCs w:val="28"/>
        </w:rPr>
        <w:t> </w:t>
      </w:r>
      <w:r>
        <w:rPr>
          <w:rFonts w:ascii="宋体" w:hAnsi="宋体" w:cs="宋体" w:eastAsia="宋体" w:hint="default"/>
          <w:b/>
          <w:bCs/>
          <w:spacing w:val="2"/>
          <w:sz w:val="28"/>
          <w:szCs w:val="28"/>
        </w:rPr>
        <w:t>为了吸引和稳定现有核心技术团队，公司已建立完善的知识管理体系，采取了</w:t>
      </w:r>
      <w:r>
        <w:rPr>
          <w:rFonts w:ascii="宋体" w:hAnsi="宋体" w:cs="宋体" w:eastAsia="宋体" w:hint="default"/>
          <w:b/>
          <w:bCs/>
          <w:w w:val="99"/>
          <w:sz w:val="28"/>
          <w:szCs w:val="28"/>
        </w:rPr>
        <w:t> </w:t>
      </w:r>
      <w:r>
        <w:rPr>
          <w:rFonts w:ascii="宋体" w:hAnsi="宋体" w:cs="宋体" w:eastAsia="宋体" w:hint="default"/>
          <w:b/>
          <w:bCs/>
          <w:spacing w:val="2"/>
          <w:sz w:val="28"/>
          <w:szCs w:val="28"/>
        </w:rPr>
        <w:t>一系列吸引和稳定核心技术人员的措施，包括实施股权激励计划，提高核心技</w:t>
      </w:r>
      <w:r>
        <w:rPr>
          <w:rFonts w:ascii="宋体" w:hAnsi="宋体" w:cs="宋体" w:eastAsia="宋体" w:hint="default"/>
          <w:b/>
          <w:bCs/>
          <w:w w:val="99"/>
          <w:sz w:val="28"/>
          <w:szCs w:val="28"/>
        </w:rPr>
        <w:t> </w:t>
      </w:r>
      <w:r>
        <w:rPr>
          <w:rFonts w:ascii="宋体" w:hAnsi="宋体" w:cs="宋体" w:eastAsia="宋体" w:hint="default"/>
          <w:b/>
          <w:bCs/>
          <w:spacing w:val="2"/>
          <w:sz w:val="28"/>
          <w:szCs w:val="28"/>
        </w:rPr>
        <w:t>术人员福利待遇、增加培训机会、创造良好的工作和文化氛围等，努力维护技</w:t>
      </w:r>
      <w:r>
        <w:rPr>
          <w:rFonts w:ascii="宋体" w:hAnsi="宋体" w:cs="宋体" w:eastAsia="宋体" w:hint="default"/>
          <w:b/>
          <w:bCs/>
          <w:w w:val="99"/>
          <w:sz w:val="28"/>
          <w:szCs w:val="28"/>
        </w:rPr>
        <w:t> </w:t>
      </w:r>
      <w:r>
        <w:rPr>
          <w:rFonts w:ascii="宋体" w:hAnsi="宋体" w:cs="宋体" w:eastAsia="宋体" w:hint="default"/>
          <w:b/>
          <w:bCs/>
          <w:spacing w:val="2"/>
          <w:sz w:val="28"/>
          <w:szCs w:val="28"/>
        </w:rPr>
        <w:t>术团队的稳定发展，但考虑到软件行业技术变革速度快、人员流动率偏高的特</w:t>
      </w:r>
      <w:r>
        <w:rPr>
          <w:rFonts w:ascii="宋体" w:hAnsi="宋体" w:cs="宋体" w:eastAsia="宋体" w:hint="default"/>
          <w:b/>
          <w:bCs/>
          <w:w w:val="99"/>
          <w:sz w:val="28"/>
          <w:szCs w:val="28"/>
        </w:rPr>
        <w:t> </w:t>
      </w:r>
      <w:r>
        <w:rPr>
          <w:rFonts w:ascii="宋体" w:hAnsi="宋体" w:cs="宋体" w:eastAsia="宋体" w:hint="default"/>
          <w:b/>
          <w:bCs/>
          <w:spacing w:val="2"/>
          <w:sz w:val="28"/>
          <w:szCs w:val="28"/>
        </w:rPr>
        <w:t>点，未来如果公司的核心技术团队流失率过高，将不利于公司各项经营目标的</w:t>
      </w:r>
      <w:r>
        <w:rPr>
          <w:rFonts w:ascii="宋体" w:hAnsi="宋体" w:cs="宋体" w:eastAsia="宋体" w:hint="default"/>
          <w:b/>
          <w:bCs/>
          <w:w w:val="99"/>
          <w:sz w:val="28"/>
          <w:szCs w:val="28"/>
        </w:rPr>
        <w:t> </w:t>
      </w:r>
      <w:r>
        <w:rPr>
          <w:rFonts w:ascii="宋体" w:hAnsi="宋体" w:cs="宋体" w:eastAsia="宋体" w:hint="default"/>
          <w:b/>
          <w:bCs/>
          <w:sz w:val="28"/>
          <w:szCs w:val="28"/>
        </w:rPr>
        <w:t>实现，对公司未来发展将产生不利影响。</w:t>
      </w:r>
      <w:r>
        <w:rPr>
          <w:rFonts w:ascii="宋体" w:hAnsi="宋体" w:cs="宋体" w:eastAsia="宋体" w:hint="default"/>
          <w:sz w:val="28"/>
          <w:szCs w:val="28"/>
        </w:rPr>
      </w:r>
    </w:p>
    <w:p>
      <w:pPr>
        <w:spacing w:before="160"/>
        <w:ind w:left="714" w:right="982" w:firstLine="0"/>
        <w:jc w:val="left"/>
        <w:rPr>
          <w:rFonts w:ascii="宋体" w:hAnsi="宋体" w:cs="宋体" w:eastAsia="宋体" w:hint="default"/>
          <w:sz w:val="28"/>
          <w:szCs w:val="28"/>
        </w:rPr>
      </w:pPr>
      <w:r>
        <w:rPr>
          <w:rFonts w:ascii="宋体" w:hAnsi="宋体" w:cs="宋体" w:eastAsia="宋体" w:hint="default"/>
          <w:b/>
          <w:bCs/>
          <w:sz w:val="28"/>
          <w:szCs w:val="28"/>
        </w:rPr>
        <w:t>公司经本次董事会审议通过的利润分配预案为：以</w:t>
      </w:r>
      <w:r>
        <w:rPr>
          <w:rFonts w:ascii="宋体" w:hAnsi="宋体" w:cs="宋体" w:eastAsia="宋体" w:hint="default"/>
          <w:b/>
          <w:bCs/>
          <w:spacing w:val="-74"/>
          <w:sz w:val="28"/>
          <w:szCs w:val="28"/>
        </w:rPr>
        <w:t> </w:t>
      </w:r>
      <w:r>
        <w:rPr>
          <w:rFonts w:ascii="Times New Roman" w:hAnsi="Times New Roman" w:cs="Times New Roman" w:eastAsia="Times New Roman" w:hint="default"/>
          <w:b/>
          <w:bCs/>
          <w:sz w:val="28"/>
          <w:szCs w:val="28"/>
        </w:rPr>
        <w:t>426,552,605</w:t>
      </w:r>
      <w:r>
        <w:rPr>
          <w:rFonts w:ascii="Times New Roman" w:hAnsi="Times New Roman" w:cs="Times New Roman" w:eastAsia="Times New Roman" w:hint="default"/>
          <w:b/>
          <w:bCs/>
          <w:spacing w:val="-3"/>
          <w:sz w:val="28"/>
          <w:szCs w:val="28"/>
        </w:rPr>
        <w:t> </w:t>
      </w:r>
      <w:r>
        <w:rPr>
          <w:rFonts w:ascii="宋体" w:hAnsi="宋体" w:cs="宋体" w:eastAsia="宋体" w:hint="default"/>
          <w:b/>
          <w:bCs/>
          <w:sz w:val="28"/>
          <w:szCs w:val="28"/>
        </w:rPr>
        <w:t>股为基数，</w:t>
      </w:r>
      <w:r>
        <w:rPr>
          <w:rFonts w:ascii="宋体" w:hAnsi="宋体" w:cs="宋体" w:eastAsia="宋体" w:hint="default"/>
          <w:sz w:val="28"/>
          <w:szCs w:val="28"/>
        </w:rPr>
      </w:r>
    </w:p>
    <w:p>
      <w:pPr>
        <w:spacing w:before="236"/>
        <w:ind w:left="152" w:right="0" w:firstLine="0"/>
        <w:jc w:val="both"/>
        <w:rPr>
          <w:rFonts w:ascii="宋体" w:hAnsi="宋体" w:cs="宋体" w:eastAsia="宋体" w:hint="default"/>
          <w:sz w:val="28"/>
          <w:szCs w:val="28"/>
        </w:rPr>
      </w:pPr>
      <w:r>
        <w:rPr>
          <w:rFonts w:ascii="宋体" w:hAnsi="宋体" w:cs="宋体" w:eastAsia="宋体" w:hint="default"/>
          <w:b/>
          <w:bCs/>
          <w:w w:val="99"/>
          <w:sz w:val="28"/>
          <w:szCs w:val="28"/>
        </w:rPr>
        <w:t>向全</w:t>
      </w:r>
      <w:r>
        <w:rPr>
          <w:rFonts w:ascii="宋体" w:hAnsi="宋体" w:cs="宋体" w:eastAsia="宋体" w:hint="default"/>
          <w:b/>
          <w:bCs/>
          <w:spacing w:val="2"/>
          <w:w w:val="99"/>
          <w:sz w:val="28"/>
          <w:szCs w:val="28"/>
        </w:rPr>
        <w:t>体</w:t>
      </w:r>
      <w:r>
        <w:rPr>
          <w:rFonts w:ascii="宋体" w:hAnsi="宋体" w:cs="宋体" w:eastAsia="宋体" w:hint="default"/>
          <w:b/>
          <w:bCs/>
          <w:w w:val="99"/>
          <w:sz w:val="28"/>
          <w:szCs w:val="28"/>
        </w:rPr>
        <w:t>股东每</w:t>
      </w:r>
      <w:r>
        <w:rPr>
          <w:rFonts w:ascii="宋体" w:hAnsi="宋体" w:cs="宋体" w:eastAsia="宋体" w:hint="default"/>
          <w:b/>
          <w:bCs/>
          <w:spacing w:val="-72"/>
          <w:sz w:val="28"/>
          <w:szCs w:val="28"/>
        </w:rPr>
        <w:t> </w:t>
      </w:r>
      <w:r>
        <w:rPr>
          <w:rFonts w:ascii="Times New Roman" w:hAnsi="Times New Roman" w:cs="Times New Roman" w:eastAsia="Times New Roman" w:hint="default"/>
          <w:b/>
          <w:bCs/>
          <w:spacing w:val="1"/>
          <w:w w:val="100"/>
          <w:sz w:val="28"/>
          <w:szCs w:val="28"/>
        </w:rPr>
        <w:t>1</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pacing w:val="-2"/>
          <w:sz w:val="28"/>
          <w:szCs w:val="28"/>
        </w:rPr>
        <w:t> </w:t>
      </w:r>
      <w:r>
        <w:rPr>
          <w:rFonts w:ascii="宋体" w:hAnsi="宋体" w:cs="宋体" w:eastAsia="宋体" w:hint="default"/>
          <w:b/>
          <w:bCs/>
          <w:w w:val="99"/>
          <w:sz w:val="28"/>
          <w:szCs w:val="28"/>
        </w:rPr>
        <w:t>股派发</w:t>
      </w:r>
      <w:r>
        <w:rPr>
          <w:rFonts w:ascii="宋体" w:hAnsi="宋体" w:cs="宋体" w:eastAsia="宋体" w:hint="default"/>
          <w:b/>
          <w:bCs/>
          <w:spacing w:val="2"/>
          <w:w w:val="99"/>
          <w:sz w:val="28"/>
          <w:szCs w:val="28"/>
        </w:rPr>
        <w:t>现</w:t>
      </w:r>
      <w:r>
        <w:rPr>
          <w:rFonts w:ascii="宋体" w:hAnsi="宋体" w:cs="宋体" w:eastAsia="宋体" w:hint="default"/>
          <w:b/>
          <w:bCs/>
          <w:w w:val="99"/>
          <w:sz w:val="28"/>
          <w:szCs w:val="28"/>
        </w:rPr>
        <w:t>金红利</w:t>
      </w:r>
      <w:r>
        <w:rPr>
          <w:rFonts w:ascii="宋体" w:hAnsi="宋体" w:cs="宋体" w:eastAsia="宋体" w:hint="default"/>
          <w:b/>
          <w:bCs/>
          <w:spacing w:val="-71"/>
          <w:sz w:val="28"/>
          <w:szCs w:val="28"/>
        </w:rPr>
        <w:t> </w:t>
      </w:r>
      <w:r>
        <w:rPr>
          <w:rFonts w:ascii="Times New Roman" w:hAnsi="Times New Roman" w:cs="Times New Roman" w:eastAsia="Times New Roman" w:hint="default"/>
          <w:b/>
          <w:bCs/>
          <w:w w:val="100"/>
          <w:sz w:val="28"/>
          <w:szCs w:val="28"/>
        </w:rPr>
        <w:t>0.30</w:t>
      </w:r>
      <w:r>
        <w:rPr>
          <w:rFonts w:ascii="Times New Roman" w:hAnsi="Times New Roman" w:cs="Times New Roman" w:eastAsia="Times New Roman" w:hint="default"/>
          <w:b/>
          <w:bCs/>
          <w:spacing w:val="-1"/>
          <w:sz w:val="28"/>
          <w:szCs w:val="28"/>
        </w:rPr>
        <w:t> </w:t>
      </w:r>
      <w:r>
        <w:rPr>
          <w:rFonts w:ascii="宋体" w:hAnsi="宋体" w:cs="宋体" w:eastAsia="宋体" w:hint="default"/>
          <w:b/>
          <w:bCs/>
          <w:spacing w:val="-32"/>
          <w:w w:val="99"/>
          <w:sz w:val="28"/>
          <w:szCs w:val="28"/>
        </w:rPr>
        <w:t>元</w:t>
      </w:r>
      <w:r>
        <w:rPr>
          <w:rFonts w:ascii="宋体" w:hAnsi="宋体" w:cs="宋体" w:eastAsia="宋体" w:hint="default"/>
          <w:b/>
          <w:bCs/>
          <w:w w:val="99"/>
          <w:sz w:val="28"/>
          <w:szCs w:val="28"/>
        </w:rPr>
        <w:t>（含</w:t>
      </w:r>
      <w:r>
        <w:rPr>
          <w:rFonts w:ascii="宋体" w:hAnsi="宋体" w:cs="宋体" w:eastAsia="宋体" w:hint="default"/>
          <w:b/>
          <w:bCs/>
          <w:spacing w:val="2"/>
          <w:w w:val="99"/>
          <w:sz w:val="28"/>
          <w:szCs w:val="28"/>
        </w:rPr>
        <w:t>税</w:t>
      </w:r>
      <w:r>
        <w:rPr>
          <w:rFonts w:ascii="宋体" w:hAnsi="宋体" w:cs="宋体" w:eastAsia="宋体" w:hint="default"/>
          <w:b/>
          <w:bCs/>
          <w:spacing w:val="-142"/>
          <w:w w:val="99"/>
          <w:sz w:val="28"/>
          <w:szCs w:val="28"/>
        </w:rPr>
        <w:t>）</w:t>
      </w:r>
      <w:r>
        <w:rPr>
          <w:rFonts w:ascii="宋体" w:hAnsi="宋体" w:cs="宋体" w:eastAsia="宋体" w:hint="default"/>
          <w:b/>
          <w:bCs/>
          <w:spacing w:val="-32"/>
          <w:w w:val="99"/>
          <w:sz w:val="28"/>
          <w:szCs w:val="28"/>
        </w:rPr>
        <w:t>，</w:t>
      </w:r>
      <w:r>
        <w:rPr>
          <w:rFonts w:ascii="宋体" w:hAnsi="宋体" w:cs="宋体" w:eastAsia="宋体" w:hint="default"/>
          <w:b/>
          <w:bCs/>
          <w:w w:val="99"/>
          <w:sz w:val="28"/>
          <w:szCs w:val="28"/>
        </w:rPr>
        <w:t>送</w:t>
      </w:r>
      <w:r>
        <w:rPr>
          <w:rFonts w:ascii="宋体" w:hAnsi="宋体" w:cs="宋体" w:eastAsia="宋体" w:hint="default"/>
          <w:b/>
          <w:bCs/>
          <w:spacing w:val="2"/>
          <w:w w:val="99"/>
          <w:sz w:val="28"/>
          <w:szCs w:val="28"/>
        </w:rPr>
        <w:t>红</w:t>
      </w:r>
      <w:r>
        <w:rPr>
          <w:rFonts w:ascii="宋体" w:hAnsi="宋体" w:cs="宋体" w:eastAsia="宋体" w:hint="default"/>
          <w:b/>
          <w:bCs/>
          <w:w w:val="99"/>
          <w:sz w:val="28"/>
          <w:szCs w:val="28"/>
        </w:rPr>
        <w:t>股</w:t>
      </w:r>
      <w:r>
        <w:rPr>
          <w:rFonts w:ascii="宋体" w:hAnsi="宋体" w:cs="宋体" w:eastAsia="宋体" w:hint="default"/>
          <w:b/>
          <w:bCs/>
          <w:spacing w:val="-71"/>
          <w:sz w:val="28"/>
          <w:szCs w:val="28"/>
        </w:rPr>
        <w:t> </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z w:val="28"/>
          <w:szCs w:val="28"/>
        </w:rPr>
        <w:t> </w:t>
      </w:r>
      <w:r>
        <w:rPr>
          <w:rFonts w:ascii="宋体" w:hAnsi="宋体" w:cs="宋体" w:eastAsia="宋体" w:hint="default"/>
          <w:b/>
          <w:bCs/>
          <w:spacing w:val="-32"/>
          <w:w w:val="99"/>
          <w:sz w:val="28"/>
          <w:szCs w:val="28"/>
        </w:rPr>
        <w:t>股</w:t>
      </w:r>
      <w:r>
        <w:rPr>
          <w:rFonts w:ascii="宋体" w:hAnsi="宋体" w:cs="宋体" w:eastAsia="宋体" w:hint="default"/>
          <w:b/>
          <w:bCs/>
          <w:w w:val="99"/>
          <w:sz w:val="28"/>
          <w:szCs w:val="28"/>
        </w:rPr>
        <w:t>（含</w:t>
      </w:r>
      <w:r>
        <w:rPr>
          <w:rFonts w:ascii="宋体" w:hAnsi="宋体" w:cs="宋体" w:eastAsia="宋体" w:hint="default"/>
          <w:b/>
          <w:bCs/>
          <w:spacing w:val="2"/>
          <w:w w:val="99"/>
          <w:sz w:val="28"/>
          <w:szCs w:val="28"/>
        </w:rPr>
        <w:t>税</w:t>
      </w:r>
      <w:r>
        <w:rPr>
          <w:rFonts w:ascii="宋体" w:hAnsi="宋体" w:cs="宋体" w:eastAsia="宋体" w:hint="default"/>
          <w:b/>
          <w:bCs/>
          <w:spacing w:val="-142"/>
          <w:w w:val="99"/>
          <w:sz w:val="28"/>
          <w:szCs w:val="28"/>
        </w:rPr>
        <w:t>）</w:t>
      </w:r>
      <w:r>
        <w:rPr>
          <w:rFonts w:ascii="宋体" w:hAnsi="宋体" w:cs="宋体" w:eastAsia="宋体" w:hint="default"/>
          <w:b/>
          <w:bCs/>
          <w:spacing w:val="-32"/>
          <w:w w:val="99"/>
          <w:sz w:val="28"/>
          <w:szCs w:val="28"/>
        </w:rPr>
        <w:t>，</w:t>
      </w:r>
      <w:r>
        <w:rPr>
          <w:rFonts w:ascii="宋体" w:hAnsi="宋体" w:cs="宋体" w:eastAsia="宋体" w:hint="default"/>
          <w:b/>
          <w:bCs/>
          <w:w w:val="99"/>
          <w:sz w:val="28"/>
          <w:szCs w:val="28"/>
        </w:rPr>
        <w:t>以资本</w:t>
      </w:r>
      <w:r>
        <w:rPr>
          <w:rFonts w:ascii="宋体" w:hAnsi="宋体" w:cs="宋体" w:eastAsia="宋体" w:hint="default"/>
          <w:sz w:val="28"/>
          <w:szCs w:val="28"/>
        </w:rPr>
      </w:r>
    </w:p>
    <w:p>
      <w:pPr>
        <w:spacing w:before="236"/>
        <w:ind w:left="152" w:right="0" w:firstLine="0"/>
        <w:jc w:val="both"/>
        <w:rPr>
          <w:rFonts w:ascii="宋体" w:hAnsi="宋体" w:cs="宋体" w:eastAsia="宋体" w:hint="default"/>
          <w:sz w:val="28"/>
          <w:szCs w:val="28"/>
        </w:rPr>
      </w:pPr>
      <w:r>
        <w:rPr>
          <w:rFonts w:ascii="宋体" w:hAnsi="宋体" w:cs="宋体" w:eastAsia="宋体" w:hint="default"/>
          <w:b/>
          <w:bCs/>
          <w:sz w:val="28"/>
          <w:szCs w:val="28"/>
        </w:rPr>
        <w:t>公积金向全体股东每</w:t>
      </w:r>
      <w:r>
        <w:rPr>
          <w:rFonts w:ascii="宋体" w:hAnsi="宋体" w:cs="宋体" w:eastAsia="宋体" w:hint="default"/>
          <w:b/>
          <w:bCs/>
          <w:spacing w:val="-70"/>
          <w:sz w:val="28"/>
          <w:szCs w:val="28"/>
        </w:rPr>
        <w:t> </w:t>
      </w:r>
      <w:r>
        <w:rPr>
          <w:rFonts w:ascii="Times New Roman" w:hAnsi="Times New Roman" w:cs="Times New Roman" w:eastAsia="Times New Roman" w:hint="default"/>
          <w:b/>
          <w:bCs/>
          <w:sz w:val="28"/>
          <w:szCs w:val="28"/>
        </w:rPr>
        <w:t>10 </w:t>
      </w:r>
      <w:r>
        <w:rPr>
          <w:rFonts w:ascii="宋体" w:hAnsi="宋体" w:cs="宋体" w:eastAsia="宋体" w:hint="default"/>
          <w:b/>
          <w:bCs/>
          <w:sz w:val="28"/>
          <w:szCs w:val="28"/>
        </w:rPr>
        <w:t>股转增</w:t>
      </w:r>
      <w:r>
        <w:rPr>
          <w:rFonts w:ascii="宋体" w:hAnsi="宋体" w:cs="宋体" w:eastAsia="宋体" w:hint="default"/>
          <w:b/>
          <w:bCs/>
          <w:spacing w:val="-71"/>
          <w:sz w:val="28"/>
          <w:szCs w:val="28"/>
        </w:rPr>
        <w:t> </w:t>
      </w:r>
      <w:r>
        <w:rPr>
          <w:rFonts w:ascii="Times New Roman" w:hAnsi="Times New Roman" w:cs="Times New Roman" w:eastAsia="Times New Roman" w:hint="default"/>
          <w:b/>
          <w:bCs/>
          <w:sz w:val="28"/>
          <w:szCs w:val="28"/>
        </w:rPr>
        <w:t>0</w:t>
      </w:r>
      <w:r>
        <w:rPr>
          <w:rFonts w:ascii="Times New Roman" w:hAnsi="Times New Roman" w:cs="Times New Roman" w:eastAsia="Times New Roman" w:hint="default"/>
          <w:b/>
          <w:bCs/>
          <w:spacing w:val="-3"/>
          <w:sz w:val="28"/>
          <w:szCs w:val="28"/>
        </w:rPr>
        <w:t> </w:t>
      </w:r>
      <w:r>
        <w:rPr>
          <w:rFonts w:ascii="宋体" w:hAnsi="宋体" w:cs="宋体" w:eastAsia="宋体" w:hint="default"/>
          <w:b/>
          <w:bCs/>
          <w:sz w:val="28"/>
          <w:szCs w:val="28"/>
        </w:rPr>
        <w:t>股。</w:t>
      </w:r>
      <w:r>
        <w:rPr>
          <w:rFonts w:ascii="宋体" w:hAnsi="宋体" w:cs="宋体" w:eastAsia="宋体" w:hint="default"/>
          <w:sz w:val="28"/>
          <w:szCs w:val="28"/>
        </w:rPr>
      </w:r>
    </w:p>
    <w:p>
      <w:pPr>
        <w:spacing w:after="0"/>
        <w:jc w:val="both"/>
        <w:rPr>
          <w:rFonts w:ascii="宋体" w:hAnsi="宋体" w:cs="宋体" w:eastAsia="宋体" w:hint="default"/>
          <w:sz w:val="28"/>
          <w:szCs w:val="28"/>
        </w:rPr>
        <w:sectPr>
          <w:pgSz w:w="11910" w:h="16840"/>
          <w:pgMar w:header="745" w:footer="979" w:top="1060" w:bottom="116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25"/>
        <w:ind w:left="2421" w:right="3399"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13"/>
        <w:rPr>
          <w:rFonts w:ascii="宋体" w:hAnsi="宋体" w:cs="宋体" w:eastAsia="宋体" w:hint="default"/>
          <w:b/>
          <w:bCs/>
          <w:sz w:val="41"/>
          <w:szCs w:val="41"/>
        </w:rPr>
      </w:pPr>
    </w:p>
    <w:sdt>
      <w:sdtPr>
        <w:docPartObj>
          <w:docPartGallery w:val="Table of Contents"/>
          <w:docPartUnique/>
        </w:docPartObj>
      </w:sdtPr>
      <w:sdtEndPr/>
      <w:sdtContent>
        <w:p>
          <w:pPr>
            <w:pStyle w:val="TOC1"/>
            <w:tabs>
              <w:tab w:pos="9783" w:val="right" w:leader="dot"/>
            </w:tabs>
            <w:spacing w:line="240" w:lineRule="auto" w:before="0"/>
            <w:ind w:right="0"/>
            <w:jc w:val="left"/>
            <w:rPr>
              <w:rFonts w:ascii="Times New Roman" w:hAnsi="Times New Roman" w:cs="Times New Roman" w:eastAsia="Times New Roman" w:hint="default"/>
              <w:b w:val="0"/>
              <w:bCs w:val="0"/>
            </w:rPr>
          </w:pPr>
          <w:hyperlink w:history="true" w:anchor="_bookmark0">
            <w:r>
              <w:rPr/>
              <w:t>第一节</w:t>
            </w:r>
            <w:r>
              <w:rPr>
                <w:spacing w:val="-18"/>
              </w:rPr>
              <w:t> </w:t>
            </w:r>
            <w:r>
              <w:rPr/>
              <w:t>重要提示、目录和释义</w:t>
            </w:r>
            <w:r>
              <w:rPr>
                <w:rFonts w:ascii="Times New Roman" w:hAnsi="Times New Roman" w:cs="Times New Roman" w:eastAsia="Times New Roman" w:hint="default"/>
              </w:rPr>
              <w:tab/>
              <w:t>6</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1">
            <w:r>
              <w:rPr/>
              <w:t>第二节</w:t>
            </w:r>
            <w:r>
              <w:rPr>
                <w:spacing w:val="-18"/>
              </w:rPr>
              <w:t> </w:t>
            </w:r>
            <w:r>
              <w:rPr/>
              <w:t>公司简介和主要财务指标</w:t>
            </w:r>
            <w:r>
              <w:rPr>
                <w:rFonts w:ascii="Times New Roman" w:hAnsi="Times New Roman" w:cs="Times New Roman" w:eastAsia="Times New Roman" w:hint="default"/>
              </w:rPr>
              <w:tab/>
              <w:t>10</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2">
            <w:r>
              <w:rPr/>
              <w:t>第三节</w:t>
            </w:r>
            <w:r>
              <w:rPr>
                <w:spacing w:val="-18"/>
              </w:rPr>
              <w:t> </w:t>
            </w:r>
            <w:r>
              <w:rPr/>
              <w:t>公司业务概要</w:t>
            </w:r>
            <w:r>
              <w:rPr>
                <w:rFonts w:ascii="Times New Roman" w:hAnsi="Times New Roman" w:cs="Times New Roman" w:eastAsia="Times New Roman" w:hint="default"/>
              </w:rPr>
              <w:tab/>
              <w:t>16</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3">
            <w:r>
              <w:rPr/>
              <w:t>第四节</w:t>
            </w:r>
            <w:r>
              <w:rPr>
                <w:spacing w:val="-18"/>
              </w:rPr>
              <w:t> </w:t>
            </w:r>
            <w:r>
              <w:rPr/>
              <w:t>经营情况讨论与分析</w:t>
            </w:r>
            <w:r>
              <w:rPr>
                <w:rFonts w:ascii="Times New Roman" w:hAnsi="Times New Roman" w:cs="Times New Roman" w:eastAsia="Times New Roman" w:hint="default"/>
              </w:rPr>
              <w:tab/>
              <w:t>46</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4">
            <w:r>
              <w:rPr/>
              <w:t>第五节</w:t>
            </w:r>
            <w:r>
              <w:rPr>
                <w:spacing w:val="-18"/>
              </w:rPr>
              <w:t> </w:t>
            </w:r>
            <w:r>
              <w:rPr/>
              <w:t>重要事项</w:t>
            </w:r>
            <w:r>
              <w:rPr>
                <w:rFonts w:ascii="Times New Roman" w:hAnsi="Times New Roman" w:cs="Times New Roman" w:eastAsia="Times New Roman" w:hint="default"/>
              </w:rPr>
              <w:tab/>
              <w:t>60</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第六节</w:t>
            </w:r>
            <w:r>
              <w:rPr>
                <w:spacing w:val="-18"/>
              </w:rPr>
              <w:t> </w:t>
            </w:r>
            <w:r>
              <w:rPr/>
              <w:t>股份变动及股东情况</w:t>
            </w:r>
            <w:r>
              <w:rPr>
                <w:rFonts w:ascii="Times New Roman" w:hAnsi="Times New Roman" w:cs="Times New Roman" w:eastAsia="Times New Roman" w:hint="default"/>
              </w:rPr>
              <w:tab/>
              <w:t>67</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第七节</w:t>
            </w:r>
            <w:r>
              <w:rPr>
                <w:spacing w:val="-18"/>
              </w:rPr>
              <w:t> </w:t>
            </w:r>
            <w:r>
              <w:rPr/>
              <w:t>优先股相关情况</w:t>
            </w:r>
            <w:r>
              <w:rPr>
                <w:rFonts w:ascii="Times New Roman" w:hAnsi="Times New Roman" w:cs="Times New Roman" w:eastAsia="Times New Roman" w:hint="default"/>
              </w:rPr>
              <w:tab/>
              <w:t>67</w:t>
            </w:r>
            <w:r>
              <w:rPr>
                <w:rFonts w:ascii="Times New Roman" w:hAnsi="Times New Roman" w:cs="Times New Roman" w:eastAsia="Times New Roman" w:hint="default"/>
                <w:b w:val="0"/>
                <w:bCs w:val="0"/>
              </w:rPr>
            </w:r>
          </w:hyperlink>
        </w:p>
        <w:p>
          <w:pPr>
            <w:pStyle w:val="TOC1"/>
            <w:tabs>
              <w:tab w:pos="9783" w:val="right" w:leader="dot"/>
            </w:tabs>
            <w:spacing w:line="240" w:lineRule="auto" w:before="160"/>
            <w:ind w:right="0"/>
            <w:jc w:val="left"/>
            <w:rPr>
              <w:rFonts w:ascii="Times New Roman" w:hAnsi="Times New Roman" w:cs="Times New Roman" w:eastAsia="Times New Roman" w:hint="default"/>
              <w:b w:val="0"/>
              <w:bCs w:val="0"/>
            </w:rPr>
          </w:pPr>
          <w:hyperlink w:history="true" w:anchor="_bookmark6">
            <w:r>
              <w:rPr/>
              <w:t>第八节</w:t>
            </w:r>
            <w:r>
              <w:rPr>
                <w:spacing w:val="-18"/>
              </w:rPr>
              <w:t> </w:t>
            </w:r>
            <w:r>
              <w:rPr/>
              <w:t>董事、监事、高级管理人员和员工情况</w:t>
            </w:r>
            <w:r>
              <w:rPr>
                <w:rFonts w:ascii="Times New Roman" w:hAnsi="Times New Roman" w:cs="Times New Roman" w:eastAsia="Times New Roman" w:hint="default"/>
              </w:rPr>
              <w:tab/>
              <w:t>68</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7">
            <w:r>
              <w:rPr/>
              <w:t>第九节</w:t>
            </w:r>
            <w:r>
              <w:rPr>
                <w:spacing w:val="-18"/>
              </w:rPr>
              <w:t> </w:t>
            </w:r>
            <w:r>
              <w:rPr/>
              <w:t>公司治理</w:t>
            </w:r>
            <w:r>
              <w:rPr>
                <w:rFonts w:ascii="Times New Roman" w:hAnsi="Times New Roman" w:cs="Times New Roman" w:eastAsia="Times New Roman" w:hint="default"/>
              </w:rPr>
              <w:tab/>
              <w:t>75</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8">
            <w:r>
              <w:rPr/>
              <w:t>第十节</w:t>
            </w:r>
            <w:r>
              <w:rPr>
                <w:spacing w:val="-18"/>
              </w:rPr>
              <w:t> </w:t>
            </w:r>
            <w:r>
              <w:rPr/>
              <w:t>公司债券相关情况</w:t>
            </w:r>
            <w:r>
              <w:rPr>
                <w:rFonts w:ascii="Times New Roman" w:hAnsi="Times New Roman" w:cs="Times New Roman" w:eastAsia="Times New Roman" w:hint="default"/>
              </w:rPr>
              <w:tab/>
              <w:t>81</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9">
            <w:r>
              <w:rPr/>
              <w:t>第十一节</w:t>
            </w:r>
            <w:r>
              <w:rPr>
                <w:spacing w:val="-17"/>
              </w:rPr>
              <w:t> </w:t>
            </w:r>
            <w:r>
              <w:rPr/>
              <w:t>财务报告</w:t>
            </w:r>
            <w:r>
              <w:rPr>
                <w:rFonts w:ascii="Times New Roman" w:hAnsi="Times New Roman" w:cs="Times New Roman" w:eastAsia="Times New Roman" w:hint="default"/>
              </w:rPr>
              <w:tab/>
              <w:t>82</w:t>
            </w:r>
            <w:r>
              <w:rPr>
                <w:rFonts w:ascii="Times New Roman" w:hAnsi="Times New Roman" w:cs="Times New Roman" w:eastAsia="Times New Roman" w:hint="default"/>
                <w:b w:val="0"/>
                <w:bCs w:val="0"/>
              </w:rPr>
            </w:r>
          </w:hyperlink>
        </w:p>
        <w:p>
          <w:pPr>
            <w:pStyle w:val="TOC1"/>
            <w:tabs>
              <w:tab w:pos="9783" w:val="right" w:leader="dot"/>
            </w:tabs>
            <w:spacing w:line="240" w:lineRule="auto"/>
            <w:ind w:right="0"/>
            <w:jc w:val="left"/>
            <w:rPr>
              <w:rFonts w:ascii="Times New Roman" w:hAnsi="Times New Roman" w:cs="Times New Roman" w:eastAsia="Times New Roman" w:hint="default"/>
              <w:b w:val="0"/>
              <w:bCs w:val="0"/>
            </w:rPr>
          </w:pPr>
          <w:hyperlink w:history="true" w:anchor="_bookmark10">
            <w:r>
              <w:rPr/>
              <w:t>第十二节</w:t>
            </w:r>
            <w:r>
              <w:rPr>
                <w:spacing w:val="-18"/>
              </w:rPr>
              <w:t> </w:t>
            </w:r>
            <w:r>
              <w:rPr/>
              <w:t>备查文件目录</w:t>
            </w:r>
            <w:r>
              <w:rPr>
                <w:rFonts w:ascii="Times New Roman" w:hAnsi="Times New Roman" w:cs="Times New Roman" w:eastAsia="Times New Roman" w:hint="default"/>
              </w:rPr>
              <w:tab/>
              <w:t>191</w:t>
            </w:r>
            <w:r>
              <w:rPr>
                <w:rFonts w:ascii="Times New Roman" w:hAnsi="Times New Roman" w:cs="Times New Roman" w:eastAsia="Times New Roman" w:hint="default"/>
                <w:b w:val="0"/>
                <w:bCs w:val="0"/>
              </w:rPr>
            </w:r>
          </w:hyperlink>
        </w:p>
      </w:sdtContent>
    </w:sdt>
    <w:p>
      <w:pPr>
        <w:spacing w:after="0" w:line="240" w:lineRule="auto"/>
        <w:jc w:val="left"/>
        <w:rPr>
          <w:rFonts w:ascii="Times New Roman" w:hAnsi="Times New Roman" w:cs="Times New Roman" w:eastAsia="Times New Roman" w:hint="default"/>
        </w:rPr>
        <w:sectPr>
          <w:pgSz w:w="11910" w:h="16840"/>
          <w:pgMar w:header="745" w:footer="979" w:top="1060" w:bottom="1160" w:left="980" w:right="0"/>
        </w:sectPr>
      </w:pPr>
    </w:p>
    <w:p>
      <w:pPr>
        <w:spacing w:before="945"/>
        <w:ind w:left="2421" w:right="3399"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536"/>
        <w:gridCol w:w="599"/>
        <w:gridCol w:w="5436"/>
      </w:tblGrid>
      <w:tr>
        <w:trPr>
          <w:trHeight w:val="403" w:hRule="exact"/>
        </w:trPr>
        <w:tc>
          <w:tcPr>
            <w:tcW w:w="35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释义项</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公司、本公司、数字政通、发行人</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元</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人民币元</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中国证监会、证监会</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中华人民共和国证券监督管理委员会</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交易所</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公司法</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中华人民共和国公司法</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证券法</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中华人民共和国证券法</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上市规则</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深圳证券交易所创业板股票上市规则</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公司章程</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北京数字政通科技股份有限公司章程</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董事会</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北京数字政通科技股份有限公司董事会</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监事会</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北京数字政通科技股份有限公司监事会</w:t>
            </w:r>
          </w:p>
        </w:tc>
      </w:tr>
      <w:tr>
        <w:trPr>
          <w:trHeight w:val="404"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股东大会</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北京数字政通科技股份有限公司股东大会</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数字智通</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北京数字智通科技有限公司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北京子公司</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北京数字政通智能泊车技术有限公司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上海子公司</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上海政通信息科技有限公司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武汉子公司</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武汉智慧政通科技有限公司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合肥子公司</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安徽数字政通科技有限责任公司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克拉玛依子公司</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克拉玛依数字政通信息科技有限责任公司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小爱科技</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重庆小爱科技有限公司</w:t>
            </w:r>
          </w:p>
        </w:tc>
      </w:tr>
      <w:tr>
        <w:trPr>
          <w:trHeight w:val="404"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金迪管线</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保定金迪地下管线探测工程有限公司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金迪科仪</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保定金迪科学仪器有限公司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金迪科技</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保定市金迪科技开发有限公司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政通智慧城市运营</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政通智慧城市运营科技有限公司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天健源达</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北京天健源达科技有限公司</w:t>
            </w:r>
          </w:p>
        </w:tc>
      </w:tr>
      <w:tr>
        <w:trPr>
          <w:trHeight w:val="401"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通通停车</w:t>
            </w:r>
          </w:p>
        </w:tc>
        <w:tc>
          <w:tcPr>
            <w:tcW w:w="5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北京通通易联科技有限公司</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pStyle w:val="Heading1"/>
        <w:spacing w:line="240" w:lineRule="auto"/>
        <w:ind w:left="2642" w:right="982"/>
        <w:jc w:val="left"/>
        <w:rPr>
          <w:b w:val="0"/>
          <w:bCs w:val="0"/>
        </w:rPr>
      </w:pPr>
      <w:bookmarkStart w:name="_bookmark0" w:id="1"/>
      <w:bookmarkEnd w:id="1"/>
      <w:r>
        <w:rPr>
          <w:b w:val="0"/>
          <w:bCs w:val="0"/>
        </w:rPr>
      </w:r>
      <w:r>
        <w:rPr/>
        <w:t>第二节</w:t>
      </w:r>
      <w:r>
        <w:rPr>
          <w:spacing w:val="-5"/>
        </w:rPr>
        <w:t> </w:t>
      </w:r>
      <w:r>
        <w:rPr/>
        <w:t>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982"/>
        <w:jc w:val="left"/>
        <w:rPr>
          <w:b w:val="0"/>
          <w:bCs w:val="0"/>
        </w:rPr>
      </w:pPr>
      <w:r>
        <w:rPr/>
        <w:pict>
          <v:group style="position:absolute;margin-left:172.339996pt;margin-top:114.705597pt;width:361.55pt;height:19.7pt;mso-position-horizontal-relative:page;mso-position-vertical-relative:paragraph;z-index:-881032" coordorigin="3447,2294" coordsize="7231,394">
            <v:shape style="position:absolute;left:3447;top:2294;width:7231;height:394" coordorigin="3447,2294" coordsize="7231,394" path="m3447,2688l10677,2688,10677,2294,3447,2294,3447,2688xe" filled="true" fillcolor="#ffffff" stroked="false">
              <v:path arrowok="t"/>
              <v:fill type="solid"/>
            </v:shape>
            <w10:wrap type="none"/>
          </v:group>
        </w:pict>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272"/>
        <w:gridCol w:w="2966"/>
        <w:gridCol w:w="2154"/>
        <w:gridCol w:w="2177"/>
      </w:tblGrid>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6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数字政通</w:t>
            </w:r>
          </w:p>
        </w:tc>
        <w:tc>
          <w:tcPr>
            <w:tcW w:w="21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300075</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w:t>
            </w:r>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数字政通</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Beijing </w:t>
            </w:r>
            <w:r>
              <w:rPr>
                <w:rFonts w:ascii="Times New Roman"/>
                <w:spacing w:val="-5"/>
                <w:sz w:val="18"/>
              </w:rPr>
              <w:t>eGOVA </w:t>
            </w:r>
            <w:r>
              <w:rPr>
                <w:rFonts w:ascii="Times New Roman"/>
                <w:sz w:val="18"/>
              </w:rPr>
              <w:t>Co,.</w:t>
            </w:r>
            <w:r>
              <w:rPr>
                <w:rFonts w:ascii="Times New Roman"/>
                <w:spacing w:val="-11"/>
                <w:sz w:val="18"/>
              </w:rPr>
              <w:t> </w:t>
            </w:r>
            <w:r>
              <w:rPr>
                <w:rFonts w:ascii="Times New Roman"/>
                <w:sz w:val="18"/>
              </w:rPr>
              <w:t>Ltd</w:t>
            </w:r>
          </w:p>
        </w:tc>
      </w:tr>
      <w:tr>
        <w:trPr>
          <w:trHeight w:val="403" w:hRule="exact"/>
        </w:trPr>
        <w:tc>
          <w:tcPr>
            <w:tcW w:w="2272"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49"/>
              <w:ind w:left="22" w:right="-58"/>
              <w:jc w:val="left"/>
              <w:rPr>
                <w:rFonts w:ascii="宋体" w:hAnsi="宋体" w:cs="宋体" w:eastAsia="宋体" w:hint="default"/>
                <w:sz w:val="18"/>
                <w:szCs w:val="18"/>
              </w:rPr>
            </w:pPr>
            <w:r>
              <w:rPr>
                <w:rFonts w:ascii="宋体" w:hAnsi="宋体" w:cs="宋体" w:eastAsia="宋体" w:hint="default"/>
                <w:spacing w:val="-5"/>
                <w:sz w:val="18"/>
                <w:szCs w:val="18"/>
              </w:rPr>
              <w:t>公司的外文名称缩写（如有）</w:t>
            </w:r>
            <w:r>
              <w:rPr>
                <w:rFonts w:ascii="宋体" w:hAnsi="宋体" w:cs="宋体" w:eastAsia="宋体" w:hint="default"/>
                <w:sz w:val="18"/>
                <w:szCs w:val="18"/>
              </w:rPr>
            </w:r>
          </w:p>
        </w:tc>
        <w:tc>
          <w:tcPr>
            <w:tcW w:w="7298" w:type="dxa"/>
            <w:gridSpan w:val="3"/>
            <w:tcBorders>
              <w:top w:val="single" w:sz="4" w:space="0" w:color="000000"/>
              <w:left w:val="single" w:sz="23" w:space="0" w:color="FFFFFF"/>
              <w:bottom w:val="single" w:sz="4" w:space="0" w:color="000000"/>
              <w:right w:val="single" w:sz="4" w:space="0" w:color="000000"/>
            </w:tcBorders>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pacing w:val="-5"/>
                <w:sz w:val="18"/>
              </w:rPr>
              <w:t>eGOVA</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吴强华</w:t>
            </w:r>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北京市海淀区西直门北大街</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32</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号枫蓝国际中心</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号楼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层</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室</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100082</w:t>
            </w:r>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北京市海淀区中关村软件园 </w:t>
            </w:r>
            <w:r>
              <w:rPr>
                <w:rFonts w:ascii="Times New Roman" w:hAnsi="Times New Roman" w:cs="Times New Roman" w:eastAsia="Times New Roman" w:hint="default"/>
                <w:sz w:val="18"/>
                <w:szCs w:val="18"/>
              </w:rPr>
              <w:t>9 </w:t>
            </w:r>
            <w:r>
              <w:rPr>
                <w:rFonts w:ascii="宋体" w:hAnsi="宋体" w:cs="宋体" w:eastAsia="宋体" w:hint="default"/>
                <w:sz w:val="18"/>
                <w:szCs w:val="18"/>
              </w:rPr>
              <w:t>号楼国际软件大厦三区 </w:t>
            </w:r>
            <w:r>
              <w:rPr>
                <w:rFonts w:ascii="Times New Roman" w:hAnsi="Times New Roman" w:cs="Times New Roman" w:eastAsia="Times New Roman" w:hint="default"/>
                <w:sz w:val="18"/>
                <w:szCs w:val="18"/>
              </w:rPr>
              <w:t>101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室</w:t>
            </w:r>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100193</w:t>
            </w:r>
          </w:p>
        </w:tc>
      </w:tr>
      <w:tr>
        <w:trPr>
          <w:trHeight w:val="403"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公司国际互联网网址</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hyperlink r:id="rId9">
              <w:r>
                <w:rPr>
                  <w:rFonts w:ascii="Times New Roman"/>
                  <w:sz w:val="18"/>
                </w:rPr>
                <w:t>www.egova.com.cn</w:t>
              </w:r>
            </w:hyperlink>
          </w:p>
        </w:tc>
      </w:tr>
      <w:tr>
        <w:trPr>
          <w:trHeight w:val="401" w:hRule="exact"/>
        </w:trPr>
        <w:tc>
          <w:tcPr>
            <w:tcW w:w="2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98" w:type="dxa"/>
            <w:gridSpan w:val="3"/>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hyperlink r:id="rId10">
              <w:r>
                <w:rPr>
                  <w:rFonts w:ascii="Times New Roman"/>
                  <w:sz w:val="18"/>
                </w:rPr>
                <w:t>egova@egova.com.cn</w:t>
              </w:r>
            </w:hyperlink>
          </w:p>
        </w:tc>
      </w:tr>
    </w:tbl>
    <w:p>
      <w:pPr>
        <w:spacing w:line="240" w:lineRule="auto" w:before="1"/>
        <w:rPr>
          <w:rFonts w:ascii="宋体" w:hAnsi="宋体" w:cs="宋体" w:eastAsia="宋体" w:hint="default"/>
          <w:b/>
          <w:bCs/>
          <w:sz w:val="18"/>
          <w:szCs w:val="18"/>
        </w:rPr>
      </w:pPr>
    </w:p>
    <w:p>
      <w:pPr>
        <w:pStyle w:val="Heading2"/>
        <w:spacing w:line="240" w:lineRule="auto" w:before="26"/>
        <w:ind w:right="982"/>
        <w:jc w:val="left"/>
        <w:rPr>
          <w:b w:val="0"/>
          <w:bCs w:val="0"/>
        </w:rPr>
      </w:pPr>
      <w:r>
        <w:rPr/>
        <w:t>二、联系人和联系方式</w:t>
      </w:r>
      <w:r>
        <w:rPr>
          <w:b w:val="0"/>
          <w:bCs w:val="0"/>
        </w:rPr>
      </w:r>
    </w:p>
    <w:p>
      <w:pPr>
        <w:spacing w:line="240" w:lineRule="auto" w:before="11"/>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邱鲁闽</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许菲</w:t>
            </w:r>
          </w:p>
        </w:tc>
      </w:tr>
      <w:tr>
        <w:trPr>
          <w:trHeight w:val="161" w:hRule="exact"/>
        </w:trPr>
        <w:tc>
          <w:tcPr>
            <w:tcW w:w="3168" w:type="dxa"/>
            <w:tcBorders>
              <w:top w:val="single" w:sz="4" w:space="0" w:color="000000"/>
              <w:left w:val="single" w:sz="4" w:space="0" w:color="000000"/>
              <w:bottom w:val="nil" w:sz="6" w:space="0" w:color="auto"/>
              <w:right w:val="single" w:sz="4" w:space="0" w:color="000000"/>
            </w:tcBorders>
            <w:shd w:val="clear" w:color="auto" w:fill="D2D2D2"/>
          </w:tcPr>
          <w:p>
            <w:pPr/>
          </w:p>
        </w:tc>
        <w:tc>
          <w:tcPr>
            <w:tcW w:w="3201" w:type="dxa"/>
            <w:vMerge w:val="restart"/>
            <w:tcBorders>
              <w:top w:val="single" w:sz="4" w:space="0" w:color="000000"/>
              <w:left w:val="single" w:sz="9" w:space="0" w:color="D2D2D2"/>
              <w:right w:val="single" w:sz="4" w:space="0" w:color="000000"/>
            </w:tcBorders>
          </w:tcPr>
          <w:p>
            <w:pPr>
              <w:pStyle w:val="TableParagraph"/>
              <w:spacing w:line="300" w:lineRule="auto" w:before="49"/>
              <w:ind w:left="28" w:right="182"/>
              <w:jc w:val="left"/>
              <w:rPr>
                <w:rFonts w:ascii="宋体" w:hAnsi="宋体" w:cs="宋体" w:eastAsia="宋体" w:hint="default"/>
                <w:sz w:val="18"/>
                <w:szCs w:val="18"/>
              </w:rPr>
            </w:pPr>
            <w:r>
              <w:rPr>
                <w:rFonts w:ascii="宋体" w:hAnsi="宋体" w:cs="宋体" w:eastAsia="宋体" w:hint="default"/>
                <w:sz w:val="18"/>
                <w:szCs w:val="18"/>
              </w:rPr>
              <w:t>北京市海淀区中关村软件园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号楼国 际软件大厦</w:t>
            </w:r>
          </w:p>
        </w:tc>
        <w:tc>
          <w:tcPr>
            <w:tcW w:w="3190" w:type="dxa"/>
            <w:vMerge w:val="restart"/>
            <w:tcBorders>
              <w:top w:val="single" w:sz="4" w:space="0" w:color="000000"/>
              <w:left w:val="single" w:sz="4" w:space="0" w:color="000000"/>
              <w:right w:val="single" w:sz="4" w:space="0" w:color="000000"/>
            </w:tcBorders>
          </w:tcPr>
          <w:p>
            <w:pPr>
              <w:pStyle w:val="TableParagraph"/>
              <w:spacing w:line="300" w:lineRule="auto" w:before="49"/>
              <w:ind w:left="23" w:right="182"/>
              <w:jc w:val="left"/>
              <w:rPr>
                <w:rFonts w:ascii="宋体" w:hAnsi="宋体" w:cs="宋体" w:eastAsia="宋体" w:hint="default"/>
                <w:sz w:val="18"/>
                <w:szCs w:val="18"/>
              </w:rPr>
            </w:pPr>
            <w:r>
              <w:rPr>
                <w:rFonts w:ascii="宋体" w:hAnsi="宋体" w:cs="宋体" w:eastAsia="宋体" w:hint="default"/>
                <w:sz w:val="18"/>
                <w:szCs w:val="18"/>
              </w:rPr>
              <w:t>北京市海淀区中关村软件园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号楼国 际软件大厦</w:t>
            </w:r>
          </w:p>
        </w:tc>
      </w:tr>
      <w:tr>
        <w:trPr>
          <w:trHeight w:val="391" w:hRule="exact"/>
        </w:trPr>
        <w:tc>
          <w:tcPr>
            <w:tcW w:w="31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201" w:type="dxa"/>
            <w:vMerge/>
            <w:tcBorders>
              <w:left w:val="single" w:sz="9"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161" w:hRule="exact"/>
        </w:trPr>
        <w:tc>
          <w:tcPr>
            <w:tcW w:w="3168" w:type="dxa"/>
            <w:tcBorders>
              <w:top w:val="nil" w:sz="6" w:space="0" w:color="auto"/>
              <w:left w:val="single" w:sz="4" w:space="0" w:color="000000"/>
              <w:bottom w:val="single" w:sz="4" w:space="0" w:color="000000"/>
              <w:right w:val="single" w:sz="4" w:space="0" w:color="000000"/>
            </w:tcBorders>
            <w:shd w:val="clear" w:color="auto" w:fill="D2D2D2"/>
          </w:tcPr>
          <w:p>
            <w:pPr/>
          </w:p>
        </w:tc>
        <w:tc>
          <w:tcPr>
            <w:tcW w:w="3201" w:type="dxa"/>
            <w:vMerge/>
            <w:tcBorders>
              <w:left w:val="single" w:sz="9"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010-56161618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010-56161618</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010-56161688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010-56161688</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0">
              <w:r>
                <w:rPr>
                  <w:rFonts w:ascii="Times New Roman"/>
                  <w:sz w:val="18"/>
                </w:rPr>
                <w:t>egova@egova.com.cn</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0">
              <w:r>
                <w:rPr>
                  <w:rFonts w:ascii="Times New Roman"/>
                  <w:sz w:val="18"/>
                </w:rPr>
                <w:t>egova@egova.com.cn</w:t>
              </w:r>
            </w:hyperlink>
          </w:p>
        </w:tc>
      </w:tr>
    </w:tbl>
    <w:p>
      <w:pPr>
        <w:spacing w:line="240" w:lineRule="auto" w:before="1"/>
        <w:rPr>
          <w:rFonts w:ascii="宋体" w:hAnsi="宋体" w:cs="宋体" w:eastAsia="宋体" w:hint="default"/>
          <w:b/>
          <w:bCs/>
          <w:sz w:val="18"/>
          <w:szCs w:val="18"/>
        </w:rPr>
      </w:pPr>
    </w:p>
    <w:p>
      <w:pPr>
        <w:pStyle w:val="Heading2"/>
        <w:spacing w:line="240" w:lineRule="auto" w:before="26"/>
        <w:ind w:right="982"/>
        <w:jc w:val="left"/>
        <w:rPr>
          <w:b w:val="0"/>
          <w:bCs w:val="0"/>
        </w:rPr>
      </w:pPr>
      <w:r>
        <w:rPr/>
        <w:t>三、信息披露及备置地点</w:t>
      </w:r>
      <w:r>
        <w:rPr>
          <w:b w:val="0"/>
          <w:bCs w:val="0"/>
        </w:rPr>
      </w:r>
    </w:p>
    <w:p>
      <w:pPr>
        <w:spacing w:line="240" w:lineRule="auto" w:before="11"/>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991"/>
        <w:gridCol w:w="5579"/>
      </w:tblGrid>
      <w:tr>
        <w:trPr>
          <w:trHeight w:val="401"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2"/>
                <w:sz w:val="18"/>
                <w:szCs w:val="18"/>
              </w:rPr>
              <w:t>》、</w:t>
            </w:r>
            <w:r>
              <w:rPr>
                <w:rFonts w:ascii="宋体" w:hAnsi="宋体" w:cs="宋体" w:eastAsia="宋体" w:hint="default"/>
                <w:sz w:val="18"/>
                <w:szCs w:val="18"/>
              </w:rPr>
              <w:t>《中国证券报</w:t>
            </w:r>
            <w:r>
              <w:rPr>
                <w:rFonts w:ascii="宋体" w:hAnsi="宋体" w:cs="宋体" w:eastAsia="宋体" w:hint="default"/>
                <w:spacing w:val="2"/>
                <w:sz w:val="18"/>
                <w:szCs w:val="18"/>
              </w:rPr>
              <w:t>》</w:t>
            </w:r>
            <w:r>
              <w:rPr>
                <w:rFonts w:ascii="宋体" w:hAnsi="宋体" w:cs="宋体" w:eastAsia="宋体" w:hint="default"/>
                <w:sz w:val="18"/>
                <w:szCs w:val="18"/>
              </w:rPr>
              <w:t>和《证券日报》</w:t>
            </w:r>
          </w:p>
        </w:tc>
      </w:tr>
      <w:tr>
        <w:trPr>
          <w:trHeight w:val="403"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1">
              <w:r>
                <w:rPr>
                  <w:rFonts w:ascii="Times New Roman"/>
                  <w:sz w:val="18"/>
                </w:rPr>
                <w:t>www.cninfo.com.cn</w:t>
              </w:r>
            </w:hyperlink>
          </w:p>
        </w:tc>
      </w:tr>
      <w:tr>
        <w:trPr>
          <w:trHeight w:val="401"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公司证券部</w:t>
            </w:r>
          </w:p>
        </w:tc>
      </w:tr>
    </w:tbl>
    <w:p>
      <w:pPr>
        <w:spacing w:line="240" w:lineRule="auto" w:before="1"/>
        <w:rPr>
          <w:rFonts w:ascii="宋体" w:hAnsi="宋体" w:cs="宋体" w:eastAsia="宋体" w:hint="default"/>
          <w:b/>
          <w:bCs/>
          <w:sz w:val="18"/>
          <w:szCs w:val="18"/>
        </w:rPr>
      </w:pPr>
    </w:p>
    <w:p>
      <w:pPr>
        <w:pStyle w:val="Heading2"/>
        <w:spacing w:line="240" w:lineRule="auto" w:before="26"/>
        <w:ind w:right="982"/>
        <w:jc w:val="left"/>
        <w:rPr>
          <w:b w:val="0"/>
          <w:bCs w:val="0"/>
        </w:rPr>
      </w:pPr>
      <w:r>
        <w:rPr/>
        <w:t>四、其他有关资料</w:t>
      </w:r>
      <w:r>
        <w:rPr>
          <w:b w:val="0"/>
          <w:bCs w:val="0"/>
        </w:rPr>
      </w:r>
    </w:p>
    <w:p>
      <w:pPr>
        <w:spacing w:line="240" w:lineRule="auto" w:before="7"/>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公司聘请的会计师事务所</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61"/>
        <w:gridCol w:w="6909"/>
      </w:tblGrid>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上会会计师事务所（特殊普通合伙）</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上海市静安区威海路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755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王芳山，邓战涛</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公司聘请的报告期内履行持续督导职责的保荐机构</w:t>
      </w:r>
    </w:p>
    <w:p>
      <w:pPr>
        <w:spacing w:before="115"/>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保荐机构名称</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0" w:right="0"/>
              <w:jc w:val="left"/>
              <w:rPr>
                <w:rFonts w:ascii="宋体" w:hAnsi="宋体" w:cs="宋体" w:eastAsia="宋体" w:hint="default"/>
                <w:sz w:val="18"/>
                <w:szCs w:val="18"/>
              </w:rPr>
            </w:pPr>
            <w:r>
              <w:rPr>
                <w:rFonts w:ascii="宋体" w:hAnsi="宋体" w:cs="宋体" w:eastAsia="宋体" w:hint="default"/>
                <w:sz w:val="18"/>
                <w:szCs w:val="18"/>
              </w:rPr>
              <w:t>保荐机构办公地址</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1" w:right="0"/>
              <w:jc w:val="left"/>
              <w:rPr>
                <w:rFonts w:ascii="宋体" w:hAnsi="宋体" w:cs="宋体" w:eastAsia="宋体" w:hint="default"/>
                <w:sz w:val="18"/>
                <w:szCs w:val="18"/>
              </w:rPr>
            </w:pPr>
            <w:r>
              <w:rPr>
                <w:rFonts w:ascii="宋体" w:hAnsi="宋体" w:cs="宋体" w:eastAsia="宋体" w:hint="default"/>
                <w:sz w:val="18"/>
                <w:szCs w:val="18"/>
              </w:rPr>
              <w:t>保荐代表人姓名</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50"/>
              <w:jc w:val="righ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715"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中泰证券股份有限公司</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北京市西城区丰盛胡同</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太平洋保险大厦</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马家烈、孙晓刚</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643"/>
              <w:jc w:val="right"/>
              <w:rPr>
                <w:rFonts w:ascii="宋体" w:hAnsi="宋体" w:cs="宋体" w:eastAsia="宋体" w:hint="default"/>
                <w:sz w:val="18"/>
                <w:szCs w:val="18"/>
              </w:rPr>
            </w:pP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公司聘请的报告期内履行持续督导职责的财务顾问</w:t>
      </w:r>
    </w:p>
    <w:p>
      <w:pPr>
        <w:spacing w:before="115"/>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982"/>
        <w:jc w:val="left"/>
        <w:rPr>
          <w:b w:val="0"/>
          <w:bCs w:val="0"/>
        </w:rPr>
      </w:pPr>
      <w:r>
        <w:rPr/>
        <w:t>五、主要会计数据和财务指标</w:t>
      </w:r>
      <w:r>
        <w:rPr>
          <w:b w:val="0"/>
          <w:bCs w:val="0"/>
        </w:rPr>
      </w:r>
    </w:p>
    <w:p>
      <w:pPr>
        <w:spacing w:line="240" w:lineRule="auto" w:before="6"/>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公司是否需追溯调整或重述以前年度会计数据</w:t>
      </w:r>
    </w:p>
    <w:p>
      <w:pPr>
        <w:spacing w:before="115"/>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line="240" w:lineRule="auto" w:before="4"/>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598"/>
        <w:gridCol w:w="1749"/>
        <w:gridCol w:w="1738"/>
        <w:gridCol w:w="1738"/>
        <w:gridCol w:w="1735"/>
      </w:tblGrid>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1,288,815,520.62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1,202,976,973.86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7.14%</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967,336,066.29</w:t>
            </w:r>
          </w:p>
        </w:tc>
      </w:tr>
      <w:tr>
        <w:trPr>
          <w:trHeight w:val="716"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7"/>
              <w:ind w:left="1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117,186,570.99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169,594,871.96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-30.90%</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131,364,945.12</w:t>
            </w:r>
          </w:p>
        </w:tc>
      </w:tr>
      <w:tr>
        <w:trPr>
          <w:trHeight w:val="71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54"/>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115,603,080.63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153,051,229.89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-24.47%</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135,292,879.50</w:t>
            </w:r>
          </w:p>
        </w:tc>
      </w:tr>
      <w:tr>
        <w:trPr>
          <w:trHeight w:val="715"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175,730,294.98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-36,037,789.90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587.63%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22,967,034.93</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0.28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0.42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-33.33%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0.34</w:t>
            </w:r>
          </w:p>
        </w:tc>
      </w:tr>
      <w:tr>
        <w:trPr>
          <w:trHeight w:val="403"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0.28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0.42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-33.33%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0.34</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10.27%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-4.72%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9.52%</w:t>
            </w:r>
          </w:p>
        </w:tc>
      </w:tr>
      <w:tr>
        <w:trPr>
          <w:trHeight w:val="40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3"/>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r>
      <w:tr>
        <w:trPr>
          <w:trHeight w:val="401"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3,089,023,949.17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3,062,153,257.73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0.88%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2,352,231,921.95</w:t>
            </w:r>
          </w:p>
        </w:tc>
      </w:tr>
      <w:tr>
        <w:trPr>
          <w:trHeight w:val="715"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4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2,171,111,080.96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2,040,828,163.85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6.38%</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1,396,988,769.63</w:t>
            </w:r>
          </w:p>
        </w:tc>
      </w:tr>
    </w:tbl>
    <w:p>
      <w:pPr>
        <w:spacing w:before="49"/>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否</w:t>
      </w:r>
    </w:p>
    <w:p>
      <w:pPr>
        <w:spacing w:line="240" w:lineRule="auto" w:before="1"/>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524"/>
        <w:gridCol w:w="5046"/>
      </w:tblGrid>
      <w:tr>
        <w:trPr>
          <w:trHeight w:val="403" w:hRule="exact"/>
        </w:trPr>
        <w:tc>
          <w:tcPr>
            <w:tcW w:w="4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用最新股本计算的全面摊薄每股收益（元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5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0.2723</w:t>
            </w:r>
          </w:p>
        </w:tc>
      </w:tr>
    </w:tbl>
    <w:p>
      <w:pPr>
        <w:spacing w:line="240" w:lineRule="auto" w:before="1"/>
        <w:rPr>
          <w:rFonts w:ascii="宋体" w:hAnsi="宋体" w:cs="宋体" w:eastAsia="宋体" w:hint="default"/>
          <w:sz w:val="18"/>
          <w:szCs w:val="18"/>
        </w:rPr>
      </w:pPr>
    </w:p>
    <w:p>
      <w:pPr>
        <w:pStyle w:val="Heading2"/>
        <w:spacing w:line="240" w:lineRule="auto" w:before="26"/>
        <w:ind w:right="982"/>
        <w:jc w:val="left"/>
        <w:rPr>
          <w:b w:val="0"/>
          <w:bCs w:val="0"/>
        </w:rPr>
      </w:pPr>
      <w:r>
        <w:rPr/>
        <w:t>六、分季度主要财务指标</w:t>
      </w:r>
      <w:r>
        <w:rPr>
          <w:b w:val="0"/>
          <w:bCs w:val="0"/>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20"/>
        <w:gridCol w:w="1742"/>
        <w:gridCol w:w="1739"/>
        <w:gridCol w:w="1739"/>
        <w:gridCol w:w="1718"/>
      </w:tblGrid>
      <w:tr>
        <w:trPr>
          <w:trHeight w:val="404" w:hRule="exact"/>
        </w:trPr>
        <w:tc>
          <w:tcPr>
            <w:tcW w:w="262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6"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2"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8" w:right="0"/>
              <w:jc w:val="left"/>
              <w:rPr>
                <w:rFonts w:ascii="宋体" w:hAnsi="宋体" w:cs="宋体" w:eastAsia="宋体" w:hint="default"/>
                <w:sz w:val="18"/>
                <w:szCs w:val="18"/>
              </w:rPr>
            </w:pPr>
            <w:r>
              <w:rPr>
                <w:rFonts w:ascii="宋体" w:hAnsi="宋体" w:cs="宋体" w:eastAsia="宋体" w:hint="default"/>
                <w:sz w:val="18"/>
                <w:szCs w:val="18"/>
              </w:rPr>
              <w:t>第四季度</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20"/>
        <w:gridCol w:w="1741"/>
        <w:gridCol w:w="1740"/>
        <w:gridCol w:w="1738"/>
        <w:gridCol w:w="1730"/>
      </w:tblGrid>
      <w:tr>
        <w:trPr>
          <w:trHeight w:val="401" w:hRule="exact"/>
        </w:trPr>
        <w:tc>
          <w:tcPr>
            <w:tcW w:w="2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137,705,091.42</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251,494,130.48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231,974,019.66</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667,642,279.06</w:t>
            </w:r>
          </w:p>
        </w:tc>
      </w:tr>
      <w:tr>
        <w:trPr>
          <w:trHeight w:val="403" w:hRule="exact"/>
        </w:trPr>
        <w:tc>
          <w:tcPr>
            <w:tcW w:w="2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16,924,398.25</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63,705,367.47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10,034,243.50</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26,522,561.77</w:t>
            </w:r>
          </w:p>
        </w:tc>
      </w:tr>
      <w:tr>
        <w:trPr>
          <w:trHeight w:val="713" w:hRule="exact"/>
        </w:trPr>
        <w:tc>
          <w:tcPr>
            <w:tcW w:w="2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6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16,924,963.00</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63,775,161.25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9,463,145.17</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25,439,811.21</w:t>
            </w:r>
          </w:p>
        </w:tc>
      </w:tr>
      <w:tr>
        <w:trPr>
          <w:trHeight w:val="403" w:hRule="exact"/>
        </w:trPr>
        <w:tc>
          <w:tcPr>
            <w:tcW w:w="26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-130,672,106.94</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-38,793,633.32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16,467,773.46</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328,728,261.78</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上述财务指标或其加总数是否与公司已披露季度报告、半年度报告相关财务指标存在重大差异</w:t>
      </w:r>
    </w:p>
    <w:p>
      <w:pPr>
        <w:spacing w:before="115"/>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line="240" w:lineRule="auto" w:before="3"/>
        <w:rPr>
          <w:rFonts w:ascii="宋体" w:hAnsi="宋体" w:cs="宋体" w:eastAsia="宋体" w:hint="default"/>
          <w:sz w:val="24"/>
          <w:szCs w:val="24"/>
        </w:rPr>
      </w:pPr>
    </w:p>
    <w:p>
      <w:pPr>
        <w:pStyle w:val="Heading2"/>
        <w:spacing w:line="240" w:lineRule="auto"/>
        <w:ind w:right="982"/>
        <w:jc w:val="left"/>
        <w:rPr>
          <w:b w:val="0"/>
          <w:bCs w:val="0"/>
        </w:rPr>
      </w:pPr>
      <w:r>
        <w:rPr/>
        <w:t>七、境内外会计准则下会计数据差异</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、同时按照国际会计准则与按照中国会计准则披露的财务报告中净利润和净资产差异情况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38" w:lineRule="auto" w:before="0"/>
        <w:ind w:left="152" w:right="235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公司报告期不存在按照国际会计准则与按照中国会计准则披露的财务报告中净利润和净资产差异情况。</w:t>
      </w:r>
    </w:p>
    <w:p>
      <w:pPr>
        <w:spacing w:line="240" w:lineRule="auto" w:before="7"/>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、同时按照境外会计准则与按照中国会计准则披露的财务报告中净利润和净资产差异情况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38" w:lineRule="auto" w:before="0"/>
        <w:ind w:left="152" w:right="26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公司报告期不存在按照境外会计准则与按照中国会计准则披露的财务报告中净利润和净资产差异情况。</w:t>
      </w:r>
    </w:p>
    <w:p>
      <w:pPr>
        <w:spacing w:line="240" w:lineRule="auto" w:before="8"/>
        <w:rPr>
          <w:rFonts w:ascii="宋体" w:hAnsi="宋体" w:cs="宋体" w:eastAsia="宋体" w:hint="default"/>
          <w:sz w:val="19"/>
          <w:szCs w:val="19"/>
        </w:rPr>
      </w:pPr>
    </w:p>
    <w:p>
      <w:pPr>
        <w:pStyle w:val="Heading2"/>
        <w:spacing w:line="240" w:lineRule="auto"/>
        <w:ind w:right="982"/>
        <w:jc w:val="left"/>
        <w:rPr>
          <w:b w:val="0"/>
          <w:bCs w:val="0"/>
        </w:rPr>
      </w:pPr>
      <w:r>
        <w:rPr/>
        <w:t>八、非经常性损益项目及金额</w:t>
      </w:r>
      <w:r>
        <w:rPr>
          <w:b w:val="0"/>
          <w:bCs w:val="0"/>
        </w:rPr>
      </w:r>
    </w:p>
    <w:p>
      <w:pPr>
        <w:spacing w:line="240" w:lineRule="auto" w:before="1"/>
        <w:rPr>
          <w:rFonts w:ascii="宋体" w:hAnsi="宋体" w:cs="宋体" w:eastAsia="宋体" w:hint="default"/>
          <w:b/>
          <w:bCs/>
          <w:sz w:val="23"/>
          <w:szCs w:val="23"/>
        </w:rPr>
      </w:pPr>
    </w:p>
    <w:p>
      <w:pPr>
        <w:spacing w:before="44"/>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273"/>
        <w:gridCol w:w="1532"/>
        <w:gridCol w:w="1520"/>
        <w:gridCol w:w="1522"/>
        <w:gridCol w:w="1711"/>
      </w:tblGrid>
      <w:tr>
        <w:trPr>
          <w:trHeight w:val="403"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3"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 值准备的冲销部分）</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-223,831.81</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14,778,935.44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107,765.90</w:t>
            </w:r>
          </w:p>
        </w:tc>
        <w:tc>
          <w:tcPr>
            <w:tcW w:w="1711"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9"/>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2,150,361.73</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5,131,850.87</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4,086,899.22</w:t>
            </w:r>
          </w:p>
        </w:tc>
        <w:tc>
          <w:tcPr>
            <w:tcW w:w="171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-34,753.70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1,359.85</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185,702.62</w:t>
            </w:r>
          </w:p>
        </w:tc>
        <w:tc>
          <w:tcPr>
            <w:tcW w:w="171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5,000.00</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-7,375,108.21</w:t>
            </w:r>
          </w:p>
        </w:tc>
        <w:tc>
          <w:tcPr>
            <w:tcW w:w="171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307,935.26</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3,076,490.71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743,602.90</w:t>
            </w:r>
          </w:p>
        </w:tc>
        <w:tc>
          <w:tcPr>
            <w:tcW w:w="171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5,350.60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292,013.38</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189,591.01</w:t>
            </w:r>
          </w:p>
        </w:tc>
        <w:tc>
          <w:tcPr>
            <w:tcW w:w="1711"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3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1,583,490.36</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16,543,642.07</w:t>
            </w:r>
          </w:p>
        </w:tc>
        <w:tc>
          <w:tcPr>
            <w:tcW w:w="152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pacing w:val="-1"/>
                <w:sz w:val="18"/>
              </w:rPr>
              <w:t>-3,927,934.38</w:t>
            </w:r>
          </w:p>
        </w:tc>
        <w:tc>
          <w:tcPr>
            <w:tcW w:w="17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5"/>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非经常性损益》定义界定的非经常性损益项目，以及把《公</w:t>
      </w:r>
    </w:p>
    <w:p>
      <w:pPr>
        <w:spacing w:line="300" w:lineRule="auto" w:before="63"/>
        <w:ind w:left="152" w:right="1119"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5"/>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非经常性损益》中列举的非经常性损益项目界定为经常性损益的项目，应</w:t>
      </w:r>
      <w:r>
        <w:rPr>
          <w:rFonts w:ascii="宋体" w:hAnsi="宋体" w:cs="宋体" w:eastAsia="宋体" w:hint="default"/>
          <w:sz w:val="18"/>
          <w:szCs w:val="18"/>
        </w:rPr>
        <w:t> 说明原因</w:t>
      </w:r>
    </w:p>
    <w:p>
      <w:pPr>
        <w:spacing w:before="72"/>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before="101"/>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公司报告期不存在将根据《公开发行证券的公司信息披露解释性公告第</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0"/>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非经常性损益》定义、列举的非经常性损益</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5"/>
          <w:szCs w:val="25"/>
        </w:rPr>
      </w:pPr>
    </w:p>
    <w:p>
      <w:pPr>
        <w:spacing w:before="44"/>
        <w:ind w:left="152" w:right="982" w:firstLine="0"/>
        <w:jc w:val="left"/>
        <w:rPr>
          <w:rFonts w:ascii="宋体" w:hAnsi="宋体" w:cs="宋体" w:eastAsia="宋体" w:hint="default"/>
          <w:sz w:val="18"/>
          <w:szCs w:val="18"/>
        </w:rPr>
      </w:pPr>
      <w:r>
        <w:rPr>
          <w:rFonts w:ascii="宋体" w:hAnsi="宋体" w:cs="宋体" w:eastAsia="宋体" w:hint="default"/>
          <w:sz w:val="18"/>
          <w:szCs w:val="18"/>
        </w:rPr>
        <w:t>项目界定为经常性损益的项目的情形。</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446" w:right="982"/>
        <w:jc w:val="left"/>
        <w:rPr>
          <w:b w:val="0"/>
          <w:bCs w:val="0"/>
        </w:rPr>
      </w:pPr>
      <w:bookmarkStart w:name="_bookmark1" w:id="2"/>
      <w:bookmarkEnd w:id="2"/>
      <w:r>
        <w:rPr>
          <w:b w:val="0"/>
          <w:bCs w:val="0"/>
        </w:rPr>
      </w:r>
      <w:r>
        <w:rPr/>
        <w:t>第三节</w:t>
      </w:r>
      <w:r>
        <w:rPr>
          <w:spacing w:val="-6"/>
        </w:rPr>
        <w:t> </w:t>
      </w:r>
      <w:r>
        <w:rPr/>
        <w:t>公司业务概要</w:t>
      </w:r>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982"/>
        <w:jc w:val="left"/>
        <w:rPr>
          <w:b w:val="0"/>
          <w:bCs w:val="0"/>
        </w:rPr>
      </w:pPr>
      <w:r>
        <w:rPr/>
        <w:t>一、报告期内公司从事的主要业务</w:t>
      </w:r>
      <w:r>
        <w:rPr>
          <w:b w:val="0"/>
          <w:bCs w:val="0"/>
        </w:rPr>
      </w:r>
    </w:p>
    <w:p>
      <w:pPr>
        <w:spacing w:line="240" w:lineRule="auto" w:before="4"/>
        <w:rPr>
          <w:rFonts w:ascii="宋体" w:hAnsi="宋体" w:cs="宋体" w:eastAsia="宋体" w:hint="default"/>
          <w:b/>
          <w:bCs/>
          <w:sz w:val="26"/>
          <w:szCs w:val="26"/>
        </w:rPr>
      </w:pPr>
    </w:p>
    <w:p>
      <w:pPr>
        <w:spacing w:line="360" w:lineRule="auto" w:before="0"/>
        <w:ind w:left="152" w:right="7694"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5"/>
        <w:ind w:left="152" w:right="982" w:firstLine="0"/>
        <w:jc w:val="left"/>
        <w:rPr>
          <w:rFonts w:ascii="宋体" w:hAnsi="宋体" w:cs="宋体" w:eastAsia="宋体" w:hint="default"/>
          <w:sz w:val="18"/>
          <w:szCs w:val="18"/>
        </w:rPr>
      </w:pPr>
      <w:r>
        <w:rPr>
          <w:rFonts w:ascii="宋体" w:hAnsi="宋体" w:cs="宋体" w:eastAsia="宋体" w:hint="default"/>
          <w:sz w:val="18"/>
          <w:szCs w:val="18"/>
        </w:rPr>
        <w:t>软件与信息技术服务业</w:t>
      </w:r>
    </w:p>
    <w:p>
      <w:pPr>
        <w:spacing w:before="117"/>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上市公司从事软件与信息技术服务业务》的披露要求</w:t>
      </w:r>
    </w:p>
    <w:p>
      <w:pPr>
        <w:pStyle w:val="BodyText"/>
        <w:spacing w:line="357" w:lineRule="auto" w:before="135"/>
        <w:ind w:right="1138" w:firstLine="482"/>
        <w:jc w:val="both"/>
      </w:pPr>
      <w:r>
        <w:rPr/>
        <w:t>数字政通的主营业务是专业智慧城市应用软件的开发和销售，并提供技术支持和后续服 务，是国内知名度较高、市场份额领先的智慧城市应用软件开发商和全面解决方案提供商之</w:t>
      </w:r>
      <w:r>
        <w:rPr>
          <w:spacing w:val="-91"/>
        </w:rPr>
        <w:t> </w:t>
      </w:r>
      <w:r>
        <w:rPr>
          <w:spacing w:val="-91"/>
        </w:rPr>
      </w:r>
      <w:r>
        <w:rPr/>
        <w:t>一。</w:t>
      </w:r>
    </w:p>
    <w:p>
      <w:pPr>
        <w:pStyle w:val="BodyText"/>
        <w:spacing w:line="357" w:lineRule="auto"/>
        <w:ind w:right="1138" w:firstLine="482"/>
        <w:jc w:val="both"/>
      </w:pPr>
      <w:r>
        <w:rPr/>
        <w:t>数字政通采用统一的时空信息管理技术，将二维地图、三维模型、三维实景、视频等各 类基础信息与城市部件、实有人口、法人、房屋等行业管理信息整合到一个时空体系中，在</w:t>
      </w:r>
      <w:r>
        <w:rPr>
          <w:spacing w:val="-91"/>
        </w:rPr>
        <w:t> </w:t>
      </w:r>
      <w:r>
        <w:rPr>
          <w:spacing w:val="-91"/>
        </w:rPr>
      </w:r>
      <w:r>
        <w:rPr/>
        <w:t>全时空体系中还原各类信息在空间、时间、权属等多个维度的关联关系，从而为数字城管、</w:t>
      </w:r>
      <w:r>
        <w:rPr>
          <w:spacing w:val="-91"/>
        </w:rPr>
        <w:t> </w:t>
      </w:r>
      <w:r>
        <w:rPr>
          <w:spacing w:val="-91"/>
        </w:rPr>
      </w:r>
      <w:r>
        <w:rPr/>
        <w:t>智慧社区、智能交通、智慧安防等智慧城市各类行业应用提供全时空一体化的城市综合公共</w:t>
      </w:r>
      <w:r>
        <w:rPr>
          <w:spacing w:val="-91"/>
        </w:rPr>
        <w:t> </w:t>
      </w:r>
      <w:r>
        <w:rPr>
          <w:spacing w:val="-91"/>
        </w:rPr>
      </w:r>
      <w:r>
        <w:rPr/>
        <w:t>信息。</w:t>
      </w:r>
    </w:p>
    <w:p>
      <w:pPr>
        <w:pStyle w:val="BodyText"/>
        <w:spacing w:line="357" w:lineRule="auto"/>
        <w:ind w:right="1131" w:firstLine="482"/>
        <w:jc w:val="both"/>
      </w:pPr>
      <w:r>
        <w:rPr>
          <w:spacing w:val="-3"/>
        </w:rPr>
        <w:t>数字政通自主知识产权的智慧城市基础平台</w:t>
      </w:r>
      <w:r>
        <w:rPr>
          <w:rFonts w:ascii="宋体" w:hAnsi="宋体" w:cs="宋体" w:eastAsia="宋体" w:hint="default"/>
          <w:spacing w:val="-3"/>
        </w:rPr>
        <w:t>-</w:t>
      </w:r>
      <w:r>
        <w:rPr>
          <w:spacing w:val="-3"/>
        </w:rPr>
        <w:t>智信平台，采用“全移动”的先进理念，实</w:t>
      </w:r>
      <w:r>
        <w:rPr/>
        <w:t> 现全平台用户的移动互联，围绕各业务全过程各个环节，实现办公模式从传统</w:t>
      </w:r>
      <w:r>
        <w:rPr>
          <w:rFonts w:ascii="宋体" w:hAnsi="宋体" w:cs="宋体" w:eastAsia="宋体" w:hint="default"/>
        </w:rPr>
        <w:t>PC</w:t>
      </w:r>
      <w:r>
        <w:rPr/>
        <w:t>电脑向“全</w:t>
      </w:r>
      <w:r>
        <w:rPr>
          <w:spacing w:val="-86"/>
        </w:rPr>
        <w:t> </w:t>
      </w:r>
      <w:r>
        <w:rPr>
          <w:spacing w:val="-86"/>
        </w:rPr>
      </w:r>
      <w:r>
        <w:rPr/>
        <w:t>移动”手机终端转变，实现真正意义上的“扁平化”管理。</w:t>
      </w:r>
    </w:p>
    <w:p>
      <w:pPr>
        <w:pStyle w:val="BodyText"/>
        <w:spacing w:line="357" w:lineRule="auto"/>
        <w:ind w:right="996" w:firstLine="482"/>
        <w:jc w:val="left"/>
      </w:pPr>
      <w:r>
        <w:rPr>
          <w:spacing w:val="-3"/>
        </w:rPr>
        <w:t>数字政通研发的智云平台，在智慧城市大背景下，综合运用“互联网</w:t>
      </w:r>
      <w:r>
        <w:rPr>
          <w:rFonts w:ascii="宋体" w:hAnsi="宋体" w:cs="宋体" w:eastAsia="宋体" w:hint="default"/>
          <w:spacing w:val="-3"/>
        </w:rPr>
        <w:t>+</w:t>
      </w:r>
      <w:r>
        <w:rPr>
          <w:spacing w:val="-3"/>
        </w:rPr>
        <w:t>”先进技术和“网</w:t>
      </w:r>
      <w:r>
        <w:rPr/>
        <w:t> </w:t>
      </w:r>
      <w:r>
        <w:rPr>
          <w:spacing w:val="-3"/>
        </w:rPr>
        <w:t>格化</w:t>
      </w:r>
      <w:r>
        <w:rPr>
          <w:rFonts w:ascii="宋体" w:hAnsi="宋体" w:cs="宋体" w:eastAsia="宋体" w:hint="default"/>
          <w:spacing w:val="-3"/>
        </w:rPr>
        <w:t>+</w:t>
      </w:r>
      <w:r>
        <w:rPr>
          <w:spacing w:val="-3"/>
        </w:rPr>
        <w:t>”管理模式，研发基于云架构的智慧城市网格化综合管理平台，满足智慧城市管理用户</w:t>
      </w:r>
      <w:r>
        <w:rPr>
          <w:spacing w:val="-81"/>
        </w:rPr>
        <w:t> </w:t>
      </w:r>
      <w:r>
        <w:rPr>
          <w:spacing w:val="-81"/>
        </w:rPr>
      </w:r>
      <w:r>
        <w:rPr/>
        <w:t>量和数据量的逐年增加对系统的高并发访问请求，满足不同层级用户对系统服务模式的多样</w:t>
      </w:r>
      <w:r>
        <w:rPr>
          <w:spacing w:val="-91"/>
        </w:rPr>
        <w:t> </w:t>
      </w:r>
      <w:r>
        <w:rPr>
          <w:spacing w:val="-91"/>
        </w:rPr>
      </w:r>
      <w:r>
        <w:rPr>
          <w:spacing w:val="-2"/>
        </w:rPr>
        <w:t>化需求，避免软硬件落伍、存储不够、系统故障、安全漏洞等客观原因影响平台的快速推广、</w:t>
      </w:r>
      <w:r>
        <w:rPr/>
        <w:t> 系统的运行效率，助推网格化城市管理系统的升级换代和全国推广。</w:t>
      </w:r>
    </w:p>
    <w:p>
      <w:pPr>
        <w:pStyle w:val="BodyText"/>
        <w:spacing w:line="357" w:lineRule="auto"/>
        <w:ind w:right="996" w:firstLine="482"/>
        <w:jc w:val="left"/>
      </w:pPr>
      <w:r>
        <w:rPr/>
        <w:t>数字政通研发的网格化环保系统，综合运用物联网感知技术和移动物联网技术，将污染 </w:t>
      </w:r>
      <w:r>
        <w:rPr>
          <w:spacing w:val="-2"/>
        </w:rPr>
        <w:t>源分布、网格化环保监管信息纳入环保网格化管理系统，对辖区内所有排污企业、生态环境、</w:t>
      </w:r>
      <w:r>
        <w:rPr/>
        <w:t> </w:t>
      </w:r>
      <w:r>
        <w:rPr>
          <w:spacing w:val="-2"/>
        </w:rPr>
        <w:t>信访案件、污染纠纷、环境安全隐患、违法建设项目信息采集与上报；建设环保专题数据库，</w:t>
      </w:r>
      <w:r>
        <w:rPr/>
        <w:t> </w:t>
      </w:r>
      <w:r>
        <w:rPr>
          <w:spacing w:val="-2"/>
        </w:rPr>
        <w:t>形成网格化环保监管体系；对网格内所有监管单位按单位性质、规模、污染物排放种类及新、</w:t>
      </w:r>
      <w:r>
        <w:rPr/>
        <w:t> 改、扩建项目、减排工程、污染集中处置设施等进行分级分类管理。基于移动终端开展网格</w:t>
      </w:r>
      <w:r>
        <w:rPr>
          <w:spacing w:val="-91"/>
        </w:rPr>
        <w:t> </w:t>
      </w:r>
      <w:r>
        <w:rPr>
          <w:spacing w:val="-91"/>
        </w:rPr>
      </w:r>
      <w:r>
        <w:rPr>
          <w:spacing w:val="-3"/>
        </w:rPr>
        <w:t>内污染源上报、环境隐患排查，全面掌握水、气、声等环境状况，对工业企业开展环保监管，</w:t>
      </w:r>
    </w:p>
    <w:p>
      <w:pPr>
        <w:spacing w:after="0" w:line="357"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left="635" w:right="982" w:hanging="483"/>
        <w:jc w:val="left"/>
      </w:pPr>
      <w:r>
        <w:rPr/>
        <w:t>处理投诉举报和协助开展环境事故应急处置。 数字政通研发了集管线数据普查、数据入库管理、数据维护更新、地下管线精细化管理</w:t>
      </w:r>
    </w:p>
    <w:p>
      <w:pPr>
        <w:pStyle w:val="BodyText"/>
        <w:spacing w:line="357" w:lineRule="auto"/>
        <w:ind w:right="1139"/>
        <w:jc w:val="both"/>
      </w:pPr>
      <w:r>
        <w:rPr/>
        <w:t>以及为领导和专业部门提供服务等功能为一体的地下管线与空间综合管理平台。通过地下管</w:t>
      </w:r>
      <w:r>
        <w:rPr>
          <w:spacing w:val="-91"/>
        </w:rPr>
        <w:t> </w:t>
      </w:r>
      <w:r>
        <w:rPr>
          <w:spacing w:val="-91"/>
        </w:rPr>
      </w:r>
      <w:r>
        <w:rPr/>
        <w:t>网管理平台的建设，能够建立覆盖实施范围内地上地下全范围的城市管理模式。同时，依托</w:t>
      </w:r>
      <w:r>
        <w:rPr>
          <w:spacing w:val="-91"/>
        </w:rPr>
        <w:t> </w:t>
      </w:r>
      <w:r>
        <w:rPr>
          <w:spacing w:val="-91"/>
        </w:rPr>
      </w:r>
      <w:r>
        <w:rPr/>
        <w:t>地下管网数据能够建立一系列的统计分析工具，为各专业部门审批、应急突发状况调度以及</w:t>
      </w:r>
      <w:r>
        <w:rPr>
          <w:spacing w:val="-91"/>
        </w:rPr>
        <w:t> </w:t>
      </w:r>
      <w:r>
        <w:rPr>
          <w:spacing w:val="-91"/>
        </w:rPr>
      </w:r>
      <w:r>
        <w:rPr/>
        <w:t>领导的决策提供辅助支撑服务。管理内容将贯穿规划、建设、管理和服务的全过程，涵盖市</w:t>
      </w:r>
      <w:r>
        <w:rPr>
          <w:spacing w:val="-91"/>
        </w:rPr>
        <w:t> </w:t>
      </w:r>
      <w:r>
        <w:rPr>
          <w:spacing w:val="-91"/>
        </w:rPr>
      </w:r>
      <w:r>
        <w:rPr/>
        <w:t>政、自来水、燃气、电力、通信、供热等地下管网管理相关领域，实现具有本地化特色的地</w:t>
      </w:r>
      <w:r>
        <w:rPr>
          <w:spacing w:val="-91"/>
        </w:rPr>
        <w:t> </w:t>
      </w:r>
      <w:r>
        <w:rPr>
          <w:spacing w:val="-91"/>
        </w:rPr>
      </w:r>
      <w:r>
        <w:rPr/>
        <w:t>下管线与空间综合管理管理模式。</w:t>
      </w:r>
    </w:p>
    <w:p>
      <w:pPr>
        <w:pStyle w:val="BodyText"/>
        <w:spacing w:line="357" w:lineRule="auto"/>
        <w:ind w:right="982" w:firstLine="482"/>
        <w:jc w:val="left"/>
      </w:pPr>
      <w:r>
        <w:rPr/>
        <w:t>数字政通自主研发的网格化社会服务管理信息系统，是采用先进信息技术，借鉴网格化 </w:t>
      </w:r>
      <w:r>
        <w:rPr>
          <w:spacing w:val="-3"/>
        </w:rPr>
        <w:t>管理为理念，以社区为单元，将社区划分为若干工作网格，将一定范围内的人、地、物、事、</w:t>
      </w:r>
      <w:r>
        <w:rPr>
          <w:spacing w:val="-85"/>
        </w:rPr>
        <w:t> </w:t>
      </w:r>
      <w:r>
        <w:rPr>
          <w:spacing w:val="-85"/>
        </w:rPr>
      </w:r>
      <w:r>
        <w:rPr>
          <w:spacing w:val="-5"/>
        </w:rPr>
        <w:t>组织、服务资源、管理项目等纳入网格，明确责任主体、责任人，建立市、区、街和社区“四</w:t>
      </w:r>
      <w:r>
        <w:rPr>
          <w:spacing w:val="-116"/>
        </w:rPr>
        <w:t> </w:t>
      </w:r>
      <w:r>
        <w:rPr>
          <w:spacing w:val="-116"/>
        </w:rPr>
      </w:r>
      <w:r>
        <w:rPr>
          <w:spacing w:val="-3"/>
        </w:rPr>
        <w:t>级服务管理”平台，构建市、区、街、社区和社区工作网格“五级联动社会服务管理”模式，</w:t>
      </w:r>
      <w:r>
        <w:rPr>
          <w:spacing w:val="-80"/>
        </w:rPr>
        <w:t> </w:t>
      </w:r>
      <w:r>
        <w:rPr>
          <w:spacing w:val="-80"/>
        </w:rPr>
      </w:r>
      <w:r>
        <w:rPr/>
        <w:t>根据用户不同需求，开发设计应用系统，实现社会服务与管理目标。</w:t>
      </w:r>
    </w:p>
    <w:p>
      <w:pPr>
        <w:pStyle w:val="BodyText"/>
        <w:spacing w:line="357" w:lineRule="auto"/>
        <w:ind w:right="1136" w:firstLine="482"/>
        <w:jc w:val="both"/>
      </w:pPr>
      <w:r>
        <w:rPr/>
        <w:t>数字政通充分响应和发挥相关政策优势，探索出一套完整的城市管理综合执法的项目实 施经验，辅助用户全力推进城市综合执法体制改革，着力构建权责统一、权威高效的权力运</w:t>
      </w:r>
      <w:r>
        <w:rPr>
          <w:spacing w:val="-89"/>
        </w:rPr>
        <w:t> </w:t>
      </w:r>
      <w:r>
        <w:rPr>
          <w:spacing w:val="-89"/>
        </w:rPr>
      </w:r>
      <w:r>
        <w:rPr/>
        <w:t>行和监督体系。促进政府职能转变和提高行政公信力，坚持问题导向，着力破解职责交叉、</w:t>
      </w:r>
      <w:r>
        <w:rPr>
          <w:spacing w:val="-91"/>
        </w:rPr>
        <w:t> </w:t>
      </w:r>
      <w:r>
        <w:rPr>
          <w:spacing w:val="-91"/>
        </w:rPr>
      </w:r>
      <w:r>
        <w:rPr/>
        <w:t>主体不清、监管不力、保障不足等突出问题。</w:t>
      </w:r>
    </w:p>
    <w:p>
      <w:pPr>
        <w:spacing w:line="528" w:lineRule="auto" w:before="36"/>
        <w:ind w:left="152" w:right="2352" w:firstLine="482"/>
        <w:jc w:val="left"/>
        <w:rPr>
          <w:rFonts w:ascii="宋体" w:hAnsi="宋体" w:cs="宋体" w:eastAsia="宋体" w:hint="default"/>
          <w:sz w:val="24"/>
          <w:szCs w:val="24"/>
        </w:rPr>
      </w:pPr>
      <w:r>
        <w:rPr>
          <w:rFonts w:ascii="宋体" w:hAnsi="宋体" w:cs="宋体" w:eastAsia="宋体" w:hint="default"/>
          <w:sz w:val="24"/>
          <w:szCs w:val="24"/>
        </w:rPr>
        <w:t>各业务具体发展情况详见“第四节经营情况分析与讨论”中“一、概述”。 </w:t>
      </w:r>
      <w:r>
        <w:rPr>
          <w:rFonts w:ascii="宋体" w:hAnsi="宋体" w:cs="宋体" w:eastAsia="宋体" w:hint="default"/>
          <w:b/>
          <w:bCs/>
          <w:sz w:val="24"/>
          <w:szCs w:val="24"/>
        </w:rPr>
        <w:t>二、主要资产重大变化情况</w:t>
      </w:r>
      <w:r>
        <w:rPr>
          <w:rFonts w:ascii="宋体" w:hAnsi="宋体" w:cs="宋体" w:eastAsia="宋体" w:hint="default"/>
          <w:sz w:val="24"/>
          <w:szCs w:val="24"/>
        </w:rPr>
      </w:r>
    </w:p>
    <w:p>
      <w:pPr>
        <w:spacing w:before="35"/>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、主要资产重大变化情况</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029"/>
        <w:gridCol w:w="6530"/>
      </w:tblGrid>
      <w:tr>
        <w:trPr>
          <w:trHeight w:val="187" w:hRule="exact"/>
        </w:trPr>
        <w:tc>
          <w:tcPr>
            <w:tcW w:w="3029" w:type="dxa"/>
            <w:tcBorders>
              <w:top w:val="single" w:sz="4" w:space="0" w:color="000000"/>
              <w:left w:val="single" w:sz="4" w:space="0" w:color="000000"/>
              <w:bottom w:val="nil" w:sz="6" w:space="0" w:color="auto"/>
              <w:right w:val="single" w:sz="4" w:space="0" w:color="000000"/>
            </w:tcBorders>
            <w:shd w:val="clear" w:color="auto" w:fill="D2D2D2"/>
          </w:tcPr>
          <w:p>
            <w:pPr/>
          </w:p>
        </w:tc>
        <w:tc>
          <w:tcPr>
            <w:tcW w:w="653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302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5" w:hRule="exact"/>
        </w:trPr>
        <w:tc>
          <w:tcPr>
            <w:tcW w:w="3029" w:type="dxa"/>
            <w:tcBorders>
              <w:top w:val="nil" w:sz="6" w:space="0" w:color="auto"/>
              <w:left w:val="single" w:sz="4" w:space="0" w:color="000000"/>
              <w:bottom w:val="single" w:sz="4" w:space="0" w:color="000000"/>
              <w:right w:val="single" w:sz="4" w:space="0" w:color="000000"/>
            </w:tcBorders>
            <w:shd w:val="clear" w:color="auto" w:fill="D2D2D2"/>
          </w:tcPr>
          <w:p>
            <w:pPr/>
          </w:p>
        </w:tc>
        <w:tc>
          <w:tcPr>
            <w:tcW w:w="653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3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3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left="27"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1" w:hRule="exact"/>
        </w:trPr>
        <w:tc>
          <w:tcPr>
            <w:tcW w:w="3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3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3" w:hRule="exact"/>
        </w:trPr>
        <w:tc>
          <w:tcPr>
            <w:tcW w:w="3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3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left="27"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3" w:hRule="exact"/>
        </w:trPr>
        <w:tc>
          <w:tcPr>
            <w:tcW w:w="3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30"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bl>
    <w:p>
      <w:pPr>
        <w:spacing w:line="240" w:lineRule="auto" w:before="3"/>
        <w:rPr>
          <w:rFonts w:ascii="宋体" w:hAnsi="宋体" w:cs="宋体" w:eastAsia="宋体" w:hint="default"/>
          <w:b/>
          <w:bCs/>
          <w:sz w:val="19"/>
          <w:szCs w:val="19"/>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、主要境外资产情况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三、核心竞争力分析</w:t>
      </w:r>
      <w:r>
        <w:rPr>
          <w:b w:val="0"/>
          <w:bCs w:val="0"/>
        </w:rPr>
      </w:r>
    </w:p>
    <w:p>
      <w:pPr>
        <w:spacing w:line="240" w:lineRule="auto" w:before="6"/>
        <w:rPr>
          <w:rFonts w:ascii="宋体" w:hAnsi="宋体" w:cs="宋体" w:eastAsia="宋体" w:hint="default"/>
          <w:b/>
          <w:bCs/>
          <w:sz w:val="26"/>
          <w:szCs w:val="26"/>
        </w:rPr>
      </w:pPr>
    </w:p>
    <w:p>
      <w:pPr>
        <w:spacing w:line="357" w:lineRule="auto" w:before="0"/>
        <w:ind w:left="152" w:right="7694"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9"/>
        <w:ind w:left="152" w:right="982" w:firstLine="0"/>
        <w:jc w:val="left"/>
        <w:rPr>
          <w:rFonts w:ascii="宋体" w:hAnsi="宋体" w:cs="宋体" w:eastAsia="宋体" w:hint="default"/>
          <w:sz w:val="18"/>
          <w:szCs w:val="18"/>
        </w:rPr>
      </w:pPr>
      <w:r>
        <w:rPr>
          <w:rFonts w:ascii="宋体" w:hAnsi="宋体" w:cs="宋体" w:eastAsia="宋体" w:hint="default"/>
          <w:sz w:val="18"/>
          <w:szCs w:val="18"/>
        </w:rPr>
        <w:t>软件与信息技术服务业</w:t>
      </w:r>
    </w:p>
    <w:p>
      <w:pPr>
        <w:spacing w:line="240" w:lineRule="auto" w:before="5"/>
        <w:rPr>
          <w:rFonts w:ascii="宋体" w:hAnsi="宋体" w:cs="宋体" w:eastAsia="宋体" w:hint="default"/>
          <w:sz w:val="17"/>
          <w:szCs w:val="17"/>
        </w:rPr>
      </w:pPr>
    </w:p>
    <w:p>
      <w:pPr>
        <w:pStyle w:val="BodyText"/>
        <w:spacing w:line="475" w:lineRule="auto" w:before="0"/>
        <w:ind w:right="1128" w:firstLine="482"/>
        <w:jc w:val="both"/>
      </w:pPr>
      <w:r>
        <w:rPr/>
        <w:t>公司深耕智慧城管领域，综合运用</w:t>
      </w:r>
      <w:r>
        <w:rPr>
          <w:rFonts w:ascii="Times New Roman" w:hAnsi="Times New Roman" w:cs="Times New Roman" w:eastAsia="Times New Roman" w:hint="default"/>
        </w:rPr>
        <w:t>“</w:t>
      </w:r>
      <w:r>
        <w:rPr/>
        <w:t>互联网</w:t>
      </w:r>
      <w:r>
        <w:rPr>
          <w:rFonts w:ascii="Times New Roman" w:hAnsi="Times New Roman" w:cs="Times New Roman" w:eastAsia="Times New Roman" w:hint="default"/>
        </w:rPr>
        <w:t>+”</w:t>
      </w:r>
      <w:r>
        <w:rPr/>
        <w:t>先进技术和</w:t>
      </w:r>
      <w:r>
        <w:rPr>
          <w:rFonts w:ascii="Times New Roman" w:hAnsi="Times New Roman" w:cs="Times New Roman" w:eastAsia="Times New Roman" w:hint="default"/>
        </w:rPr>
        <w:t>“</w:t>
      </w:r>
      <w:r>
        <w:rPr/>
        <w:t>网格化</w:t>
      </w:r>
      <w:r>
        <w:rPr>
          <w:rFonts w:ascii="Times New Roman" w:hAnsi="Times New Roman" w:cs="Times New Roman" w:eastAsia="Times New Roman" w:hint="default"/>
        </w:rPr>
        <w:t>+”</w:t>
      </w:r>
      <w:r>
        <w:rPr/>
        <w:t>管理模式，充分利用 物联网、云计算、信息融合、大数据、数据分析与挖掘等现代信息技术手段，强化信息获取</w:t>
      </w:r>
      <w:r>
        <w:rPr>
          <w:spacing w:val="-91"/>
        </w:rPr>
        <w:t> </w:t>
      </w:r>
      <w:r>
        <w:rPr>
          <w:spacing w:val="-91"/>
        </w:rPr>
      </w:r>
      <w:r>
        <w:rPr/>
        <w:t>自动化、监督管理精细化、业务职能协同化、服务手段多样化、辅助决策智能化，通过信息</w:t>
      </w:r>
      <w:r>
        <w:rPr>
          <w:spacing w:val="-91"/>
        </w:rPr>
        <w:t> </w:t>
      </w:r>
      <w:r>
        <w:rPr>
          <w:spacing w:val="-91"/>
        </w:rPr>
      </w:r>
      <w:r>
        <w:rPr/>
        <w:t>资源整合实现城市管理要素、城市管理过程、城市管理决策等全方位的智慧化。公司研发的</w:t>
      </w:r>
      <w:r>
        <w:rPr>
          <w:spacing w:val="-86"/>
        </w:rPr>
        <w:t> </w:t>
      </w:r>
      <w:r>
        <w:rPr>
          <w:spacing w:val="-86"/>
        </w:rPr>
      </w:r>
      <w:r>
        <w:rPr/>
        <w:t>新一代智信云平台，更加专注于城市管理核心业务模块的完善和丰富，从问题上报、受理立</w:t>
      </w:r>
      <w:r>
        <w:rPr>
          <w:spacing w:val="-91"/>
        </w:rPr>
        <w:t> </w:t>
      </w:r>
      <w:r>
        <w:rPr>
          <w:spacing w:val="-91"/>
        </w:rPr>
      </w:r>
      <w:r>
        <w:rPr/>
        <w:t>案、审核派遣、处置反馈、核查结案等各个业务环节出发，梳理并完成了全国近百个项目的</w:t>
      </w:r>
      <w:r>
        <w:rPr>
          <w:spacing w:val="-91"/>
        </w:rPr>
        <w:t> </w:t>
      </w:r>
      <w:r>
        <w:rPr>
          <w:spacing w:val="-91"/>
        </w:rPr>
      </w:r>
      <w:r>
        <w:rPr/>
        <w:t>各色需求，进一步打磨了产品的全面性和健壮性；通过建设城市管理综合数据库，整合城市</w:t>
      </w:r>
      <w:r>
        <w:rPr>
          <w:spacing w:val="-88"/>
        </w:rPr>
        <w:t> </w:t>
      </w:r>
      <w:r>
        <w:rPr>
          <w:spacing w:val="-88"/>
        </w:rPr>
      </w:r>
      <w:r>
        <w:rPr/>
        <w:t>管理相关的各类数据资源，包括基础数据、行业管理数据、公共服务数据、综合监管数据、</w:t>
      </w:r>
      <w:r>
        <w:rPr>
          <w:spacing w:val="-91"/>
        </w:rPr>
        <w:t> </w:t>
      </w:r>
      <w:r>
        <w:rPr>
          <w:spacing w:val="-91"/>
        </w:rPr>
      </w:r>
      <w:r>
        <w:rPr/>
        <w:t>城市管理活动相关数据等；通过建设城市运行中心，打磨城市管理体系、城市运行体征、智</w:t>
      </w:r>
      <w:r>
        <w:rPr>
          <w:spacing w:val="-90"/>
        </w:rPr>
        <w:t> </w:t>
      </w:r>
      <w:r>
        <w:rPr>
          <w:spacing w:val="-90"/>
        </w:rPr>
      </w:r>
      <w:r>
        <w:rPr/>
        <w:t>能发现告警等，进一步掌控城市运行的总体情况，为决策者提供了全方位的城市综合运行分</w:t>
      </w:r>
      <w:r>
        <w:rPr>
          <w:spacing w:val="-91"/>
        </w:rPr>
        <w:t> </w:t>
      </w:r>
      <w:r>
        <w:rPr>
          <w:spacing w:val="-91"/>
        </w:rPr>
      </w:r>
      <w:r>
        <w:rPr/>
        <w:t>析。</w:t>
      </w:r>
    </w:p>
    <w:p>
      <w:pPr>
        <w:pStyle w:val="BodyText"/>
        <w:spacing w:line="470" w:lineRule="auto" w:before="74"/>
        <w:ind w:right="1131" w:firstLine="482"/>
        <w:jc w:val="both"/>
      </w:pPr>
      <w:r>
        <w:rPr/>
        <w:t>公司在大数据和人工智能方向上持续积累和沉淀，面向城市管理领域推出了城管视频智 能分析产品，该产品为智慧城管赋能，通过前端布设的摄像头，自动从视频中分析异常违规</w:t>
      </w:r>
      <w:r>
        <w:rPr>
          <w:spacing w:val="-91"/>
        </w:rPr>
        <w:t> </w:t>
      </w:r>
      <w:r>
        <w:rPr>
          <w:spacing w:val="-91"/>
        </w:rPr>
      </w:r>
      <w:r>
        <w:rPr/>
        <w:t>事件，如无照游商、出店经营、违规撑伞、垃圾满溢、车辆乱停放等十几种行为，形成案卷</w:t>
      </w:r>
      <w:r>
        <w:rPr>
          <w:spacing w:val="-91"/>
        </w:rPr>
        <w:t> </w:t>
      </w:r>
      <w:r>
        <w:rPr>
          <w:spacing w:val="-91"/>
        </w:rPr>
      </w:r>
      <w:r>
        <w:rPr/>
        <w:t>自动推送至城管网格化系统进行流转处置，很大程度上弥补和减轻了网格员的巡查工作，更</w:t>
      </w:r>
      <w:r>
        <w:rPr>
          <w:spacing w:val="-91"/>
        </w:rPr>
        <w:t> </w:t>
      </w:r>
      <w:r>
        <w:rPr>
          <w:spacing w:val="-91"/>
        </w:rPr>
      </w:r>
      <w:r>
        <w:rPr/>
        <w:t>智能的发现城市管理中的各类问题；该产品基于</w:t>
      </w:r>
      <w:r>
        <w:rPr>
          <w:rFonts w:ascii="Times New Roman" w:hAnsi="Times New Roman" w:cs="Times New Roman" w:eastAsia="Times New Roman" w:hint="default"/>
        </w:rPr>
        <w:t>GPU</w:t>
      </w:r>
      <w:r>
        <w:rPr/>
        <w:t>的深度学习算法，单机可处理上百路视</w:t>
      </w:r>
      <w:r>
        <w:rPr>
          <w:spacing w:val="-89"/>
        </w:rPr>
        <w:t> </w:t>
      </w:r>
      <w:r>
        <w:rPr>
          <w:spacing w:val="-89"/>
        </w:rPr>
      </w:r>
      <w:r>
        <w:rPr/>
        <w:t>频，识别准确率处于行业领先水平。面向安防领域的云隼系列产品又有新的突破：面向公安</w:t>
      </w:r>
      <w:r>
        <w:rPr>
          <w:spacing w:val="-91"/>
        </w:rPr>
        <w:t> </w:t>
      </w:r>
      <w:r>
        <w:rPr>
          <w:spacing w:val="-91"/>
        </w:rPr>
      </w:r>
      <w:r>
        <w:rPr/>
        <w:t>的车辆大数据情报研判平台</w:t>
      </w:r>
      <w:r>
        <w:rPr>
          <w:rFonts w:ascii="Times New Roman" w:hAnsi="Times New Roman" w:cs="Times New Roman" w:eastAsia="Times New Roman" w:hint="default"/>
        </w:rPr>
        <w:t>“</w:t>
      </w:r>
      <w:r>
        <w:rPr/>
        <w:t>云隼</w:t>
      </w:r>
      <w:r>
        <w:rPr>
          <w:rFonts w:ascii="Times New Roman" w:hAnsi="Times New Roman" w:cs="Times New Roman" w:eastAsia="Times New Roman" w:hint="default"/>
        </w:rPr>
        <w:t>V4.0”</w:t>
      </w:r>
      <w:r>
        <w:rPr/>
        <w:t>，二次识别算法和系统架构进行了全面的升级，基于</w:t>
      </w:r>
      <w:r>
        <w:rPr>
          <w:spacing w:val="-55"/>
        </w:rPr>
        <w:t> </w:t>
      </w:r>
      <w:r>
        <w:rPr>
          <w:spacing w:val="-55"/>
        </w:rPr>
      </w:r>
      <w:r>
        <w:rPr/>
        <w:t>微服务框架和前后端分离技术，使系统架构更加合理，并进行应用功能的整合和</w:t>
      </w:r>
      <w:r>
        <w:rPr>
          <w:rFonts w:ascii="Times New Roman" w:hAnsi="Times New Roman" w:cs="Times New Roman" w:eastAsia="Times New Roman" w:hint="default"/>
        </w:rPr>
        <w:t>UI</w:t>
      </w:r>
      <w:r>
        <w:rPr/>
        <w:t>的改版，</w:t>
      </w:r>
    </w:p>
    <w:p>
      <w:pPr>
        <w:spacing w:after="0" w:line="470" w:lineRule="auto"/>
        <w:jc w:val="both"/>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BodyText"/>
        <w:spacing w:line="468" w:lineRule="auto" w:before="26"/>
        <w:ind w:right="1128"/>
        <w:jc w:val="both"/>
      </w:pPr>
      <w:r>
        <w:rPr/>
        <w:t>对用户常用的功能进行深度的优化设计和实现，使产品更贴合业主的实战应用；面向交管的</w:t>
      </w:r>
      <w:r>
        <w:rPr>
          <w:spacing w:val="-91"/>
        </w:rPr>
        <w:t> </w:t>
      </w:r>
      <w:r>
        <w:rPr>
          <w:spacing w:val="-91"/>
        </w:rPr>
      </w:r>
      <w:r>
        <w:rPr/>
        <w:t>指挥调度产品也进行了全新的改版，基于二三维一体化</w:t>
      </w:r>
      <w:r>
        <w:rPr>
          <w:rFonts w:ascii="Times New Roman" w:hAnsi="Times New Roman" w:cs="Times New Roman" w:eastAsia="Times New Roman" w:hint="default"/>
        </w:rPr>
        <w:t>gis</w:t>
      </w:r>
      <w:r>
        <w:rPr/>
        <w:t>平台，融合了交管的卡口、电警、 监控、交通信号、路况、事故、酒驾、勤务、单兵、警车、警卫任务、稽查布控、重点车辆</w:t>
      </w:r>
      <w:r>
        <w:rPr>
          <w:spacing w:val="-91"/>
        </w:rPr>
        <w:t> </w:t>
      </w:r>
      <w:r>
        <w:rPr>
          <w:spacing w:val="-91"/>
        </w:rPr>
      </w:r>
      <w:r>
        <w:rPr>
          <w:spacing w:val="2"/>
        </w:rPr>
        <w:t>监管等各项业务，基于大数据分析挖掘，指导网格化精确布警，结合手机</w:t>
      </w:r>
      <w:r>
        <w:rPr>
          <w:rFonts w:ascii="Times New Roman" w:hAnsi="Times New Roman" w:cs="Times New Roman" w:eastAsia="Times New Roman" w:hint="default"/>
          <w:spacing w:val="2"/>
        </w:rPr>
        <w:t>App</w:t>
      </w:r>
      <w:r>
        <w:rPr>
          <w:spacing w:val="2"/>
        </w:rPr>
        <w:t>实现扁平化的</w:t>
      </w:r>
      <w:r>
        <w:rPr>
          <w:spacing w:val="-111"/>
        </w:rPr>
        <w:t> </w:t>
      </w:r>
      <w:r>
        <w:rPr/>
        <w:t>交通管控；基于人脸识别技术和多数据融合技术推出智慧社区平台，对进出小区的行人、车</w:t>
      </w:r>
      <w:r>
        <w:rPr>
          <w:spacing w:val="-86"/>
        </w:rPr>
        <w:t> </w:t>
      </w:r>
      <w:r>
        <w:rPr>
          <w:spacing w:val="-86"/>
        </w:rPr>
      </w:r>
      <w:r>
        <w:rPr/>
        <w:t>辆进行抓拍和识别，对重点关注人员进行轨迹行为分析和异常预警，满足社区、居委会、物</w:t>
      </w:r>
      <w:r>
        <w:rPr>
          <w:spacing w:val="-91"/>
        </w:rPr>
        <w:t> </w:t>
      </w:r>
      <w:r>
        <w:rPr>
          <w:spacing w:val="-91"/>
        </w:rPr>
      </w:r>
      <w:r>
        <w:rPr/>
        <w:t>业、公安的不同关注点和需求。</w:t>
      </w:r>
    </w:p>
    <w:p>
      <w:pPr>
        <w:pStyle w:val="BodyText"/>
        <w:spacing w:line="477" w:lineRule="auto" w:before="82"/>
        <w:ind w:right="996" w:firstLine="482"/>
        <w:jc w:val="left"/>
      </w:pPr>
      <w:r>
        <w:rPr/>
        <w:t>公司智慧市政业务的快速发展，具备了市政设施数据普查、信息化系统建设、市政管网 及附属设施运营维护等“鼠标</w:t>
      </w:r>
      <w:r>
        <w:rPr>
          <w:rFonts w:ascii="宋体" w:hAnsi="宋体" w:cs="宋体" w:eastAsia="宋体" w:hint="default"/>
        </w:rPr>
        <w:t>+</w:t>
      </w:r>
      <w:r>
        <w:rPr/>
        <w:t>水泥”三位一体的智慧市政解决方案提供能力。智慧市政产品 </w:t>
      </w:r>
      <w:r>
        <w:rPr>
          <w:spacing w:val="-3"/>
        </w:rPr>
        <w:t>基于移动互联、物联网、云计算、大数据等新技术，产品总体框架包括“一库、一网、一端、</w:t>
      </w:r>
      <w:r>
        <w:rPr>
          <w:spacing w:val="-82"/>
        </w:rPr>
        <w:t> </w:t>
      </w:r>
      <w:r>
        <w:rPr>
          <w:spacing w:val="-82"/>
        </w:rPr>
      </w:r>
      <w:r>
        <w:rPr/>
        <w:t>一平台、多业务”。通过市政设施全面普查摸底，建立市政设施综合数据库并提供可持续的</w:t>
      </w:r>
      <w:r>
        <w:rPr>
          <w:spacing w:val="-91"/>
        </w:rPr>
        <w:t> </w:t>
      </w:r>
      <w:r>
        <w:rPr>
          <w:spacing w:val="-91"/>
        </w:rPr>
      </w:r>
      <w:r>
        <w:rPr/>
        <w:t>数据更新服务；基于网格化管理模式，实现市政设施的主动巡检管养，促进市政设施管养维</w:t>
      </w:r>
      <w:r>
        <w:rPr>
          <w:spacing w:val="-91"/>
        </w:rPr>
        <w:t> </w:t>
      </w:r>
      <w:r>
        <w:rPr>
          <w:spacing w:val="-91"/>
        </w:rPr>
      </w:r>
      <w:r>
        <w:rPr>
          <w:spacing w:val="-2"/>
        </w:rPr>
        <w:t>修精细化，提升设施的管养水平和运行效率；借助物联网技术可以掌握市政设施的实时状态，</w:t>
      </w:r>
      <w:r>
        <w:rPr/>
        <w:t> 通过监测预警及早发现问题隐患；借助大数据分析技术发现设施管养、维修、故障原因及内</w:t>
      </w:r>
      <w:r>
        <w:rPr>
          <w:spacing w:val="-91"/>
        </w:rPr>
        <w:t> </w:t>
      </w:r>
      <w:r>
        <w:rPr>
          <w:spacing w:val="-91"/>
        </w:rPr>
      </w:r>
      <w:r>
        <w:rPr/>
        <w:t>在规律，从而有效开展源头治理。智慧市政产品除综合监管平台外，还包含智慧排水、路灯</w:t>
      </w:r>
      <w:r>
        <w:rPr>
          <w:spacing w:val="-91"/>
        </w:rPr>
        <w:t> </w:t>
      </w:r>
      <w:r>
        <w:rPr>
          <w:spacing w:val="-91"/>
        </w:rPr>
      </w:r>
      <w:r>
        <w:rPr/>
        <w:t>照明、道路桥梁、园林绿化等专项系统。</w:t>
      </w:r>
    </w:p>
    <w:p>
      <w:pPr>
        <w:pStyle w:val="BodyText"/>
        <w:spacing w:line="240" w:lineRule="auto" w:before="73"/>
        <w:ind w:left="635" w:right="982"/>
        <w:jc w:val="left"/>
      </w:pPr>
      <w:r>
        <w:rPr/>
        <w:t>报告期内，公司取得多项软件著作权，具体如下：</w:t>
      </w:r>
    </w:p>
    <w:p>
      <w:pPr>
        <w:spacing w:line="240" w:lineRule="auto" w:before="9"/>
        <w:rPr>
          <w:rFonts w:ascii="宋体" w:hAnsi="宋体" w:cs="宋体" w:eastAsia="宋体" w:hint="default"/>
          <w:sz w:val="14"/>
          <w:szCs w:val="14"/>
        </w:rPr>
      </w:pPr>
    </w:p>
    <w:tbl>
      <w:tblPr>
        <w:tblW w:w="0" w:type="auto"/>
        <w:jc w:val="left"/>
        <w:tblInd w:w="145" w:type="dxa"/>
        <w:tblLayout w:type="fixed"/>
        <w:tblCellMar>
          <w:top w:w="0" w:type="dxa"/>
          <w:left w:w="0" w:type="dxa"/>
          <w:bottom w:w="0" w:type="dxa"/>
          <w:right w:w="0" w:type="dxa"/>
        </w:tblCellMar>
        <w:tblLook w:val="01E0"/>
      </w:tblPr>
      <w:tblGrid>
        <w:gridCol w:w="4554"/>
        <w:gridCol w:w="2784"/>
        <w:gridCol w:w="2518"/>
      </w:tblGrid>
      <w:tr>
        <w:trPr>
          <w:trHeight w:val="427"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hAnsi="宋体" w:cs="宋体" w:eastAsia="宋体" w:hint="default"/>
                <w:b/>
                <w:bCs/>
                <w:sz w:val="21"/>
                <w:szCs w:val="21"/>
              </w:rPr>
              <w:t>软件名称</w:t>
            </w:r>
            <w:r>
              <w:rPr>
                <w:rFonts w:ascii="宋体" w:hAnsi="宋体" w:cs="宋体" w:eastAsia="宋体" w:hint="default"/>
                <w:sz w:val="21"/>
                <w:szCs w:val="21"/>
              </w:rPr>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hAnsi="宋体" w:cs="宋体" w:eastAsia="宋体" w:hint="default"/>
                <w:b/>
                <w:bCs/>
                <w:sz w:val="21"/>
                <w:szCs w:val="21"/>
              </w:rPr>
              <w:t>发证日期</w:t>
            </w:r>
            <w:r>
              <w:rPr>
                <w:rFonts w:ascii="宋体" w:hAnsi="宋体" w:cs="宋体" w:eastAsia="宋体" w:hint="default"/>
                <w:sz w:val="21"/>
                <w:szCs w:val="21"/>
              </w:rPr>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3" w:right="0"/>
              <w:jc w:val="center"/>
              <w:rPr>
                <w:rFonts w:ascii="宋体" w:hAnsi="宋体" w:cs="宋体" w:eastAsia="宋体" w:hint="default"/>
                <w:sz w:val="21"/>
                <w:szCs w:val="21"/>
              </w:rPr>
            </w:pPr>
            <w:r>
              <w:rPr>
                <w:rFonts w:ascii="宋体" w:hAnsi="宋体" w:cs="宋体" w:eastAsia="宋体" w:hint="default"/>
                <w:b/>
                <w:bCs/>
                <w:sz w:val="21"/>
                <w:szCs w:val="21"/>
              </w:rPr>
              <w:t>证书号</w:t>
            </w:r>
            <w:r>
              <w:rPr>
                <w:rFonts w:ascii="宋体" w:hAnsi="宋体" w:cs="宋体" w:eastAsia="宋体" w:hint="default"/>
                <w:sz w:val="21"/>
                <w:szCs w:val="21"/>
              </w:rPr>
            </w:r>
          </w:p>
        </w:tc>
      </w:tr>
      <w:tr>
        <w:trPr>
          <w:trHeight w:val="506"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4" w:right="0"/>
              <w:jc w:val="left"/>
              <w:rPr>
                <w:rFonts w:ascii="宋体" w:hAnsi="宋体" w:cs="宋体" w:eastAsia="宋体" w:hint="default"/>
                <w:sz w:val="21"/>
                <w:szCs w:val="21"/>
              </w:rPr>
            </w:pPr>
            <w:r>
              <w:rPr>
                <w:rFonts w:ascii="宋体" w:hAnsi="宋体" w:cs="宋体" w:eastAsia="宋体" w:hint="default"/>
                <w:sz w:val="21"/>
                <w:szCs w:val="21"/>
              </w:rPr>
              <w:t>河长制湖长制管理信息系统</w:t>
            </w:r>
            <w:r>
              <w:rPr>
                <w:rFonts w:ascii="宋体" w:hAnsi="宋体" w:cs="宋体" w:eastAsia="宋体" w:hint="default"/>
                <w:sz w:val="21"/>
                <w:szCs w:val="21"/>
              </w:rPr>
              <w:t>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sz w:val="21"/>
              </w:rPr>
              <w:t>2018.5.10</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3" w:right="0"/>
              <w:jc w:val="center"/>
              <w:rPr>
                <w:rFonts w:ascii="宋体" w:hAnsi="宋体" w:cs="宋体" w:eastAsia="宋体" w:hint="default"/>
                <w:sz w:val="21"/>
                <w:szCs w:val="21"/>
              </w:rPr>
            </w:pPr>
            <w:r>
              <w:rPr>
                <w:rFonts w:ascii="宋体"/>
                <w:sz w:val="21"/>
              </w:rPr>
              <w:t>2018SR326259</w:t>
            </w:r>
          </w:p>
        </w:tc>
      </w:tr>
      <w:tr>
        <w:trPr>
          <w:trHeight w:val="506"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4" w:right="0"/>
              <w:jc w:val="left"/>
              <w:rPr>
                <w:rFonts w:ascii="宋体" w:hAnsi="宋体" w:cs="宋体" w:eastAsia="宋体" w:hint="default"/>
                <w:sz w:val="21"/>
                <w:szCs w:val="21"/>
              </w:rPr>
            </w:pPr>
            <w:r>
              <w:rPr>
                <w:rFonts w:ascii="宋体" w:hAnsi="宋体" w:cs="宋体" w:eastAsia="宋体" w:hint="default"/>
                <w:sz w:val="21"/>
                <w:szCs w:val="21"/>
              </w:rPr>
              <w:t>第三次土地调查数据库管理系统</w:t>
            </w:r>
            <w:r>
              <w:rPr>
                <w:rFonts w:ascii="宋体" w:hAnsi="宋体" w:cs="宋体" w:eastAsia="宋体" w:hint="default"/>
                <w:sz w:val="21"/>
                <w:szCs w:val="21"/>
              </w:rPr>
              <w:t>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2018.6.8</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3" w:right="0"/>
              <w:jc w:val="center"/>
              <w:rPr>
                <w:rFonts w:ascii="宋体" w:hAnsi="宋体" w:cs="宋体" w:eastAsia="宋体" w:hint="default"/>
                <w:sz w:val="21"/>
                <w:szCs w:val="21"/>
              </w:rPr>
            </w:pPr>
            <w:r>
              <w:rPr>
                <w:rFonts w:ascii="宋体"/>
                <w:sz w:val="21"/>
              </w:rPr>
              <w:t>2018SR433318</w:t>
            </w:r>
          </w:p>
        </w:tc>
      </w:tr>
      <w:tr>
        <w:trPr>
          <w:trHeight w:val="509"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4" w:right="0"/>
              <w:jc w:val="left"/>
              <w:rPr>
                <w:rFonts w:ascii="宋体" w:hAnsi="宋体" w:cs="宋体" w:eastAsia="宋体" w:hint="default"/>
                <w:sz w:val="21"/>
                <w:szCs w:val="21"/>
              </w:rPr>
            </w:pPr>
            <w:r>
              <w:rPr>
                <w:rFonts w:ascii="宋体" w:hAnsi="宋体" w:cs="宋体" w:eastAsia="宋体" w:hint="default"/>
                <w:sz w:val="21"/>
                <w:szCs w:val="21"/>
              </w:rPr>
              <w:t>第三次土地调查外业采集系统</w:t>
            </w:r>
            <w:r>
              <w:rPr>
                <w:rFonts w:ascii="宋体" w:hAnsi="宋体" w:cs="宋体" w:eastAsia="宋体" w:hint="default"/>
                <w:sz w:val="21"/>
                <w:szCs w:val="21"/>
              </w:rPr>
              <w:t>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2018.10.26</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3" w:right="0"/>
              <w:jc w:val="center"/>
              <w:rPr>
                <w:rFonts w:ascii="宋体" w:hAnsi="宋体" w:cs="宋体" w:eastAsia="宋体" w:hint="default"/>
                <w:sz w:val="21"/>
                <w:szCs w:val="21"/>
              </w:rPr>
            </w:pPr>
            <w:r>
              <w:rPr>
                <w:rFonts w:ascii="宋体"/>
                <w:sz w:val="21"/>
              </w:rPr>
              <w:t>2018SR859817</w:t>
            </w:r>
          </w:p>
        </w:tc>
      </w:tr>
      <w:tr>
        <w:trPr>
          <w:trHeight w:val="506"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4" w:right="0"/>
              <w:jc w:val="left"/>
              <w:rPr>
                <w:rFonts w:ascii="宋体" w:hAnsi="宋体" w:cs="宋体" w:eastAsia="宋体" w:hint="default"/>
                <w:sz w:val="21"/>
                <w:szCs w:val="21"/>
              </w:rPr>
            </w:pPr>
            <w:r>
              <w:rPr>
                <w:rFonts w:ascii="宋体" w:hAnsi="宋体" w:cs="宋体" w:eastAsia="宋体" w:hint="default"/>
                <w:sz w:val="21"/>
                <w:szCs w:val="21"/>
              </w:rPr>
              <w:t>第三次土地调查数据检查系统</w:t>
            </w:r>
            <w:r>
              <w:rPr>
                <w:rFonts w:ascii="宋体" w:hAnsi="宋体" w:cs="宋体" w:eastAsia="宋体" w:hint="default"/>
                <w:sz w:val="21"/>
                <w:szCs w:val="21"/>
              </w:rPr>
              <w:t>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sz w:val="21"/>
              </w:rPr>
              <w:t>2018.10.12</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3" w:right="0"/>
              <w:jc w:val="center"/>
              <w:rPr>
                <w:rFonts w:ascii="宋体" w:hAnsi="宋体" w:cs="宋体" w:eastAsia="宋体" w:hint="default"/>
                <w:sz w:val="21"/>
                <w:szCs w:val="21"/>
              </w:rPr>
            </w:pPr>
            <w:r>
              <w:rPr>
                <w:rFonts w:ascii="宋体"/>
                <w:sz w:val="21"/>
              </w:rPr>
              <w:t>2018SR815282</w:t>
            </w:r>
          </w:p>
        </w:tc>
      </w:tr>
      <w:tr>
        <w:trPr>
          <w:trHeight w:val="507"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4" w:right="0"/>
              <w:jc w:val="left"/>
              <w:rPr>
                <w:rFonts w:ascii="宋体" w:hAnsi="宋体" w:cs="宋体" w:eastAsia="宋体" w:hint="default"/>
                <w:sz w:val="21"/>
                <w:szCs w:val="21"/>
              </w:rPr>
            </w:pPr>
            <w:r>
              <w:rPr>
                <w:rFonts w:ascii="宋体" w:hAnsi="宋体" w:cs="宋体" w:eastAsia="宋体" w:hint="default"/>
                <w:sz w:val="21"/>
                <w:szCs w:val="21"/>
              </w:rPr>
              <w:t>第三次土地调查成果数据管理系统</w:t>
            </w:r>
            <w:r>
              <w:rPr>
                <w:rFonts w:ascii="宋体" w:hAnsi="宋体" w:cs="宋体" w:eastAsia="宋体" w:hint="default"/>
                <w:sz w:val="21"/>
                <w:szCs w:val="21"/>
              </w:rPr>
              <w:t>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sz w:val="21"/>
              </w:rPr>
              <w:t>2018.10.12</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3" w:right="0"/>
              <w:jc w:val="center"/>
              <w:rPr>
                <w:rFonts w:ascii="宋体" w:hAnsi="宋体" w:cs="宋体" w:eastAsia="宋体" w:hint="default"/>
                <w:sz w:val="21"/>
                <w:szCs w:val="21"/>
              </w:rPr>
            </w:pPr>
            <w:r>
              <w:rPr>
                <w:rFonts w:ascii="宋体"/>
                <w:sz w:val="21"/>
              </w:rPr>
              <w:t>2018SR815287</w:t>
            </w:r>
          </w:p>
        </w:tc>
      </w:tr>
    </w:tbl>
    <w:p>
      <w:pPr>
        <w:spacing w:after="0" w:line="240" w:lineRule="auto"/>
        <w:jc w:val="center"/>
        <w:rPr>
          <w:rFonts w:ascii="宋体" w:hAnsi="宋体" w:cs="宋体" w:eastAsia="宋体" w:hint="default"/>
          <w:sz w:val="21"/>
          <w:szCs w:val="21"/>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5" w:type="dxa"/>
        <w:tblLayout w:type="fixed"/>
        <w:tblCellMar>
          <w:top w:w="0" w:type="dxa"/>
          <w:left w:w="0" w:type="dxa"/>
          <w:bottom w:w="0" w:type="dxa"/>
          <w:right w:w="0" w:type="dxa"/>
        </w:tblCellMar>
        <w:tblLook w:val="01E0"/>
      </w:tblPr>
      <w:tblGrid>
        <w:gridCol w:w="4554"/>
        <w:gridCol w:w="2784"/>
        <w:gridCol w:w="2518"/>
      </w:tblGrid>
      <w:tr>
        <w:trPr>
          <w:trHeight w:val="507"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4" w:right="0"/>
              <w:jc w:val="left"/>
              <w:rPr>
                <w:rFonts w:ascii="宋体" w:hAnsi="宋体" w:cs="宋体" w:eastAsia="宋体" w:hint="default"/>
                <w:sz w:val="21"/>
                <w:szCs w:val="21"/>
              </w:rPr>
            </w:pPr>
            <w:r>
              <w:rPr>
                <w:rFonts w:ascii="宋体" w:hAnsi="宋体" w:cs="宋体" w:eastAsia="宋体" w:hint="default"/>
                <w:sz w:val="21"/>
                <w:szCs w:val="21"/>
              </w:rPr>
              <w:t>第三次土地调查数据共享交换服务系统</w:t>
            </w:r>
            <w:r>
              <w:rPr>
                <w:rFonts w:ascii="宋体" w:hAnsi="宋体" w:cs="宋体" w:eastAsia="宋体" w:hint="default"/>
                <w:sz w:val="21"/>
                <w:szCs w:val="21"/>
              </w:rPr>
              <w:t>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sz w:val="21"/>
              </w:rPr>
              <w:t>2018.10.26</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3" w:right="0"/>
              <w:jc w:val="center"/>
              <w:rPr>
                <w:rFonts w:ascii="宋体" w:hAnsi="宋体" w:cs="宋体" w:eastAsia="宋体" w:hint="default"/>
                <w:sz w:val="21"/>
                <w:szCs w:val="21"/>
              </w:rPr>
            </w:pPr>
            <w:r>
              <w:rPr>
                <w:rFonts w:ascii="宋体"/>
                <w:sz w:val="21"/>
              </w:rPr>
              <w:t>2018SR859814</w:t>
            </w:r>
          </w:p>
        </w:tc>
      </w:tr>
      <w:tr>
        <w:trPr>
          <w:trHeight w:val="506"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4" w:right="0"/>
              <w:jc w:val="left"/>
              <w:rPr>
                <w:rFonts w:ascii="宋体" w:hAnsi="宋体" w:cs="宋体" w:eastAsia="宋体" w:hint="default"/>
                <w:sz w:val="21"/>
                <w:szCs w:val="21"/>
              </w:rPr>
            </w:pPr>
            <w:r>
              <w:rPr>
                <w:rFonts w:ascii="宋体" w:hAnsi="宋体" w:cs="宋体" w:eastAsia="宋体" w:hint="default"/>
                <w:sz w:val="21"/>
                <w:szCs w:val="21"/>
              </w:rPr>
              <w:t>物联网运行监控系统</w:t>
            </w:r>
            <w:r>
              <w:rPr>
                <w:rFonts w:ascii="宋体" w:hAnsi="宋体" w:cs="宋体" w:eastAsia="宋体" w:hint="default"/>
                <w:sz w:val="21"/>
                <w:szCs w:val="21"/>
              </w:rPr>
              <w:t>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2018.10.30</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3" w:right="0"/>
              <w:jc w:val="center"/>
              <w:rPr>
                <w:rFonts w:ascii="宋体" w:hAnsi="宋体" w:cs="宋体" w:eastAsia="宋体" w:hint="default"/>
                <w:sz w:val="21"/>
                <w:szCs w:val="21"/>
              </w:rPr>
            </w:pPr>
            <w:r>
              <w:rPr>
                <w:rFonts w:ascii="宋体"/>
                <w:sz w:val="21"/>
              </w:rPr>
              <w:t>2018SR868891</w:t>
            </w:r>
          </w:p>
        </w:tc>
      </w:tr>
      <w:tr>
        <w:trPr>
          <w:trHeight w:val="509"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4" w:right="0"/>
              <w:jc w:val="left"/>
              <w:rPr>
                <w:rFonts w:ascii="宋体" w:hAnsi="宋体" w:cs="宋体" w:eastAsia="宋体" w:hint="default"/>
                <w:sz w:val="21"/>
                <w:szCs w:val="21"/>
              </w:rPr>
            </w:pPr>
            <w:r>
              <w:rPr>
                <w:rFonts w:ascii="宋体" w:hAnsi="宋体" w:cs="宋体" w:eastAsia="宋体" w:hint="default"/>
                <w:sz w:val="21"/>
                <w:szCs w:val="21"/>
              </w:rPr>
              <w:t>数据融合系统</w:t>
            </w:r>
            <w:r>
              <w:rPr>
                <w:rFonts w:ascii="宋体" w:hAnsi="宋体" w:cs="宋体" w:eastAsia="宋体" w:hint="default"/>
                <w:sz w:val="21"/>
                <w:szCs w:val="21"/>
              </w:rPr>
              <w:t>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2018.10.25</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3" w:right="0"/>
              <w:jc w:val="center"/>
              <w:rPr>
                <w:rFonts w:ascii="宋体" w:hAnsi="宋体" w:cs="宋体" w:eastAsia="宋体" w:hint="default"/>
                <w:sz w:val="21"/>
                <w:szCs w:val="21"/>
              </w:rPr>
            </w:pPr>
            <w:r>
              <w:rPr>
                <w:rFonts w:ascii="宋体"/>
                <w:sz w:val="21"/>
              </w:rPr>
              <w:t>2018SR854224</w:t>
            </w:r>
          </w:p>
        </w:tc>
      </w:tr>
      <w:tr>
        <w:trPr>
          <w:trHeight w:val="506"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4" w:right="0"/>
              <w:jc w:val="left"/>
              <w:rPr>
                <w:rFonts w:ascii="宋体" w:hAnsi="宋体" w:cs="宋体" w:eastAsia="宋体" w:hint="default"/>
                <w:sz w:val="21"/>
                <w:szCs w:val="21"/>
              </w:rPr>
            </w:pPr>
            <w:r>
              <w:rPr>
                <w:rFonts w:ascii="宋体" w:hAnsi="宋体" w:cs="宋体" w:eastAsia="宋体" w:hint="default"/>
                <w:sz w:val="21"/>
                <w:szCs w:val="21"/>
              </w:rPr>
              <w:t>数据共享交换系统</w:t>
            </w:r>
            <w:r>
              <w:rPr>
                <w:rFonts w:ascii="宋体" w:hAnsi="宋体" w:cs="宋体" w:eastAsia="宋体" w:hint="default"/>
                <w:sz w:val="21"/>
                <w:szCs w:val="21"/>
              </w:rPr>
              <w:t>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sz w:val="21"/>
              </w:rPr>
              <w:t>2018.10.26</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3" w:right="0"/>
              <w:jc w:val="center"/>
              <w:rPr>
                <w:rFonts w:ascii="宋体" w:hAnsi="宋体" w:cs="宋体" w:eastAsia="宋体" w:hint="default"/>
                <w:sz w:val="21"/>
                <w:szCs w:val="21"/>
              </w:rPr>
            </w:pPr>
            <w:r>
              <w:rPr>
                <w:rFonts w:ascii="宋体"/>
                <w:sz w:val="21"/>
              </w:rPr>
              <w:t>2018SR857587</w:t>
            </w:r>
          </w:p>
        </w:tc>
      </w:tr>
      <w:tr>
        <w:trPr>
          <w:trHeight w:val="506"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4" w:right="0"/>
              <w:jc w:val="left"/>
              <w:rPr>
                <w:rFonts w:ascii="宋体" w:hAnsi="宋体" w:cs="宋体" w:eastAsia="宋体" w:hint="default"/>
                <w:sz w:val="21"/>
                <w:szCs w:val="21"/>
              </w:rPr>
            </w:pPr>
            <w:r>
              <w:rPr>
                <w:rFonts w:ascii="宋体" w:hAnsi="宋体" w:cs="宋体" w:eastAsia="宋体" w:hint="default"/>
                <w:sz w:val="21"/>
                <w:szCs w:val="21"/>
              </w:rPr>
              <w:t>视频智能分析系统【简称：智眼】</w:t>
            </w:r>
            <w:r>
              <w:rPr>
                <w:rFonts w:ascii="宋体" w:hAnsi="宋体" w:cs="宋体" w:eastAsia="宋体" w:hint="default"/>
                <w:sz w:val="21"/>
                <w:szCs w:val="21"/>
              </w:rPr>
              <w:t>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sz w:val="21"/>
              </w:rPr>
              <w:t>2018.12.20</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3" w:right="0"/>
              <w:jc w:val="center"/>
              <w:rPr>
                <w:rFonts w:ascii="宋体" w:hAnsi="宋体" w:cs="宋体" w:eastAsia="宋体" w:hint="default"/>
                <w:sz w:val="21"/>
                <w:szCs w:val="21"/>
              </w:rPr>
            </w:pPr>
            <w:r>
              <w:rPr>
                <w:rFonts w:ascii="宋体"/>
                <w:sz w:val="21"/>
              </w:rPr>
              <w:t>2018SR1042402</w:t>
            </w:r>
          </w:p>
        </w:tc>
      </w:tr>
      <w:tr>
        <w:trPr>
          <w:trHeight w:val="506"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4" w:right="0"/>
              <w:jc w:val="left"/>
              <w:rPr>
                <w:rFonts w:ascii="宋体" w:hAnsi="宋体" w:cs="宋体" w:eastAsia="宋体" w:hint="default"/>
                <w:sz w:val="21"/>
                <w:szCs w:val="21"/>
              </w:rPr>
            </w:pPr>
            <w:r>
              <w:rPr>
                <w:rFonts w:ascii="宋体" w:hAnsi="宋体" w:cs="宋体" w:eastAsia="宋体" w:hint="default"/>
                <w:sz w:val="21"/>
                <w:szCs w:val="21"/>
              </w:rPr>
              <w:t>数字政通不动产登记信息系统</w:t>
            </w:r>
            <w:r>
              <w:rPr>
                <w:rFonts w:ascii="宋体" w:hAnsi="宋体" w:cs="宋体" w:eastAsia="宋体" w:hint="default"/>
                <w:sz w:val="21"/>
                <w:szCs w:val="21"/>
              </w:rPr>
              <w:t>V1.6</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2018.12.26</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3" w:right="0"/>
              <w:jc w:val="center"/>
              <w:rPr>
                <w:rFonts w:ascii="宋体" w:hAnsi="宋体" w:cs="宋体" w:eastAsia="宋体" w:hint="default"/>
                <w:sz w:val="21"/>
                <w:szCs w:val="21"/>
              </w:rPr>
            </w:pPr>
            <w:r>
              <w:rPr>
                <w:rFonts w:ascii="宋体"/>
                <w:sz w:val="21"/>
              </w:rPr>
              <w:t>2018SR1076802</w:t>
            </w:r>
          </w:p>
        </w:tc>
      </w:tr>
      <w:tr>
        <w:trPr>
          <w:trHeight w:val="509"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4" w:right="0"/>
              <w:jc w:val="left"/>
              <w:rPr>
                <w:rFonts w:ascii="宋体" w:hAnsi="宋体" w:cs="宋体" w:eastAsia="宋体" w:hint="default"/>
                <w:sz w:val="21"/>
                <w:szCs w:val="21"/>
              </w:rPr>
            </w:pPr>
            <w:r>
              <w:rPr>
                <w:rFonts w:ascii="宋体" w:hAnsi="宋体" w:cs="宋体" w:eastAsia="宋体" w:hint="default"/>
                <w:sz w:val="21"/>
                <w:szCs w:val="21"/>
              </w:rPr>
              <w:t>智慧执法管理信息系统【简称：智慧执法】</w:t>
            </w:r>
            <w:r>
              <w:rPr>
                <w:rFonts w:ascii="宋体" w:hAnsi="宋体" w:cs="宋体" w:eastAsia="宋体" w:hint="default"/>
                <w:sz w:val="21"/>
                <w:szCs w:val="21"/>
              </w:rPr>
              <w:t>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2018.12.27</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3" w:right="0"/>
              <w:jc w:val="center"/>
              <w:rPr>
                <w:rFonts w:ascii="宋体" w:hAnsi="宋体" w:cs="宋体" w:eastAsia="宋体" w:hint="default"/>
                <w:sz w:val="21"/>
                <w:szCs w:val="21"/>
              </w:rPr>
            </w:pPr>
            <w:r>
              <w:rPr>
                <w:rFonts w:ascii="宋体"/>
                <w:sz w:val="21"/>
              </w:rPr>
              <w:t>2018SR1078760</w:t>
            </w:r>
          </w:p>
        </w:tc>
      </w:tr>
      <w:tr>
        <w:trPr>
          <w:trHeight w:val="506"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4" w:right="0"/>
              <w:jc w:val="left"/>
              <w:rPr>
                <w:rFonts w:ascii="宋体" w:hAnsi="宋体" w:cs="宋体" w:eastAsia="宋体" w:hint="default"/>
                <w:sz w:val="21"/>
                <w:szCs w:val="21"/>
              </w:rPr>
            </w:pPr>
            <w:r>
              <w:rPr>
                <w:rFonts w:ascii="宋体" w:hAnsi="宋体" w:cs="宋体" w:eastAsia="宋体" w:hint="default"/>
                <w:sz w:val="21"/>
                <w:szCs w:val="21"/>
              </w:rPr>
              <w:t>智慧环卫管理信息系统</w:t>
            </w:r>
            <w:r>
              <w:rPr>
                <w:rFonts w:ascii="宋体" w:hAnsi="宋体" w:cs="宋体" w:eastAsia="宋体" w:hint="default"/>
                <w:sz w:val="21"/>
                <w:szCs w:val="21"/>
              </w:rPr>
              <w:t>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sz w:val="21"/>
              </w:rPr>
              <w:t>2018.12.26</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3" w:right="0"/>
              <w:jc w:val="center"/>
              <w:rPr>
                <w:rFonts w:ascii="宋体" w:hAnsi="宋体" w:cs="宋体" w:eastAsia="宋体" w:hint="default"/>
                <w:sz w:val="21"/>
                <w:szCs w:val="21"/>
              </w:rPr>
            </w:pPr>
            <w:r>
              <w:rPr>
                <w:rFonts w:ascii="宋体"/>
                <w:sz w:val="21"/>
              </w:rPr>
              <w:t>2018SR1071815</w:t>
            </w:r>
          </w:p>
        </w:tc>
      </w:tr>
      <w:tr>
        <w:trPr>
          <w:trHeight w:val="506"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4" w:right="0"/>
              <w:jc w:val="left"/>
              <w:rPr>
                <w:rFonts w:ascii="宋体" w:hAnsi="宋体" w:cs="宋体" w:eastAsia="宋体" w:hint="default"/>
                <w:sz w:val="21"/>
                <w:szCs w:val="21"/>
              </w:rPr>
            </w:pPr>
            <w:r>
              <w:rPr>
                <w:rFonts w:ascii="宋体" w:hAnsi="宋体" w:cs="宋体" w:eastAsia="宋体" w:hint="default"/>
                <w:sz w:val="21"/>
                <w:szCs w:val="21"/>
              </w:rPr>
              <w:t>智慧市政综合监管平台</w:t>
            </w:r>
            <w:r>
              <w:rPr>
                <w:rFonts w:ascii="宋体" w:hAnsi="宋体" w:cs="宋体" w:eastAsia="宋体" w:hint="default"/>
                <w:sz w:val="21"/>
                <w:szCs w:val="21"/>
              </w:rPr>
              <w:t>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sz w:val="21"/>
              </w:rPr>
              <w:t>2018.12.27</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3" w:right="0"/>
              <w:jc w:val="center"/>
              <w:rPr>
                <w:rFonts w:ascii="宋体" w:hAnsi="宋体" w:cs="宋体" w:eastAsia="宋体" w:hint="default"/>
                <w:sz w:val="21"/>
                <w:szCs w:val="21"/>
              </w:rPr>
            </w:pPr>
            <w:r>
              <w:rPr>
                <w:rFonts w:ascii="宋体"/>
                <w:sz w:val="21"/>
              </w:rPr>
              <w:t>2018SR1078755</w:t>
            </w:r>
          </w:p>
        </w:tc>
      </w:tr>
      <w:tr>
        <w:trPr>
          <w:trHeight w:val="506"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4" w:right="0"/>
              <w:jc w:val="left"/>
              <w:rPr>
                <w:rFonts w:ascii="宋体" w:hAnsi="宋体" w:cs="宋体" w:eastAsia="宋体" w:hint="default"/>
                <w:sz w:val="21"/>
                <w:szCs w:val="21"/>
              </w:rPr>
            </w:pPr>
            <w:r>
              <w:rPr>
                <w:rFonts w:ascii="宋体" w:hAnsi="宋体" w:cs="宋体" w:eastAsia="宋体" w:hint="default"/>
                <w:sz w:val="21"/>
                <w:szCs w:val="21"/>
              </w:rPr>
              <w:t>智慧环保管理信息系统【简称：</w:t>
            </w:r>
            <w:r>
              <w:rPr>
                <w:rFonts w:ascii="宋体" w:hAnsi="宋体" w:cs="宋体" w:eastAsia="宋体" w:hint="default"/>
                <w:sz w:val="21"/>
                <w:szCs w:val="21"/>
              </w:rPr>
              <w:t>eGovaEP</w:t>
            </w:r>
            <w:r>
              <w:rPr>
                <w:rFonts w:ascii="宋体" w:hAnsi="宋体" w:cs="宋体" w:eastAsia="宋体" w:hint="default"/>
                <w:sz w:val="21"/>
                <w:szCs w:val="21"/>
              </w:rPr>
              <w:t>】</w:t>
            </w:r>
            <w:r>
              <w:rPr>
                <w:rFonts w:ascii="宋体" w:hAnsi="宋体" w:cs="宋体" w:eastAsia="宋体" w:hint="default"/>
                <w:sz w:val="21"/>
                <w:szCs w:val="21"/>
              </w:rPr>
              <w:t>V3.0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2018.12.26</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3" w:right="0"/>
              <w:jc w:val="center"/>
              <w:rPr>
                <w:rFonts w:ascii="宋体" w:hAnsi="宋体" w:cs="宋体" w:eastAsia="宋体" w:hint="default"/>
                <w:sz w:val="21"/>
                <w:szCs w:val="21"/>
              </w:rPr>
            </w:pPr>
            <w:r>
              <w:rPr>
                <w:rFonts w:ascii="宋体"/>
                <w:sz w:val="21"/>
              </w:rPr>
              <w:t>2018SR1074326</w:t>
            </w:r>
          </w:p>
        </w:tc>
      </w:tr>
      <w:tr>
        <w:trPr>
          <w:trHeight w:val="821"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40"/>
              <w:ind w:left="4" w:right="-2"/>
              <w:jc w:val="left"/>
              <w:rPr>
                <w:rFonts w:ascii="宋体" w:hAnsi="宋体" w:cs="宋体" w:eastAsia="宋体" w:hint="default"/>
                <w:sz w:val="21"/>
                <w:szCs w:val="21"/>
              </w:rPr>
            </w:pPr>
            <w:r>
              <w:rPr>
                <w:rFonts w:ascii="宋体" w:hAnsi="宋体" w:cs="宋体" w:eastAsia="宋体" w:hint="default"/>
                <w:spacing w:val="8"/>
                <w:sz w:val="21"/>
                <w:szCs w:val="21"/>
              </w:rPr>
              <w:t>数字智通警务云智能情报分析系统软件</w:t>
            </w:r>
            <w:r>
              <w:rPr>
                <w:rFonts w:ascii="宋体" w:hAnsi="宋体" w:cs="宋体" w:eastAsia="宋体" w:hint="default"/>
                <w:spacing w:val="8"/>
                <w:sz w:val="21"/>
                <w:szCs w:val="21"/>
              </w:rPr>
              <w:t>[</w:t>
            </w:r>
            <w:r>
              <w:rPr>
                <w:rFonts w:ascii="宋体" w:hAnsi="宋体" w:cs="宋体" w:eastAsia="宋体" w:hint="default"/>
                <w:spacing w:val="8"/>
                <w:sz w:val="21"/>
                <w:szCs w:val="21"/>
              </w:rPr>
              <w:t>简称：</w:t>
            </w:r>
            <w:r>
              <w:rPr>
                <w:rFonts w:ascii="宋体" w:hAnsi="宋体" w:cs="宋体" w:eastAsia="宋体" w:hint="default"/>
                <w:spacing w:val="-51"/>
                <w:sz w:val="21"/>
                <w:szCs w:val="21"/>
              </w:rPr>
              <w:t> </w:t>
            </w:r>
            <w:r>
              <w:rPr>
                <w:rFonts w:ascii="宋体" w:hAnsi="宋体" w:cs="宋体" w:eastAsia="宋体" w:hint="default"/>
                <w:spacing w:val="-51"/>
                <w:sz w:val="21"/>
                <w:szCs w:val="21"/>
              </w:rPr>
            </w:r>
            <w:r>
              <w:rPr>
                <w:rFonts w:ascii="宋体" w:hAnsi="宋体" w:cs="宋体" w:eastAsia="宋体" w:hint="default"/>
                <w:sz w:val="21"/>
                <w:szCs w:val="21"/>
              </w:rPr>
              <w:t>ZT-PCIA]V1.0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2018.10.19</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3" w:right="0"/>
              <w:jc w:val="center"/>
              <w:rPr>
                <w:rFonts w:ascii="宋体" w:hAnsi="宋体" w:cs="宋体" w:eastAsia="宋体" w:hint="default"/>
                <w:sz w:val="21"/>
                <w:szCs w:val="21"/>
              </w:rPr>
            </w:pPr>
            <w:r>
              <w:rPr>
                <w:rFonts w:ascii="宋体"/>
                <w:sz w:val="21"/>
              </w:rPr>
              <w:t>2015SR038343</w:t>
            </w:r>
          </w:p>
        </w:tc>
      </w:tr>
      <w:tr>
        <w:trPr>
          <w:trHeight w:val="506"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4" w:right="0"/>
              <w:jc w:val="left"/>
              <w:rPr>
                <w:rFonts w:ascii="宋体" w:hAnsi="宋体" w:cs="宋体" w:eastAsia="宋体" w:hint="default"/>
                <w:sz w:val="21"/>
                <w:szCs w:val="21"/>
              </w:rPr>
            </w:pPr>
            <w:r>
              <w:rPr>
                <w:rFonts w:ascii="宋体" w:hAnsi="宋体" w:cs="宋体" w:eastAsia="宋体" w:hint="default"/>
                <w:sz w:val="21"/>
                <w:szCs w:val="21"/>
              </w:rPr>
              <w:t>GDInfo</w:t>
            </w:r>
            <w:r>
              <w:rPr>
                <w:rFonts w:ascii="宋体" w:hAnsi="宋体" w:cs="宋体" w:eastAsia="宋体" w:hint="default"/>
                <w:sz w:val="21"/>
                <w:szCs w:val="21"/>
              </w:rPr>
              <w:t>电厂管线信息管理系统</w:t>
            </w:r>
            <w:r>
              <w:rPr>
                <w:rFonts w:ascii="宋体" w:hAnsi="宋体" w:cs="宋体" w:eastAsia="宋体" w:hint="default"/>
                <w:sz w:val="21"/>
                <w:szCs w:val="21"/>
              </w:rPr>
              <w:t>V6.0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sz w:val="21"/>
              </w:rPr>
              <w:t>2018.05.03</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3" w:right="0"/>
              <w:jc w:val="center"/>
              <w:rPr>
                <w:rFonts w:ascii="宋体" w:hAnsi="宋体" w:cs="宋体" w:eastAsia="宋体" w:hint="default"/>
                <w:sz w:val="21"/>
                <w:szCs w:val="21"/>
              </w:rPr>
            </w:pPr>
            <w:r>
              <w:rPr>
                <w:rFonts w:ascii="宋体"/>
                <w:sz w:val="21"/>
              </w:rPr>
              <w:t>2018SR299164</w:t>
            </w:r>
          </w:p>
        </w:tc>
      </w:tr>
      <w:tr>
        <w:trPr>
          <w:trHeight w:val="507"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4" w:right="0"/>
              <w:jc w:val="left"/>
              <w:rPr>
                <w:rFonts w:ascii="宋体" w:hAnsi="宋体" w:cs="宋体" w:eastAsia="宋体" w:hint="default"/>
                <w:sz w:val="21"/>
                <w:szCs w:val="21"/>
              </w:rPr>
            </w:pPr>
            <w:r>
              <w:rPr>
                <w:rFonts w:ascii="宋体" w:hAnsi="宋体" w:cs="宋体" w:eastAsia="宋体" w:hint="default"/>
                <w:sz w:val="21"/>
                <w:szCs w:val="21"/>
              </w:rPr>
              <w:t>GDInfo</w:t>
            </w:r>
            <w:r>
              <w:rPr>
                <w:rFonts w:ascii="宋体" w:hAnsi="宋体" w:cs="宋体" w:eastAsia="宋体" w:hint="default"/>
                <w:sz w:val="21"/>
                <w:szCs w:val="21"/>
              </w:rPr>
              <w:t>校园管线信息管理系统</w:t>
            </w:r>
            <w:r>
              <w:rPr>
                <w:rFonts w:ascii="宋体" w:hAnsi="宋体" w:cs="宋体" w:eastAsia="宋体" w:hint="default"/>
                <w:sz w:val="21"/>
                <w:szCs w:val="21"/>
              </w:rPr>
              <w:t>V6.0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sz w:val="21"/>
              </w:rPr>
              <w:t>2018.05.03</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3" w:right="0"/>
              <w:jc w:val="center"/>
              <w:rPr>
                <w:rFonts w:ascii="宋体" w:hAnsi="宋体" w:cs="宋体" w:eastAsia="宋体" w:hint="default"/>
                <w:sz w:val="21"/>
                <w:szCs w:val="21"/>
              </w:rPr>
            </w:pPr>
            <w:r>
              <w:rPr>
                <w:rFonts w:ascii="宋体"/>
                <w:sz w:val="21"/>
              </w:rPr>
              <w:t>2018SR300209</w:t>
            </w:r>
          </w:p>
        </w:tc>
      </w:tr>
      <w:tr>
        <w:trPr>
          <w:trHeight w:val="506"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4" w:right="0"/>
              <w:jc w:val="left"/>
              <w:rPr>
                <w:rFonts w:ascii="宋体" w:hAnsi="宋体" w:cs="宋体" w:eastAsia="宋体" w:hint="default"/>
                <w:sz w:val="21"/>
                <w:szCs w:val="21"/>
              </w:rPr>
            </w:pPr>
            <w:r>
              <w:rPr>
                <w:rFonts w:ascii="宋体" w:hAnsi="宋体" w:cs="宋体" w:eastAsia="宋体" w:hint="default"/>
                <w:sz w:val="21"/>
                <w:szCs w:val="21"/>
              </w:rPr>
              <w:t>GDInfo</w:t>
            </w:r>
            <w:r>
              <w:rPr>
                <w:rFonts w:ascii="宋体" w:hAnsi="宋体" w:cs="宋体" w:eastAsia="宋体" w:hint="default"/>
                <w:sz w:val="21"/>
                <w:szCs w:val="21"/>
              </w:rPr>
              <w:t>管线规划审批系统</w:t>
            </w:r>
            <w:r>
              <w:rPr>
                <w:rFonts w:ascii="宋体" w:hAnsi="宋体" w:cs="宋体" w:eastAsia="宋体" w:hint="default"/>
                <w:sz w:val="21"/>
                <w:szCs w:val="21"/>
              </w:rPr>
              <w:t>V2.0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2018.11.20</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3" w:right="0"/>
              <w:jc w:val="center"/>
              <w:rPr>
                <w:rFonts w:ascii="宋体" w:hAnsi="宋体" w:cs="宋体" w:eastAsia="宋体" w:hint="default"/>
                <w:sz w:val="21"/>
                <w:szCs w:val="21"/>
              </w:rPr>
            </w:pPr>
            <w:r>
              <w:rPr>
                <w:rFonts w:ascii="宋体"/>
                <w:sz w:val="21"/>
              </w:rPr>
              <w:t>2018SR926222</w:t>
            </w:r>
          </w:p>
        </w:tc>
      </w:tr>
      <w:tr>
        <w:trPr>
          <w:trHeight w:val="509"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4" w:right="0"/>
              <w:jc w:val="left"/>
              <w:rPr>
                <w:rFonts w:ascii="宋体" w:hAnsi="宋体" w:cs="宋体" w:eastAsia="宋体" w:hint="default"/>
                <w:sz w:val="21"/>
                <w:szCs w:val="21"/>
              </w:rPr>
            </w:pPr>
            <w:r>
              <w:rPr>
                <w:rFonts w:ascii="宋体" w:hAnsi="宋体" w:cs="宋体" w:eastAsia="宋体" w:hint="default"/>
                <w:sz w:val="21"/>
                <w:szCs w:val="21"/>
              </w:rPr>
              <w:t>GDInfo</w:t>
            </w:r>
            <w:r>
              <w:rPr>
                <w:rFonts w:ascii="宋体" w:hAnsi="宋体" w:cs="宋体" w:eastAsia="宋体" w:hint="default"/>
                <w:sz w:val="21"/>
                <w:szCs w:val="21"/>
              </w:rPr>
              <w:t>管网运行监管系统</w:t>
            </w:r>
            <w:r>
              <w:rPr>
                <w:rFonts w:ascii="宋体" w:hAnsi="宋体" w:cs="宋体" w:eastAsia="宋体" w:hint="default"/>
                <w:sz w:val="21"/>
                <w:szCs w:val="21"/>
              </w:rPr>
              <w:t>V2.0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2018.11.20</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3" w:right="0"/>
              <w:jc w:val="center"/>
              <w:rPr>
                <w:rFonts w:ascii="宋体" w:hAnsi="宋体" w:cs="宋体" w:eastAsia="宋体" w:hint="default"/>
                <w:sz w:val="21"/>
                <w:szCs w:val="21"/>
              </w:rPr>
            </w:pPr>
            <w:r>
              <w:rPr>
                <w:rFonts w:ascii="宋体"/>
                <w:sz w:val="21"/>
              </w:rPr>
              <w:t>2018SR926218</w:t>
            </w:r>
          </w:p>
        </w:tc>
      </w:tr>
      <w:tr>
        <w:trPr>
          <w:trHeight w:val="506"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4" w:right="0"/>
              <w:jc w:val="left"/>
              <w:rPr>
                <w:rFonts w:ascii="宋体" w:hAnsi="宋体" w:cs="宋体" w:eastAsia="宋体" w:hint="default"/>
                <w:sz w:val="21"/>
                <w:szCs w:val="21"/>
              </w:rPr>
            </w:pPr>
            <w:r>
              <w:rPr>
                <w:rFonts w:ascii="宋体" w:hAnsi="宋体" w:cs="宋体" w:eastAsia="宋体" w:hint="default"/>
                <w:sz w:val="21"/>
                <w:szCs w:val="21"/>
              </w:rPr>
              <w:t>GDInfo</w:t>
            </w:r>
            <w:r>
              <w:rPr>
                <w:rFonts w:ascii="宋体" w:hAnsi="宋体" w:cs="宋体" w:eastAsia="宋体" w:hint="default"/>
                <w:sz w:val="21"/>
                <w:szCs w:val="21"/>
              </w:rPr>
              <w:t>智慧工厂软件</w:t>
            </w:r>
            <w:r>
              <w:rPr>
                <w:rFonts w:ascii="宋体" w:hAnsi="宋体" w:cs="宋体" w:eastAsia="宋体" w:hint="default"/>
                <w:sz w:val="21"/>
                <w:szCs w:val="21"/>
              </w:rPr>
              <w:t>V2.0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sz w:val="21"/>
              </w:rPr>
              <w:t>2018.12.28</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3" w:right="0"/>
              <w:jc w:val="center"/>
              <w:rPr>
                <w:rFonts w:ascii="宋体" w:hAnsi="宋体" w:cs="宋体" w:eastAsia="宋体" w:hint="default"/>
                <w:sz w:val="21"/>
                <w:szCs w:val="21"/>
              </w:rPr>
            </w:pPr>
            <w:r>
              <w:rPr>
                <w:rFonts w:ascii="宋体"/>
                <w:sz w:val="21"/>
              </w:rPr>
              <w:t>2018SR1088551</w:t>
            </w:r>
          </w:p>
        </w:tc>
      </w:tr>
      <w:tr>
        <w:trPr>
          <w:trHeight w:val="506"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4" w:right="0"/>
              <w:jc w:val="left"/>
              <w:rPr>
                <w:rFonts w:ascii="宋体" w:hAnsi="宋体" w:cs="宋体" w:eastAsia="宋体" w:hint="default"/>
                <w:sz w:val="21"/>
                <w:szCs w:val="21"/>
              </w:rPr>
            </w:pPr>
            <w:r>
              <w:rPr>
                <w:rFonts w:ascii="宋体" w:hAnsi="宋体" w:cs="宋体" w:eastAsia="宋体" w:hint="default"/>
                <w:sz w:val="21"/>
                <w:szCs w:val="21"/>
              </w:rPr>
              <w:t>GDInfo</w:t>
            </w:r>
            <w:r>
              <w:rPr>
                <w:rFonts w:ascii="宋体" w:hAnsi="宋体" w:cs="宋体" w:eastAsia="宋体" w:hint="default"/>
                <w:sz w:val="21"/>
                <w:szCs w:val="21"/>
              </w:rPr>
              <w:t>管线生命全周期管理系统</w:t>
            </w:r>
            <w:r>
              <w:rPr>
                <w:rFonts w:ascii="宋体" w:hAnsi="宋体" w:cs="宋体" w:eastAsia="宋体" w:hint="default"/>
                <w:sz w:val="21"/>
                <w:szCs w:val="21"/>
              </w:rPr>
              <w:t>V2.0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sz w:val="21"/>
              </w:rPr>
              <w:t>2018.12.28</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3" w:right="0"/>
              <w:jc w:val="center"/>
              <w:rPr>
                <w:rFonts w:ascii="宋体" w:hAnsi="宋体" w:cs="宋体" w:eastAsia="宋体" w:hint="default"/>
                <w:sz w:val="21"/>
                <w:szCs w:val="21"/>
              </w:rPr>
            </w:pPr>
            <w:r>
              <w:rPr>
                <w:rFonts w:ascii="宋体"/>
                <w:sz w:val="21"/>
              </w:rPr>
              <w:t>2018SR1088551</w:t>
            </w:r>
          </w:p>
        </w:tc>
      </w:tr>
      <w:tr>
        <w:trPr>
          <w:trHeight w:val="506"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4" w:right="0"/>
              <w:jc w:val="left"/>
              <w:rPr>
                <w:rFonts w:ascii="宋体" w:hAnsi="宋体" w:cs="宋体" w:eastAsia="宋体" w:hint="default"/>
                <w:sz w:val="21"/>
                <w:szCs w:val="21"/>
              </w:rPr>
            </w:pPr>
            <w:r>
              <w:rPr>
                <w:rFonts w:ascii="宋体" w:hAnsi="宋体" w:cs="宋体" w:eastAsia="宋体" w:hint="default"/>
                <w:sz w:val="21"/>
                <w:szCs w:val="21"/>
              </w:rPr>
              <w:t>JD</w:t>
            </w:r>
            <w:r>
              <w:rPr>
                <w:rFonts w:ascii="宋体" w:hAnsi="宋体" w:cs="宋体" w:eastAsia="宋体" w:hint="default"/>
                <w:sz w:val="21"/>
                <w:szCs w:val="21"/>
              </w:rPr>
              <w:t>推杆式管道电视检测仪控制软件</w:t>
            </w:r>
            <w:r>
              <w:rPr>
                <w:rFonts w:ascii="宋体" w:hAnsi="宋体" w:cs="宋体" w:eastAsia="宋体" w:hint="default"/>
                <w:sz w:val="21"/>
                <w:szCs w:val="21"/>
              </w:rPr>
              <w:t>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2018.05.09</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3" w:right="0"/>
              <w:jc w:val="center"/>
              <w:rPr>
                <w:rFonts w:ascii="宋体" w:hAnsi="宋体" w:cs="宋体" w:eastAsia="宋体" w:hint="default"/>
                <w:sz w:val="21"/>
                <w:szCs w:val="21"/>
              </w:rPr>
            </w:pPr>
            <w:r>
              <w:rPr>
                <w:rFonts w:ascii="宋体"/>
                <w:sz w:val="21"/>
              </w:rPr>
              <w:t>2018SR320072</w:t>
            </w:r>
          </w:p>
        </w:tc>
      </w:tr>
      <w:tr>
        <w:trPr>
          <w:trHeight w:val="509"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4" w:right="0"/>
              <w:jc w:val="left"/>
              <w:rPr>
                <w:rFonts w:ascii="宋体" w:hAnsi="宋体" w:cs="宋体" w:eastAsia="宋体" w:hint="default"/>
                <w:sz w:val="21"/>
                <w:szCs w:val="21"/>
              </w:rPr>
            </w:pPr>
            <w:r>
              <w:rPr>
                <w:rFonts w:ascii="宋体" w:hAnsi="宋体" w:cs="宋体" w:eastAsia="宋体" w:hint="default"/>
                <w:sz w:val="21"/>
                <w:szCs w:val="21"/>
              </w:rPr>
              <w:t>JD</w:t>
            </w:r>
            <w:r>
              <w:rPr>
                <w:rFonts w:ascii="宋体" w:hAnsi="宋体" w:cs="宋体" w:eastAsia="宋体" w:hint="default"/>
                <w:sz w:val="21"/>
                <w:szCs w:val="21"/>
              </w:rPr>
              <w:t>推杆式管道电视检测仪嵌入式软件</w:t>
            </w:r>
            <w:r>
              <w:rPr>
                <w:rFonts w:ascii="宋体" w:hAnsi="宋体" w:cs="宋体" w:eastAsia="宋体" w:hint="default"/>
                <w:sz w:val="21"/>
                <w:szCs w:val="21"/>
              </w:rPr>
              <w:t>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sz w:val="21"/>
              </w:rPr>
              <w:t>2018.05.09</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0"/>
              <w:ind w:left="3" w:right="0"/>
              <w:jc w:val="center"/>
              <w:rPr>
                <w:rFonts w:ascii="宋体" w:hAnsi="宋体" w:cs="宋体" w:eastAsia="宋体" w:hint="default"/>
                <w:sz w:val="21"/>
                <w:szCs w:val="21"/>
              </w:rPr>
            </w:pPr>
            <w:r>
              <w:rPr>
                <w:rFonts w:ascii="宋体"/>
                <w:sz w:val="21"/>
              </w:rPr>
              <w:t>2018SR320061</w:t>
            </w:r>
          </w:p>
        </w:tc>
      </w:tr>
      <w:tr>
        <w:trPr>
          <w:trHeight w:val="507" w:hRule="exact"/>
        </w:trPr>
        <w:tc>
          <w:tcPr>
            <w:tcW w:w="4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4" w:right="0"/>
              <w:jc w:val="left"/>
              <w:rPr>
                <w:rFonts w:ascii="宋体" w:hAnsi="宋体" w:cs="宋体" w:eastAsia="宋体" w:hint="default"/>
                <w:sz w:val="21"/>
                <w:szCs w:val="21"/>
              </w:rPr>
            </w:pPr>
            <w:r>
              <w:rPr>
                <w:rFonts w:ascii="宋体" w:hAnsi="宋体" w:cs="宋体" w:eastAsia="宋体" w:hint="default"/>
                <w:sz w:val="21"/>
                <w:szCs w:val="21"/>
              </w:rPr>
              <w:t>JD</w:t>
            </w:r>
            <w:r>
              <w:rPr>
                <w:rFonts w:ascii="宋体" w:hAnsi="宋体" w:cs="宋体" w:eastAsia="宋体" w:hint="default"/>
                <w:sz w:val="21"/>
                <w:szCs w:val="21"/>
              </w:rPr>
              <w:t>风电叶片内窥机器人嵌入式软件</w:t>
            </w:r>
            <w:r>
              <w:rPr>
                <w:rFonts w:ascii="宋体" w:hAnsi="宋体" w:cs="宋体" w:eastAsia="宋体" w:hint="default"/>
                <w:sz w:val="21"/>
                <w:szCs w:val="21"/>
              </w:rPr>
              <w:t>v1.0</w:t>
            </w:r>
          </w:p>
        </w:tc>
        <w:tc>
          <w:tcPr>
            <w:tcW w:w="2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sz w:val="21"/>
              </w:rPr>
              <w:t>2018.06.06</w:t>
            </w:r>
          </w:p>
        </w:tc>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left="3" w:right="0"/>
              <w:jc w:val="center"/>
              <w:rPr>
                <w:rFonts w:ascii="宋体" w:hAnsi="宋体" w:cs="宋体" w:eastAsia="宋体" w:hint="default"/>
                <w:sz w:val="21"/>
                <w:szCs w:val="21"/>
              </w:rPr>
            </w:pPr>
            <w:r>
              <w:rPr>
                <w:rFonts w:ascii="宋体"/>
                <w:sz w:val="21"/>
              </w:rPr>
              <w:t>2018SR387139</w:t>
            </w:r>
          </w:p>
        </w:tc>
      </w:tr>
    </w:tbl>
    <w:p>
      <w:pPr>
        <w:pStyle w:val="BodyText"/>
        <w:spacing w:line="240" w:lineRule="auto" w:before="39"/>
        <w:ind w:left="633" w:right="982"/>
        <w:jc w:val="left"/>
      </w:pPr>
      <w:r>
        <w:rPr/>
        <w:t>报告期内，公司取得多项专利，具体如下：</w:t>
      </w:r>
    </w:p>
    <w:p>
      <w:pPr>
        <w:spacing w:line="240" w:lineRule="auto" w:before="10"/>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537"/>
        <w:gridCol w:w="2696"/>
        <w:gridCol w:w="2549"/>
      </w:tblGrid>
      <w:tr>
        <w:trPr>
          <w:trHeight w:val="425" w:hRule="exact"/>
        </w:trPr>
        <w:tc>
          <w:tcPr>
            <w:tcW w:w="4537"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40"/>
              <w:ind w:left="7" w:right="0"/>
              <w:jc w:val="center"/>
              <w:rPr>
                <w:rFonts w:ascii="宋体" w:hAnsi="宋体" w:cs="宋体" w:eastAsia="宋体" w:hint="default"/>
                <w:sz w:val="21"/>
                <w:szCs w:val="21"/>
              </w:rPr>
            </w:pPr>
            <w:r>
              <w:rPr>
                <w:rFonts w:ascii="宋体" w:hAnsi="宋体" w:cs="宋体" w:eastAsia="宋体" w:hint="default"/>
                <w:b/>
                <w:bCs/>
                <w:sz w:val="21"/>
                <w:szCs w:val="21"/>
              </w:rPr>
              <w:t>软件名称</w:t>
            </w:r>
            <w:r>
              <w:rPr>
                <w:rFonts w:ascii="宋体" w:hAnsi="宋体" w:cs="宋体" w:eastAsia="宋体" w:hint="default"/>
                <w:sz w:val="21"/>
                <w:szCs w:val="21"/>
              </w:rPr>
            </w:r>
          </w:p>
        </w:tc>
        <w:tc>
          <w:tcPr>
            <w:tcW w:w="2696"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40"/>
              <w:ind w:left="2" w:right="0"/>
              <w:jc w:val="center"/>
              <w:rPr>
                <w:rFonts w:ascii="宋体" w:hAnsi="宋体" w:cs="宋体" w:eastAsia="宋体" w:hint="default"/>
                <w:sz w:val="21"/>
                <w:szCs w:val="21"/>
              </w:rPr>
            </w:pPr>
            <w:r>
              <w:rPr>
                <w:rFonts w:ascii="宋体" w:hAnsi="宋体" w:cs="宋体" w:eastAsia="宋体" w:hint="default"/>
                <w:b/>
                <w:bCs/>
                <w:sz w:val="21"/>
                <w:szCs w:val="21"/>
              </w:rPr>
              <w:t>授权日期</w:t>
            </w:r>
            <w:r>
              <w:rPr>
                <w:rFonts w:ascii="宋体" w:hAnsi="宋体" w:cs="宋体" w:eastAsia="宋体" w:hint="default"/>
                <w:sz w:val="21"/>
                <w:szCs w:val="21"/>
              </w:rPr>
            </w:r>
          </w:p>
        </w:tc>
        <w:tc>
          <w:tcPr>
            <w:tcW w:w="2549"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40"/>
              <w:ind w:right="0"/>
              <w:jc w:val="center"/>
              <w:rPr>
                <w:rFonts w:ascii="宋体" w:hAnsi="宋体" w:cs="宋体" w:eastAsia="宋体" w:hint="default"/>
                <w:sz w:val="21"/>
                <w:szCs w:val="21"/>
              </w:rPr>
            </w:pPr>
            <w:r>
              <w:rPr>
                <w:rFonts w:ascii="宋体" w:hAnsi="宋体" w:cs="宋体" w:eastAsia="宋体" w:hint="default"/>
                <w:b/>
                <w:bCs/>
                <w:sz w:val="21"/>
                <w:szCs w:val="21"/>
              </w:rPr>
              <w:t>专利号</w:t>
            </w:r>
            <w:r>
              <w:rPr>
                <w:rFonts w:ascii="宋体" w:hAnsi="宋体" w:cs="宋体" w:eastAsia="宋体" w:hint="default"/>
                <w:sz w:val="21"/>
                <w:szCs w:val="21"/>
              </w:rPr>
            </w:r>
          </w:p>
        </w:tc>
      </w:tr>
      <w:tr>
        <w:trPr>
          <w:trHeight w:val="497" w:hRule="exact"/>
        </w:trPr>
        <w:tc>
          <w:tcPr>
            <w:tcW w:w="4537"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8"/>
              <w:ind w:left="7" w:right="0"/>
              <w:jc w:val="left"/>
              <w:rPr>
                <w:rFonts w:ascii="宋体" w:hAnsi="宋体" w:cs="宋体" w:eastAsia="宋体" w:hint="default"/>
                <w:sz w:val="21"/>
                <w:szCs w:val="21"/>
              </w:rPr>
            </w:pPr>
            <w:r>
              <w:rPr>
                <w:rFonts w:ascii="宋体" w:hAnsi="宋体" w:cs="宋体" w:eastAsia="宋体" w:hint="default"/>
                <w:sz w:val="21"/>
                <w:szCs w:val="21"/>
              </w:rPr>
              <w:t>一种用于检测排水管道内部缺陷的综合检测装置</w:t>
            </w:r>
          </w:p>
        </w:tc>
        <w:tc>
          <w:tcPr>
            <w:tcW w:w="2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5" w:right="0"/>
              <w:jc w:val="center"/>
              <w:rPr>
                <w:rFonts w:ascii="宋体" w:hAnsi="宋体" w:cs="宋体" w:eastAsia="宋体" w:hint="default"/>
                <w:sz w:val="21"/>
                <w:szCs w:val="21"/>
              </w:rPr>
            </w:pPr>
            <w:r>
              <w:rPr>
                <w:rFonts w:ascii="宋体"/>
                <w:sz w:val="21"/>
              </w:rPr>
              <w:t>2018.02.23</w:t>
            </w:r>
          </w:p>
        </w:tc>
        <w:tc>
          <w:tcPr>
            <w:tcW w:w="25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sz w:val="21"/>
              </w:rPr>
              <w:t>ZL2014 1</w:t>
            </w:r>
            <w:r>
              <w:rPr>
                <w:rFonts w:ascii="宋体"/>
                <w:spacing w:val="1"/>
                <w:sz w:val="21"/>
              </w:rPr>
              <w:t> </w:t>
            </w:r>
            <w:r>
              <w:rPr>
                <w:rFonts w:ascii="宋体"/>
                <w:sz w:val="21"/>
              </w:rPr>
              <w:t>0630022.6</w:t>
            </w:r>
          </w:p>
        </w:tc>
      </w:tr>
      <w:tr>
        <w:trPr>
          <w:trHeight w:val="497" w:hRule="exact"/>
        </w:trPr>
        <w:tc>
          <w:tcPr>
            <w:tcW w:w="4537"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8"/>
              <w:ind w:left="7" w:right="0"/>
              <w:jc w:val="left"/>
              <w:rPr>
                <w:rFonts w:ascii="宋体" w:hAnsi="宋体" w:cs="宋体" w:eastAsia="宋体" w:hint="default"/>
                <w:sz w:val="21"/>
                <w:szCs w:val="21"/>
              </w:rPr>
            </w:pPr>
            <w:r>
              <w:rPr>
                <w:rFonts w:ascii="宋体" w:hAnsi="宋体" w:cs="宋体" w:eastAsia="宋体" w:hint="default"/>
                <w:sz w:val="21"/>
                <w:szCs w:val="21"/>
              </w:rPr>
              <w:t>推杆式管道电视检测仪电缆架</w:t>
            </w:r>
          </w:p>
        </w:tc>
        <w:tc>
          <w:tcPr>
            <w:tcW w:w="2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5" w:right="0"/>
              <w:jc w:val="center"/>
              <w:rPr>
                <w:rFonts w:ascii="宋体" w:hAnsi="宋体" w:cs="宋体" w:eastAsia="宋体" w:hint="default"/>
                <w:sz w:val="21"/>
                <w:szCs w:val="21"/>
              </w:rPr>
            </w:pPr>
            <w:r>
              <w:rPr>
                <w:rFonts w:ascii="宋体"/>
                <w:sz w:val="21"/>
              </w:rPr>
              <w:t>2018.04.13</w:t>
            </w:r>
          </w:p>
        </w:tc>
        <w:tc>
          <w:tcPr>
            <w:tcW w:w="25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sz w:val="21"/>
              </w:rPr>
              <w:t>ZL201721107992.3</w:t>
            </w:r>
          </w:p>
        </w:tc>
      </w:tr>
      <w:tr>
        <w:trPr>
          <w:trHeight w:val="497" w:hRule="exact"/>
        </w:trPr>
        <w:tc>
          <w:tcPr>
            <w:tcW w:w="4537"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8"/>
              <w:ind w:left="7" w:right="0"/>
              <w:jc w:val="left"/>
              <w:rPr>
                <w:rFonts w:ascii="宋体" w:hAnsi="宋体" w:cs="宋体" w:eastAsia="宋体" w:hint="default"/>
                <w:sz w:val="21"/>
                <w:szCs w:val="21"/>
              </w:rPr>
            </w:pPr>
            <w:r>
              <w:rPr>
                <w:rFonts w:ascii="宋体" w:hAnsi="宋体" w:cs="宋体" w:eastAsia="宋体" w:hint="default"/>
                <w:sz w:val="21"/>
                <w:szCs w:val="21"/>
              </w:rPr>
              <w:t>基于</w:t>
            </w:r>
            <w:r>
              <w:rPr>
                <w:rFonts w:ascii="宋体" w:hAnsi="宋体" w:cs="宋体" w:eastAsia="宋体" w:hint="default"/>
                <w:sz w:val="21"/>
                <w:szCs w:val="21"/>
              </w:rPr>
              <w:t>STM32</w:t>
            </w:r>
            <w:r>
              <w:rPr>
                <w:rFonts w:ascii="宋体" w:hAnsi="宋体" w:cs="宋体" w:eastAsia="宋体" w:hint="default"/>
                <w:sz w:val="21"/>
                <w:szCs w:val="21"/>
              </w:rPr>
              <w:t>芯片的小型单品发信号发生装置</w:t>
            </w:r>
          </w:p>
        </w:tc>
        <w:tc>
          <w:tcPr>
            <w:tcW w:w="2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5" w:right="0"/>
              <w:jc w:val="center"/>
              <w:rPr>
                <w:rFonts w:ascii="宋体" w:hAnsi="宋体" w:cs="宋体" w:eastAsia="宋体" w:hint="default"/>
                <w:sz w:val="21"/>
                <w:szCs w:val="21"/>
              </w:rPr>
            </w:pPr>
            <w:r>
              <w:rPr>
                <w:rFonts w:ascii="宋体"/>
                <w:sz w:val="21"/>
              </w:rPr>
              <w:t>2018.04.13</w:t>
            </w:r>
          </w:p>
        </w:tc>
        <w:tc>
          <w:tcPr>
            <w:tcW w:w="25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sz w:val="21"/>
              </w:rPr>
              <w:t>ZL20172112471.7</w:t>
            </w:r>
          </w:p>
        </w:tc>
      </w:tr>
      <w:tr>
        <w:trPr>
          <w:trHeight w:val="497" w:hRule="exact"/>
        </w:trPr>
        <w:tc>
          <w:tcPr>
            <w:tcW w:w="4537"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30"/>
              <w:ind w:left="7" w:right="0"/>
              <w:jc w:val="left"/>
              <w:rPr>
                <w:rFonts w:ascii="宋体" w:hAnsi="宋体" w:cs="宋体" w:eastAsia="宋体" w:hint="default"/>
                <w:sz w:val="21"/>
                <w:szCs w:val="21"/>
              </w:rPr>
            </w:pPr>
            <w:r>
              <w:rPr>
                <w:rFonts w:ascii="宋体" w:hAnsi="宋体" w:cs="宋体" w:eastAsia="宋体" w:hint="default"/>
                <w:sz w:val="21"/>
                <w:szCs w:val="21"/>
              </w:rPr>
              <w:t>摄像头可旋转的井室检测潜望镜</w:t>
            </w:r>
          </w:p>
        </w:tc>
        <w:tc>
          <w:tcPr>
            <w:tcW w:w="2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5" w:right="0"/>
              <w:jc w:val="center"/>
              <w:rPr>
                <w:rFonts w:ascii="宋体" w:hAnsi="宋体" w:cs="宋体" w:eastAsia="宋体" w:hint="default"/>
                <w:sz w:val="21"/>
                <w:szCs w:val="21"/>
              </w:rPr>
            </w:pPr>
            <w:r>
              <w:rPr>
                <w:rFonts w:ascii="宋体"/>
                <w:sz w:val="21"/>
              </w:rPr>
              <w:t>2018.04.27</w:t>
            </w:r>
          </w:p>
        </w:tc>
        <w:tc>
          <w:tcPr>
            <w:tcW w:w="25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sz w:val="21"/>
              </w:rPr>
              <w:t>ZL201721358506.5</w:t>
            </w:r>
          </w:p>
        </w:tc>
      </w:tr>
      <w:tr>
        <w:trPr>
          <w:trHeight w:val="499" w:hRule="exact"/>
        </w:trPr>
        <w:tc>
          <w:tcPr>
            <w:tcW w:w="4537"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30"/>
              <w:ind w:left="7" w:right="0"/>
              <w:jc w:val="left"/>
              <w:rPr>
                <w:rFonts w:ascii="宋体" w:hAnsi="宋体" w:cs="宋体" w:eastAsia="宋体" w:hint="default"/>
                <w:sz w:val="21"/>
                <w:szCs w:val="21"/>
              </w:rPr>
            </w:pPr>
            <w:r>
              <w:rPr>
                <w:rFonts w:ascii="宋体" w:hAnsi="宋体" w:cs="宋体" w:eastAsia="宋体" w:hint="default"/>
                <w:sz w:val="21"/>
                <w:szCs w:val="21"/>
              </w:rPr>
              <w:t>计米器外置的推杆式管道检测仪电缆架</w:t>
            </w:r>
          </w:p>
        </w:tc>
        <w:tc>
          <w:tcPr>
            <w:tcW w:w="2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5" w:right="0"/>
              <w:jc w:val="center"/>
              <w:rPr>
                <w:rFonts w:ascii="宋体" w:hAnsi="宋体" w:cs="宋体" w:eastAsia="宋体" w:hint="default"/>
                <w:sz w:val="21"/>
                <w:szCs w:val="21"/>
              </w:rPr>
            </w:pPr>
            <w:r>
              <w:rPr>
                <w:rFonts w:ascii="宋体"/>
                <w:sz w:val="21"/>
              </w:rPr>
              <w:t>2018.05.11</w:t>
            </w:r>
          </w:p>
        </w:tc>
        <w:tc>
          <w:tcPr>
            <w:tcW w:w="25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sz w:val="21"/>
              </w:rPr>
              <w:t>ZL201721106899.0</w:t>
            </w:r>
          </w:p>
        </w:tc>
      </w:tr>
    </w:tbl>
    <w:p>
      <w:pPr>
        <w:spacing w:after="0" w:line="240" w:lineRule="auto"/>
        <w:jc w:val="center"/>
        <w:rPr>
          <w:rFonts w:ascii="宋体" w:hAnsi="宋体" w:cs="宋体" w:eastAsia="宋体" w:hint="default"/>
          <w:sz w:val="21"/>
          <w:szCs w:val="21"/>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4537"/>
        <w:gridCol w:w="2696"/>
        <w:gridCol w:w="2549"/>
      </w:tblGrid>
      <w:tr>
        <w:trPr>
          <w:trHeight w:val="500" w:hRule="exact"/>
        </w:trPr>
        <w:tc>
          <w:tcPr>
            <w:tcW w:w="4537" w:type="dxa"/>
            <w:tcBorders>
              <w:top w:val="nil" w:sz="6" w:space="0" w:color="auto"/>
              <w:left w:val="single" w:sz="4" w:space="0" w:color="000000"/>
              <w:bottom w:val="single" w:sz="6" w:space="0" w:color="000000"/>
              <w:right w:val="single" w:sz="6" w:space="0" w:color="000000"/>
            </w:tcBorders>
          </w:tcPr>
          <w:p>
            <w:pPr>
              <w:pStyle w:val="TableParagraph"/>
              <w:spacing w:line="240" w:lineRule="auto" w:before="38"/>
              <w:ind w:left="7" w:right="0"/>
              <w:jc w:val="left"/>
              <w:rPr>
                <w:rFonts w:ascii="宋体" w:hAnsi="宋体" w:cs="宋体" w:eastAsia="宋体" w:hint="default"/>
                <w:sz w:val="21"/>
                <w:szCs w:val="21"/>
              </w:rPr>
            </w:pPr>
            <w:r>
              <w:rPr>
                <w:rFonts w:ascii="宋体" w:hAnsi="宋体" w:cs="宋体" w:eastAsia="宋体" w:hint="default"/>
                <w:sz w:val="21"/>
                <w:szCs w:val="21"/>
              </w:rPr>
              <w:t>自调平摄像头</w:t>
            </w:r>
          </w:p>
        </w:tc>
        <w:tc>
          <w:tcPr>
            <w:tcW w:w="269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38"/>
              <w:ind w:left="816" w:right="0"/>
              <w:jc w:val="left"/>
              <w:rPr>
                <w:rFonts w:ascii="宋体" w:hAnsi="宋体" w:cs="宋体" w:eastAsia="宋体" w:hint="default"/>
                <w:sz w:val="21"/>
                <w:szCs w:val="21"/>
              </w:rPr>
            </w:pPr>
            <w:r>
              <w:rPr>
                <w:rFonts w:ascii="宋体"/>
                <w:sz w:val="21"/>
              </w:rPr>
              <w:t>2018.05.11</w:t>
            </w:r>
          </w:p>
        </w:tc>
        <w:tc>
          <w:tcPr>
            <w:tcW w:w="2549"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宋体"/>
                <w:sz w:val="21"/>
              </w:rPr>
              <w:t>ZL201721107247.9</w:t>
            </w:r>
          </w:p>
        </w:tc>
      </w:tr>
      <w:tr>
        <w:trPr>
          <w:trHeight w:val="497" w:hRule="exact"/>
        </w:trPr>
        <w:tc>
          <w:tcPr>
            <w:tcW w:w="4537"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8"/>
              <w:ind w:left="7" w:right="0"/>
              <w:jc w:val="left"/>
              <w:rPr>
                <w:rFonts w:ascii="宋体" w:hAnsi="宋体" w:cs="宋体" w:eastAsia="宋体" w:hint="default"/>
                <w:sz w:val="21"/>
                <w:szCs w:val="21"/>
              </w:rPr>
            </w:pPr>
            <w:r>
              <w:rPr>
                <w:rFonts w:ascii="宋体" w:hAnsi="宋体" w:cs="宋体" w:eastAsia="宋体" w:hint="default"/>
                <w:sz w:val="21"/>
                <w:szCs w:val="21"/>
              </w:rPr>
              <w:t>用于摄像装置的电控调光单元及摄像装置</w:t>
            </w:r>
          </w:p>
        </w:tc>
        <w:tc>
          <w:tcPr>
            <w:tcW w:w="2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816" w:right="0"/>
              <w:jc w:val="left"/>
              <w:rPr>
                <w:rFonts w:ascii="宋体" w:hAnsi="宋体" w:cs="宋体" w:eastAsia="宋体" w:hint="default"/>
                <w:sz w:val="21"/>
                <w:szCs w:val="21"/>
              </w:rPr>
            </w:pPr>
            <w:r>
              <w:rPr>
                <w:rFonts w:ascii="宋体"/>
                <w:sz w:val="21"/>
              </w:rPr>
              <w:t>2018.06.15</w:t>
            </w:r>
          </w:p>
        </w:tc>
        <w:tc>
          <w:tcPr>
            <w:tcW w:w="25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5" w:right="0"/>
              <w:jc w:val="center"/>
              <w:rPr>
                <w:rFonts w:ascii="宋体" w:hAnsi="宋体" w:cs="宋体" w:eastAsia="宋体" w:hint="default"/>
                <w:sz w:val="21"/>
                <w:szCs w:val="21"/>
              </w:rPr>
            </w:pPr>
            <w:r>
              <w:rPr>
                <w:rFonts w:ascii="宋体"/>
                <w:sz w:val="21"/>
              </w:rPr>
              <w:t>201410117260.7</w:t>
            </w:r>
          </w:p>
        </w:tc>
      </w:tr>
      <w:tr>
        <w:trPr>
          <w:trHeight w:val="497" w:hRule="exact"/>
        </w:trPr>
        <w:tc>
          <w:tcPr>
            <w:tcW w:w="4537"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8"/>
              <w:ind w:left="7" w:right="0"/>
              <w:jc w:val="left"/>
              <w:rPr>
                <w:rFonts w:ascii="宋体" w:hAnsi="宋体" w:cs="宋体" w:eastAsia="宋体" w:hint="default"/>
                <w:sz w:val="21"/>
                <w:szCs w:val="21"/>
              </w:rPr>
            </w:pPr>
            <w:r>
              <w:rPr>
                <w:rFonts w:ascii="宋体" w:hAnsi="宋体" w:cs="宋体" w:eastAsia="宋体" w:hint="default"/>
                <w:sz w:val="21"/>
                <w:szCs w:val="21"/>
              </w:rPr>
              <w:t>一种管道潜望镜</w:t>
            </w:r>
          </w:p>
        </w:tc>
        <w:tc>
          <w:tcPr>
            <w:tcW w:w="2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816" w:right="0"/>
              <w:jc w:val="left"/>
              <w:rPr>
                <w:rFonts w:ascii="宋体" w:hAnsi="宋体" w:cs="宋体" w:eastAsia="宋体" w:hint="default"/>
                <w:sz w:val="21"/>
                <w:szCs w:val="21"/>
              </w:rPr>
            </w:pPr>
            <w:r>
              <w:rPr>
                <w:rFonts w:ascii="宋体"/>
                <w:sz w:val="21"/>
              </w:rPr>
              <w:t>2018.09.07</w:t>
            </w:r>
          </w:p>
        </w:tc>
        <w:tc>
          <w:tcPr>
            <w:tcW w:w="25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sz w:val="21"/>
              </w:rPr>
              <w:t>ZL201720721682.4</w:t>
            </w:r>
          </w:p>
        </w:tc>
      </w:tr>
      <w:tr>
        <w:trPr>
          <w:trHeight w:val="497" w:hRule="exact"/>
        </w:trPr>
        <w:tc>
          <w:tcPr>
            <w:tcW w:w="4537"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8"/>
              <w:ind w:left="7" w:right="0"/>
              <w:jc w:val="left"/>
              <w:rPr>
                <w:rFonts w:ascii="宋体" w:hAnsi="宋体" w:cs="宋体" w:eastAsia="宋体" w:hint="default"/>
                <w:sz w:val="21"/>
                <w:szCs w:val="21"/>
              </w:rPr>
            </w:pPr>
            <w:r>
              <w:rPr>
                <w:rFonts w:ascii="宋体" w:hAnsi="宋体" w:cs="宋体" w:eastAsia="宋体" w:hint="default"/>
                <w:sz w:val="21"/>
                <w:szCs w:val="21"/>
              </w:rPr>
              <w:t>一种车辆安全带智能检测方法及智能检测系统</w:t>
            </w:r>
          </w:p>
        </w:tc>
        <w:tc>
          <w:tcPr>
            <w:tcW w:w="26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816" w:right="0"/>
              <w:jc w:val="left"/>
              <w:rPr>
                <w:rFonts w:ascii="宋体" w:hAnsi="宋体" w:cs="宋体" w:eastAsia="宋体" w:hint="default"/>
                <w:sz w:val="21"/>
                <w:szCs w:val="21"/>
              </w:rPr>
            </w:pPr>
            <w:r>
              <w:rPr>
                <w:rFonts w:ascii="宋体"/>
                <w:sz w:val="21"/>
              </w:rPr>
              <w:t>2018.09.28</w:t>
            </w:r>
          </w:p>
        </w:tc>
        <w:tc>
          <w:tcPr>
            <w:tcW w:w="25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5" w:right="0"/>
              <w:jc w:val="center"/>
              <w:rPr>
                <w:rFonts w:ascii="宋体" w:hAnsi="宋体" w:cs="宋体" w:eastAsia="宋体" w:hint="default"/>
                <w:sz w:val="21"/>
                <w:szCs w:val="21"/>
              </w:rPr>
            </w:pPr>
            <w:r>
              <w:rPr>
                <w:rFonts w:ascii="宋体"/>
                <w:sz w:val="21"/>
              </w:rPr>
              <w:t>201510763423.3</w:t>
            </w:r>
          </w:p>
        </w:tc>
      </w:tr>
    </w:tbl>
    <w:p>
      <w:pPr>
        <w:spacing w:after="0" w:line="240" w:lineRule="auto"/>
        <w:jc w:val="center"/>
        <w:rPr>
          <w:rFonts w:ascii="宋体" w:hAnsi="宋体" w:cs="宋体" w:eastAsia="宋体" w:hint="default"/>
          <w:sz w:val="21"/>
          <w:szCs w:val="21"/>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1"/>
        <w:spacing w:line="240" w:lineRule="auto" w:before="137"/>
        <w:ind w:left="2964" w:right="982"/>
        <w:jc w:val="left"/>
        <w:rPr>
          <w:b w:val="0"/>
          <w:bCs w:val="0"/>
        </w:rPr>
      </w:pPr>
      <w:bookmarkStart w:name="_bookmark2" w:id="3"/>
      <w:bookmarkEnd w:id="3"/>
      <w:r>
        <w:rPr>
          <w:b w:val="0"/>
          <w:bCs w:val="0"/>
        </w:rPr>
      </w:r>
      <w:r>
        <w:rPr/>
        <w:t>第四节</w:t>
      </w:r>
      <w:r>
        <w:rPr>
          <w:spacing w:val="-6"/>
        </w:rPr>
        <w:t> </w:t>
      </w:r>
      <w:r>
        <w:rPr/>
        <w:t>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6"/>
          <w:szCs w:val="16"/>
        </w:rPr>
      </w:pPr>
    </w:p>
    <w:p>
      <w:pPr>
        <w:pStyle w:val="Heading2"/>
        <w:spacing w:line="240" w:lineRule="auto" w:before="26"/>
        <w:ind w:right="982"/>
        <w:jc w:val="left"/>
        <w:rPr>
          <w:b w:val="0"/>
          <w:bCs w:val="0"/>
        </w:rPr>
      </w:pPr>
      <w:r>
        <w:rPr/>
        <w:t>一、概述</w:t>
      </w:r>
      <w:r>
        <w:rPr>
          <w:b w:val="0"/>
          <w:bCs w:val="0"/>
        </w:rPr>
      </w:r>
    </w:p>
    <w:p>
      <w:pPr>
        <w:spacing w:line="240" w:lineRule="auto" w:before="11"/>
        <w:rPr>
          <w:rFonts w:ascii="宋体" w:hAnsi="宋体" w:cs="宋体" w:eastAsia="宋体" w:hint="default"/>
          <w:b/>
          <w:bCs/>
          <w:sz w:val="28"/>
          <w:szCs w:val="28"/>
        </w:rPr>
      </w:pPr>
    </w:p>
    <w:p>
      <w:pPr>
        <w:pStyle w:val="BodyText"/>
        <w:spacing w:line="357" w:lineRule="auto" w:before="0"/>
        <w:ind w:right="1128" w:firstLine="482"/>
        <w:jc w:val="both"/>
      </w:pPr>
      <w:r>
        <w:rPr/>
        <w:t>数字政通作为业内领先的智慧城市应用与信息服务提供商，一直以建设中国更美好的智 慧城市为己任，十数年来业务足迹遍布全国</w:t>
      </w:r>
      <w:r>
        <w:rPr>
          <w:rFonts w:ascii="宋体" w:hAnsi="宋体" w:cs="宋体" w:eastAsia="宋体" w:hint="default"/>
        </w:rPr>
        <w:t>30</w:t>
      </w:r>
      <w:r>
        <w:rPr/>
        <w:t>个省（自治区</w:t>
      </w:r>
      <w:r>
        <w:rPr>
          <w:rFonts w:ascii="宋体" w:hAnsi="宋体" w:cs="宋体" w:eastAsia="宋体" w:hint="default"/>
        </w:rPr>
        <w:t>/</w:t>
      </w:r>
      <w:r>
        <w:rPr/>
        <w:t>直辖市），覆盖超过</w:t>
      </w:r>
      <w:r>
        <w:rPr>
          <w:rFonts w:ascii="宋体" w:hAnsi="宋体" w:cs="宋体" w:eastAsia="宋体" w:hint="default"/>
        </w:rPr>
        <w:t>500</w:t>
      </w:r>
      <w:r>
        <w:rPr/>
        <w:t>个中国</w:t>
      </w:r>
      <w:r>
        <w:rPr>
          <w:spacing w:val="-83"/>
        </w:rPr>
        <w:t> </w:t>
      </w:r>
      <w:r>
        <w:rPr/>
        <w:t>城市，承建各种类型的政府信息化管理系统平台达</w:t>
      </w:r>
      <w:r>
        <w:rPr>
          <w:rFonts w:ascii="宋体" w:hAnsi="宋体" w:cs="宋体" w:eastAsia="宋体" w:hint="default"/>
        </w:rPr>
        <w:t>2000</w:t>
      </w:r>
      <w:r>
        <w:rPr/>
        <w:t>余个。通过数字政通稳定、高效、智</w:t>
      </w:r>
      <w:r>
        <w:rPr>
          <w:spacing w:val="-88"/>
        </w:rPr>
        <w:t> </w:t>
      </w:r>
      <w:r>
        <w:rPr>
          <w:spacing w:val="-88"/>
        </w:rPr>
      </w:r>
      <w:r>
        <w:rPr/>
        <w:t>能化的系统，各级政府管理部门可以与城市里数百乃至数千个责任单位协同工作，在全国各</w:t>
      </w:r>
      <w:r>
        <w:rPr>
          <w:spacing w:val="-91"/>
        </w:rPr>
        <w:t> </w:t>
      </w:r>
      <w:r>
        <w:rPr>
          <w:spacing w:val="-91"/>
        </w:rPr>
      </w:r>
      <w:r>
        <w:rPr/>
        <w:t>地每天发现、处置、解决上百万件与老百姓生活息息相关的管理问题，不断优化和提升中国</w:t>
      </w:r>
      <w:r>
        <w:rPr>
          <w:spacing w:val="-91"/>
        </w:rPr>
        <w:t> </w:t>
      </w:r>
      <w:r>
        <w:rPr>
          <w:spacing w:val="-91"/>
        </w:rPr>
      </w:r>
      <w:r>
        <w:rPr/>
        <w:t>城市的管理水平，为建设和谐、文明、友好的城市人居环境添砖加瓦。</w:t>
      </w:r>
    </w:p>
    <w:p>
      <w:pPr>
        <w:pStyle w:val="BodyText"/>
        <w:spacing w:line="357" w:lineRule="auto" w:before="74"/>
        <w:ind w:right="982" w:firstLine="482"/>
        <w:jc w:val="left"/>
      </w:pPr>
      <w:r>
        <w:rPr>
          <w:spacing w:val="-2"/>
        </w:rPr>
        <w:t>报告期内，公司实现营业总收入</w:t>
      </w:r>
      <w:r>
        <w:rPr>
          <w:rFonts w:ascii="宋体" w:hAnsi="宋体" w:cs="宋体" w:eastAsia="宋体" w:hint="default"/>
          <w:spacing w:val="-2"/>
        </w:rPr>
        <w:t>1,288,815,520.62</w:t>
      </w:r>
      <w:r>
        <w:rPr>
          <w:spacing w:val="-2"/>
        </w:rPr>
        <w:t>元；实现营业利润</w:t>
      </w:r>
      <w:r>
        <w:rPr>
          <w:rFonts w:ascii="宋体" w:hAnsi="宋体" w:cs="宋体" w:eastAsia="宋体" w:hint="default"/>
          <w:spacing w:val="-2"/>
        </w:rPr>
        <w:t>124,418,781.99</w:t>
      </w:r>
      <w:r>
        <w:rPr>
          <w:spacing w:val="-2"/>
        </w:rPr>
        <w:t>元；</w:t>
      </w:r>
      <w:r>
        <w:rPr/>
        <w:t> 实现利润总额</w:t>
      </w:r>
      <w:r>
        <w:rPr>
          <w:rFonts w:ascii="宋体" w:hAnsi="宋体" w:cs="宋体" w:eastAsia="宋体" w:hint="default"/>
        </w:rPr>
        <w:t>125,858,391.06</w:t>
      </w:r>
      <w:r>
        <w:rPr/>
        <w:t>元；实现归属于上市公司股东的净利润</w:t>
      </w:r>
      <w:r>
        <w:rPr>
          <w:rFonts w:ascii="宋体" w:hAnsi="宋体" w:cs="宋体" w:eastAsia="宋体" w:hint="default"/>
        </w:rPr>
        <w:t>117,186,570.99</w:t>
      </w:r>
      <w:r>
        <w:rPr/>
        <w:t>元。报</w:t>
      </w:r>
      <w:r>
        <w:rPr>
          <w:spacing w:val="-79"/>
        </w:rPr>
        <w:t> </w:t>
      </w:r>
      <w:r>
        <w:rPr/>
        <w:t>告期内，公司营业收入继续实现增长，但盈利水平较往年有所下降，主要影响因素为：</w:t>
      </w:r>
    </w:p>
    <w:p>
      <w:pPr>
        <w:pStyle w:val="BodyText"/>
        <w:spacing w:line="357" w:lineRule="auto" w:before="77"/>
        <w:ind w:right="1128" w:firstLine="482"/>
        <w:jc w:val="both"/>
      </w:pPr>
      <w:r>
        <w:rPr>
          <w:rFonts w:ascii="宋体" w:hAnsi="宋体" w:cs="宋体" w:eastAsia="宋体" w:hint="default"/>
          <w:spacing w:val="-3"/>
        </w:rPr>
        <w:t>1</w:t>
      </w:r>
      <w:r>
        <w:rPr>
          <w:spacing w:val="-3"/>
        </w:rPr>
        <w:t>、受行业激烈竞争影响，公司于</w:t>
      </w:r>
      <w:r>
        <w:rPr>
          <w:rFonts w:ascii="宋体" w:hAnsi="宋体" w:cs="宋体" w:eastAsia="宋体" w:hint="default"/>
          <w:spacing w:val="-3"/>
        </w:rPr>
        <w:t>2012</w:t>
      </w:r>
      <w:r>
        <w:rPr>
          <w:spacing w:val="-3"/>
        </w:rPr>
        <w:t>年收购的北京数字智通科技有限公司主营的安防业</w:t>
      </w:r>
      <w:r>
        <w:rPr/>
        <w:t> 务在本年度承受很大压力，传统的智能监控硬件面临市场价格竞争白热化、客户付款条件更</w:t>
      </w:r>
      <w:r>
        <w:rPr>
          <w:spacing w:val="-91"/>
        </w:rPr>
        <w:t> </w:t>
      </w:r>
      <w:r>
        <w:rPr>
          <w:spacing w:val="-91"/>
        </w:rPr>
      </w:r>
      <w:r>
        <w:rPr/>
        <w:t>加苛刻、存货周转率有所下降等不利影响。在此情况下，为更好的适应行业</w:t>
      </w:r>
      <w:r>
        <w:rPr>
          <w:spacing w:val="-48"/>
        </w:rPr>
        <w:t> </w:t>
      </w:r>
      <w:r>
        <w:rPr>
          <w:spacing w:val="-4"/>
        </w:rPr>
        <w:t>发展趋势，按照</w:t>
      </w:r>
      <w:r>
        <w:rPr/>
        <w:t> 公司的战略部署，数字智通公司开始全面向视频监控智能分析软件和视频大数据智能管理平</w:t>
      </w:r>
      <w:r>
        <w:rPr>
          <w:spacing w:val="-91"/>
        </w:rPr>
        <w:t> </w:t>
      </w:r>
      <w:r>
        <w:rPr>
          <w:spacing w:val="-91"/>
        </w:rPr>
      </w:r>
      <w:r>
        <w:rPr/>
        <w:t>台转型，由此进一步增加了相关的研发成本。由于上述因素，</w:t>
      </w:r>
      <w:r>
        <w:rPr>
          <w:rFonts w:ascii="宋体" w:hAnsi="宋体" w:cs="宋体" w:eastAsia="宋体" w:hint="default"/>
        </w:rPr>
        <w:t>2018</w:t>
      </w:r>
      <w:r>
        <w:rPr/>
        <w:t>年度数字智通公司首次出</w:t>
      </w:r>
      <w:r>
        <w:rPr>
          <w:spacing w:val="-87"/>
        </w:rPr>
        <w:t> </w:t>
      </w:r>
      <w:r>
        <w:rPr>
          <w:spacing w:val="-87"/>
        </w:rPr>
      </w:r>
      <w:r>
        <w:rPr/>
        <w:t>现亏损的情况，进而导致合并报表层面产生商誉减值损失，对公司经营业绩产生一定不利影</w:t>
      </w:r>
      <w:r>
        <w:rPr>
          <w:spacing w:val="-90"/>
        </w:rPr>
        <w:t> </w:t>
      </w:r>
      <w:r>
        <w:rPr>
          <w:spacing w:val="-90"/>
        </w:rPr>
      </w:r>
      <w:r>
        <w:rPr/>
        <w:t>响。</w:t>
      </w:r>
    </w:p>
    <w:p>
      <w:pPr>
        <w:pStyle w:val="BodyText"/>
        <w:spacing w:line="357" w:lineRule="auto" w:before="77"/>
        <w:ind w:right="1049" w:firstLine="482"/>
        <w:jc w:val="both"/>
      </w:pPr>
      <w:r>
        <w:rPr>
          <w:spacing w:val="-3"/>
        </w:rPr>
        <w:t>根据测算，因数字智通业务亏损及商誉减值对合并报表的影响金额为</w:t>
      </w:r>
      <w:r>
        <w:rPr>
          <w:rFonts w:ascii="宋体" w:hAnsi="宋体" w:cs="宋体" w:eastAsia="宋体" w:hint="default"/>
          <w:spacing w:val="-3"/>
        </w:rPr>
        <w:t>7,175</w:t>
      </w:r>
      <w:r>
        <w:rPr>
          <w:spacing w:val="-3"/>
        </w:rPr>
        <w:t>万元，扣除数</w:t>
      </w:r>
      <w:r>
        <w:rPr/>
        <w:t> 字智通影响后，上市公司</w:t>
      </w:r>
      <w:r>
        <w:rPr>
          <w:rFonts w:ascii="宋体" w:hAnsi="宋体" w:cs="宋体" w:eastAsia="宋体" w:hint="default"/>
        </w:rPr>
        <w:t>2018</w:t>
      </w:r>
      <w:r>
        <w:rPr/>
        <w:t>年实现归属于母公司净利润将达到</w:t>
      </w:r>
      <w:r>
        <w:rPr>
          <w:rFonts w:ascii="宋体" w:hAnsi="宋体" w:cs="宋体" w:eastAsia="宋体" w:hint="default"/>
        </w:rPr>
        <w:t>18,894</w:t>
      </w:r>
      <w:r>
        <w:rPr/>
        <w:t>万元，同比增长</w:t>
      </w:r>
      <w:r>
        <w:rPr>
          <w:rFonts w:ascii="宋体" w:hAnsi="宋体" w:cs="宋体" w:eastAsia="宋体" w:hint="default"/>
        </w:rPr>
        <w:t>16%</w:t>
      </w:r>
      <w:r>
        <w:rPr/>
        <w:t>。</w:t>
      </w:r>
    </w:p>
    <w:p>
      <w:pPr>
        <w:pStyle w:val="BodyText"/>
        <w:spacing w:line="357" w:lineRule="auto" w:before="74"/>
        <w:ind w:right="1135" w:firstLine="482"/>
        <w:jc w:val="both"/>
      </w:pPr>
      <w:r>
        <w:rPr>
          <w:rFonts w:ascii="宋体" w:hAnsi="宋体" w:cs="宋体" w:eastAsia="宋体" w:hint="default"/>
        </w:rPr>
        <w:t>2019</w:t>
      </w:r>
      <w:r>
        <w:rPr/>
        <w:t>年，数字智通公司新产品的研发将产生积极成果，公司将努力拓展城市管理智能监 控、交通大数据监控等新的市场，同时加强成本和费用管控，公司管理层有信心有决心扭转</w:t>
      </w:r>
      <w:r>
        <w:rPr>
          <w:spacing w:val="-88"/>
        </w:rPr>
        <w:t> </w:t>
      </w:r>
      <w:r>
        <w:rPr>
          <w:spacing w:val="-88"/>
        </w:rPr>
      </w:r>
      <w:r>
        <w:rPr/>
        <w:t>不利态势，重新恢复业务增长。</w:t>
      </w:r>
    </w:p>
    <w:p>
      <w:pPr>
        <w:pStyle w:val="BodyText"/>
        <w:spacing w:line="357" w:lineRule="auto" w:before="77"/>
        <w:ind w:right="1137" w:firstLine="602"/>
        <w:jc w:val="both"/>
      </w:pPr>
      <w:r>
        <w:rPr>
          <w:rFonts w:ascii="宋体" w:hAnsi="宋体" w:cs="宋体" w:eastAsia="宋体" w:hint="default"/>
        </w:rPr>
        <w:t>2</w:t>
      </w:r>
      <w:r>
        <w:rPr/>
        <w:t>、</w:t>
      </w:r>
      <w:r>
        <w:rPr>
          <w:rFonts w:ascii="宋体" w:hAnsi="宋体" w:cs="宋体" w:eastAsia="宋体" w:hint="default"/>
        </w:rPr>
        <w:t>2017</w:t>
      </w:r>
      <w:r>
        <w:rPr/>
        <w:t>年度报告期内，公司对外转让联营公司北京通通易联科技有限公司部分股权， 实现一次性投资收益</w:t>
      </w:r>
      <w:r>
        <w:rPr>
          <w:rFonts w:ascii="宋体" w:hAnsi="宋体" w:cs="宋体" w:eastAsia="宋体" w:hint="default"/>
        </w:rPr>
        <w:t>1,475.70</w:t>
      </w:r>
      <w:r>
        <w:rPr/>
        <w:t>万元，本报告期间公司无相关投资收益，非经常性收益同比显</w:t>
      </w:r>
      <w:r>
        <w:rPr>
          <w:spacing w:val="-90"/>
        </w:rPr>
        <w:t> </w:t>
      </w:r>
      <w:r>
        <w:rPr>
          <w:spacing w:val="-90"/>
        </w:rPr>
      </w:r>
      <w:r>
        <w:rPr/>
        <w:t>著减少，由此也对本报告期的经营业绩产生一定影响。</w:t>
      </w:r>
    </w:p>
    <w:p>
      <w:pPr>
        <w:spacing w:after="0" w:line="357" w:lineRule="auto"/>
        <w:jc w:val="both"/>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996" w:firstLine="482"/>
        <w:jc w:val="left"/>
      </w:pPr>
      <w:r>
        <w:rPr/>
        <w:t>公司董事会及管理团队一直十分重视企业的市场价值，与广大投资者的利益高度一致， 面对困难的市场环境，报告期内公司及时调整了发展战略，更加重视核心技术和应用模式的</w:t>
      </w:r>
      <w:r>
        <w:rPr>
          <w:spacing w:val="-91"/>
        </w:rPr>
        <w:t> </w:t>
      </w:r>
      <w:r>
        <w:rPr>
          <w:spacing w:val="-91"/>
        </w:rPr>
      </w:r>
      <w:r>
        <w:rPr/>
        <w:t>创新、财务管理更加稳健、主营业务更加专注，公司在智慧城市管理、智慧管网、城市综合</w:t>
      </w:r>
      <w:r>
        <w:rPr>
          <w:spacing w:val="-89"/>
        </w:rPr>
        <w:t> </w:t>
      </w:r>
      <w:r>
        <w:rPr>
          <w:spacing w:val="-89"/>
        </w:rPr>
      </w:r>
      <w:r>
        <w:rPr/>
        <w:t>执法等业务领域均取得了新的进步，在城市管理云平台、城市大脑大数据分析平台、城市管</w:t>
      </w:r>
      <w:r>
        <w:rPr>
          <w:spacing w:val="-91"/>
        </w:rPr>
        <w:t> </w:t>
      </w:r>
      <w:r>
        <w:rPr>
          <w:spacing w:val="-91"/>
        </w:rPr>
      </w:r>
      <w:r>
        <w:rPr>
          <w:spacing w:val="-2"/>
        </w:rPr>
        <w:t>线智能巡检及精准修复技术、城市可视化指挥平台等技术领域收获了更多的成果。报告期内，</w:t>
      </w:r>
      <w:r>
        <w:rPr/>
        <w:t> 相关业务均呈良好的增长态势，重点的生产经营和业务发展情况总结如下：</w:t>
      </w:r>
    </w:p>
    <w:p>
      <w:pPr>
        <w:spacing w:line="388" w:lineRule="auto" w:before="77"/>
        <w:ind w:left="633" w:right="982" w:firstLine="2"/>
        <w:jc w:val="left"/>
        <w:rPr>
          <w:rFonts w:ascii="宋体" w:hAnsi="宋体" w:cs="宋体" w:eastAsia="宋体" w:hint="default"/>
          <w:sz w:val="24"/>
          <w:szCs w:val="24"/>
        </w:rPr>
      </w:pPr>
      <w:r>
        <w:rPr>
          <w:rFonts w:ascii="宋体" w:hAnsi="宋体" w:cs="宋体" w:eastAsia="宋体" w:hint="default"/>
          <w:b/>
          <w:bCs/>
          <w:sz w:val="24"/>
          <w:szCs w:val="24"/>
        </w:rPr>
        <w:t>一、依托云计算和大数据技术，打造全新智慧城市管理云平台</w:t>
      </w:r>
      <w:r>
        <w:rPr>
          <w:rFonts w:ascii="宋体" w:hAnsi="宋体" w:cs="宋体" w:eastAsia="宋体" w:hint="default"/>
          <w:b/>
          <w:bCs/>
          <w:w w:val="99"/>
          <w:sz w:val="24"/>
          <w:szCs w:val="24"/>
        </w:rPr>
        <w:t> </w:t>
      </w:r>
      <w:r>
        <w:rPr>
          <w:rFonts w:ascii="宋体" w:hAnsi="宋体" w:cs="宋体" w:eastAsia="宋体" w:hint="default"/>
          <w:b/>
          <w:bCs/>
          <w:sz w:val="24"/>
          <w:szCs w:val="24"/>
        </w:rPr>
        <w:t>1</w:t>
      </w:r>
      <w:r>
        <w:rPr>
          <w:rFonts w:ascii="宋体" w:hAnsi="宋体" w:cs="宋体" w:eastAsia="宋体" w:hint="default"/>
          <w:b/>
          <w:bCs/>
          <w:sz w:val="24"/>
          <w:szCs w:val="24"/>
        </w:rPr>
        <w:t>、城市运行中心平台（城市大脑）</w:t>
      </w:r>
      <w:r>
        <w:rPr>
          <w:rFonts w:ascii="宋体" w:hAnsi="宋体" w:cs="宋体" w:eastAsia="宋体" w:hint="default"/>
          <w:b/>
          <w:bCs/>
          <w:w w:val="99"/>
          <w:sz w:val="24"/>
          <w:szCs w:val="24"/>
        </w:rPr>
        <w:t> </w:t>
      </w:r>
      <w:r>
        <w:rPr>
          <w:rFonts w:ascii="宋体" w:hAnsi="宋体" w:cs="宋体" w:eastAsia="宋体" w:hint="default"/>
          <w:sz w:val="24"/>
          <w:szCs w:val="24"/>
        </w:rPr>
        <w:t>城市运行中心的发展目标是成为建设“城市大脑”的核心平台系统，城市运行中心系统</w:t>
      </w:r>
    </w:p>
    <w:p>
      <w:pPr>
        <w:pStyle w:val="BodyText"/>
        <w:spacing w:line="357" w:lineRule="auto" w:before="5"/>
        <w:ind w:right="996"/>
        <w:jc w:val="left"/>
      </w:pPr>
      <w:r>
        <w:rPr>
          <w:spacing w:val="-2"/>
        </w:rPr>
        <w:t>将全面提升和改善城市治理体系和治理能力，通过汇聚政府数据和社会数据形成城市大数据，</w:t>
      </w:r>
      <w:r>
        <w:rPr/>
        <w:t> 以跨域的数据融合分析实现对城市运行状态的全面感知、态势预测，帮助相关业务部门快速</w:t>
      </w:r>
      <w:r>
        <w:rPr>
          <w:spacing w:val="-91"/>
        </w:rPr>
        <w:t> </w:t>
      </w:r>
      <w:r>
        <w:rPr>
          <w:spacing w:val="-91"/>
        </w:rPr>
      </w:r>
      <w:r>
        <w:rPr/>
        <w:t>掌握城市运行状态，对应急指挥提供信息支撑，并作为重大应急事件的指挥场所，形成“平</w:t>
      </w:r>
      <w:r>
        <w:rPr>
          <w:spacing w:val="-86"/>
        </w:rPr>
        <w:t> </w:t>
      </w:r>
      <w:r>
        <w:rPr>
          <w:spacing w:val="-86"/>
        </w:rPr>
      </w:r>
      <w:r>
        <w:rPr/>
        <w:t>战结合”的新型智慧城市运行管理模式。城市运行中心系统通过城市运行体征来判断城市运</w:t>
      </w:r>
      <w:r>
        <w:rPr>
          <w:spacing w:val="-91"/>
        </w:rPr>
        <w:t> </w:t>
      </w:r>
      <w:r>
        <w:rPr>
          <w:spacing w:val="-91"/>
        </w:rPr>
      </w:r>
      <w:r>
        <w:rPr/>
        <w:t>行状况的指征，由城市运行的各项指标体系组合而成，对城市运行管理对象进行全面监测，</w:t>
      </w:r>
      <w:r>
        <w:rPr>
          <w:spacing w:val="-91"/>
        </w:rPr>
        <w:t> </w:t>
      </w:r>
      <w:r>
        <w:rPr>
          <w:spacing w:val="-91"/>
        </w:rPr>
      </w:r>
      <w:r>
        <w:rPr/>
        <w:t>挖掘城市发展内在规律，提高城市运行效率，提高全民决策力，提升城市软实力。</w:t>
      </w:r>
    </w:p>
    <w:p>
      <w:pPr>
        <w:pStyle w:val="BodyText"/>
        <w:spacing w:line="357" w:lineRule="auto" w:before="77"/>
        <w:ind w:right="1139" w:firstLine="480"/>
        <w:jc w:val="both"/>
      </w:pPr>
      <w:r>
        <w:rPr/>
        <w:t>报告期内，公司启动研发全新一代的城市运行中心系统，通过数据平台，实现对各级城 市管理工作的实时监督、量化考核、大数据分析、决策指挥。目前，公司已在多个地区推广</w:t>
      </w:r>
      <w:r>
        <w:rPr>
          <w:spacing w:val="-91"/>
        </w:rPr>
        <w:t> </w:t>
      </w:r>
      <w:r>
        <w:rPr>
          <w:spacing w:val="-91"/>
        </w:rPr>
      </w:r>
      <w:r>
        <w:rPr/>
        <w:t>并实施城市运行中心项目。</w:t>
      </w:r>
    </w:p>
    <w:p>
      <w:pPr>
        <w:spacing w:line="240" w:lineRule="auto" w:before="7"/>
        <w:rPr>
          <w:rFonts w:ascii="宋体" w:hAnsi="宋体" w:cs="宋体" w:eastAsia="宋体" w:hint="default"/>
          <w:sz w:val="3"/>
          <w:szCs w:val="3"/>
        </w:rPr>
      </w:pPr>
    </w:p>
    <w:p>
      <w:pPr>
        <w:spacing w:line="3694" w:lineRule="exact"/>
        <w:ind w:left="726" w:right="0" w:firstLine="0"/>
        <w:rPr>
          <w:rFonts w:ascii="宋体" w:hAnsi="宋体" w:cs="宋体" w:eastAsia="宋体" w:hint="default"/>
          <w:sz w:val="20"/>
          <w:szCs w:val="20"/>
        </w:rPr>
      </w:pPr>
      <w:r>
        <w:rPr>
          <w:rFonts w:ascii="宋体" w:hAnsi="宋体" w:cs="宋体" w:eastAsia="宋体" w:hint="default"/>
          <w:position w:val="-73"/>
          <w:sz w:val="20"/>
          <w:szCs w:val="20"/>
        </w:rPr>
        <w:drawing>
          <wp:inline distT="0" distB="0" distL="0" distR="0">
            <wp:extent cx="5658855" cy="2346293"/>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2" cstate="print"/>
                    <a:stretch>
                      <a:fillRect/>
                    </a:stretch>
                  </pic:blipFill>
                  <pic:spPr>
                    <a:xfrm>
                      <a:off x="0" y="0"/>
                      <a:ext cx="5658855" cy="2346293"/>
                    </a:xfrm>
                    <a:prstGeom prst="rect">
                      <a:avLst/>
                    </a:prstGeom>
                  </pic:spPr>
                </pic:pic>
              </a:graphicData>
            </a:graphic>
          </wp:inline>
        </w:drawing>
      </w:r>
      <w:r>
        <w:rPr>
          <w:rFonts w:ascii="宋体" w:hAnsi="宋体" w:cs="宋体" w:eastAsia="宋体" w:hint="default"/>
          <w:position w:val="-73"/>
          <w:sz w:val="20"/>
          <w:szCs w:val="20"/>
        </w:rPr>
      </w:r>
    </w:p>
    <w:p>
      <w:pPr>
        <w:spacing w:after="0" w:line="3694" w:lineRule="exact"/>
        <w:rPr>
          <w:rFonts w:ascii="宋体" w:hAnsi="宋体" w:cs="宋体" w:eastAsia="宋体" w:hint="default"/>
          <w:sz w:val="20"/>
          <w:szCs w:val="20"/>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8"/>
          <w:szCs w:val="18"/>
        </w:rPr>
      </w:pPr>
    </w:p>
    <w:p>
      <w:pPr>
        <w:spacing w:line="4088" w:lineRule="exact"/>
        <w:ind w:left="1041"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5251683" cy="2596038"/>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13" cstate="print"/>
                    <a:stretch>
                      <a:fillRect/>
                    </a:stretch>
                  </pic:blipFill>
                  <pic:spPr>
                    <a:xfrm>
                      <a:off x="0" y="0"/>
                      <a:ext cx="5251683" cy="2596038"/>
                    </a:xfrm>
                    <a:prstGeom prst="rect">
                      <a:avLst/>
                    </a:prstGeom>
                  </pic:spPr>
                </pic:pic>
              </a:graphicData>
            </a:graphic>
          </wp:inline>
        </w:drawing>
      </w:r>
      <w:r>
        <w:rPr>
          <w:rFonts w:ascii="宋体" w:hAnsi="宋体" w:cs="宋体" w:eastAsia="宋体" w:hint="default"/>
          <w:position w:val="-81"/>
          <w:sz w:val="20"/>
          <w:szCs w:val="20"/>
        </w:rPr>
      </w:r>
    </w:p>
    <w:p>
      <w:pPr>
        <w:spacing w:line="240" w:lineRule="auto" w:before="1"/>
        <w:rPr>
          <w:rFonts w:ascii="宋体" w:hAnsi="宋体" w:cs="宋体" w:eastAsia="宋体" w:hint="default"/>
          <w:sz w:val="15"/>
          <w:szCs w:val="15"/>
        </w:rPr>
      </w:pPr>
    </w:p>
    <w:p>
      <w:pPr>
        <w:spacing w:line="386" w:lineRule="auto" w:before="26"/>
        <w:ind w:left="633" w:right="982" w:firstLine="2"/>
        <w:jc w:val="left"/>
        <w:rPr>
          <w:rFonts w:ascii="宋体" w:hAnsi="宋体" w:cs="宋体" w:eastAsia="宋体" w:hint="default"/>
          <w:sz w:val="24"/>
          <w:szCs w:val="24"/>
        </w:rPr>
      </w:pPr>
      <w:r>
        <w:rPr>
          <w:rFonts w:ascii="宋体" w:hAnsi="宋体" w:cs="宋体" w:eastAsia="宋体" w:hint="default"/>
          <w:b/>
          <w:bCs/>
          <w:sz w:val="24"/>
          <w:szCs w:val="24"/>
        </w:rPr>
        <w:t>2</w:t>
      </w:r>
      <w:r>
        <w:rPr>
          <w:rFonts w:ascii="宋体" w:hAnsi="宋体" w:cs="宋体" w:eastAsia="宋体" w:hint="default"/>
          <w:b/>
          <w:bCs/>
          <w:sz w:val="24"/>
          <w:szCs w:val="24"/>
        </w:rPr>
        <w:t>、智信云（城市管理云平台）</w:t>
      </w:r>
      <w:r>
        <w:rPr>
          <w:rFonts w:ascii="宋体" w:hAnsi="宋体" w:cs="宋体" w:eastAsia="宋体" w:hint="default"/>
          <w:b/>
          <w:bCs/>
          <w:w w:val="99"/>
          <w:sz w:val="24"/>
          <w:szCs w:val="24"/>
        </w:rPr>
        <w:t> </w:t>
      </w:r>
      <w:r>
        <w:rPr>
          <w:rFonts w:ascii="宋体" w:hAnsi="宋体" w:cs="宋体" w:eastAsia="宋体" w:hint="default"/>
          <w:sz w:val="24"/>
          <w:szCs w:val="24"/>
        </w:rPr>
        <w:t>随着信息技术的不断发展及用户需求的不断变化，公司积极探索实践，将移动互联网、</w:t>
      </w:r>
    </w:p>
    <w:p>
      <w:pPr>
        <w:pStyle w:val="BodyText"/>
        <w:spacing w:line="357" w:lineRule="auto" w:before="7"/>
        <w:ind w:right="996"/>
        <w:jc w:val="left"/>
      </w:pPr>
      <w:r>
        <w:rPr/>
        <w:t>物联网、大数据、云计算等一大批新技术引入城市管理领域，新智信云平台就是公司在城市</w:t>
      </w:r>
      <w:r>
        <w:rPr>
          <w:spacing w:val="-91"/>
        </w:rPr>
        <w:t> </w:t>
      </w:r>
      <w:r>
        <w:rPr>
          <w:spacing w:val="-91"/>
        </w:rPr>
      </w:r>
      <w:r>
        <w:rPr/>
        <w:t>管理云平台方面的最新产品，无论是在产品性能、用户体验还是产品的稳定性上，都有了本</w:t>
      </w:r>
      <w:r>
        <w:rPr>
          <w:spacing w:val="-91"/>
        </w:rPr>
        <w:t> </w:t>
      </w:r>
      <w:r>
        <w:rPr>
          <w:spacing w:val="-91"/>
        </w:rPr>
      </w:r>
      <w:r>
        <w:rPr>
          <w:spacing w:val="-2"/>
        </w:rPr>
        <w:t>质的提升。报告期内，公司认真研究新时期城市管理的特点和重点，从问题上报、受理立案、</w:t>
      </w:r>
      <w:r>
        <w:rPr/>
        <w:t> 审核派遣、处置反馈、核查结案等各个业务环节出发，梳理了全国几百个项目的需求，在广</w:t>
      </w:r>
      <w:r>
        <w:rPr>
          <w:spacing w:val="-91"/>
        </w:rPr>
        <w:t> </w:t>
      </w:r>
      <w:r>
        <w:rPr>
          <w:spacing w:val="-91"/>
        </w:rPr>
      </w:r>
      <w:r>
        <w:rPr/>
        <w:t>泛调研的基础上推出了基于云计算技术打造的新一代智信云平台，并已经在天津、重庆、杭</w:t>
      </w:r>
      <w:r>
        <w:rPr>
          <w:spacing w:val="-90"/>
        </w:rPr>
        <w:t> </w:t>
      </w:r>
      <w:r>
        <w:rPr>
          <w:spacing w:val="-90"/>
        </w:rPr>
      </w:r>
      <w:r>
        <w:rPr/>
        <w:t>州等多个城市上线运行。</w:t>
      </w:r>
    </w:p>
    <w:p>
      <w:pPr>
        <w:pStyle w:val="BodyText"/>
        <w:spacing w:line="357" w:lineRule="auto" w:before="77"/>
        <w:ind w:right="997" w:firstLine="600"/>
        <w:jc w:val="left"/>
      </w:pPr>
      <w:r>
        <w:rPr/>
        <w:t>新智信云产品具有丰富强大的功能配置，有效促进新技术与城市服务管理的深度融合， </w:t>
      </w:r>
      <w:r>
        <w:rPr>
          <w:spacing w:val="-11"/>
        </w:rPr>
        <w:t>能适应“大城管”、“大部制”、“基层治理”等多业务的功能拓展需求。以杭州市为例，新智</w:t>
      </w:r>
      <w:r>
        <w:rPr>
          <w:spacing w:val="-109"/>
        </w:rPr>
        <w:t> </w:t>
      </w:r>
      <w:r>
        <w:rPr>
          <w:spacing w:val="-109"/>
        </w:rPr>
      </w:r>
      <w:r>
        <w:rPr/>
        <w:t>信云平台通过对原有系统进行升级改造，帮助客户将计算和存储能力部署在阿里云上，构建</w:t>
      </w:r>
      <w:r>
        <w:rPr>
          <w:spacing w:val="-91"/>
        </w:rPr>
        <w:t> </w:t>
      </w:r>
      <w:r>
        <w:rPr>
          <w:spacing w:val="-91"/>
        </w:rPr>
      </w:r>
      <w:r>
        <w:rPr>
          <w:spacing w:val="-2"/>
        </w:rPr>
        <w:t>起市县一体化平台，并延伸至</w:t>
      </w:r>
      <w:r>
        <w:rPr>
          <w:spacing w:val="-57"/>
        </w:rPr>
        <w:t> </w:t>
      </w:r>
      <w:r>
        <w:rPr>
          <w:rFonts w:ascii="宋体" w:hAnsi="宋体" w:cs="宋体" w:eastAsia="宋体" w:hint="default"/>
        </w:rPr>
        <w:t>13</w:t>
      </w:r>
      <w:r>
        <w:rPr>
          <w:rFonts w:ascii="宋体" w:hAnsi="宋体" w:cs="宋体" w:eastAsia="宋体" w:hint="default"/>
          <w:spacing w:val="-58"/>
        </w:rPr>
        <w:t> </w:t>
      </w:r>
      <w:r>
        <w:rPr>
          <w:spacing w:val="-22"/>
        </w:rPr>
        <w:t>个区、县（市）、</w:t>
      </w:r>
      <w:r>
        <w:rPr>
          <w:rFonts w:ascii="宋体" w:hAnsi="宋体" w:cs="宋体" w:eastAsia="宋体" w:hint="default"/>
          <w:spacing w:val="-22"/>
        </w:rPr>
        <w:t>2</w:t>
      </w:r>
      <w:r>
        <w:rPr>
          <w:rFonts w:ascii="宋体" w:hAnsi="宋体" w:cs="宋体" w:eastAsia="宋体" w:hint="default"/>
          <w:spacing w:val="-58"/>
        </w:rPr>
        <w:t> </w:t>
      </w:r>
      <w:r>
        <w:rPr/>
        <w:t>个市级管委会和</w:t>
      </w:r>
      <w:r>
        <w:rPr>
          <w:spacing w:val="-58"/>
        </w:rPr>
        <w:t> </w:t>
      </w:r>
      <w:r>
        <w:rPr>
          <w:rFonts w:ascii="宋体" w:hAnsi="宋体" w:cs="宋体" w:eastAsia="宋体" w:hint="default"/>
        </w:rPr>
        <w:t>26</w:t>
      </w:r>
      <w:r>
        <w:rPr>
          <w:rFonts w:ascii="宋体" w:hAnsi="宋体" w:cs="宋体" w:eastAsia="宋体" w:hint="default"/>
          <w:spacing w:val="-58"/>
        </w:rPr>
        <w:t> </w:t>
      </w:r>
      <w:r>
        <w:rPr>
          <w:spacing w:val="-5"/>
        </w:rPr>
        <w:t>个中心镇，将市、区、</w:t>
      </w:r>
    </w:p>
    <w:p>
      <w:pPr>
        <w:pStyle w:val="BodyText"/>
        <w:spacing w:line="357" w:lineRule="auto"/>
        <w:ind w:right="1129"/>
        <w:jc w:val="both"/>
      </w:pPr>
      <w:r>
        <w:rPr>
          <w:spacing w:val="-9"/>
        </w:rPr>
        <w:t>街、社</w:t>
      </w:r>
      <w:r>
        <w:rPr>
          <w:spacing w:val="-73"/>
        </w:rPr>
        <w:t> </w:t>
      </w:r>
      <w:r>
        <w:rPr>
          <w:rFonts w:ascii="宋体" w:hAnsi="宋体" w:cs="宋体" w:eastAsia="宋体" w:hint="default"/>
        </w:rPr>
        <w:t>1689</w:t>
      </w:r>
      <w:r>
        <w:rPr>
          <w:rFonts w:ascii="宋体" w:hAnsi="宋体" w:cs="宋体" w:eastAsia="宋体" w:hint="default"/>
          <w:spacing w:val="-74"/>
        </w:rPr>
        <w:t> </w:t>
      </w:r>
      <w:r>
        <w:rPr/>
        <w:t>家四级责任单位纳入协同体系，覆盖面积近</w:t>
      </w:r>
      <w:r>
        <w:rPr>
          <w:spacing w:val="-73"/>
        </w:rPr>
        <w:t> </w:t>
      </w:r>
      <w:r>
        <w:rPr>
          <w:rFonts w:ascii="宋体" w:hAnsi="宋体" w:cs="宋体" w:eastAsia="宋体" w:hint="default"/>
        </w:rPr>
        <w:t>700</w:t>
      </w:r>
      <w:r>
        <w:rPr>
          <w:rFonts w:ascii="宋体" w:hAnsi="宋体" w:cs="宋体" w:eastAsia="宋体" w:hint="default"/>
          <w:spacing w:val="-73"/>
        </w:rPr>
        <w:t> </w:t>
      </w:r>
      <w:r>
        <w:rPr/>
        <w:t>平方公里。平台满足各级管理部 门的监管内容、业务流程等个性化需求，通过强大的自定义配置功能，灵活快速地进行机构</w:t>
      </w:r>
      <w:r>
        <w:rPr>
          <w:spacing w:val="-91"/>
        </w:rPr>
        <w:t> </w:t>
      </w:r>
      <w:r>
        <w:rPr>
          <w:spacing w:val="-91"/>
        </w:rPr>
      </w:r>
      <w:r>
        <w:rPr>
          <w:spacing w:val="-5"/>
        </w:rPr>
        <w:t>配置、岗位配置、权限配置、流程配置等，做到“以不变应万变”。此外，杭州市城市管理还</w:t>
      </w:r>
      <w:r>
        <w:rPr/>
        <w:t> 实现与市政设施监管中心、路灯管理所等部门的个性化对接需求，分别实现市政设施类案件</w:t>
      </w:r>
      <w:r>
        <w:rPr>
          <w:spacing w:val="-91"/>
        </w:rPr>
        <w:t> </w:t>
      </w:r>
      <w:r>
        <w:rPr>
          <w:spacing w:val="-91"/>
        </w:rPr>
      </w:r>
      <w:r>
        <w:rPr/>
        <w:t>和路灯类案件的系统对接和案件联动，促进城市管理平台与专项系统的有效融合。</w:t>
      </w:r>
    </w:p>
    <w:p>
      <w:pPr>
        <w:spacing w:after="0" w:line="357" w:lineRule="auto"/>
        <w:jc w:val="both"/>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p>
      <w:pPr>
        <w:spacing w:line="4129" w:lineRule="exact"/>
        <w:ind w:left="1070" w:right="0" w:firstLine="0"/>
        <w:rPr>
          <w:rFonts w:ascii="宋体" w:hAnsi="宋体" w:cs="宋体" w:eastAsia="宋体" w:hint="default"/>
          <w:sz w:val="20"/>
          <w:szCs w:val="20"/>
        </w:rPr>
      </w:pPr>
      <w:r>
        <w:rPr>
          <w:rFonts w:ascii="宋体" w:hAnsi="宋体" w:cs="宋体" w:eastAsia="宋体" w:hint="default"/>
          <w:position w:val="-82"/>
          <w:sz w:val="20"/>
          <w:szCs w:val="20"/>
        </w:rPr>
        <w:drawing>
          <wp:inline distT="0" distB="0" distL="0" distR="0">
            <wp:extent cx="5266275" cy="2622327"/>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4" cstate="print"/>
                    <a:stretch>
                      <a:fillRect/>
                    </a:stretch>
                  </pic:blipFill>
                  <pic:spPr>
                    <a:xfrm>
                      <a:off x="0" y="0"/>
                      <a:ext cx="5266275" cy="2622327"/>
                    </a:xfrm>
                    <a:prstGeom prst="rect">
                      <a:avLst/>
                    </a:prstGeom>
                  </pic:spPr>
                </pic:pic>
              </a:graphicData>
            </a:graphic>
          </wp:inline>
        </w:drawing>
      </w:r>
      <w:r>
        <w:rPr>
          <w:rFonts w:ascii="宋体" w:hAnsi="宋体" w:cs="宋体" w:eastAsia="宋体" w:hint="default"/>
          <w:position w:val="-82"/>
          <w:sz w:val="20"/>
          <w:szCs w:val="20"/>
        </w:rPr>
      </w:r>
    </w:p>
    <w:p>
      <w:pPr>
        <w:spacing w:line="240" w:lineRule="auto" w:before="12"/>
        <w:rPr>
          <w:rFonts w:ascii="宋体" w:hAnsi="宋体" w:cs="宋体" w:eastAsia="宋体" w:hint="default"/>
          <w:sz w:val="13"/>
          <w:szCs w:val="13"/>
        </w:rPr>
      </w:pPr>
    </w:p>
    <w:p>
      <w:pPr>
        <w:spacing w:line="4032" w:lineRule="exact"/>
        <w:ind w:left="998"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5306682" cy="2560701"/>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5" cstate="print"/>
                    <a:stretch>
                      <a:fillRect/>
                    </a:stretch>
                  </pic:blipFill>
                  <pic:spPr>
                    <a:xfrm>
                      <a:off x="0" y="0"/>
                      <a:ext cx="5306682" cy="2560701"/>
                    </a:xfrm>
                    <a:prstGeom prst="rect">
                      <a:avLst/>
                    </a:prstGeom>
                  </pic:spPr>
                </pic:pic>
              </a:graphicData>
            </a:graphic>
          </wp:inline>
        </w:drawing>
      </w:r>
      <w:r>
        <w:rPr>
          <w:rFonts w:ascii="宋体" w:hAnsi="宋体" w:cs="宋体" w:eastAsia="宋体" w:hint="default"/>
          <w:position w:val="-80"/>
          <w:sz w:val="20"/>
          <w:szCs w:val="20"/>
        </w:rPr>
      </w:r>
    </w:p>
    <w:p>
      <w:pPr>
        <w:spacing w:line="331" w:lineRule="auto" w:before="0"/>
        <w:ind w:left="633" w:right="982" w:firstLine="2"/>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、城市视频大数据分析系统</w:t>
      </w:r>
      <w:r>
        <w:rPr>
          <w:rFonts w:ascii="宋体" w:hAnsi="宋体" w:cs="宋体" w:eastAsia="宋体" w:hint="default"/>
          <w:b/>
          <w:bCs/>
          <w:w w:val="99"/>
          <w:sz w:val="24"/>
          <w:szCs w:val="24"/>
        </w:rPr>
        <w:t> </w:t>
      </w:r>
      <w:r>
        <w:rPr>
          <w:rFonts w:ascii="宋体" w:hAnsi="宋体" w:cs="宋体" w:eastAsia="宋体" w:hint="default"/>
          <w:sz w:val="24"/>
          <w:szCs w:val="24"/>
        </w:rPr>
        <w:t>随着深度学习、大数据挖掘和物联网等技术的快速发展，城市管理开始从“数字城管”</w:t>
      </w:r>
    </w:p>
    <w:p>
      <w:pPr>
        <w:pStyle w:val="BodyText"/>
        <w:spacing w:line="357" w:lineRule="auto" w:before="62"/>
        <w:ind w:right="1129"/>
        <w:jc w:val="both"/>
      </w:pPr>
      <w:r>
        <w:rPr/>
        <w:t>向“</w:t>
      </w:r>
      <w:r>
        <w:rPr>
          <w:rFonts w:ascii="宋体" w:hAnsi="宋体" w:cs="宋体" w:eastAsia="宋体" w:hint="default"/>
        </w:rPr>
        <w:t>AI </w:t>
      </w:r>
      <w:r>
        <w:rPr/>
        <w:t>城管”转变。报告期内，公司基于 </w:t>
      </w:r>
      <w:r>
        <w:rPr>
          <w:rFonts w:ascii="宋体" w:hAnsi="宋体" w:cs="宋体" w:eastAsia="宋体" w:hint="default"/>
        </w:rPr>
        <w:t>AI</w:t>
      </w:r>
      <w:r>
        <w:rPr>
          <w:rFonts w:ascii="宋体" w:hAnsi="宋体" w:cs="宋体" w:eastAsia="宋体" w:hint="default"/>
          <w:spacing w:val="-80"/>
        </w:rPr>
        <w:t> </w:t>
      </w:r>
      <w:r>
        <w:rPr/>
        <w:t>技术研发了城市管理视频大数据分析系统，其 中</w:t>
      </w:r>
      <w:r>
        <w:rPr>
          <w:spacing w:val="-46"/>
        </w:rPr>
        <w:t> </w:t>
      </w:r>
      <w:r>
        <w:rPr>
          <w:rFonts w:ascii="宋体" w:hAnsi="宋体" w:cs="宋体" w:eastAsia="宋体" w:hint="default"/>
        </w:rPr>
        <w:t>AI</w:t>
      </w:r>
      <w:r>
        <w:rPr>
          <w:rFonts w:ascii="宋体" w:hAnsi="宋体" w:cs="宋体" w:eastAsia="宋体" w:hint="default"/>
          <w:spacing w:val="-46"/>
        </w:rPr>
        <w:t> </w:t>
      </w:r>
      <w:r>
        <w:rPr>
          <w:spacing w:val="-3"/>
        </w:rPr>
        <w:t>智能预警已实现多个应用场景，包括疑似频繁出入、疑似隐匿、疑似脱管、疑似昼伏夜</w:t>
      </w:r>
      <w:r>
        <w:rPr>
          <w:spacing w:val="-118"/>
        </w:rPr>
        <w:t> </w:t>
      </w:r>
      <w:r>
        <w:rPr>
          <w:spacing w:val="-118"/>
        </w:rPr>
      </w:r>
      <w:r>
        <w:rPr/>
        <w:t>出、疑似聚众、疑似逗留等与城市管理重点关注问题密切相关的应用场景。城市管理视频大</w:t>
      </w:r>
      <w:r>
        <w:rPr>
          <w:spacing w:val="-91"/>
        </w:rPr>
        <w:t> </w:t>
      </w:r>
      <w:r>
        <w:rPr>
          <w:spacing w:val="-91"/>
        </w:rPr>
      </w:r>
      <w:r>
        <w:rPr/>
        <w:t>数据分析系统已在荆州、榆林、四会和贺州等地投入实际使用并获得好评。系统利用现有城</w:t>
      </w:r>
      <w:r>
        <w:rPr>
          <w:spacing w:val="-91"/>
        </w:rPr>
        <w:t> </w:t>
      </w:r>
      <w:r>
        <w:rPr>
          <w:spacing w:val="-91"/>
        </w:rPr>
      </w:r>
      <w:r>
        <w:rPr/>
        <w:t>市视频大数据资源，通过人工智能技术，让城市违规事件发现从被动响应到主动防范，从大</w:t>
      </w:r>
      <w:r>
        <w:rPr>
          <w:spacing w:val="-91"/>
        </w:rPr>
        <w:t> </w:t>
      </w:r>
      <w:r>
        <w:rPr>
          <w:spacing w:val="-91"/>
        </w:rPr>
      </w:r>
      <w:r>
        <w:rPr/>
        <w:t>量人工处理转为自动发现和半自动处理，从重点区域人工查看到全域自动监看，从人工交接</w:t>
      </w:r>
      <w:r>
        <w:rPr>
          <w:spacing w:val="-91"/>
        </w:rPr>
        <w:t> </w:t>
      </w:r>
      <w:r>
        <w:rPr>
          <w:spacing w:val="-91"/>
        </w:rPr>
      </w:r>
      <w:r>
        <w:rPr/>
        <w:t>转换为自动化接口交办，解放人力实现精准研判、精准处理和持续性改进。基于当前城管工</w:t>
      </w:r>
      <w:r>
        <w:rPr>
          <w:spacing w:val="-91"/>
        </w:rPr>
        <w:t> </w:t>
      </w:r>
      <w:r>
        <w:rPr>
          <w:spacing w:val="-91"/>
        </w:rPr>
      </w:r>
      <w:r>
        <w:rPr/>
        <w:t>作现状，深度契合数字城管平台，级联第三方视频管理平台，深入挖掘城管业务需求，整合</w:t>
      </w:r>
      <w:r>
        <w:rPr>
          <w:spacing w:val="-91"/>
        </w:rPr>
        <w:t> </w:t>
      </w:r>
      <w:r>
        <w:rPr>
          <w:spacing w:val="-91"/>
        </w:rPr>
      </w:r>
      <w:r>
        <w:rPr/>
        <w:t>利用先进的大数据技术、实时搜索引擎技术、人工智能技术、机器智能学习与分布式存储与</w:t>
      </w:r>
      <w:r>
        <w:rPr>
          <w:spacing w:val="-91"/>
        </w:rPr>
        <w:t> </w:t>
      </w:r>
      <w:r>
        <w:rPr>
          <w:spacing w:val="-91"/>
        </w:rPr>
      </w:r>
      <w:r>
        <w:rPr/>
        <w:t>计算等技术对大数据进行集成、整合、分析与挖掘，突破城管违规执法现有的工作模式，为</w:t>
      </w:r>
    </w:p>
    <w:p>
      <w:pPr>
        <w:spacing w:after="0" w:line="357" w:lineRule="auto"/>
        <w:jc w:val="both"/>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240" w:lineRule="auto" w:before="26"/>
        <w:ind w:right="982"/>
        <w:jc w:val="left"/>
      </w:pPr>
      <w:r>
        <w:rPr/>
        <w:t>其提供准确的执法参考。</w:t>
      </w:r>
    </w:p>
    <w:p>
      <w:pPr>
        <w:spacing w:line="240" w:lineRule="auto" w:before="13"/>
        <w:rPr>
          <w:rFonts w:ascii="宋体" w:hAnsi="宋体" w:cs="宋体" w:eastAsia="宋体" w:hint="default"/>
          <w:sz w:val="12"/>
          <w:szCs w:val="12"/>
        </w:rPr>
      </w:pPr>
    </w:p>
    <w:p>
      <w:pPr>
        <w:spacing w:line="4647" w:lineRule="exact"/>
        <w:ind w:left="1010" w:right="0" w:firstLine="0"/>
        <w:rPr>
          <w:rFonts w:ascii="宋体" w:hAnsi="宋体" w:cs="宋体" w:eastAsia="宋体" w:hint="default"/>
          <w:sz w:val="20"/>
          <w:szCs w:val="20"/>
        </w:rPr>
      </w:pPr>
      <w:r>
        <w:rPr>
          <w:rFonts w:ascii="宋体" w:hAnsi="宋体" w:cs="宋体" w:eastAsia="宋体" w:hint="default"/>
          <w:position w:val="-92"/>
          <w:sz w:val="20"/>
          <w:szCs w:val="20"/>
        </w:rPr>
        <w:drawing>
          <wp:inline distT="0" distB="0" distL="0" distR="0">
            <wp:extent cx="5256977" cy="2950940"/>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6" cstate="print"/>
                    <a:stretch>
                      <a:fillRect/>
                    </a:stretch>
                  </pic:blipFill>
                  <pic:spPr>
                    <a:xfrm>
                      <a:off x="0" y="0"/>
                      <a:ext cx="5256977" cy="2950940"/>
                    </a:xfrm>
                    <a:prstGeom prst="rect">
                      <a:avLst/>
                    </a:prstGeom>
                  </pic:spPr>
                </pic:pic>
              </a:graphicData>
            </a:graphic>
          </wp:inline>
        </w:drawing>
      </w:r>
      <w:r>
        <w:rPr>
          <w:rFonts w:ascii="宋体" w:hAnsi="宋体" w:cs="宋体" w:eastAsia="宋体" w:hint="default"/>
          <w:position w:val="-92"/>
          <w:sz w:val="20"/>
          <w:szCs w:val="20"/>
        </w:rPr>
      </w:r>
    </w:p>
    <w:p>
      <w:pPr>
        <w:spacing w:line="240" w:lineRule="auto" w:before="9"/>
        <w:rPr>
          <w:rFonts w:ascii="宋体" w:hAnsi="宋体" w:cs="宋体" w:eastAsia="宋体" w:hint="default"/>
          <w:sz w:val="14"/>
          <w:szCs w:val="14"/>
        </w:rPr>
      </w:pPr>
    </w:p>
    <w:p>
      <w:pPr>
        <w:spacing w:line="4702" w:lineRule="exact"/>
        <w:ind w:left="1005" w:right="0" w:firstLine="0"/>
        <w:rPr>
          <w:rFonts w:ascii="宋体" w:hAnsi="宋体" w:cs="宋体" w:eastAsia="宋体" w:hint="default"/>
          <w:sz w:val="20"/>
          <w:szCs w:val="20"/>
        </w:rPr>
      </w:pPr>
      <w:r>
        <w:rPr>
          <w:rFonts w:ascii="宋体" w:hAnsi="宋体" w:cs="宋体" w:eastAsia="宋体" w:hint="default"/>
          <w:position w:val="-93"/>
          <w:sz w:val="20"/>
          <w:szCs w:val="20"/>
        </w:rPr>
        <w:drawing>
          <wp:inline distT="0" distB="0" distL="0" distR="0">
            <wp:extent cx="5242063" cy="2985801"/>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17" cstate="print"/>
                    <a:stretch>
                      <a:fillRect/>
                    </a:stretch>
                  </pic:blipFill>
                  <pic:spPr>
                    <a:xfrm>
                      <a:off x="0" y="0"/>
                      <a:ext cx="5242063" cy="2985801"/>
                    </a:xfrm>
                    <a:prstGeom prst="rect">
                      <a:avLst/>
                    </a:prstGeom>
                  </pic:spPr>
                </pic:pic>
              </a:graphicData>
            </a:graphic>
          </wp:inline>
        </w:drawing>
      </w:r>
      <w:r>
        <w:rPr>
          <w:rFonts w:ascii="宋体" w:hAnsi="宋体" w:cs="宋体" w:eastAsia="宋体" w:hint="default"/>
          <w:position w:val="-93"/>
          <w:sz w:val="20"/>
          <w:szCs w:val="20"/>
        </w:rPr>
      </w:r>
    </w:p>
    <w:p>
      <w:pPr>
        <w:spacing w:line="240" w:lineRule="auto" w:before="0"/>
        <w:rPr>
          <w:rFonts w:ascii="宋体" w:hAnsi="宋体" w:cs="宋体" w:eastAsia="宋体" w:hint="default"/>
          <w:sz w:val="24"/>
          <w:szCs w:val="24"/>
        </w:rPr>
      </w:pPr>
    </w:p>
    <w:p>
      <w:pPr>
        <w:spacing w:line="240" w:lineRule="auto" w:before="13"/>
        <w:rPr>
          <w:rFonts w:ascii="宋体" w:hAnsi="宋体" w:cs="宋体" w:eastAsia="宋体" w:hint="default"/>
          <w:sz w:val="32"/>
          <w:szCs w:val="32"/>
        </w:rPr>
      </w:pPr>
    </w:p>
    <w:p>
      <w:pPr>
        <w:spacing w:line="386" w:lineRule="auto" w:before="0"/>
        <w:ind w:left="633" w:right="982" w:firstLine="2"/>
        <w:jc w:val="left"/>
        <w:rPr>
          <w:rFonts w:ascii="宋体" w:hAnsi="宋体" w:cs="宋体" w:eastAsia="宋体" w:hint="default"/>
          <w:sz w:val="24"/>
          <w:szCs w:val="24"/>
        </w:rPr>
      </w:pPr>
      <w:r>
        <w:rPr>
          <w:rFonts w:ascii="宋体" w:hAnsi="宋体" w:cs="宋体" w:eastAsia="宋体" w:hint="default"/>
          <w:b/>
          <w:bCs/>
          <w:sz w:val="24"/>
          <w:szCs w:val="24"/>
        </w:rPr>
        <w:t>二、适应大部制行政体制改革需求，建设网格化</w:t>
      </w:r>
      <w:r>
        <w:rPr>
          <w:rFonts w:ascii="宋体" w:hAnsi="宋体" w:cs="宋体" w:eastAsia="宋体" w:hint="default"/>
          <w:b/>
          <w:bCs/>
          <w:sz w:val="24"/>
          <w:szCs w:val="24"/>
        </w:rPr>
        <w:t>+</w:t>
      </w:r>
      <w:r>
        <w:rPr>
          <w:rFonts w:ascii="宋体" w:hAnsi="宋体" w:cs="宋体" w:eastAsia="宋体" w:hint="default"/>
          <w:b/>
          <w:bCs/>
          <w:sz w:val="24"/>
          <w:szCs w:val="24"/>
        </w:rPr>
        <w:t>综合电子政务平台</w:t>
      </w:r>
      <w:r>
        <w:rPr>
          <w:rFonts w:ascii="宋体" w:hAnsi="宋体" w:cs="宋体" w:eastAsia="宋体" w:hint="default"/>
          <w:b/>
          <w:bCs/>
          <w:w w:val="99"/>
          <w:sz w:val="24"/>
          <w:szCs w:val="24"/>
        </w:rPr>
        <w:t> </w:t>
      </w:r>
      <w:r>
        <w:rPr>
          <w:rFonts w:ascii="宋体" w:hAnsi="宋体" w:cs="宋体" w:eastAsia="宋体" w:hint="default"/>
          <w:spacing w:val="-6"/>
          <w:sz w:val="24"/>
          <w:szCs w:val="24"/>
        </w:rPr>
        <w:t>大部制改革的核心是转变政府职能，其特征是“大职能、宽领域、少机构”，政府部门的</w:t>
      </w:r>
    </w:p>
    <w:p>
      <w:pPr>
        <w:pStyle w:val="BodyText"/>
        <w:spacing w:line="357" w:lineRule="auto" w:before="7"/>
        <w:ind w:right="996"/>
        <w:jc w:val="left"/>
      </w:pPr>
      <w:r>
        <w:rPr/>
        <w:t>管理范围广，职能综合性强。按照党的十九大精神推行的“大部制”改革，是完善</w:t>
      </w:r>
      <w:hyperlink r:id="rId18">
        <w:r>
          <w:rPr/>
          <w:t>社会主义</w:t>
        </w:r>
      </w:hyperlink>
      <w:r>
        <w:rPr>
          <w:spacing w:val="-86"/>
        </w:rPr>
        <w:t> </w:t>
      </w:r>
      <w:r>
        <w:rPr>
          <w:spacing w:val="-86"/>
        </w:rPr>
      </w:r>
      <w:hyperlink r:id="rId18">
        <w:r>
          <w:rPr/>
          <w:t>市场经济体制</w:t>
        </w:r>
      </w:hyperlink>
      <w:r>
        <w:rPr/>
        <w:t>和深化社会管理体制改革的需要，具有重要而显现的现实意义。作为国内电子</w:t>
      </w:r>
      <w:r>
        <w:rPr>
          <w:spacing w:val="-90"/>
        </w:rPr>
        <w:t> </w:t>
      </w:r>
      <w:r>
        <w:rPr>
          <w:spacing w:val="-90"/>
        </w:rPr>
      </w:r>
      <w:r>
        <w:rPr>
          <w:spacing w:val="-2"/>
        </w:rPr>
        <w:t>政务建设和服务领域的重要厂商，数字政通一直高度重视行业发展的趋势和客户需求的变革，</w:t>
      </w:r>
      <w:r>
        <w:rPr/>
        <w:t> </w:t>
      </w:r>
      <w:r>
        <w:rPr>
          <w:spacing w:val="-2"/>
        </w:rPr>
        <w:t>报告期内，具有数字政通特色的“网格化</w:t>
      </w:r>
      <w:r>
        <w:rPr>
          <w:rFonts w:ascii="宋体" w:hAnsi="宋体" w:cs="宋体" w:eastAsia="宋体" w:hint="default"/>
          <w:spacing w:val="-2"/>
        </w:rPr>
        <w:t>+</w:t>
      </w:r>
      <w:r>
        <w:rPr>
          <w:spacing w:val="-2"/>
        </w:rPr>
        <w:t>”管理模式在全国各地新一代综合性电子政务系统</w:t>
      </w:r>
    </w:p>
    <w:p>
      <w:pPr>
        <w:spacing w:after="0" w:line="357"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010"/>
        <w:jc w:val="left"/>
      </w:pPr>
      <w:r>
        <w:rPr/>
        <w:t>的建设中取得了新的、重要的成绩，深入拓展应用到社会治理、基层治理、公共服务、环境</w:t>
      </w:r>
      <w:r>
        <w:rPr>
          <w:spacing w:val="-91"/>
        </w:rPr>
        <w:t> </w:t>
      </w:r>
      <w:r>
        <w:rPr>
          <w:spacing w:val="-91"/>
        </w:rPr>
      </w:r>
      <w:r>
        <w:rPr>
          <w:spacing w:val="-8"/>
        </w:rPr>
        <w:t>保护、雪亮工程、河长制等各个领域，并涌现出“北京市街道吹哨、部门报道基层治理平台”、</w:t>
      </w:r>
      <w:r>
        <w:rPr>
          <w:spacing w:val="-109"/>
        </w:rPr>
        <w:t> </w:t>
      </w:r>
      <w:r>
        <w:rPr>
          <w:spacing w:val="-109"/>
        </w:rPr>
      </w:r>
      <w:r>
        <w:rPr>
          <w:spacing w:val="-11"/>
        </w:rPr>
        <w:t>“浙江省最多跑一次一中心四平台”、“福建省网格化服务管理信息平台”、“贵州省‘社会和</w:t>
      </w:r>
      <w:r>
        <w:rPr>
          <w:spacing w:val="-108"/>
        </w:rPr>
        <w:t> </w:t>
      </w:r>
      <w:r>
        <w:rPr>
          <w:spacing w:val="-108"/>
        </w:rPr>
      </w:r>
      <w:r>
        <w:rPr>
          <w:spacing w:val="-12"/>
        </w:rPr>
        <w:t>云’社会治理平台”、</w:t>
      </w:r>
      <w:r>
        <w:rPr/>
        <w:t> “天津市大气污染防治网格化综合信息平台”等在全国具有重要示范</w:t>
      </w:r>
      <w:r>
        <w:rPr>
          <w:spacing w:val="-90"/>
        </w:rPr>
        <w:t> </w:t>
      </w:r>
      <w:r>
        <w:rPr>
          <w:spacing w:val="-90"/>
        </w:rPr>
      </w:r>
      <w:r>
        <w:rPr/>
        <w:t>推广意义的“网格化</w:t>
      </w:r>
      <w:r>
        <w:rPr>
          <w:rFonts w:ascii="宋体" w:hAnsi="宋体" w:cs="宋体" w:eastAsia="宋体" w:hint="default"/>
        </w:rPr>
        <w:t>+</w:t>
      </w:r>
      <w:r>
        <w:rPr/>
        <w:t>”电子政务综合管理新模式应用案例。</w:t>
      </w:r>
    </w:p>
    <w:p>
      <w:pPr>
        <w:pStyle w:val="Heading2"/>
        <w:spacing w:line="240" w:lineRule="auto" w:before="77"/>
        <w:ind w:left="635" w:right="982"/>
        <w:jc w:val="left"/>
        <w:rPr>
          <w:b w:val="0"/>
          <w:bCs w:val="0"/>
        </w:rPr>
      </w:pPr>
      <w:r>
        <w:rPr>
          <w:rFonts w:ascii="宋体" w:hAnsi="宋体" w:cs="宋体" w:eastAsia="宋体" w:hint="default"/>
        </w:rPr>
        <w:t>1</w:t>
      </w:r>
      <w:r>
        <w:rPr/>
        <w:t>、网格化</w:t>
      </w:r>
      <w:r>
        <w:rPr>
          <w:rFonts w:ascii="宋体" w:hAnsi="宋体" w:cs="宋体" w:eastAsia="宋体" w:hint="default"/>
        </w:rPr>
        <w:t>+</w:t>
      </w:r>
      <w:r>
        <w:rPr/>
        <w:t>基层治理</w:t>
      </w:r>
      <w:r>
        <w:rPr>
          <w:b w:val="0"/>
          <w:bCs w:val="0"/>
        </w:rPr>
      </w:r>
    </w:p>
    <w:p>
      <w:pPr>
        <w:pStyle w:val="BodyText"/>
        <w:spacing w:line="367" w:lineRule="auto" w:before="192"/>
        <w:ind w:right="1133" w:firstLine="480"/>
        <w:jc w:val="right"/>
      </w:pPr>
      <w:r>
        <w:rPr>
          <w:rFonts w:ascii="宋体" w:hAnsi="宋体" w:cs="宋体" w:eastAsia="宋体" w:hint="default"/>
        </w:rPr>
        <w:t>2018</w:t>
      </w:r>
      <w:r>
        <w:rPr>
          <w:rFonts w:ascii="宋体" w:hAnsi="宋体" w:cs="宋体" w:eastAsia="宋体" w:hint="default"/>
          <w:spacing w:val="-28"/>
        </w:rPr>
        <w:t> </w:t>
      </w:r>
      <w:r>
        <w:rPr>
          <w:spacing w:val="-8"/>
        </w:rPr>
        <w:t>年，中央全面深化改革委员会第五次会议审议通过了《“街乡吹哨、部门报到”——</w:t>
      </w:r>
      <w:r>
        <w:rPr/>
        <w:t> </w:t>
      </w:r>
      <w:r>
        <w:rPr>
          <w:spacing w:val="-5"/>
        </w:rPr>
        <w:t>北京市推进党建引领基层治理体制机制创新的探索》。会议指出，推动社会治理重心向基层下</w:t>
      </w:r>
      <w:r>
        <w:rPr/>
        <w:t> 移、把基层党组织建设成为领导基层治理的坚强战斗堡垒，是党的十九大提出的重要任务。 根据中央的要求，报告期内，公司配合北京市东城区、石景山区、房山区等区域开展了</w:t>
      </w:r>
    </w:p>
    <w:p>
      <w:pPr>
        <w:pStyle w:val="BodyText"/>
        <w:spacing w:line="357" w:lineRule="auto" w:before="26"/>
        <w:ind w:right="982"/>
        <w:jc w:val="left"/>
      </w:pPr>
      <w:r>
        <w:rPr/>
        <w:t>“街道吹哨”管理体制改革工作。以东城区为例，东城区政府以服务民生为出发点，以强化</w:t>
      </w:r>
      <w:r>
        <w:rPr>
          <w:spacing w:val="-91"/>
        </w:rPr>
        <w:t> </w:t>
      </w:r>
      <w:r>
        <w:rPr>
          <w:spacing w:val="-91"/>
        </w:rPr>
      </w:r>
      <w:r>
        <w:rPr/>
        <w:t>部门联动为基础，以优化流程为重点，进一步深化网格化管理，根据综合执法要吹哨，抓重</w:t>
      </w:r>
      <w:r>
        <w:rPr>
          <w:spacing w:val="-91"/>
        </w:rPr>
        <w:t> </w:t>
      </w:r>
      <w:r>
        <w:rPr>
          <w:spacing w:val="-91"/>
        </w:rPr>
      </w:r>
      <w:r>
        <w:rPr>
          <w:spacing w:val="-3"/>
        </w:rPr>
        <w:t>点工作可吹哨，应急处置必吹哨的要求，构建“党建引领、街道吹哨、部门报到、群众满意”</w:t>
      </w:r>
      <w:r>
        <w:rPr>
          <w:spacing w:val="-83"/>
        </w:rPr>
        <w:t> </w:t>
      </w:r>
      <w:r>
        <w:rPr>
          <w:spacing w:val="-83"/>
        </w:rPr>
      </w:r>
      <w:r>
        <w:rPr/>
        <w:t>的工作机制，推动疑难问题全面解决。公司密切配合北京市东城区政府，在已有的网格化管</w:t>
      </w:r>
      <w:r>
        <w:rPr>
          <w:spacing w:val="-87"/>
        </w:rPr>
        <w:t> </w:t>
      </w:r>
      <w:r>
        <w:rPr>
          <w:spacing w:val="-87"/>
        </w:rPr>
      </w:r>
      <w:r>
        <w:rPr/>
        <w:t>理平台的基础上进一步搭建起“</w:t>
      </w:r>
      <w:r>
        <w:rPr>
          <w:rFonts w:ascii="宋体" w:hAnsi="宋体" w:cs="宋体" w:eastAsia="宋体" w:hint="default"/>
        </w:rPr>
        <w:t>1+5+N</w:t>
      </w:r>
      <w:r>
        <w:rPr/>
        <w:t>”综合执法信息化平台，以街道城管执法队为主体，从 公安、工商、食药、交通、消防等部门抽调人员，组建综合执法队常驻街道，其他执法部门</w:t>
      </w:r>
      <w:r>
        <w:rPr>
          <w:spacing w:val="-89"/>
        </w:rPr>
        <w:t> </w:t>
      </w:r>
      <w:r>
        <w:rPr>
          <w:spacing w:val="-89"/>
        </w:rPr>
      </w:r>
      <w:r>
        <w:rPr>
          <w:spacing w:val="-5"/>
        </w:rPr>
        <w:t>随时听候街道“吹哨”，加快实现联合执法向综合执法转变。目前，在新一代信息化系统的支</w:t>
      </w:r>
      <w:r>
        <w:rPr>
          <w:spacing w:val="-117"/>
        </w:rPr>
        <w:t> </w:t>
      </w:r>
      <w:r>
        <w:rPr>
          <w:spacing w:val="-117"/>
        </w:rPr>
      </w:r>
      <w:r>
        <w:rPr/>
        <w:t>持下，东城区全区 </w:t>
      </w:r>
      <w:r>
        <w:rPr>
          <w:rFonts w:ascii="宋体" w:hAnsi="宋体" w:cs="宋体" w:eastAsia="宋体" w:hint="default"/>
        </w:rPr>
        <w:t>90%</w:t>
      </w:r>
      <w:r>
        <w:rPr/>
        <w:t>以上的一线执法力量已经下沉到了街道，实现责任在一线落实、调度</w:t>
      </w:r>
      <w:r>
        <w:rPr>
          <w:spacing w:val="-91"/>
        </w:rPr>
        <w:t> </w:t>
      </w:r>
      <w:r>
        <w:rPr>
          <w:spacing w:val="-91"/>
        </w:rPr>
      </w:r>
      <w:r>
        <w:rPr/>
        <w:t>在一线进行、问题在一线解决，取得了重要的管理成效。</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0"/>
          <w:szCs w:val="10"/>
        </w:rPr>
      </w:pPr>
    </w:p>
    <w:p>
      <w:pPr>
        <w:spacing w:line="3428" w:lineRule="exact"/>
        <w:ind w:left="1110" w:right="0" w:firstLine="0"/>
        <w:rPr>
          <w:rFonts w:ascii="宋体" w:hAnsi="宋体" w:cs="宋体" w:eastAsia="宋体" w:hint="default"/>
          <w:sz w:val="20"/>
          <w:szCs w:val="20"/>
        </w:rPr>
      </w:pPr>
      <w:r>
        <w:rPr>
          <w:rFonts w:ascii="宋体" w:hAnsi="宋体" w:cs="宋体" w:eastAsia="宋体" w:hint="default"/>
          <w:position w:val="-68"/>
          <w:sz w:val="20"/>
          <w:szCs w:val="20"/>
        </w:rPr>
        <w:drawing>
          <wp:inline distT="0" distB="0" distL="0" distR="0">
            <wp:extent cx="5091926" cy="2176843"/>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19" cstate="print"/>
                    <a:stretch>
                      <a:fillRect/>
                    </a:stretch>
                  </pic:blipFill>
                  <pic:spPr>
                    <a:xfrm>
                      <a:off x="0" y="0"/>
                      <a:ext cx="5091926" cy="2176843"/>
                    </a:xfrm>
                    <a:prstGeom prst="rect">
                      <a:avLst/>
                    </a:prstGeom>
                  </pic:spPr>
                </pic:pic>
              </a:graphicData>
            </a:graphic>
          </wp:inline>
        </w:drawing>
      </w:r>
      <w:r>
        <w:rPr>
          <w:rFonts w:ascii="宋体" w:hAnsi="宋体" w:cs="宋体" w:eastAsia="宋体" w:hint="default"/>
          <w:position w:val="-68"/>
          <w:sz w:val="20"/>
          <w:szCs w:val="20"/>
        </w:rPr>
      </w:r>
    </w:p>
    <w:p>
      <w:pPr>
        <w:spacing w:after="0" w:line="3428" w:lineRule="exact"/>
        <w:rPr>
          <w:rFonts w:ascii="宋体" w:hAnsi="宋体" w:cs="宋体" w:eastAsia="宋体" w:hint="default"/>
          <w:sz w:val="20"/>
          <w:szCs w:val="20"/>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1"/>
          <w:szCs w:val="11"/>
        </w:rPr>
      </w:pPr>
    </w:p>
    <w:p>
      <w:pPr>
        <w:spacing w:line="3654" w:lineRule="exact"/>
        <w:ind w:left="1060" w:right="0" w:firstLine="0"/>
        <w:rPr>
          <w:rFonts w:ascii="宋体" w:hAnsi="宋体" w:cs="宋体" w:eastAsia="宋体" w:hint="default"/>
          <w:sz w:val="20"/>
          <w:szCs w:val="20"/>
        </w:rPr>
      </w:pPr>
      <w:r>
        <w:rPr>
          <w:rFonts w:ascii="宋体" w:hAnsi="宋体" w:cs="宋体" w:eastAsia="宋体" w:hint="default"/>
          <w:position w:val="-72"/>
          <w:sz w:val="20"/>
          <w:szCs w:val="20"/>
        </w:rPr>
        <w:drawing>
          <wp:inline distT="0" distB="0" distL="0" distR="0">
            <wp:extent cx="5261332" cy="2320766"/>
            <wp:effectExtent l="0" t="0" r="0" b="0"/>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20" cstate="print"/>
                    <a:stretch>
                      <a:fillRect/>
                    </a:stretch>
                  </pic:blipFill>
                  <pic:spPr>
                    <a:xfrm>
                      <a:off x="0" y="0"/>
                      <a:ext cx="5261332" cy="2320766"/>
                    </a:xfrm>
                    <a:prstGeom prst="rect">
                      <a:avLst/>
                    </a:prstGeom>
                  </pic:spPr>
                </pic:pic>
              </a:graphicData>
            </a:graphic>
          </wp:inline>
        </w:drawing>
      </w:r>
      <w:r>
        <w:rPr>
          <w:rFonts w:ascii="宋体" w:hAnsi="宋体" w:cs="宋体" w:eastAsia="宋体" w:hint="default"/>
          <w:position w:val="-72"/>
          <w:sz w:val="20"/>
          <w:szCs w:val="20"/>
        </w:rPr>
      </w:r>
    </w:p>
    <w:p>
      <w:pPr>
        <w:spacing w:line="240" w:lineRule="auto" w:before="12"/>
        <w:rPr>
          <w:rFonts w:ascii="宋体" w:hAnsi="宋体" w:cs="宋体" w:eastAsia="宋体" w:hint="default"/>
          <w:sz w:val="7"/>
          <w:szCs w:val="7"/>
        </w:rPr>
      </w:pPr>
    </w:p>
    <w:p>
      <w:pPr>
        <w:pStyle w:val="Heading2"/>
        <w:spacing w:line="240" w:lineRule="auto" w:before="26"/>
        <w:ind w:left="635" w:right="982"/>
        <w:jc w:val="left"/>
        <w:rPr>
          <w:b w:val="0"/>
          <w:bCs w:val="0"/>
        </w:rPr>
      </w:pPr>
      <w:r>
        <w:rPr>
          <w:rFonts w:ascii="宋体" w:hAnsi="宋体" w:cs="宋体" w:eastAsia="宋体" w:hint="default"/>
        </w:rPr>
        <w:t>2</w:t>
      </w:r>
      <w:r>
        <w:rPr/>
        <w:t>、网格化</w:t>
      </w:r>
      <w:r>
        <w:rPr>
          <w:rFonts w:ascii="宋体" w:hAnsi="宋体" w:cs="宋体" w:eastAsia="宋体" w:hint="default"/>
        </w:rPr>
        <w:t>+</w:t>
      </w:r>
      <w:r>
        <w:rPr/>
        <w:t>智慧执法</w:t>
      </w:r>
      <w:r>
        <w:rPr>
          <w:b w:val="0"/>
          <w:bCs w:val="0"/>
        </w:rPr>
      </w:r>
    </w:p>
    <w:p>
      <w:pPr>
        <w:pStyle w:val="BodyText"/>
        <w:spacing w:line="240" w:lineRule="auto" w:before="192"/>
        <w:ind w:left="633" w:right="982"/>
        <w:jc w:val="left"/>
      </w:pPr>
      <w:r>
        <w:rPr>
          <w:rFonts w:ascii="宋体" w:hAnsi="宋体" w:cs="宋体" w:eastAsia="宋体" w:hint="default"/>
        </w:rPr>
        <w:t>2018</w:t>
      </w:r>
      <w:r>
        <w:rPr>
          <w:rFonts w:ascii="宋体" w:hAnsi="宋体" w:cs="宋体" w:eastAsia="宋体" w:hint="default"/>
          <w:spacing w:val="-41"/>
        </w:rPr>
        <w:t> </w:t>
      </w:r>
      <w:r>
        <w:rPr/>
        <w:t>年</w:t>
      </w:r>
      <w:r>
        <w:rPr>
          <w:spacing w:val="-41"/>
        </w:rPr>
        <w:t> </w:t>
      </w:r>
      <w:r>
        <w:rPr>
          <w:rFonts w:ascii="宋体" w:hAnsi="宋体" w:cs="宋体" w:eastAsia="宋体" w:hint="default"/>
        </w:rPr>
        <w:t>3</w:t>
      </w:r>
      <w:r>
        <w:rPr>
          <w:rFonts w:ascii="宋体" w:hAnsi="宋体" w:cs="宋体" w:eastAsia="宋体" w:hint="default"/>
          <w:spacing w:val="-41"/>
        </w:rPr>
        <w:t> </w:t>
      </w:r>
      <w:r>
        <w:rPr/>
        <w:t>月</w:t>
      </w:r>
      <w:r>
        <w:rPr>
          <w:spacing w:val="-41"/>
        </w:rPr>
        <w:t> </w:t>
      </w:r>
      <w:r>
        <w:rPr>
          <w:rFonts w:ascii="宋体" w:hAnsi="宋体" w:cs="宋体" w:eastAsia="宋体" w:hint="default"/>
        </w:rPr>
        <w:t>21</w:t>
      </w:r>
      <w:r>
        <w:rPr>
          <w:rFonts w:ascii="宋体" w:hAnsi="宋体" w:cs="宋体" w:eastAsia="宋体" w:hint="default"/>
          <w:spacing w:val="-41"/>
        </w:rPr>
        <w:t> </w:t>
      </w:r>
      <w:r>
        <w:rPr/>
        <w:t>日，中共中央印发《深化党和国家机构改革方案》全文，其中第五部分</w:t>
      </w:r>
    </w:p>
    <w:p>
      <w:pPr>
        <w:pStyle w:val="BodyText"/>
        <w:spacing w:line="357" w:lineRule="auto" w:before="154"/>
        <w:ind w:right="1131"/>
        <w:jc w:val="both"/>
      </w:pPr>
      <w:r>
        <w:rPr/>
        <w:t>对深化行政执法体制改革作出系统部署。</w:t>
      </w:r>
      <w:r>
        <w:rPr>
          <w:rFonts w:ascii="宋体" w:hAnsi="宋体" w:cs="宋体" w:eastAsia="宋体" w:hint="default"/>
        </w:rPr>
        <w:t>2019</w:t>
      </w:r>
      <w:r>
        <w:rPr>
          <w:rFonts w:ascii="宋体" w:hAnsi="宋体" w:cs="宋体" w:eastAsia="宋体" w:hint="default"/>
          <w:spacing w:val="-65"/>
        </w:rPr>
        <w:t> </w:t>
      </w:r>
      <w:r>
        <w:rPr/>
        <w:t>年</w:t>
      </w:r>
      <w:r>
        <w:rPr>
          <w:spacing w:val="-65"/>
        </w:rPr>
        <w:t> </w:t>
      </w:r>
      <w:r>
        <w:rPr>
          <w:rFonts w:ascii="宋体" w:hAnsi="宋体" w:cs="宋体" w:eastAsia="宋体" w:hint="default"/>
        </w:rPr>
        <w:t>1</w:t>
      </w:r>
      <w:r>
        <w:rPr>
          <w:rFonts w:ascii="宋体" w:hAnsi="宋体" w:cs="宋体" w:eastAsia="宋体" w:hint="default"/>
          <w:spacing w:val="-65"/>
        </w:rPr>
        <w:t> </w:t>
      </w:r>
      <w:r>
        <w:rPr/>
        <w:t>月</w:t>
      </w:r>
      <w:r>
        <w:rPr>
          <w:spacing w:val="-65"/>
        </w:rPr>
        <w:t> </w:t>
      </w:r>
      <w:r>
        <w:rPr>
          <w:rFonts w:ascii="宋体" w:hAnsi="宋体" w:cs="宋体" w:eastAsia="宋体" w:hint="default"/>
        </w:rPr>
        <w:t>3</w:t>
      </w:r>
      <w:r>
        <w:rPr>
          <w:rFonts w:ascii="宋体" w:hAnsi="宋体" w:cs="宋体" w:eastAsia="宋体" w:hint="default"/>
          <w:spacing w:val="-65"/>
        </w:rPr>
        <w:t> </w:t>
      </w:r>
      <w:r>
        <w:rPr/>
        <w:t>日，国务院办公厅印发《关于全面推 行行政执法公示制度执法全过程记录制度重大执法决定法制审核制度的指导意见》指出要全</w:t>
      </w:r>
      <w:r>
        <w:rPr>
          <w:spacing w:val="-91"/>
        </w:rPr>
        <w:t> </w:t>
      </w:r>
      <w:r>
        <w:rPr>
          <w:spacing w:val="-91"/>
        </w:rPr>
      </w:r>
      <w:r>
        <w:rPr/>
        <w:t>面推进行政执法信息化建设，加快推进执法信息互联互通共享，有效整合执法数据资源，为</w:t>
      </w:r>
      <w:r>
        <w:rPr>
          <w:spacing w:val="-91"/>
        </w:rPr>
        <w:t> </w:t>
      </w:r>
      <w:r>
        <w:rPr>
          <w:spacing w:val="-91"/>
        </w:rPr>
      </w:r>
      <w:r>
        <w:rPr/>
        <w:t>行政执法更规范、群众办事更便捷、政府治理更高效、营商环境更优化奠定基础。公司凭借</w:t>
      </w:r>
      <w:r>
        <w:rPr>
          <w:spacing w:val="-91"/>
        </w:rPr>
        <w:t> </w:t>
      </w:r>
      <w:r>
        <w:rPr>
          <w:spacing w:val="-91"/>
        </w:rPr>
      </w:r>
      <w:r>
        <w:rPr/>
        <w:t>在政务领域的信息化优势和积累，在执法领域的业务开展不断取得突破，陆续中标河北省、</w:t>
      </w:r>
      <w:r>
        <w:rPr>
          <w:spacing w:val="-91"/>
        </w:rPr>
        <w:t> </w:t>
      </w:r>
      <w:r>
        <w:rPr>
          <w:spacing w:val="-91"/>
        </w:rPr>
      </w:r>
      <w:r>
        <w:rPr/>
        <w:t>天津滨海新区、宁夏中卫市、湖南衡阳市等多个试点部门项目。</w:t>
      </w:r>
    </w:p>
    <w:p>
      <w:pPr>
        <w:pStyle w:val="BodyText"/>
        <w:tabs>
          <w:tab w:pos="6552" w:val="left" w:leader="none"/>
        </w:tabs>
        <w:spacing w:line="357" w:lineRule="auto" w:before="77"/>
        <w:ind w:right="1011" w:firstLine="480"/>
        <w:jc w:val="left"/>
      </w:pPr>
      <w:r>
        <w:rPr/>
        <w:t>以宁夏中卫市行政执法“三项制度”数字化平台项目为例，中卫市是《推行行政执法公 示制度执法全过程记录制度重大执法决定法制审核制度试点工作方案》中宁夏回族自治区中</w:t>
      </w:r>
      <w:r>
        <w:rPr>
          <w:spacing w:val="-89"/>
        </w:rPr>
        <w:t> </w:t>
      </w:r>
      <w:r>
        <w:rPr>
          <w:spacing w:val="-89"/>
        </w:rPr>
      </w:r>
      <w:r>
        <w:rPr/>
        <w:t>的唯一试点单位，试点任务包括行政执法公示制度、执法全过程记录制度、重大执法决定法</w:t>
      </w:r>
      <w:r>
        <w:rPr>
          <w:spacing w:val="-87"/>
        </w:rPr>
        <w:t> </w:t>
      </w:r>
      <w:r>
        <w:rPr>
          <w:spacing w:val="-87"/>
        </w:rPr>
      </w:r>
      <w:r>
        <w:rPr>
          <w:spacing w:val="-16"/>
        </w:rPr>
        <w:t>制审核制度。项目依托“一网”、“一平台”、“一中心”，创建“六大执法基础数据库”，构建</w:t>
      </w:r>
      <w:r>
        <w:rPr/>
        <w:t> </w:t>
      </w:r>
      <w:r>
        <w:rPr>
          <w:spacing w:val="-4"/>
        </w:rPr>
        <w:t>横向覆盖中卫市、两县两级政府，纵向连通</w:t>
      </w:r>
      <w:r>
        <w:rPr>
          <w:rFonts w:ascii="Microsoft JhengHei" w:hAnsi="Microsoft JhengHei" w:cs="Microsoft JhengHei" w:eastAsia="Microsoft JhengHei" w:hint="default"/>
          <w:spacing w:val="-4"/>
        </w:rPr>
        <w:t>⾏</w:t>
      </w:r>
      <w:r>
        <w:rPr>
          <w:spacing w:val="-4"/>
        </w:rPr>
        <w:t>政执法职能部</w:t>
        <w:tab/>
      </w:r>
      <w:r>
        <w:rPr/>
        <w:t>和行政复议机关的数字化平台， 对内实现执法信息全过程记录、规范执法业务流程、重</w:t>
      </w:r>
      <w:r>
        <w:rPr>
          <w:rFonts w:ascii="Microsoft JhengHei" w:hAnsi="Microsoft JhengHei" w:cs="Microsoft JhengHei" w:eastAsia="Microsoft JhengHei" w:hint="default"/>
        </w:rPr>
        <w:t>⼤</w:t>
      </w:r>
      <w:r>
        <w:rPr/>
        <w:t>行政执法决定法制审核可监督、宏</w:t>
      </w:r>
      <w:r>
        <w:rPr>
          <w:spacing w:val="-88"/>
        </w:rPr>
        <w:t> </w:t>
      </w:r>
      <w:r>
        <w:rPr>
          <w:spacing w:val="-88"/>
        </w:rPr>
      </w:r>
      <w:r>
        <w:rPr/>
        <w:t>观决策数据可提取，对外实现社会公众可参与的</w:t>
      </w:r>
      <w:r>
        <w:rPr>
          <w:rFonts w:ascii="Microsoft JhengHei" w:hAnsi="Microsoft JhengHei" w:cs="Microsoft JhengHei" w:eastAsia="Microsoft JhengHei" w:hint="default"/>
        </w:rPr>
        <w:t>⾏</w:t>
      </w:r>
      <w:r>
        <w:rPr/>
        <w:t>政执法公示新模式，初步形成了行政执法</w:t>
      </w:r>
      <w:r>
        <w:rPr>
          <w:spacing w:val="-89"/>
        </w:rPr>
        <w:t> </w:t>
      </w:r>
      <w:r>
        <w:rPr>
          <w:spacing w:val="-89"/>
        </w:rPr>
      </w:r>
      <w:r>
        <w:rPr/>
        <w:t>“三项制度”试点工作的中卫模式。公司着力构建集感知、分析、服务、指挥、监察“五位</w:t>
      </w:r>
      <w:r>
        <w:rPr>
          <w:spacing w:val="-91"/>
        </w:rPr>
        <w:t> </w:t>
      </w:r>
      <w:r>
        <w:rPr>
          <w:spacing w:val="-91"/>
        </w:rPr>
      </w:r>
      <w:r>
        <w:rPr/>
        <w:t>一体”的智慧执法产品，通过精细化执法管理、智慧化执法办案、智能化执法监察等完整覆</w:t>
      </w:r>
      <w:r>
        <w:rPr>
          <w:spacing w:val="-91"/>
        </w:rPr>
        <w:t> </w:t>
      </w:r>
      <w:r>
        <w:rPr>
          <w:spacing w:val="-91"/>
        </w:rPr>
      </w:r>
      <w:r>
        <w:rPr/>
        <w:t>盖综合执法全业务，助力打造新型“互联网＋”法治政府，建立健全阳光执法、文明执法新</w:t>
      </w:r>
      <w:r>
        <w:rPr>
          <w:spacing w:val="-91"/>
        </w:rPr>
        <w:t> </w:t>
      </w:r>
      <w:r>
        <w:rPr>
          <w:spacing w:val="-91"/>
        </w:rPr>
      </w:r>
      <w:r>
        <w:rPr/>
        <w:t>体系，构建新时代综合执法新模式，新方向，新形象。</w:t>
      </w:r>
    </w:p>
    <w:p>
      <w:pPr>
        <w:spacing w:after="0" w:line="357"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1"/>
          <w:szCs w:val="11"/>
        </w:rPr>
      </w:pPr>
    </w:p>
    <w:p>
      <w:pPr>
        <w:spacing w:line="3974" w:lineRule="exact"/>
        <w:ind w:left="1070" w:right="0" w:firstLine="0"/>
        <w:rPr>
          <w:rFonts w:ascii="宋体" w:hAnsi="宋体" w:cs="宋体" w:eastAsia="宋体" w:hint="default"/>
          <w:sz w:val="20"/>
          <w:szCs w:val="20"/>
        </w:rPr>
      </w:pPr>
      <w:r>
        <w:rPr>
          <w:rFonts w:ascii="宋体" w:hAnsi="宋体" w:cs="宋体" w:eastAsia="宋体" w:hint="default"/>
          <w:position w:val="-78"/>
          <w:sz w:val="20"/>
          <w:szCs w:val="20"/>
        </w:rPr>
        <w:drawing>
          <wp:inline distT="0" distB="0" distL="0" distR="0">
            <wp:extent cx="5259599" cy="2523744"/>
            <wp:effectExtent l="0" t="0" r="0" b="0"/>
            <wp:docPr id="19" name="image11.jpeg" descr=""/>
            <wp:cNvGraphicFramePr>
              <a:graphicFrameLocks noChangeAspect="1"/>
            </wp:cNvGraphicFramePr>
            <a:graphic>
              <a:graphicData uri="http://schemas.openxmlformats.org/drawingml/2006/picture">
                <pic:pic>
                  <pic:nvPicPr>
                    <pic:cNvPr id="20" name="image11.jpeg"/>
                    <pic:cNvPicPr/>
                  </pic:nvPicPr>
                  <pic:blipFill>
                    <a:blip r:embed="rId21" cstate="print"/>
                    <a:stretch>
                      <a:fillRect/>
                    </a:stretch>
                  </pic:blipFill>
                  <pic:spPr>
                    <a:xfrm>
                      <a:off x="0" y="0"/>
                      <a:ext cx="5259599" cy="2523744"/>
                    </a:xfrm>
                    <a:prstGeom prst="rect">
                      <a:avLst/>
                    </a:prstGeom>
                  </pic:spPr>
                </pic:pic>
              </a:graphicData>
            </a:graphic>
          </wp:inline>
        </w:drawing>
      </w:r>
      <w:r>
        <w:rPr>
          <w:rFonts w:ascii="宋体" w:hAnsi="宋体" w:cs="宋体" w:eastAsia="宋体" w:hint="default"/>
          <w:position w:val="-78"/>
          <w:sz w:val="20"/>
          <w:szCs w:val="20"/>
        </w:rPr>
      </w:r>
    </w:p>
    <w:p>
      <w:pPr>
        <w:spacing w:line="240" w:lineRule="auto" w:before="4"/>
        <w:rPr>
          <w:rFonts w:ascii="宋体" w:hAnsi="宋体" w:cs="宋体" w:eastAsia="宋体" w:hint="default"/>
          <w:sz w:val="7"/>
          <w:szCs w:val="7"/>
        </w:rPr>
      </w:pPr>
    </w:p>
    <w:p>
      <w:pPr>
        <w:pStyle w:val="Heading2"/>
        <w:spacing w:line="240" w:lineRule="auto" w:before="26"/>
        <w:ind w:left="635" w:right="982"/>
        <w:jc w:val="left"/>
        <w:rPr>
          <w:b w:val="0"/>
          <w:bCs w:val="0"/>
        </w:rPr>
      </w:pPr>
      <w:r>
        <w:rPr>
          <w:rFonts w:ascii="宋体" w:hAnsi="宋体" w:cs="宋体" w:eastAsia="宋体" w:hint="default"/>
        </w:rPr>
        <w:t>3</w:t>
      </w:r>
      <w:r>
        <w:rPr/>
        <w:t>、网格化</w:t>
      </w:r>
      <w:r>
        <w:rPr>
          <w:rFonts w:ascii="宋体" w:hAnsi="宋体" w:cs="宋体" w:eastAsia="宋体" w:hint="default"/>
        </w:rPr>
        <w:t>+</w:t>
      </w:r>
      <w:r>
        <w:rPr/>
        <w:t>智慧市政</w:t>
      </w:r>
      <w:r>
        <w:rPr>
          <w:b w:val="0"/>
          <w:bCs w:val="0"/>
        </w:rPr>
      </w:r>
    </w:p>
    <w:p>
      <w:pPr>
        <w:pStyle w:val="BodyText"/>
        <w:spacing w:line="357" w:lineRule="auto" w:before="192"/>
        <w:ind w:right="982" w:firstLine="480"/>
        <w:jc w:val="left"/>
      </w:pPr>
      <w:r>
        <w:rPr/>
        <w:t>《中共中央国务院关于深入推进城市执法体制改革改进城市管理工作的指导意见》明确 </w:t>
      </w:r>
      <w:r>
        <w:rPr>
          <w:spacing w:val="-3"/>
        </w:rPr>
        <w:t>指出要推进市县两级政府城市管理领域大部门制改革，整合市政公用、市容环卫、园林绿化、</w:t>
      </w:r>
      <w:r>
        <w:rPr>
          <w:spacing w:val="-81"/>
        </w:rPr>
        <w:t> </w:t>
      </w:r>
      <w:r>
        <w:rPr>
          <w:spacing w:val="-81"/>
        </w:rPr>
      </w:r>
      <w:r>
        <w:rPr/>
        <w:t>城市管理执法等城市管理相关职能，实现管理执法机构综合设置。</w:t>
      </w:r>
    </w:p>
    <w:p>
      <w:pPr>
        <w:pStyle w:val="BodyText"/>
        <w:spacing w:line="357" w:lineRule="auto" w:before="77"/>
        <w:ind w:right="1135" w:firstLine="480"/>
        <w:jc w:val="both"/>
      </w:pPr>
      <w:r>
        <w:rPr/>
        <w:t>公司智慧市政产品体系包括智慧市政综合监管平台及智慧路灯、智慧排水、智慧道桥、 智能井盖等专业子系统。智慧市政综合监管平台基于公司新一代“智云”框架，通过市政设</w:t>
      </w:r>
      <w:r>
        <w:rPr>
          <w:spacing w:val="-91"/>
        </w:rPr>
        <w:t> </w:t>
      </w:r>
      <w:r>
        <w:rPr>
          <w:spacing w:val="-91"/>
        </w:rPr>
      </w:r>
      <w:r>
        <w:rPr/>
        <w:t>施全面普查摸底，建立市政设施综合数据库并提供可持续的数据更新服务；基于网格化管理</w:t>
      </w:r>
      <w:r>
        <w:rPr>
          <w:spacing w:val="-91"/>
        </w:rPr>
        <w:t> </w:t>
      </w:r>
      <w:r>
        <w:rPr>
          <w:spacing w:val="-91"/>
        </w:rPr>
      </w:r>
      <w:r>
        <w:rPr/>
        <w:t>模式，实现市政设施的主动巡检管养，促进市政设施管养维修精细化，提升设施的管养水平</w:t>
      </w:r>
      <w:r>
        <w:rPr>
          <w:spacing w:val="-91"/>
        </w:rPr>
        <w:t> </w:t>
      </w:r>
      <w:r>
        <w:rPr>
          <w:spacing w:val="-91"/>
        </w:rPr>
      </w:r>
      <w:r>
        <w:rPr/>
        <w:t>和运行效率；借助物联网技术可以掌握市政设施的实时状态，通过监测预警及早发现问题隐</w:t>
      </w:r>
      <w:r>
        <w:rPr>
          <w:spacing w:val="-91"/>
        </w:rPr>
        <w:t> </w:t>
      </w:r>
      <w:r>
        <w:rPr>
          <w:spacing w:val="-91"/>
        </w:rPr>
      </w:r>
      <w:r>
        <w:rPr/>
        <w:t>患；借助大数据分析技术发现设施管养、维修、故障原因及内在规律，从而有效开展源头治</w:t>
      </w:r>
      <w:r>
        <w:rPr>
          <w:spacing w:val="-87"/>
        </w:rPr>
        <w:t> </w:t>
      </w:r>
      <w:r>
        <w:rPr>
          <w:spacing w:val="-87"/>
        </w:rPr>
      </w:r>
      <w:r>
        <w:rPr/>
        <w:t>理。报告期内，公司新增市政项目</w:t>
      </w:r>
      <w:r>
        <w:rPr>
          <w:spacing w:val="-59"/>
        </w:rPr>
        <w:t> </w:t>
      </w:r>
      <w:r>
        <w:rPr>
          <w:rFonts w:ascii="宋体" w:hAnsi="宋体" w:cs="宋体" w:eastAsia="宋体" w:hint="default"/>
        </w:rPr>
        <w:t>19</w:t>
      </w:r>
      <w:r>
        <w:rPr>
          <w:rFonts w:ascii="宋体" w:hAnsi="宋体" w:cs="宋体" w:eastAsia="宋体" w:hint="default"/>
          <w:spacing w:val="-60"/>
        </w:rPr>
        <w:t> </w:t>
      </w:r>
      <w:r>
        <w:rPr/>
        <w:t>个，涵盖排水、路灯、井盖、道桥等领域</w:t>
      </w:r>
    </w:p>
    <w:p>
      <w:pPr>
        <w:spacing w:line="240" w:lineRule="auto" w:before="11"/>
        <w:rPr>
          <w:rFonts w:ascii="宋体" w:hAnsi="宋体" w:cs="宋体" w:eastAsia="宋体" w:hint="default"/>
          <w:sz w:val="13"/>
          <w:szCs w:val="13"/>
        </w:rPr>
      </w:pPr>
    </w:p>
    <w:p>
      <w:pPr>
        <w:spacing w:line="4080" w:lineRule="exact"/>
        <w:ind w:left="633"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5388609" cy="2590800"/>
            <wp:effectExtent l="0" t="0" r="0" b="0"/>
            <wp:docPr id="21" name="image12.png" descr=""/>
            <wp:cNvGraphicFramePr>
              <a:graphicFrameLocks noChangeAspect="1"/>
            </wp:cNvGraphicFramePr>
            <a:graphic>
              <a:graphicData uri="http://schemas.openxmlformats.org/drawingml/2006/picture">
                <pic:pic>
                  <pic:nvPicPr>
                    <pic:cNvPr id="22" name="image12.png"/>
                    <pic:cNvPicPr/>
                  </pic:nvPicPr>
                  <pic:blipFill>
                    <a:blip r:embed="rId22" cstate="print"/>
                    <a:stretch>
                      <a:fillRect/>
                    </a:stretch>
                  </pic:blipFill>
                  <pic:spPr>
                    <a:xfrm>
                      <a:off x="0" y="0"/>
                      <a:ext cx="5388609" cy="2590800"/>
                    </a:xfrm>
                    <a:prstGeom prst="rect">
                      <a:avLst/>
                    </a:prstGeom>
                  </pic:spPr>
                </pic:pic>
              </a:graphicData>
            </a:graphic>
          </wp:inline>
        </w:drawing>
      </w:r>
      <w:r>
        <w:rPr>
          <w:rFonts w:ascii="宋体" w:hAnsi="宋体" w:cs="宋体" w:eastAsia="宋体" w:hint="default"/>
          <w:position w:val="-81"/>
          <w:sz w:val="20"/>
          <w:szCs w:val="20"/>
        </w:rPr>
      </w:r>
    </w:p>
    <w:p>
      <w:pPr>
        <w:spacing w:after="0" w:line="4080" w:lineRule="exact"/>
        <w:rPr>
          <w:rFonts w:ascii="宋体" w:hAnsi="宋体" w:cs="宋体" w:eastAsia="宋体" w:hint="default"/>
          <w:sz w:val="20"/>
          <w:szCs w:val="20"/>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p>
      <w:pPr>
        <w:spacing w:line="4358" w:lineRule="exact"/>
        <w:ind w:left="633" w:right="0" w:firstLine="0"/>
        <w:rPr>
          <w:rFonts w:ascii="宋体" w:hAnsi="宋体" w:cs="宋体" w:eastAsia="宋体" w:hint="default"/>
          <w:sz w:val="20"/>
          <w:szCs w:val="20"/>
        </w:rPr>
      </w:pPr>
      <w:r>
        <w:rPr>
          <w:rFonts w:ascii="宋体" w:hAnsi="宋体" w:cs="宋体" w:eastAsia="宋体" w:hint="default"/>
          <w:position w:val="-86"/>
          <w:sz w:val="20"/>
          <w:szCs w:val="20"/>
        </w:rPr>
        <w:drawing>
          <wp:inline distT="0" distB="0" distL="0" distR="0">
            <wp:extent cx="5382399" cy="2767583"/>
            <wp:effectExtent l="0" t="0" r="0" b="0"/>
            <wp:docPr id="23" name="image13.png" descr=""/>
            <wp:cNvGraphicFramePr>
              <a:graphicFrameLocks noChangeAspect="1"/>
            </wp:cNvGraphicFramePr>
            <a:graphic>
              <a:graphicData uri="http://schemas.openxmlformats.org/drawingml/2006/picture">
                <pic:pic>
                  <pic:nvPicPr>
                    <pic:cNvPr id="24" name="image13.png"/>
                    <pic:cNvPicPr/>
                  </pic:nvPicPr>
                  <pic:blipFill>
                    <a:blip r:embed="rId23" cstate="print"/>
                    <a:stretch>
                      <a:fillRect/>
                    </a:stretch>
                  </pic:blipFill>
                  <pic:spPr>
                    <a:xfrm>
                      <a:off x="0" y="0"/>
                      <a:ext cx="5382399" cy="2767583"/>
                    </a:xfrm>
                    <a:prstGeom prst="rect">
                      <a:avLst/>
                    </a:prstGeom>
                  </pic:spPr>
                </pic:pic>
              </a:graphicData>
            </a:graphic>
          </wp:inline>
        </w:drawing>
      </w:r>
      <w:r>
        <w:rPr>
          <w:rFonts w:ascii="宋体" w:hAnsi="宋体" w:cs="宋体" w:eastAsia="宋体" w:hint="default"/>
          <w:position w:val="-86"/>
          <w:sz w:val="20"/>
          <w:szCs w:val="20"/>
        </w:rPr>
      </w:r>
    </w:p>
    <w:p>
      <w:pPr>
        <w:spacing w:line="240" w:lineRule="auto" w:before="12"/>
        <w:rPr>
          <w:rFonts w:ascii="宋体" w:hAnsi="宋体" w:cs="宋体" w:eastAsia="宋体" w:hint="default"/>
          <w:sz w:val="4"/>
          <w:szCs w:val="4"/>
        </w:rPr>
      </w:pPr>
    </w:p>
    <w:p>
      <w:pPr>
        <w:spacing w:line="386" w:lineRule="auto" w:before="26"/>
        <w:ind w:left="633" w:right="982" w:firstLine="2"/>
        <w:jc w:val="left"/>
        <w:rPr>
          <w:rFonts w:ascii="宋体" w:hAnsi="宋体" w:cs="宋体" w:eastAsia="宋体" w:hint="default"/>
          <w:sz w:val="24"/>
          <w:szCs w:val="24"/>
        </w:rPr>
      </w:pPr>
      <w:r>
        <w:rPr>
          <w:rFonts w:ascii="宋体" w:hAnsi="宋体" w:cs="宋体" w:eastAsia="宋体" w:hint="default"/>
          <w:b/>
          <w:bCs/>
          <w:sz w:val="24"/>
          <w:szCs w:val="24"/>
        </w:rPr>
        <w:t>4</w:t>
      </w:r>
      <w:r>
        <w:rPr>
          <w:rFonts w:ascii="宋体" w:hAnsi="宋体" w:cs="宋体" w:eastAsia="宋体" w:hint="default"/>
          <w:b/>
          <w:bCs/>
          <w:sz w:val="24"/>
          <w:szCs w:val="24"/>
        </w:rPr>
        <w:t>、网格化</w:t>
      </w:r>
      <w:r>
        <w:rPr>
          <w:rFonts w:ascii="宋体" w:hAnsi="宋体" w:cs="宋体" w:eastAsia="宋体" w:hint="default"/>
          <w:b/>
          <w:bCs/>
          <w:sz w:val="24"/>
          <w:szCs w:val="24"/>
        </w:rPr>
        <w:t>+</w:t>
      </w:r>
      <w:r>
        <w:rPr>
          <w:rFonts w:ascii="宋体" w:hAnsi="宋体" w:cs="宋体" w:eastAsia="宋体" w:hint="default"/>
          <w:b/>
          <w:bCs/>
          <w:sz w:val="24"/>
          <w:szCs w:val="24"/>
        </w:rPr>
        <w:t>雪亮工程</w:t>
      </w:r>
      <w:r>
        <w:rPr>
          <w:rFonts w:ascii="宋体" w:hAnsi="宋体" w:cs="宋体" w:eastAsia="宋体" w:hint="default"/>
          <w:b/>
          <w:bCs/>
          <w:w w:val="99"/>
          <w:sz w:val="24"/>
          <w:szCs w:val="24"/>
        </w:rPr>
        <w:t> </w:t>
      </w:r>
      <w:r>
        <w:rPr>
          <w:rFonts w:ascii="宋体" w:hAnsi="宋体" w:cs="宋体" w:eastAsia="宋体" w:hint="default"/>
          <w:sz w:val="24"/>
          <w:szCs w:val="24"/>
        </w:rPr>
        <w:t>报告期内，公司凭借着在平安城市、公安行业等领域显著的技术优势和雄厚实力承建了</w:t>
      </w:r>
    </w:p>
    <w:p>
      <w:pPr>
        <w:pStyle w:val="BodyText"/>
        <w:spacing w:line="357" w:lineRule="auto" w:before="7"/>
        <w:ind w:right="996"/>
        <w:jc w:val="left"/>
      </w:pPr>
      <w:r>
        <w:rPr>
          <w:spacing w:val="-5"/>
        </w:rPr>
        <w:t>北京市东城区、青海省西宁市、黄南州等多个地级市（州）、区（县）雪亮工程项目。公司以</w:t>
      </w:r>
      <w:r>
        <w:rPr/>
        <w:t> 网格化管理核心技术为基础，建立以公共安全视频监控联网应用为支撑的群众性治安防控体</w:t>
      </w:r>
      <w:r>
        <w:rPr>
          <w:spacing w:val="-91"/>
        </w:rPr>
        <w:t> </w:t>
      </w:r>
      <w:r>
        <w:rPr>
          <w:spacing w:val="-91"/>
        </w:rPr>
      </w:r>
      <w:r>
        <w:rPr/>
        <w:t>系，开展综治中心建设、视频建设联网应用、基础数据采集和信息平台建设等工作，同时无</w:t>
      </w:r>
      <w:r>
        <w:rPr>
          <w:spacing w:val="-91"/>
        </w:rPr>
        <w:t> </w:t>
      </w:r>
      <w:r>
        <w:rPr>
          <w:spacing w:val="-91"/>
        </w:rPr>
      </w:r>
      <w:r>
        <w:rPr>
          <w:spacing w:val="-2"/>
        </w:rPr>
        <w:t>缝对接各级平台，最终形成各级标准统一、资源共享、信息互联互通的综治信息大数据平台。</w:t>
      </w:r>
      <w:r>
        <w:rPr/>
        <w:t> 依托雪亮工程综治视联网平台和综治视联网平台的视频数据，实现统一的管理和调度应用，</w:t>
      </w:r>
      <w:r>
        <w:rPr>
          <w:spacing w:val="-91"/>
        </w:rPr>
        <w:t> </w:t>
      </w:r>
      <w:r>
        <w:rPr>
          <w:spacing w:val="-91"/>
        </w:rPr>
      </w:r>
      <w:r>
        <w:rPr/>
        <w:t>发挥雪亮工程在社会治安、综合治理、人口及重点人权管理、侦查破案、危机预警干预等方</w:t>
      </w:r>
      <w:r>
        <w:rPr>
          <w:spacing w:val="-89"/>
        </w:rPr>
        <w:t> </w:t>
      </w:r>
      <w:r>
        <w:rPr>
          <w:spacing w:val="-89"/>
        </w:rPr>
      </w:r>
      <w:r>
        <w:rPr>
          <w:spacing w:val="-3"/>
        </w:rPr>
        <w:t>面的支撑能力，提升社会治安综合治理的科技化、精细化水平，实现大数据版的“千里眼”。</w:t>
      </w:r>
    </w:p>
    <w:p>
      <w:pPr>
        <w:spacing w:line="240" w:lineRule="auto" w:before="2"/>
        <w:rPr>
          <w:rFonts w:ascii="宋体" w:hAnsi="宋体" w:cs="宋体" w:eastAsia="宋体" w:hint="default"/>
          <w:sz w:val="4"/>
          <w:szCs w:val="4"/>
        </w:rPr>
      </w:pPr>
    </w:p>
    <w:p>
      <w:pPr>
        <w:spacing w:line="3960" w:lineRule="exact"/>
        <w:ind w:left="633" w:right="0" w:firstLine="0"/>
        <w:rPr>
          <w:rFonts w:ascii="宋体" w:hAnsi="宋体" w:cs="宋体" w:eastAsia="宋体" w:hint="default"/>
          <w:sz w:val="20"/>
          <w:szCs w:val="20"/>
        </w:rPr>
      </w:pPr>
      <w:r>
        <w:rPr>
          <w:rFonts w:ascii="宋体" w:hAnsi="宋体" w:cs="宋体" w:eastAsia="宋体" w:hint="default"/>
          <w:position w:val="-78"/>
          <w:sz w:val="20"/>
          <w:szCs w:val="20"/>
        </w:rPr>
        <w:drawing>
          <wp:inline distT="0" distB="0" distL="0" distR="0">
            <wp:extent cx="5188475" cy="2514790"/>
            <wp:effectExtent l="0" t="0" r="0" b="0"/>
            <wp:docPr id="25" name="image14.jpeg" descr=""/>
            <wp:cNvGraphicFramePr>
              <a:graphicFrameLocks noChangeAspect="1"/>
            </wp:cNvGraphicFramePr>
            <a:graphic>
              <a:graphicData uri="http://schemas.openxmlformats.org/drawingml/2006/picture">
                <pic:pic>
                  <pic:nvPicPr>
                    <pic:cNvPr id="26" name="image14.jpeg"/>
                    <pic:cNvPicPr/>
                  </pic:nvPicPr>
                  <pic:blipFill>
                    <a:blip r:embed="rId24" cstate="print"/>
                    <a:stretch>
                      <a:fillRect/>
                    </a:stretch>
                  </pic:blipFill>
                  <pic:spPr>
                    <a:xfrm>
                      <a:off x="0" y="0"/>
                      <a:ext cx="5188475" cy="2514790"/>
                    </a:xfrm>
                    <a:prstGeom prst="rect">
                      <a:avLst/>
                    </a:prstGeom>
                  </pic:spPr>
                </pic:pic>
              </a:graphicData>
            </a:graphic>
          </wp:inline>
        </w:drawing>
      </w:r>
      <w:r>
        <w:rPr>
          <w:rFonts w:ascii="宋体" w:hAnsi="宋体" w:cs="宋体" w:eastAsia="宋体" w:hint="default"/>
          <w:position w:val="-78"/>
          <w:sz w:val="20"/>
          <w:szCs w:val="20"/>
        </w:rPr>
      </w:r>
    </w:p>
    <w:p>
      <w:pPr>
        <w:spacing w:after="0" w:line="3960" w:lineRule="exact"/>
        <w:rPr>
          <w:rFonts w:ascii="宋体" w:hAnsi="宋体" w:cs="宋体" w:eastAsia="宋体" w:hint="default"/>
          <w:sz w:val="20"/>
          <w:szCs w:val="20"/>
        </w:rPr>
        <w:sectPr>
          <w:pgSz w:w="11910" w:h="16840"/>
          <w:pgMar w:header="745" w:footer="979" w:top="1060" w:bottom="1160" w:left="980" w:right="0"/>
        </w:sectPr>
      </w:pPr>
    </w:p>
    <w:p>
      <w:pPr>
        <w:spacing w:line="240" w:lineRule="auto" w:before="10"/>
        <w:rPr>
          <w:rFonts w:ascii="宋体" w:hAnsi="宋体" w:cs="宋体" w:eastAsia="宋体" w:hint="default"/>
          <w:sz w:val="29"/>
          <w:szCs w:val="29"/>
        </w:rPr>
      </w:pPr>
    </w:p>
    <w:p>
      <w:pPr>
        <w:spacing w:line="4052" w:lineRule="exact"/>
        <w:ind w:left="633"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5309137" cy="2573274"/>
            <wp:effectExtent l="0" t="0" r="0" b="0"/>
            <wp:docPr id="27" name="image15.jpeg" descr=""/>
            <wp:cNvGraphicFramePr>
              <a:graphicFrameLocks noChangeAspect="1"/>
            </wp:cNvGraphicFramePr>
            <a:graphic>
              <a:graphicData uri="http://schemas.openxmlformats.org/drawingml/2006/picture">
                <pic:pic>
                  <pic:nvPicPr>
                    <pic:cNvPr id="28" name="image15.jpeg"/>
                    <pic:cNvPicPr/>
                  </pic:nvPicPr>
                  <pic:blipFill>
                    <a:blip r:embed="rId25" cstate="print"/>
                    <a:stretch>
                      <a:fillRect/>
                    </a:stretch>
                  </pic:blipFill>
                  <pic:spPr>
                    <a:xfrm>
                      <a:off x="0" y="0"/>
                      <a:ext cx="5309137" cy="2573274"/>
                    </a:xfrm>
                    <a:prstGeom prst="rect">
                      <a:avLst/>
                    </a:prstGeom>
                  </pic:spPr>
                </pic:pic>
              </a:graphicData>
            </a:graphic>
          </wp:inline>
        </w:drawing>
      </w:r>
      <w:r>
        <w:rPr>
          <w:rFonts w:ascii="宋体" w:hAnsi="宋体" w:cs="宋体" w:eastAsia="宋体" w:hint="default"/>
          <w:position w:val="-80"/>
          <w:sz w:val="20"/>
          <w:szCs w:val="20"/>
        </w:rPr>
      </w:r>
    </w:p>
    <w:p>
      <w:pPr>
        <w:spacing w:line="386" w:lineRule="auto" w:before="67"/>
        <w:ind w:left="633" w:right="982" w:firstLine="2"/>
        <w:jc w:val="left"/>
        <w:rPr>
          <w:rFonts w:ascii="宋体" w:hAnsi="宋体" w:cs="宋体" w:eastAsia="宋体" w:hint="default"/>
          <w:sz w:val="24"/>
          <w:szCs w:val="24"/>
        </w:rPr>
      </w:pPr>
      <w:r>
        <w:rPr>
          <w:rFonts w:ascii="宋体" w:hAnsi="宋体" w:cs="宋体" w:eastAsia="宋体" w:hint="default"/>
          <w:b/>
          <w:bCs/>
          <w:sz w:val="24"/>
          <w:szCs w:val="24"/>
        </w:rPr>
        <w:t>5</w:t>
      </w:r>
      <w:r>
        <w:rPr>
          <w:rFonts w:ascii="宋体" w:hAnsi="宋体" w:cs="宋体" w:eastAsia="宋体" w:hint="default"/>
          <w:b/>
          <w:bCs/>
          <w:sz w:val="24"/>
          <w:szCs w:val="24"/>
        </w:rPr>
        <w:t>、网格化</w:t>
      </w:r>
      <w:r>
        <w:rPr>
          <w:rFonts w:ascii="宋体" w:hAnsi="宋体" w:cs="宋体" w:eastAsia="宋体" w:hint="default"/>
          <w:b/>
          <w:bCs/>
          <w:sz w:val="24"/>
          <w:szCs w:val="24"/>
        </w:rPr>
        <w:t>+</w:t>
      </w:r>
      <w:r>
        <w:rPr>
          <w:rFonts w:ascii="宋体" w:hAnsi="宋体" w:cs="宋体" w:eastAsia="宋体" w:hint="default"/>
          <w:b/>
          <w:bCs/>
          <w:sz w:val="24"/>
          <w:szCs w:val="24"/>
        </w:rPr>
        <w:t>智慧安监</w:t>
      </w:r>
      <w:r>
        <w:rPr>
          <w:rFonts w:ascii="宋体" w:hAnsi="宋体" w:cs="宋体" w:eastAsia="宋体" w:hint="default"/>
          <w:b/>
          <w:bCs/>
          <w:w w:val="99"/>
          <w:sz w:val="24"/>
          <w:szCs w:val="24"/>
        </w:rPr>
        <w:t> </w:t>
      </w:r>
      <w:r>
        <w:rPr>
          <w:rFonts w:ascii="宋体" w:hAnsi="宋体" w:cs="宋体" w:eastAsia="宋体" w:hint="default"/>
          <w:sz w:val="24"/>
          <w:szCs w:val="24"/>
        </w:rPr>
        <w:t>随着国民经济的发展，安全生产日益成为政府和广大群众关注的重点。习近平总书记在</w:t>
      </w:r>
    </w:p>
    <w:p>
      <w:pPr>
        <w:pStyle w:val="BodyText"/>
        <w:spacing w:line="357" w:lineRule="auto" w:before="7"/>
        <w:ind w:right="1136"/>
        <w:jc w:val="both"/>
      </w:pPr>
      <w:r>
        <w:rPr/>
        <w:t>全国安全生产监管监察会议上指出，各级安全监管监察部门要牢固树立发展决不能以牺牲安</w:t>
      </w:r>
      <w:r>
        <w:rPr>
          <w:spacing w:val="-91"/>
        </w:rPr>
        <w:t> </w:t>
      </w:r>
      <w:r>
        <w:rPr>
          <w:spacing w:val="-91"/>
        </w:rPr>
      </w:r>
      <w:r>
        <w:rPr/>
        <w:t>全为代价的红线意识，以防范和遏制重特大事故为重点，坚持标本兼治、综合治理、系统建</w:t>
      </w:r>
      <w:r>
        <w:rPr>
          <w:spacing w:val="-91"/>
        </w:rPr>
        <w:t> </w:t>
      </w:r>
      <w:r>
        <w:rPr>
          <w:spacing w:val="-91"/>
        </w:rPr>
      </w:r>
      <w:r>
        <w:rPr/>
        <w:t>设，统筹推进安全生产领域改革发展。各级党委和政府要认真贯彻落实党中央关于加快安全</w:t>
      </w:r>
      <w:r>
        <w:rPr>
          <w:spacing w:val="-91"/>
        </w:rPr>
        <w:t> </w:t>
      </w:r>
      <w:r>
        <w:rPr>
          <w:spacing w:val="-91"/>
        </w:rPr>
      </w:r>
      <w:r>
        <w:rPr/>
        <w:t>生产领域改革发展的工作部署，坚持党政同责、一岗双责、齐抓共管、失职追责，严格落实</w:t>
      </w:r>
      <w:r>
        <w:rPr>
          <w:spacing w:val="-89"/>
        </w:rPr>
        <w:t> </w:t>
      </w:r>
      <w:r>
        <w:rPr>
          <w:spacing w:val="-89"/>
        </w:rPr>
      </w:r>
      <w:r>
        <w:rPr/>
        <w:t>安全生产责任制，完善安全监管体制，强化依法治理，不断提高全社会安全生产水平，更好</w:t>
      </w:r>
      <w:r>
        <w:rPr>
          <w:spacing w:val="-91"/>
        </w:rPr>
        <w:t> </w:t>
      </w:r>
      <w:r>
        <w:rPr>
          <w:spacing w:val="-91"/>
        </w:rPr>
      </w:r>
      <w:r>
        <w:rPr/>
        <w:t>维护广大人民群众生命财产安全。</w:t>
      </w:r>
    </w:p>
    <w:p>
      <w:pPr>
        <w:pStyle w:val="BodyText"/>
        <w:spacing w:line="357" w:lineRule="auto"/>
        <w:ind w:right="1034" w:firstLine="480"/>
        <w:jc w:val="left"/>
      </w:pPr>
      <w:r>
        <w:rPr/>
        <w:t>根据国务院安委会办公室《关于加强基层安全生产网格化监管工作的指导意见》文件要 求，报告期内，公司进一步完善升级智慧化安全生产监管系统，以网格化管理模式为载体，</w:t>
      </w:r>
      <w:r>
        <w:rPr>
          <w:spacing w:val="-88"/>
        </w:rPr>
        <w:t> </w:t>
      </w:r>
      <w:r>
        <w:rPr>
          <w:spacing w:val="-88"/>
        </w:rPr>
      </w:r>
      <w:r>
        <w:rPr/>
        <w:t>以企业数据为基础，以风险隐患为抓手，综合运用大数据、移动互联、互联网</w:t>
      </w:r>
      <w:r>
        <w:rPr>
          <w:rFonts w:ascii="宋体" w:hAnsi="宋体" w:cs="宋体" w:eastAsia="宋体" w:hint="default"/>
        </w:rPr>
        <w:t>+</w:t>
      </w:r>
      <w:r>
        <w:rPr/>
        <w:t>等技术手段， 实现风险隐患的及早发现、及时消除，有效减少事故的发生，做好全时段、全方位的即时监</w:t>
      </w:r>
      <w:r>
        <w:rPr>
          <w:spacing w:val="-91"/>
        </w:rPr>
        <w:t> </w:t>
      </w:r>
      <w:r>
        <w:rPr>
          <w:spacing w:val="-91"/>
        </w:rPr>
      </w:r>
      <w:r>
        <w:rPr/>
        <w:t>督和管理，减少事故造成的损失。实现对基层安全生产工作的动态监管和源头治理，做到定</w:t>
      </w:r>
      <w:r>
        <w:rPr>
          <w:spacing w:val="-91"/>
        </w:rPr>
        <w:t> </w:t>
      </w:r>
      <w:r>
        <w:rPr>
          <w:spacing w:val="-91"/>
        </w:rPr>
      </w:r>
      <w:r>
        <w:rPr/>
        <w:t>级、定人、定岗、定责，构建“责任全覆盖，监管无盲区”的网格化管理体系，单元式（楼</w:t>
      </w:r>
      <w:r>
        <w:rPr>
          <w:spacing w:val="-87"/>
        </w:rPr>
        <w:t> </w:t>
      </w:r>
      <w:r>
        <w:rPr>
          <w:spacing w:val="-87"/>
        </w:rPr>
      </w:r>
      <w:r>
        <w:rPr>
          <w:spacing w:val="-6"/>
        </w:rPr>
        <w:t>栋）安全生产监督责任体系，明确“进企业、见现场、查隐患、盯风险”，落实“四清”（清</w:t>
      </w:r>
      <w:r>
        <w:rPr>
          <w:spacing w:val="-85"/>
        </w:rPr>
        <w:t> </w:t>
      </w:r>
      <w:r>
        <w:rPr>
          <w:spacing w:val="-85"/>
        </w:rPr>
      </w:r>
      <w:r>
        <w:rPr>
          <w:spacing w:val="-6"/>
        </w:rPr>
        <w:t>理应急通道、清理作业现场、清理电器线路、清理安全隐患），明确“三无”（无违章、无隐</w:t>
      </w:r>
      <w:r>
        <w:rPr>
          <w:spacing w:val="-83"/>
        </w:rPr>
        <w:t> </w:t>
      </w:r>
      <w:r>
        <w:rPr>
          <w:spacing w:val="-83"/>
        </w:rPr>
      </w:r>
      <w:r>
        <w:rPr>
          <w:spacing w:val="-5"/>
        </w:rPr>
        <w:t>患、无事故），有效预防和减少生产安全事故发生。建成运行高效、覆盖所有片区管委会（街</w:t>
      </w:r>
      <w:r>
        <w:rPr/>
        <w:t> </w:t>
      </w:r>
      <w:r>
        <w:rPr>
          <w:spacing w:val="-5"/>
        </w:rPr>
        <w:t>道、工业园区）、社区（村）及各行业领域监管部门和监督管理对象的四级安全生产网格化监</w:t>
      </w:r>
      <w:r>
        <w:rPr/>
        <w:t> 管体系。</w:t>
      </w:r>
    </w:p>
    <w:p>
      <w:pPr>
        <w:pStyle w:val="BodyText"/>
        <w:spacing w:line="357" w:lineRule="auto"/>
        <w:ind w:right="982" w:firstLine="480"/>
        <w:jc w:val="left"/>
      </w:pPr>
      <w:r>
        <w:rPr/>
        <w:t>智慧安监系统是防控风险、破解难题，推进安全生产规范化、精准化和动态化监管，深 化平安城市建设的重要手段，已在湖北省黄石市、柳州市鱼峰区、北京市东城区等多地实施</w:t>
      </w:r>
    </w:p>
    <w:p>
      <w:pPr>
        <w:spacing w:after="0" w:line="357"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240" w:lineRule="auto" w:before="26"/>
        <w:ind w:right="982"/>
        <w:jc w:val="left"/>
      </w:pPr>
      <w:r>
        <w:rPr/>
        <w:t>推广。</w:t>
      </w:r>
    </w:p>
    <w:p>
      <w:pPr>
        <w:spacing w:line="240" w:lineRule="auto" w:before="8"/>
        <w:rPr>
          <w:rFonts w:ascii="宋体" w:hAnsi="宋体" w:cs="宋体" w:eastAsia="宋体" w:hint="default"/>
          <w:sz w:val="19"/>
          <w:szCs w:val="19"/>
        </w:rPr>
      </w:pPr>
    </w:p>
    <w:p>
      <w:pPr>
        <w:spacing w:line="5409" w:lineRule="exact"/>
        <w:ind w:left="3688" w:right="0" w:firstLine="0"/>
        <w:rPr>
          <w:rFonts w:ascii="宋体" w:hAnsi="宋体" w:cs="宋体" w:eastAsia="宋体" w:hint="default"/>
          <w:sz w:val="20"/>
          <w:szCs w:val="20"/>
        </w:rPr>
      </w:pPr>
      <w:r>
        <w:rPr>
          <w:rFonts w:ascii="宋体" w:hAnsi="宋体" w:cs="宋体" w:eastAsia="宋体" w:hint="default"/>
          <w:position w:val="-107"/>
          <w:sz w:val="20"/>
          <w:szCs w:val="20"/>
        </w:rPr>
        <w:drawing>
          <wp:inline distT="0" distB="0" distL="0" distR="0">
            <wp:extent cx="1932423" cy="3434715"/>
            <wp:effectExtent l="0" t="0" r="0" b="0"/>
            <wp:docPr id="29" name="image16.jpeg" descr=""/>
            <wp:cNvGraphicFramePr>
              <a:graphicFrameLocks noChangeAspect="1"/>
            </wp:cNvGraphicFramePr>
            <a:graphic>
              <a:graphicData uri="http://schemas.openxmlformats.org/drawingml/2006/picture">
                <pic:pic>
                  <pic:nvPicPr>
                    <pic:cNvPr id="30" name="image16.jpeg"/>
                    <pic:cNvPicPr/>
                  </pic:nvPicPr>
                  <pic:blipFill>
                    <a:blip r:embed="rId26" cstate="print"/>
                    <a:stretch>
                      <a:fillRect/>
                    </a:stretch>
                  </pic:blipFill>
                  <pic:spPr>
                    <a:xfrm>
                      <a:off x="0" y="0"/>
                      <a:ext cx="1932423" cy="3434715"/>
                    </a:xfrm>
                    <a:prstGeom prst="rect">
                      <a:avLst/>
                    </a:prstGeom>
                  </pic:spPr>
                </pic:pic>
              </a:graphicData>
            </a:graphic>
          </wp:inline>
        </w:drawing>
      </w:r>
      <w:r>
        <w:rPr>
          <w:rFonts w:ascii="宋体" w:hAnsi="宋体" w:cs="宋体" w:eastAsia="宋体" w:hint="default"/>
          <w:position w:val="-107"/>
          <w:sz w:val="20"/>
          <w:szCs w:val="20"/>
        </w:rPr>
      </w:r>
    </w:p>
    <w:p>
      <w:pPr>
        <w:spacing w:line="388" w:lineRule="auto" w:before="184"/>
        <w:ind w:left="633" w:right="982" w:firstLine="2"/>
        <w:jc w:val="left"/>
        <w:rPr>
          <w:rFonts w:ascii="宋体" w:hAnsi="宋体" w:cs="宋体" w:eastAsia="宋体" w:hint="default"/>
          <w:sz w:val="24"/>
          <w:szCs w:val="24"/>
        </w:rPr>
      </w:pPr>
      <w:r>
        <w:rPr>
          <w:rFonts w:ascii="宋体" w:hAnsi="宋体" w:cs="宋体" w:eastAsia="宋体" w:hint="default"/>
          <w:b/>
          <w:bCs/>
          <w:sz w:val="24"/>
          <w:szCs w:val="24"/>
        </w:rPr>
        <w:t>三、关注城市良心工程，推进城市地下管线全生命周期管理</w:t>
      </w:r>
      <w:r>
        <w:rPr>
          <w:rFonts w:ascii="宋体" w:hAnsi="宋体" w:cs="宋体" w:eastAsia="宋体" w:hint="default"/>
          <w:b/>
          <w:bCs/>
          <w:w w:val="99"/>
          <w:sz w:val="24"/>
          <w:szCs w:val="24"/>
        </w:rPr>
        <w:t> </w:t>
      </w:r>
      <w:r>
        <w:rPr>
          <w:rFonts w:ascii="宋体" w:hAnsi="宋体" w:cs="宋体" w:eastAsia="宋体" w:hint="default"/>
          <w:sz w:val="24"/>
          <w:szCs w:val="24"/>
        </w:rPr>
        <w:t>城市地下管线是指城市范围内供水、排水、燃气、热力、电力、通信、广播电视、工业</w:t>
      </w:r>
    </w:p>
    <w:p>
      <w:pPr>
        <w:pStyle w:val="BodyText"/>
        <w:spacing w:line="357" w:lineRule="auto" w:before="5"/>
        <w:ind w:right="996"/>
        <w:jc w:val="left"/>
      </w:pPr>
      <w:r>
        <w:rPr/>
        <w:t>等管线及其附属设施，是保障城市运行的重要基础设施和“生命线”。近几年来，随着城市</w:t>
      </w:r>
      <w:r>
        <w:rPr>
          <w:spacing w:val="-91"/>
        </w:rPr>
        <w:t> </w:t>
      </w:r>
      <w:r>
        <w:rPr>
          <w:spacing w:val="-91"/>
        </w:rPr>
      </w:r>
      <w:r>
        <w:rPr>
          <w:spacing w:val="-2"/>
        </w:rPr>
        <w:t>快速发展，地下管线建设规模不足、管理水平不高等问题凸显，一些城市相继发生大雨内涝、</w:t>
      </w:r>
      <w:r>
        <w:rPr/>
        <w:t> 管线泄漏爆炸、路面塌陷等事件，严重影响了人民群众生命财产安全和城市运行秩序。根据</w:t>
      </w:r>
    </w:p>
    <w:p>
      <w:pPr>
        <w:pStyle w:val="BodyText"/>
        <w:spacing w:line="357" w:lineRule="auto"/>
        <w:ind w:right="982"/>
        <w:jc w:val="left"/>
      </w:pPr>
      <w:r>
        <w:rPr/>
        <w:t>《国务院办公厅关于加强城市地下管线建设管理的指导意见》的要求，全国各地要切实加强</w:t>
      </w:r>
      <w:r>
        <w:rPr>
          <w:spacing w:val="-87"/>
        </w:rPr>
        <w:t> </w:t>
      </w:r>
      <w:r>
        <w:rPr>
          <w:spacing w:val="-87"/>
        </w:rPr>
      </w:r>
      <w:r>
        <w:rPr/>
        <w:t>城市地下管线建设管理，保障城市安全运行，提高城市综合承载能力和城镇化发展质量。</w:t>
      </w:r>
    </w:p>
    <w:p>
      <w:pPr>
        <w:pStyle w:val="BodyText"/>
        <w:spacing w:line="357" w:lineRule="auto" w:before="77"/>
        <w:ind w:right="1133" w:firstLine="480"/>
        <w:jc w:val="both"/>
      </w:pPr>
      <w:r>
        <w:rPr/>
        <w:t>报告期内，受益于蓬勃发展的城市地下管线管理市场需求，公司全资子公司保定金迪旗 下的各项业务继续保持快速稳定发展，以城市地下管线的全生命周期管理为目标，在传统的</w:t>
      </w:r>
      <w:r>
        <w:rPr>
          <w:spacing w:val="-89"/>
        </w:rPr>
        <w:t> </w:t>
      </w:r>
      <w:r>
        <w:rPr>
          <w:spacing w:val="-89"/>
        </w:rPr>
      </w:r>
      <w:r>
        <w:rPr/>
        <w:t>管线数据普查、探测、巡检的基础上努力提升非开挖修复的技术水平，管线修复业务市场需</w:t>
      </w:r>
      <w:r>
        <w:rPr>
          <w:spacing w:val="-86"/>
        </w:rPr>
        <w:t> </w:t>
      </w:r>
      <w:r>
        <w:rPr>
          <w:spacing w:val="-86"/>
        </w:rPr>
      </w:r>
      <w:r>
        <w:rPr/>
        <w:t>求旺盛，订单充足，成为公司新的强劲的业务增长点，顺利完成了全年的经营目标。</w:t>
      </w:r>
    </w:p>
    <w:p>
      <w:pPr>
        <w:spacing w:line="388" w:lineRule="auto" w:before="74"/>
        <w:ind w:left="633" w:right="982" w:firstLine="0"/>
        <w:jc w:val="left"/>
        <w:rPr>
          <w:rFonts w:ascii="宋体" w:hAnsi="宋体" w:cs="宋体" w:eastAsia="宋体" w:hint="default"/>
          <w:sz w:val="24"/>
          <w:szCs w:val="24"/>
        </w:rPr>
      </w:pPr>
      <w:r>
        <w:rPr>
          <w:rFonts w:ascii="宋体" w:hAnsi="宋体" w:cs="宋体" w:eastAsia="宋体" w:hint="default"/>
          <w:b/>
          <w:bCs/>
          <w:sz w:val="24"/>
          <w:szCs w:val="24"/>
        </w:rPr>
        <w:t>1</w:t>
      </w:r>
      <w:r>
        <w:rPr>
          <w:rFonts w:ascii="宋体" w:hAnsi="宋体" w:cs="宋体" w:eastAsia="宋体" w:hint="default"/>
          <w:b/>
          <w:bCs/>
          <w:sz w:val="24"/>
          <w:szCs w:val="24"/>
        </w:rPr>
        <w:t>、排水管道修复业务</w:t>
      </w:r>
      <w:r>
        <w:rPr>
          <w:rFonts w:ascii="宋体" w:hAnsi="宋体" w:cs="宋体" w:eastAsia="宋体" w:hint="default"/>
          <w:b/>
          <w:bCs/>
          <w:w w:val="99"/>
          <w:sz w:val="24"/>
          <w:szCs w:val="24"/>
        </w:rPr>
        <w:t> </w:t>
      </w:r>
      <w:r>
        <w:rPr>
          <w:rFonts w:ascii="宋体" w:hAnsi="宋体" w:cs="宋体" w:eastAsia="宋体" w:hint="default"/>
          <w:sz w:val="24"/>
          <w:szCs w:val="24"/>
        </w:rPr>
        <w:t>随着我国排水管道的建设，接近使用寿命的管道也越来越多。目前，我国在运行的排水</w:t>
      </w:r>
    </w:p>
    <w:p>
      <w:pPr>
        <w:pStyle w:val="BodyText"/>
        <w:spacing w:line="357" w:lineRule="auto" w:before="5"/>
        <w:ind w:right="1137"/>
        <w:jc w:val="both"/>
      </w:pPr>
      <w:r>
        <w:rPr/>
        <w:t>管道数万公里已达到使用年限，管道存在内外渗漏严重，污水外渗对管道周围土壤和地下水</w:t>
      </w:r>
      <w:r>
        <w:rPr>
          <w:spacing w:val="-91"/>
        </w:rPr>
        <w:t> </w:t>
      </w:r>
      <w:r>
        <w:rPr>
          <w:spacing w:val="-91"/>
        </w:rPr>
      </w:r>
      <w:r>
        <w:rPr/>
        <w:t>造成污染，地下水内渗造成污水浓度不达标。管道严重老化，造成污水四溢、地面塌陷。传</w:t>
      </w:r>
      <w:r>
        <w:rPr>
          <w:spacing w:val="-90"/>
        </w:rPr>
        <w:t> </w:t>
      </w:r>
      <w:r>
        <w:rPr>
          <w:spacing w:val="-90"/>
        </w:rPr>
      </w:r>
      <w:r>
        <w:rPr/>
        <w:t>统的道路“开膛破肚”式维修更新地下管道已经严重影响城市交通和城市居民生活，非开挖</w:t>
      </w:r>
    </w:p>
    <w:p>
      <w:pPr>
        <w:spacing w:after="0" w:line="357" w:lineRule="auto"/>
        <w:jc w:val="both"/>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35"/>
        <w:jc w:val="both"/>
      </w:pPr>
      <w:r>
        <w:rPr/>
        <w:t>工程将是以后施工的重要选择。通过技术手段，采用少开挖或者不开挖地表的修复技术对损</w:t>
      </w:r>
      <w:r>
        <w:rPr>
          <w:spacing w:val="-91"/>
        </w:rPr>
        <w:t> </w:t>
      </w:r>
      <w:r>
        <w:rPr>
          <w:spacing w:val="-91"/>
        </w:rPr>
      </w:r>
      <w:r>
        <w:rPr/>
        <w:t>坏的排水管道进行局部或整体修复，使其恢复原有功能。这样就对人们的生活影响最小化，</w:t>
      </w:r>
      <w:r>
        <w:rPr>
          <w:spacing w:val="-91"/>
        </w:rPr>
        <w:t> </w:t>
      </w:r>
      <w:r>
        <w:rPr>
          <w:spacing w:val="-91"/>
        </w:rPr>
      </w:r>
      <w:r>
        <w:rPr/>
        <w:t>同时对一些交通繁忙路段、重要设施周边没有开挖条件地区优势更加明显。针对管道内缺陷</w:t>
      </w:r>
      <w:r>
        <w:rPr>
          <w:spacing w:val="-91"/>
        </w:rPr>
        <w:t> </w:t>
      </w:r>
      <w:r>
        <w:rPr>
          <w:spacing w:val="-91"/>
        </w:rPr>
      </w:r>
      <w:r>
        <w:rPr/>
        <w:t>情况的不同，采用的修复方法也不同，保定金迪主要采用石浆喷涂技术、点状</w:t>
      </w:r>
      <w:r>
        <w:rPr>
          <w:rFonts w:ascii="宋体" w:hAnsi="宋体" w:cs="宋体" w:eastAsia="宋体" w:hint="default"/>
        </w:rPr>
        <w:t>CIPP</w:t>
      </w:r>
      <w:r>
        <w:rPr/>
        <w:t>修复技术</w:t>
      </w:r>
      <w:r>
        <w:rPr>
          <w:spacing w:val="-88"/>
        </w:rPr>
        <w:t> </w:t>
      </w:r>
      <w:r>
        <w:rPr/>
        <w:t>和不锈钢双胀圈修复技术对地下管线进行修复。报告期内，供水非开挖修复工程业务量大幅</w:t>
      </w:r>
      <w:r>
        <w:rPr>
          <w:spacing w:val="-88"/>
        </w:rPr>
        <w:t> </w:t>
      </w:r>
      <w:r>
        <w:rPr>
          <w:spacing w:val="-88"/>
        </w:rPr>
      </w:r>
      <w:r>
        <w:rPr/>
        <w:t>增长，同时，公司获得“排水管道检测与评估”及“非开挖修复”作业能力</w:t>
      </w:r>
      <w:r>
        <w:rPr>
          <w:rFonts w:ascii="宋体" w:hAnsi="宋体" w:cs="宋体" w:eastAsia="宋体" w:hint="default"/>
        </w:rPr>
        <w:t>II</w:t>
      </w:r>
      <w:r>
        <w:rPr/>
        <w:t>级作业证书。</w:t>
      </w:r>
    </w:p>
    <w:p>
      <w:pPr>
        <w:spacing w:line="240" w:lineRule="auto" w:before="12"/>
        <w:rPr>
          <w:rFonts w:ascii="宋体" w:hAnsi="宋体" w:cs="宋体" w:eastAsia="宋体" w:hint="default"/>
          <w:sz w:val="8"/>
          <w:szCs w:val="8"/>
        </w:rPr>
      </w:pPr>
    </w:p>
    <w:p>
      <w:pPr>
        <w:spacing w:line="5143" w:lineRule="exact"/>
        <w:ind w:left="1866" w:right="0" w:firstLine="0"/>
        <w:rPr>
          <w:rFonts w:ascii="宋体" w:hAnsi="宋体" w:cs="宋体" w:eastAsia="宋体" w:hint="default"/>
          <w:sz w:val="20"/>
          <w:szCs w:val="20"/>
        </w:rPr>
      </w:pPr>
      <w:r>
        <w:rPr>
          <w:rFonts w:ascii="宋体" w:hAnsi="宋体" w:cs="宋体" w:eastAsia="宋体" w:hint="default"/>
          <w:position w:val="-102"/>
          <w:sz w:val="20"/>
          <w:szCs w:val="20"/>
        </w:rPr>
        <w:drawing>
          <wp:inline distT="0" distB="0" distL="0" distR="0">
            <wp:extent cx="4209642" cy="3266408"/>
            <wp:effectExtent l="0" t="0" r="0" b="0"/>
            <wp:docPr id="31" name="image17.jpeg" descr=""/>
            <wp:cNvGraphicFramePr>
              <a:graphicFrameLocks noChangeAspect="1"/>
            </wp:cNvGraphicFramePr>
            <a:graphic>
              <a:graphicData uri="http://schemas.openxmlformats.org/drawingml/2006/picture">
                <pic:pic>
                  <pic:nvPicPr>
                    <pic:cNvPr id="32" name="image17.jpeg"/>
                    <pic:cNvPicPr/>
                  </pic:nvPicPr>
                  <pic:blipFill>
                    <a:blip r:embed="rId27" cstate="print"/>
                    <a:stretch>
                      <a:fillRect/>
                    </a:stretch>
                  </pic:blipFill>
                  <pic:spPr>
                    <a:xfrm>
                      <a:off x="0" y="0"/>
                      <a:ext cx="4209642" cy="3266408"/>
                    </a:xfrm>
                    <a:prstGeom prst="rect">
                      <a:avLst/>
                    </a:prstGeom>
                  </pic:spPr>
                </pic:pic>
              </a:graphicData>
            </a:graphic>
          </wp:inline>
        </w:drawing>
      </w:r>
      <w:r>
        <w:rPr>
          <w:rFonts w:ascii="宋体" w:hAnsi="宋体" w:cs="宋体" w:eastAsia="宋体" w:hint="default"/>
          <w:position w:val="-102"/>
          <w:sz w:val="20"/>
          <w:szCs w:val="20"/>
        </w:rPr>
      </w:r>
    </w:p>
    <w:p>
      <w:pPr>
        <w:spacing w:before="129"/>
        <w:ind w:left="2421" w:right="2980" w:firstLine="0"/>
        <w:jc w:val="center"/>
        <w:rPr>
          <w:rFonts w:ascii="宋体" w:hAnsi="宋体" w:cs="宋体" w:eastAsia="宋体" w:hint="default"/>
          <w:sz w:val="18"/>
          <w:szCs w:val="18"/>
        </w:rPr>
      </w:pPr>
      <w:r>
        <w:rPr>
          <w:rFonts w:ascii="宋体" w:hAnsi="宋体" w:cs="宋体" w:eastAsia="宋体" w:hint="default"/>
          <w:b/>
          <w:bCs/>
          <w:sz w:val="18"/>
          <w:szCs w:val="18"/>
        </w:rPr>
        <w:t>不锈钢双胀圈修复技术</w:t>
      </w:r>
      <w:r>
        <w:rPr>
          <w:rFonts w:ascii="宋体" w:hAnsi="宋体" w:cs="宋体" w:eastAsia="宋体" w:hint="default"/>
          <w:sz w:val="18"/>
          <w:szCs w:val="18"/>
        </w:rPr>
      </w:r>
    </w:p>
    <w:p>
      <w:pPr>
        <w:pStyle w:val="BodyText"/>
        <w:spacing w:line="357" w:lineRule="auto" w:before="148"/>
        <w:ind w:right="982" w:firstLine="480"/>
        <w:jc w:val="left"/>
      </w:pPr>
      <w:r>
        <w:rPr/>
        <w:t>报告期内，由保定金迪参编的《城市地下病害体综合探测与风险评估技术标准》已通过 住建部批准为行业标准，将于</w:t>
      </w:r>
      <w:r>
        <w:rPr>
          <w:rFonts w:ascii="宋体" w:hAnsi="宋体" w:cs="宋体" w:eastAsia="宋体" w:hint="default"/>
        </w:rPr>
        <w:t>2018</w:t>
      </w:r>
      <w:r>
        <w:rPr/>
        <w:t>年</w:t>
      </w:r>
      <w:r>
        <w:rPr>
          <w:rFonts w:ascii="宋体" w:hAnsi="宋体" w:cs="宋体" w:eastAsia="宋体" w:hint="default"/>
        </w:rPr>
        <w:t>10</w:t>
      </w:r>
      <w:r>
        <w:rPr/>
        <w:t>月</w:t>
      </w:r>
      <w:r>
        <w:rPr>
          <w:rFonts w:ascii="宋体" w:hAnsi="宋体" w:cs="宋体" w:eastAsia="宋体" w:hint="default"/>
        </w:rPr>
        <w:t>1</w:t>
      </w:r>
      <w:r>
        <w:rPr/>
        <w:t>日起实施。该标准聚焦了地下病害体的工程分类、 探测及风险评估三个方面的重点内容。该标准的颁布实施不仅为城市道路范围地下病害体的</w:t>
      </w:r>
      <w:r>
        <w:rPr>
          <w:spacing w:val="-91"/>
        </w:rPr>
        <w:t> </w:t>
      </w:r>
      <w:r>
        <w:rPr>
          <w:spacing w:val="-91"/>
        </w:rPr>
      </w:r>
      <w:r>
        <w:rPr/>
        <w:t>普查提供了依据，同时也为地下管线缺陷引发的地下空洞、疏松等地下病害体的精准探测提</w:t>
      </w:r>
      <w:r>
        <w:rPr>
          <w:spacing w:val="-91"/>
        </w:rPr>
        <w:t> </w:t>
      </w:r>
      <w:r>
        <w:rPr>
          <w:spacing w:val="-91"/>
        </w:rPr>
      </w:r>
      <w:r>
        <w:rPr/>
        <w:t>供可参考的标准。有助于推进公司在排水管道检测、供水管道漏水调查基础上，针对管道破</w:t>
      </w:r>
      <w:r>
        <w:rPr>
          <w:spacing w:val="-91"/>
        </w:rPr>
        <w:t> </w:t>
      </w:r>
      <w:r>
        <w:rPr>
          <w:spacing w:val="-91"/>
        </w:rPr>
      </w:r>
      <w:r>
        <w:rPr>
          <w:spacing w:val="-3"/>
        </w:rPr>
        <w:t>裂、变形、错口、脱节、渗漏等结构性缺陷可能引发的管道周边地下病害体探测工作的开展，</w:t>
      </w:r>
      <w:r>
        <w:rPr>
          <w:spacing w:val="-81"/>
        </w:rPr>
        <w:t> </w:t>
      </w:r>
      <w:r>
        <w:rPr>
          <w:spacing w:val="-81"/>
        </w:rPr>
      </w:r>
      <w:r>
        <w:rPr/>
        <w:t>避免地下病害探测的盲目性，提高地下病害的探测效率，保障城市道路及地下管线的安全运</w:t>
      </w:r>
      <w:r>
        <w:rPr>
          <w:spacing w:val="-91"/>
        </w:rPr>
        <w:t> </w:t>
      </w:r>
      <w:r>
        <w:rPr>
          <w:spacing w:val="-91"/>
        </w:rPr>
      </w:r>
      <w:r>
        <w:rPr/>
        <w:t>行。目前，公司已承建北京、广州、合肥、宁波、青岛、中山、泉州、怀化等数十个城市的</w:t>
      </w:r>
      <w:r>
        <w:rPr>
          <w:spacing w:val="-86"/>
        </w:rPr>
        <w:t> </w:t>
      </w:r>
      <w:r>
        <w:rPr>
          <w:spacing w:val="-86"/>
        </w:rPr>
      </w:r>
      <w:r>
        <w:rPr/>
        <w:t>排水管网项目，为防范城市内涝和改善污水处理流程发挥了重要的作用。</w:t>
      </w:r>
    </w:p>
    <w:p>
      <w:pPr>
        <w:spacing w:line="386" w:lineRule="auto" w:before="77"/>
        <w:ind w:left="633" w:right="982" w:firstLine="0"/>
        <w:jc w:val="left"/>
        <w:rPr>
          <w:rFonts w:ascii="宋体" w:hAnsi="宋体" w:cs="宋体" w:eastAsia="宋体" w:hint="default"/>
          <w:sz w:val="24"/>
          <w:szCs w:val="24"/>
        </w:rPr>
      </w:pPr>
      <w:r>
        <w:rPr>
          <w:rFonts w:ascii="宋体" w:hAnsi="宋体" w:cs="宋体" w:eastAsia="宋体" w:hint="default"/>
          <w:b/>
          <w:bCs/>
          <w:sz w:val="24"/>
          <w:szCs w:val="24"/>
        </w:rPr>
        <w:t>2</w:t>
      </w:r>
      <w:r>
        <w:rPr>
          <w:rFonts w:ascii="宋体" w:hAnsi="宋体" w:cs="宋体" w:eastAsia="宋体" w:hint="default"/>
          <w:b/>
          <w:bCs/>
          <w:sz w:val="24"/>
          <w:szCs w:val="24"/>
        </w:rPr>
        <w:t>、智慧管线管理平台</w:t>
      </w:r>
      <w:r>
        <w:rPr>
          <w:rFonts w:ascii="宋体" w:hAnsi="宋体" w:cs="宋体" w:eastAsia="宋体" w:hint="default"/>
          <w:b/>
          <w:bCs/>
          <w:w w:val="99"/>
          <w:sz w:val="24"/>
          <w:szCs w:val="24"/>
        </w:rPr>
        <w:t> </w:t>
      </w:r>
      <w:r>
        <w:rPr>
          <w:rFonts w:ascii="宋体" w:hAnsi="宋体" w:cs="宋体" w:eastAsia="宋体" w:hint="default"/>
          <w:sz w:val="24"/>
          <w:szCs w:val="24"/>
        </w:rPr>
        <w:t>报告期内，金迪加大产品研发力度，从综合管线向智慧管网升级，完成了智慧管线产品</w:t>
      </w:r>
    </w:p>
    <w:p>
      <w:pPr>
        <w:spacing w:after="0" w:line="386" w:lineRule="auto"/>
        <w:jc w:val="left"/>
        <w:rPr>
          <w:rFonts w:ascii="宋体" w:hAnsi="宋体" w:cs="宋体" w:eastAsia="宋体" w:hint="default"/>
          <w:sz w:val="24"/>
          <w:szCs w:val="24"/>
        </w:rPr>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37"/>
        <w:jc w:val="both"/>
      </w:pPr>
      <w:r>
        <w:rPr/>
        <w:t>的研发。该产品拥有</w:t>
      </w:r>
      <w:r>
        <w:rPr>
          <w:rFonts w:ascii="宋体" w:hAnsi="宋体" w:cs="宋体" w:eastAsia="宋体" w:hint="default"/>
        </w:rPr>
        <w:t>17</w:t>
      </w:r>
      <w:r>
        <w:rPr/>
        <w:t>个子系统，实现了资源大数据库、管线管理及运维平台、智慧管网云</w:t>
      </w:r>
      <w:r>
        <w:rPr>
          <w:spacing w:val="-90"/>
        </w:rPr>
        <w:t> </w:t>
      </w:r>
      <w:r>
        <w:rPr>
          <w:spacing w:val="-90"/>
        </w:rPr>
      </w:r>
      <w:r>
        <w:rPr/>
        <w:t>服务平、综合管廊智能化管理平台和综合运营调度中心的建设目标。</w:t>
      </w:r>
    </w:p>
    <w:p>
      <w:pPr>
        <w:pStyle w:val="BodyText"/>
        <w:spacing w:line="357" w:lineRule="auto" w:before="77"/>
        <w:ind w:right="1139" w:firstLine="480"/>
        <w:jc w:val="both"/>
      </w:pPr>
      <w:r>
        <w:rPr/>
        <w:t>产品依托基础资源大数据库为基础，以物联网感知设备和智能监管为依托，实现了多元 数据的综合展示，实现了科学、高效、节能的调度和管理。对城市地下综合管线及隐患信息</w:t>
      </w:r>
      <w:r>
        <w:rPr>
          <w:spacing w:val="-91"/>
        </w:rPr>
        <w:t> </w:t>
      </w:r>
      <w:r>
        <w:rPr>
          <w:spacing w:val="-91"/>
        </w:rPr>
      </w:r>
      <w:r>
        <w:rPr/>
        <w:t>的存储、查询、统计、分析和更新，对图形、属性、三维信息实行统一管理。同时，建立管</w:t>
      </w:r>
      <w:r>
        <w:rPr>
          <w:spacing w:val="-91"/>
        </w:rPr>
        <w:t> </w:t>
      </w:r>
      <w:r>
        <w:rPr>
          <w:spacing w:val="-91"/>
        </w:rPr>
      </w:r>
      <w:r>
        <w:rPr/>
        <w:t>线安全监察管理办法，确保管线安全运行，保障国家和人民生命、财产安全。实现管廊数字</w:t>
      </w:r>
      <w:r>
        <w:rPr>
          <w:spacing w:val="-91"/>
        </w:rPr>
        <w:t> </w:t>
      </w:r>
      <w:r>
        <w:rPr>
          <w:spacing w:val="-91"/>
        </w:rPr>
      </w:r>
      <w:r>
        <w:rPr/>
        <w:t>化、便捷化、应急响应快速化管理。报告期内，金迪中标安徽省滁州市定远县地下管线信息</w:t>
      </w:r>
      <w:r>
        <w:rPr>
          <w:spacing w:val="-91"/>
        </w:rPr>
        <w:t> </w:t>
      </w:r>
      <w:r>
        <w:rPr>
          <w:spacing w:val="-91"/>
        </w:rPr>
      </w:r>
      <w:r>
        <w:rPr/>
        <w:t>系统与安全运行监测系统（智慧管网）建设项目，以此为代表的新型智慧管线产品，未来将</w:t>
      </w:r>
      <w:r>
        <w:rPr>
          <w:spacing w:val="-91"/>
        </w:rPr>
        <w:t> </w:t>
      </w:r>
      <w:r>
        <w:rPr>
          <w:spacing w:val="-91"/>
        </w:rPr>
      </w:r>
      <w:r>
        <w:rPr/>
        <w:t>在全国范围内推广。</w:t>
      </w:r>
    </w:p>
    <w:p>
      <w:pPr>
        <w:spacing w:line="240" w:lineRule="auto" w:before="1"/>
        <w:rPr>
          <w:rFonts w:ascii="宋体" w:hAnsi="宋体" w:cs="宋体" w:eastAsia="宋体" w:hint="default"/>
          <w:sz w:val="9"/>
          <w:szCs w:val="9"/>
        </w:rPr>
      </w:pPr>
    </w:p>
    <w:p>
      <w:pPr>
        <w:spacing w:line="4237" w:lineRule="exact"/>
        <w:ind w:left="861" w:right="0" w:firstLine="0"/>
        <w:rPr>
          <w:rFonts w:ascii="宋体" w:hAnsi="宋体" w:cs="宋体" w:eastAsia="宋体" w:hint="default"/>
          <w:sz w:val="20"/>
          <w:szCs w:val="20"/>
        </w:rPr>
      </w:pPr>
      <w:r>
        <w:rPr>
          <w:rFonts w:ascii="宋体" w:hAnsi="宋体" w:cs="宋体" w:eastAsia="宋体" w:hint="default"/>
          <w:position w:val="-84"/>
          <w:sz w:val="20"/>
          <w:szCs w:val="20"/>
        </w:rPr>
        <w:drawing>
          <wp:inline distT="0" distB="0" distL="0" distR="0">
            <wp:extent cx="5265931" cy="2690622"/>
            <wp:effectExtent l="0" t="0" r="0" b="0"/>
            <wp:docPr id="33" name="image18.jpeg" descr=""/>
            <wp:cNvGraphicFramePr>
              <a:graphicFrameLocks noChangeAspect="1"/>
            </wp:cNvGraphicFramePr>
            <a:graphic>
              <a:graphicData uri="http://schemas.openxmlformats.org/drawingml/2006/picture">
                <pic:pic>
                  <pic:nvPicPr>
                    <pic:cNvPr id="34" name="image18.jpeg"/>
                    <pic:cNvPicPr/>
                  </pic:nvPicPr>
                  <pic:blipFill>
                    <a:blip r:embed="rId28" cstate="print"/>
                    <a:stretch>
                      <a:fillRect/>
                    </a:stretch>
                  </pic:blipFill>
                  <pic:spPr>
                    <a:xfrm>
                      <a:off x="0" y="0"/>
                      <a:ext cx="5265931" cy="2690622"/>
                    </a:xfrm>
                    <a:prstGeom prst="rect">
                      <a:avLst/>
                    </a:prstGeom>
                  </pic:spPr>
                </pic:pic>
              </a:graphicData>
            </a:graphic>
          </wp:inline>
        </w:drawing>
      </w:r>
      <w:r>
        <w:rPr>
          <w:rFonts w:ascii="宋体" w:hAnsi="宋体" w:cs="宋体" w:eastAsia="宋体" w:hint="default"/>
          <w:position w:val="-84"/>
          <w:sz w:val="20"/>
          <w:szCs w:val="20"/>
        </w:rPr>
      </w:r>
    </w:p>
    <w:p>
      <w:pPr>
        <w:pStyle w:val="BodyText"/>
        <w:spacing w:line="388" w:lineRule="auto" w:before="128"/>
        <w:ind w:left="633" w:right="982"/>
        <w:jc w:val="left"/>
      </w:pPr>
      <w:r>
        <w:rPr>
          <w:rFonts w:ascii="宋体" w:hAnsi="宋体" w:cs="宋体" w:eastAsia="宋体" w:hint="default"/>
          <w:b/>
          <w:bCs/>
        </w:rPr>
        <w:t>3</w:t>
      </w:r>
      <w:r>
        <w:rPr>
          <w:rFonts w:ascii="宋体" w:hAnsi="宋体" w:cs="宋体" w:eastAsia="宋体" w:hint="default"/>
          <w:b/>
          <w:bCs/>
        </w:rPr>
        <w:t>、智慧工厂</w:t>
      </w:r>
      <w:r>
        <w:rPr>
          <w:rFonts w:ascii="宋体" w:hAnsi="宋体" w:cs="宋体" w:eastAsia="宋体" w:hint="default"/>
          <w:b/>
          <w:bCs/>
          <w:w w:val="99"/>
        </w:rPr>
        <w:t> </w:t>
      </w:r>
      <w:r>
        <w:rPr/>
        <w:t>“中国制造</w:t>
      </w:r>
      <w:r>
        <w:rPr>
          <w:rFonts w:ascii="宋体" w:hAnsi="宋体" w:cs="宋体" w:eastAsia="宋体" w:hint="default"/>
        </w:rPr>
        <w:t>2025</w:t>
      </w:r>
      <w:r>
        <w:rPr/>
        <w:t>”的提出，为制造业企业在新一轮工业革命浪潮中转型升级指明了战略</w:t>
      </w:r>
    </w:p>
    <w:p>
      <w:pPr>
        <w:pStyle w:val="BodyText"/>
        <w:spacing w:line="357" w:lineRule="auto" w:before="5"/>
        <w:ind w:right="1139"/>
        <w:jc w:val="both"/>
      </w:pPr>
      <w:r>
        <w:rPr/>
        <w:t>发展方向。报告期内，金迪公司依托大同电厂项目，探索智慧工厂建设的新模式，依托母公</w:t>
      </w:r>
      <w:r>
        <w:rPr>
          <w:spacing w:val="-91"/>
        </w:rPr>
        <w:t> </w:t>
      </w:r>
      <w:r>
        <w:rPr>
          <w:spacing w:val="-91"/>
        </w:rPr>
      </w:r>
      <w:r>
        <w:rPr/>
        <w:t>司软件平台优势，打造管网安全监管平台。平台利用倾斜摄影技术、三维激光扫描、全景影</w:t>
      </w:r>
      <w:r>
        <w:rPr>
          <w:spacing w:val="-91"/>
        </w:rPr>
        <w:t> </w:t>
      </w:r>
      <w:r>
        <w:rPr>
          <w:spacing w:val="-91"/>
        </w:rPr>
      </w:r>
      <w:r>
        <w:rPr/>
        <w:t>像、管线探测等手段进行基础数据采集。根据用户业务要求，建设智慧工厂信息化智能管理</w:t>
      </w:r>
      <w:r>
        <w:rPr>
          <w:spacing w:val="-91"/>
        </w:rPr>
        <w:t> </w:t>
      </w:r>
      <w:r>
        <w:rPr>
          <w:spacing w:val="-91"/>
        </w:rPr>
      </w:r>
      <w:r>
        <w:rPr/>
        <w:t>平台，该产品实现三维厂区管理、能源管网管理、物流监控、仓储监控、环保监测与生产安</w:t>
      </w:r>
      <w:r>
        <w:rPr>
          <w:spacing w:val="-91"/>
        </w:rPr>
        <w:t> </w:t>
      </w:r>
      <w:r>
        <w:rPr>
          <w:spacing w:val="-91"/>
        </w:rPr>
      </w:r>
      <w:r>
        <w:rPr/>
        <w:t>全监测管理、物联设备接入管理等功能，在企业应用中取得良好效果。</w:t>
      </w:r>
    </w:p>
    <w:p>
      <w:pPr>
        <w:spacing w:after="0" w:line="357" w:lineRule="auto"/>
        <w:jc w:val="both"/>
        <w:sectPr>
          <w:pgSz w:w="11910" w:h="16840"/>
          <w:pgMar w:header="745" w:footer="979" w:top="1060" w:bottom="1160" w:left="980" w:right="0"/>
        </w:sectPr>
      </w:pPr>
    </w:p>
    <w:p>
      <w:pPr>
        <w:spacing w:line="240" w:lineRule="auto" w:before="3"/>
        <w:rPr>
          <w:rFonts w:ascii="宋体" w:hAnsi="宋体" w:cs="宋体" w:eastAsia="宋体" w:hint="default"/>
          <w:sz w:val="29"/>
          <w:szCs w:val="29"/>
        </w:rPr>
      </w:pPr>
    </w:p>
    <w:p>
      <w:pPr>
        <w:spacing w:line="4072" w:lineRule="exact"/>
        <w:ind w:left="825"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5316562" cy="2585847"/>
            <wp:effectExtent l="0" t="0" r="0" b="0"/>
            <wp:docPr id="35" name="image19.jpeg" descr=""/>
            <wp:cNvGraphicFramePr>
              <a:graphicFrameLocks noChangeAspect="1"/>
            </wp:cNvGraphicFramePr>
            <a:graphic>
              <a:graphicData uri="http://schemas.openxmlformats.org/drawingml/2006/picture">
                <pic:pic>
                  <pic:nvPicPr>
                    <pic:cNvPr id="36" name="image19.jpeg"/>
                    <pic:cNvPicPr/>
                  </pic:nvPicPr>
                  <pic:blipFill>
                    <a:blip r:embed="rId29" cstate="print"/>
                    <a:stretch>
                      <a:fillRect/>
                    </a:stretch>
                  </pic:blipFill>
                  <pic:spPr>
                    <a:xfrm>
                      <a:off x="0" y="0"/>
                      <a:ext cx="5316562" cy="2585847"/>
                    </a:xfrm>
                    <a:prstGeom prst="rect">
                      <a:avLst/>
                    </a:prstGeom>
                  </pic:spPr>
                </pic:pic>
              </a:graphicData>
            </a:graphic>
          </wp:inline>
        </w:drawing>
      </w:r>
      <w:r>
        <w:rPr>
          <w:rFonts w:ascii="宋体" w:hAnsi="宋体" w:cs="宋体" w:eastAsia="宋体" w:hint="default"/>
          <w:position w:val="-80"/>
          <w:sz w:val="20"/>
          <w:szCs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pStyle w:val="Heading2"/>
        <w:spacing w:line="240" w:lineRule="auto" w:before="26"/>
        <w:ind w:right="982"/>
        <w:jc w:val="left"/>
        <w:rPr>
          <w:b w:val="0"/>
          <w:bCs w:val="0"/>
        </w:rPr>
      </w:pPr>
      <w:r>
        <w:rPr/>
        <w:t>二、主营业务分析</w:t>
      </w:r>
      <w:r>
        <w:rPr>
          <w:b w:val="0"/>
          <w:bCs w:val="0"/>
        </w:rPr>
      </w:r>
    </w:p>
    <w:p>
      <w:pPr>
        <w:spacing w:line="240" w:lineRule="auto" w:before="9"/>
        <w:rPr>
          <w:rFonts w:ascii="宋体" w:hAnsi="宋体" w:cs="宋体" w:eastAsia="宋体" w:hint="default"/>
          <w:b/>
          <w:bCs/>
          <w:sz w:val="24"/>
          <w:szCs w:val="24"/>
        </w:rPr>
      </w:pPr>
    </w:p>
    <w:p>
      <w:pPr>
        <w:spacing w:line="544" w:lineRule="auto" w:before="0"/>
        <w:ind w:left="152" w:right="647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、概述</w:t>
      </w:r>
      <w:r>
        <w:rPr>
          <w:rFonts w:ascii="宋体" w:hAnsi="宋体" w:cs="宋体" w:eastAsia="宋体" w:hint="default"/>
          <w:b/>
          <w:bCs/>
          <w:w w:val="100"/>
          <w:sz w:val="21"/>
          <w:szCs w:val="21"/>
        </w:rPr>
        <w:t> </w:t>
      </w: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经营情况讨论与分析</w:t>
      </w:r>
      <w:r>
        <w:rPr>
          <w:rFonts w:ascii="Times New Roman" w:hAnsi="Times New Roman" w:cs="Times New Roman" w:eastAsia="Times New Roman" w:hint="default"/>
          <w:sz w:val="18"/>
          <w:szCs w:val="18"/>
        </w:rPr>
        <w:t>”</w:t>
      </w:r>
      <w:r>
        <w:rPr>
          <w:rFonts w:ascii="宋体" w:hAnsi="宋体" w:cs="宋体" w:eastAsia="宋体" w:hint="default"/>
          <w:sz w:val="18"/>
          <w:szCs w:val="18"/>
        </w:rPr>
        <w:t>中的</w:t>
      </w:r>
      <w:r>
        <w:rPr>
          <w:rFonts w:ascii="Times New Roman" w:hAnsi="Times New Roman" w:cs="Times New Roman" w:eastAsia="Times New Roman" w:hint="default"/>
          <w:sz w:val="18"/>
          <w:szCs w:val="18"/>
        </w:rPr>
        <w:t>“</w:t>
      </w:r>
      <w:r>
        <w:rPr>
          <w:rFonts w:ascii="宋体" w:hAnsi="宋体" w:cs="宋体" w:eastAsia="宋体" w:hint="default"/>
          <w:sz w:val="18"/>
          <w:szCs w:val="18"/>
        </w:rPr>
        <w:t>一、概述</w:t>
      </w:r>
      <w:r>
        <w:rPr>
          <w:rFonts w:ascii="Times New Roman" w:hAnsi="Times New Roman" w:cs="Times New Roman" w:eastAsia="Times New Roman" w:hint="default"/>
          <w:sz w:val="18"/>
          <w:szCs w:val="18"/>
        </w:rPr>
        <w:t>”</w:t>
      </w:r>
      <w:r>
        <w:rPr>
          <w:rFonts w:ascii="宋体" w:hAnsi="宋体" w:cs="宋体" w:eastAsia="宋体" w:hint="default"/>
          <w:sz w:val="18"/>
          <w:szCs w:val="18"/>
        </w:rPr>
        <w:t>相关内容。 </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、收入与成本</w:t>
      </w:r>
      <w:r>
        <w:rPr>
          <w:rFonts w:ascii="宋体" w:hAnsi="宋体" w:cs="宋体" w:eastAsia="宋体" w:hint="default"/>
          <w:sz w:val="21"/>
          <w:szCs w:val="21"/>
        </w:rPr>
      </w:r>
    </w:p>
    <w:p>
      <w:pPr>
        <w:spacing w:before="28"/>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）营业收入构成</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38" w:lineRule="auto" w:before="0"/>
        <w:ind w:left="152" w:right="1664"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上市公司从软件与信息技术服务业务》的披露要求 是</w:t>
      </w:r>
    </w:p>
    <w:p>
      <w:pPr>
        <w:spacing w:before="4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508"/>
        <w:gridCol w:w="1008"/>
        <w:gridCol w:w="1009"/>
        <w:gridCol w:w="1013"/>
        <w:gridCol w:w="1011"/>
        <w:gridCol w:w="1003"/>
        <w:gridCol w:w="1006"/>
        <w:gridCol w:w="1001"/>
        <w:gridCol w:w="1003"/>
      </w:tblGrid>
      <w:tr>
        <w:trPr>
          <w:trHeight w:val="206" w:hRule="exact"/>
        </w:trPr>
        <w:tc>
          <w:tcPr>
            <w:tcW w:w="1508" w:type="dxa"/>
            <w:tcBorders>
              <w:top w:val="single" w:sz="4" w:space="0" w:color="000000"/>
              <w:left w:val="single" w:sz="4" w:space="0" w:color="000000"/>
              <w:bottom w:val="nil" w:sz="6" w:space="0" w:color="auto"/>
              <w:right w:val="single" w:sz="4" w:space="0" w:color="000000"/>
            </w:tcBorders>
            <w:shd w:val="clear" w:color="auto" w:fill="D2D2D2"/>
          </w:tcPr>
          <w:p>
            <w:pPr/>
          </w:p>
        </w:tc>
        <w:tc>
          <w:tcPr>
            <w:tcW w:w="4040"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4013"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r>
      <w:tr>
        <w:trPr>
          <w:trHeight w:val="190" w:hRule="exact"/>
        </w:trPr>
        <w:tc>
          <w:tcPr>
            <w:tcW w:w="1508" w:type="dxa"/>
            <w:vMerge w:val="restart"/>
            <w:tcBorders>
              <w:top w:val="nil" w:sz="6" w:space="0" w:color="auto"/>
              <w:left w:val="single" w:sz="4" w:space="0" w:color="000000"/>
              <w:right w:val="single" w:sz="4" w:space="0" w:color="000000"/>
            </w:tcBorders>
            <w:shd w:val="clear" w:color="auto" w:fill="D2D2D2"/>
          </w:tcPr>
          <w:p>
            <w:pPr/>
          </w:p>
        </w:tc>
        <w:tc>
          <w:tcPr>
            <w:tcW w:w="4040" w:type="dxa"/>
            <w:gridSpan w:val="4"/>
            <w:vMerge/>
            <w:tcBorders>
              <w:left w:val="single" w:sz="4" w:space="0" w:color="000000"/>
              <w:bottom w:val="single" w:sz="4" w:space="0" w:color="000000"/>
              <w:right w:val="single" w:sz="4" w:space="0" w:color="000000"/>
            </w:tcBorders>
            <w:shd w:val="clear" w:color="auto" w:fill="D2D2D2"/>
          </w:tcPr>
          <w:p>
            <w:pPr/>
          </w:p>
        </w:tc>
        <w:tc>
          <w:tcPr>
            <w:tcW w:w="4013" w:type="dxa"/>
            <w:gridSpan w:val="4"/>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508" w:type="dxa"/>
            <w:vMerge/>
            <w:tcBorders>
              <w:left w:val="single" w:sz="4" w:space="0" w:color="000000"/>
              <w:bottom w:val="nil" w:sz="6" w:space="0" w:color="auto"/>
              <w:right w:val="single" w:sz="4" w:space="0" w:color="000000"/>
            </w:tcBorders>
            <w:shd w:val="clear" w:color="auto" w:fill="D2D2D2"/>
          </w:tcPr>
          <w:p>
            <w:pPr/>
          </w:p>
        </w:tc>
        <w:tc>
          <w:tcPr>
            <w:tcW w:w="100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9"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00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9"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0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01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第四季度</w:t>
            </w:r>
          </w:p>
        </w:tc>
        <w:tc>
          <w:tcPr>
            <w:tcW w:w="10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6"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00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6"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0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6"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0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36"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206" w:hRule="exact"/>
        </w:trPr>
        <w:tc>
          <w:tcPr>
            <w:tcW w:w="1508" w:type="dxa"/>
            <w:tcBorders>
              <w:top w:val="nil" w:sz="6" w:space="0" w:color="auto"/>
              <w:left w:val="single" w:sz="4" w:space="0" w:color="000000"/>
              <w:bottom w:val="single" w:sz="4" w:space="0" w:color="000000"/>
              <w:right w:val="single" w:sz="4" w:space="0" w:color="000000"/>
            </w:tcBorders>
            <w:shd w:val="clear" w:color="auto" w:fill="D2D2D2"/>
          </w:tcPr>
          <w:p>
            <w:pPr/>
          </w:p>
        </w:tc>
        <w:tc>
          <w:tcPr>
            <w:tcW w:w="1008" w:type="dxa"/>
            <w:vMerge/>
            <w:tcBorders>
              <w:left w:val="single" w:sz="4" w:space="0" w:color="000000"/>
              <w:bottom w:val="single" w:sz="4" w:space="0" w:color="000000"/>
              <w:right w:val="single" w:sz="4" w:space="0" w:color="000000"/>
            </w:tcBorders>
            <w:shd w:val="clear" w:color="auto" w:fill="D2D2D2"/>
          </w:tcPr>
          <w:p>
            <w:pPr/>
          </w:p>
        </w:tc>
        <w:tc>
          <w:tcPr>
            <w:tcW w:w="1009" w:type="dxa"/>
            <w:vMerge/>
            <w:tcBorders>
              <w:left w:val="single" w:sz="4" w:space="0" w:color="000000"/>
              <w:bottom w:val="single" w:sz="4" w:space="0" w:color="000000"/>
              <w:right w:val="single" w:sz="4" w:space="0" w:color="000000"/>
            </w:tcBorders>
            <w:shd w:val="clear" w:color="auto" w:fill="D2D2D2"/>
          </w:tcPr>
          <w:p>
            <w:pPr/>
          </w:p>
        </w:tc>
        <w:tc>
          <w:tcPr>
            <w:tcW w:w="1013" w:type="dxa"/>
            <w:vMerge/>
            <w:tcBorders>
              <w:left w:val="single" w:sz="4" w:space="0" w:color="000000"/>
              <w:bottom w:val="single" w:sz="4" w:space="0" w:color="000000"/>
              <w:right w:val="single" w:sz="4" w:space="0" w:color="000000"/>
            </w:tcBorders>
            <w:shd w:val="clear" w:color="auto" w:fill="D2D2D2"/>
          </w:tcPr>
          <w:p>
            <w:pPr/>
          </w:p>
        </w:tc>
        <w:tc>
          <w:tcPr>
            <w:tcW w:w="1011" w:type="dxa"/>
            <w:vMerge/>
            <w:tcBorders>
              <w:left w:val="single" w:sz="4" w:space="0" w:color="000000"/>
              <w:bottom w:val="single" w:sz="4" w:space="0" w:color="000000"/>
              <w:right w:val="single" w:sz="4" w:space="0" w:color="000000"/>
            </w:tcBorders>
            <w:shd w:val="clear" w:color="auto" w:fill="D2D2D2"/>
          </w:tcPr>
          <w:p>
            <w:pPr/>
          </w:p>
        </w:tc>
        <w:tc>
          <w:tcPr>
            <w:tcW w:w="1003" w:type="dxa"/>
            <w:vMerge/>
            <w:tcBorders>
              <w:left w:val="single" w:sz="4" w:space="0" w:color="000000"/>
              <w:bottom w:val="single" w:sz="4" w:space="0" w:color="000000"/>
              <w:right w:val="single" w:sz="4" w:space="0" w:color="000000"/>
            </w:tcBorders>
            <w:shd w:val="clear" w:color="auto" w:fill="D2D2D2"/>
          </w:tcPr>
          <w:p>
            <w:pPr/>
          </w:p>
        </w:tc>
        <w:tc>
          <w:tcPr>
            <w:tcW w:w="1006" w:type="dxa"/>
            <w:vMerge/>
            <w:tcBorders>
              <w:left w:val="single" w:sz="4" w:space="0" w:color="000000"/>
              <w:bottom w:val="single" w:sz="4" w:space="0" w:color="000000"/>
              <w:right w:val="single" w:sz="4" w:space="0" w:color="000000"/>
            </w:tcBorders>
            <w:shd w:val="clear" w:color="auto" w:fill="D2D2D2"/>
          </w:tcPr>
          <w:p>
            <w:pPr/>
          </w:p>
        </w:tc>
        <w:tc>
          <w:tcPr>
            <w:tcW w:w="1001" w:type="dxa"/>
            <w:vMerge/>
            <w:tcBorders>
              <w:left w:val="single" w:sz="4" w:space="0" w:color="000000"/>
              <w:bottom w:val="single" w:sz="4" w:space="0" w:color="000000"/>
              <w:right w:val="single" w:sz="4" w:space="0" w:color="000000"/>
            </w:tcBorders>
            <w:shd w:val="clear" w:color="auto" w:fill="D2D2D2"/>
          </w:tcPr>
          <w:p>
            <w:pPr/>
          </w:p>
        </w:tc>
        <w:tc>
          <w:tcPr>
            <w:tcW w:w="1003"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1508" w:type="dxa"/>
            <w:tcBorders>
              <w:top w:val="single" w:sz="4" w:space="0" w:color="000000"/>
              <w:left w:val="single" w:sz="4" w:space="0" w:color="000000"/>
              <w:bottom w:val="nil" w:sz="6" w:space="0" w:color="auto"/>
              <w:right w:val="single" w:sz="4" w:space="0" w:color="000000"/>
            </w:tcBorders>
            <w:shd w:val="clear" w:color="auto" w:fill="D2D2D2"/>
          </w:tcPr>
          <w:p>
            <w:pPr/>
          </w:p>
        </w:tc>
        <w:tc>
          <w:tcPr>
            <w:tcW w:w="1008" w:type="dxa"/>
            <w:vMerge w:val="restart"/>
            <w:tcBorders>
              <w:top w:val="single" w:sz="4" w:space="0" w:color="000000"/>
              <w:left w:val="single" w:sz="10" w:space="0" w:color="D2D2D2"/>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137,705,091.</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42</w:t>
            </w:r>
          </w:p>
        </w:tc>
        <w:tc>
          <w:tcPr>
            <w:tcW w:w="1009"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251,494,130.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48</w:t>
            </w:r>
          </w:p>
        </w:tc>
        <w:tc>
          <w:tcPr>
            <w:tcW w:w="1013"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231,974,019.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66</w:t>
            </w:r>
          </w:p>
        </w:tc>
        <w:tc>
          <w:tcPr>
            <w:tcW w:w="1011"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667,642,279.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06</w:t>
            </w:r>
          </w:p>
        </w:tc>
        <w:tc>
          <w:tcPr>
            <w:tcW w:w="1003"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112,395,636.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07</w:t>
            </w:r>
          </w:p>
        </w:tc>
        <w:tc>
          <w:tcPr>
            <w:tcW w:w="1006"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221,996,370.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60</w:t>
            </w:r>
          </w:p>
        </w:tc>
        <w:tc>
          <w:tcPr>
            <w:tcW w:w="1001"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205,850,709.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64</w:t>
            </w:r>
          </w:p>
        </w:tc>
        <w:tc>
          <w:tcPr>
            <w:tcW w:w="1003"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662,734,257.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55</w:t>
            </w:r>
          </w:p>
        </w:tc>
      </w:tr>
      <w:tr>
        <w:trPr>
          <w:trHeight w:val="392" w:hRule="exact"/>
        </w:trPr>
        <w:tc>
          <w:tcPr>
            <w:tcW w:w="15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08" w:type="dxa"/>
            <w:vMerge/>
            <w:tcBorders>
              <w:left w:val="single" w:sz="10" w:space="0" w:color="D2D2D2"/>
              <w:right w:val="single" w:sz="4" w:space="0" w:color="000000"/>
            </w:tcBorders>
          </w:tcPr>
          <w:p>
            <w:pPr/>
          </w:p>
        </w:tc>
        <w:tc>
          <w:tcPr>
            <w:tcW w:w="1009" w:type="dxa"/>
            <w:vMerge/>
            <w:tcBorders>
              <w:left w:val="single" w:sz="4" w:space="0" w:color="000000"/>
              <w:right w:val="single" w:sz="4" w:space="0" w:color="000000"/>
            </w:tcBorders>
          </w:tcPr>
          <w:p>
            <w:pPr/>
          </w:p>
        </w:tc>
        <w:tc>
          <w:tcPr>
            <w:tcW w:w="1013" w:type="dxa"/>
            <w:vMerge/>
            <w:tcBorders>
              <w:left w:val="single" w:sz="4" w:space="0" w:color="000000"/>
              <w:right w:val="single" w:sz="4" w:space="0" w:color="000000"/>
            </w:tcBorders>
          </w:tcPr>
          <w:p>
            <w:pPr/>
          </w:p>
        </w:tc>
        <w:tc>
          <w:tcPr>
            <w:tcW w:w="1011" w:type="dxa"/>
            <w:vMerge/>
            <w:tcBorders>
              <w:left w:val="single" w:sz="4" w:space="0" w:color="000000"/>
              <w:right w:val="single" w:sz="4" w:space="0" w:color="000000"/>
            </w:tcBorders>
          </w:tcPr>
          <w:p>
            <w:pPr/>
          </w:p>
        </w:tc>
        <w:tc>
          <w:tcPr>
            <w:tcW w:w="1003" w:type="dxa"/>
            <w:vMerge/>
            <w:tcBorders>
              <w:left w:val="single" w:sz="4" w:space="0" w:color="000000"/>
              <w:right w:val="single" w:sz="4" w:space="0" w:color="000000"/>
            </w:tcBorders>
          </w:tcPr>
          <w:p>
            <w:pPr/>
          </w:p>
        </w:tc>
        <w:tc>
          <w:tcPr>
            <w:tcW w:w="1006" w:type="dxa"/>
            <w:vMerge/>
            <w:tcBorders>
              <w:left w:val="single" w:sz="4" w:space="0" w:color="000000"/>
              <w:right w:val="single" w:sz="4" w:space="0" w:color="000000"/>
            </w:tcBorders>
          </w:tcPr>
          <w:p>
            <w:pPr/>
          </w:p>
        </w:tc>
        <w:tc>
          <w:tcPr>
            <w:tcW w:w="1001" w:type="dxa"/>
            <w:vMerge/>
            <w:tcBorders>
              <w:left w:val="single" w:sz="4" w:space="0" w:color="000000"/>
              <w:right w:val="single" w:sz="4" w:space="0" w:color="000000"/>
            </w:tcBorders>
          </w:tcPr>
          <w:p>
            <w:pPr/>
          </w:p>
        </w:tc>
        <w:tc>
          <w:tcPr>
            <w:tcW w:w="1003" w:type="dxa"/>
            <w:vMerge/>
            <w:tcBorders>
              <w:left w:val="single" w:sz="4" w:space="0" w:color="000000"/>
              <w:right w:val="single" w:sz="4" w:space="0" w:color="000000"/>
            </w:tcBorders>
          </w:tcPr>
          <w:p>
            <w:pPr/>
          </w:p>
        </w:tc>
      </w:tr>
      <w:tr>
        <w:trPr>
          <w:trHeight w:val="161" w:hRule="exact"/>
        </w:trPr>
        <w:tc>
          <w:tcPr>
            <w:tcW w:w="1508" w:type="dxa"/>
            <w:tcBorders>
              <w:top w:val="nil" w:sz="6" w:space="0" w:color="auto"/>
              <w:left w:val="single" w:sz="4" w:space="0" w:color="000000"/>
              <w:bottom w:val="single" w:sz="4" w:space="0" w:color="000000"/>
              <w:right w:val="single" w:sz="4" w:space="0" w:color="000000"/>
            </w:tcBorders>
            <w:shd w:val="clear" w:color="auto" w:fill="D2D2D2"/>
          </w:tcPr>
          <w:p>
            <w:pPr/>
          </w:p>
        </w:tc>
        <w:tc>
          <w:tcPr>
            <w:tcW w:w="1008" w:type="dxa"/>
            <w:vMerge/>
            <w:tcBorders>
              <w:left w:val="single" w:sz="10" w:space="0" w:color="D2D2D2"/>
              <w:bottom w:val="single" w:sz="4" w:space="0" w:color="000000"/>
              <w:right w:val="single" w:sz="4" w:space="0" w:color="000000"/>
            </w:tcBorders>
          </w:tcPr>
          <w:p>
            <w:pPr/>
          </w:p>
        </w:tc>
        <w:tc>
          <w:tcPr>
            <w:tcW w:w="1009" w:type="dxa"/>
            <w:vMerge/>
            <w:tcBorders>
              <w:left w:val="single" w:sz="4" w:space="0" w:color="000000"/>
              <w:bottom w:val="single" w:sz="4" w:space="0" w:color="000000"/>
              <w:right w:val="single" w:sz="4" w:space="0" w:color="000000"/>
            </w:tcBorders>
          </w:tcPr>
          <w:p>
            <w:pPr/>
          </w:p>
        </w:tc>
        <w:tc>
          <w:tcPr>
            <w:tcW w:w="1013" w:type="dxa"/>
            <w:vMerge/>
            <w:tcBorders>
              <w:left w:val="single" w:sz="4" w:space="0" w:color="000000"/>
              <w:bottom w:val="single" w:sz="4" w:space="0" w:color="000000"/>
              <w:right w:val="single" w:sz="4" w:space="0" w:color="000000"/>
            </w:tcBorders>
          </w:tcPr>
          <w:p>
            <w:pPr/>
          </w:p>
        </w:tc>
        <w:tc>
          <w:tcPr>
            <w:tcW w:w="1011" w:type="dxa"/>
            <w:vMerge/>
            <w:tcBorders>
              <w:left w:val="single" w:sz="4" w:space="0" w:color="000000"/>
              <w:bottom w:val="single" w:sz="4" w:space="0" w:color="000000"/>
              <w:right w:val="single" w:sz="4" w:space="0" w:color="000000"/>
            </w:tcBorders>
          </w:tcPr>
          <w:p>
            <w:pPr/>
          </w:p>
        </w:tc>
        <w:tc>
          <w:tcPr>
            <w:tcW w:w="1003" w:type="dxa"/>
            <w:vMerge/>
            <w:tcBorders>
              <w:left w:val="single" w:sz="4" w:space="0" w:color="000000"/>
              <w:bottom w:val="single" w:sz="4" w:space="0" w:color="000000"/>
              <w:right w:val="single" w:sz="4" w:space="0" w:color="000000"/>
            </w:tcBorders>
          </w:tcPr>
          <w:p>
            <w:pPr/>
          </w:p>
        </w:tc>
        <w:tc>
          <w:tcPr>
            <w:tcW w:w="1006" w:type="dxa"/>
            <w:vMerge/>
            <w:tcBorders>
              <w:left w:val="single" w:sz="4" w:space="0" w:color="000000"/>
              <w:bottom w:val="single" w:sz="4" w:space="0" w:color="000000"/>
              <w:right w:val="single" w:sz="4" w:space="0" w:color="000000"/>
            </w:tcBorders>
          </w:tcPr>
          <w:p>
            <w:pPr/>
          </w:p>
        </w:tc>
        <w:tc>
          <w:tcPr>
            <w:tcW w:w="1001" w:type="dxa"/>
            <w:vMerge/>
            <w:tcBorders>
              <w:left w:val="single" w:sz="4" w:space="0" w:color="000000"/>
              <w:bottom w:val="single" w:sz="4" w:space="0" w:color="000000"/>
              <w:right w:val="single" w:sz="4" w:space="0" w:color="000000"/>
            </w:tcBorders>
          </w:tcPr>
          <w:p>
            <w:pPr/>
          </w:p>
        </w:tc>
        <w:tc>
          <w:tcPr>
            <w:tcW w:w="1003" w:type="dxa"/>
            <w:vMerge/>
            <w:tcBorders>
              <w:left w:val="single" w:sz="4" w:space="0" w:color="000000"/>
              <w:bottom w:val="single" w:sz="4" w:space="0" w:color="000000"/>
              <w:right w:val="single" w:sz="4" w:space="0" w:color="000000"/>
            </w:tcBorders>
          </w:tcPr>
          <w:p>
            <w:pPr/>
          </w:p>
        </w:tc>
      </w:tr>
      <w:tr>
        <w:trPr>
          <w:trHeight w:val="715" w:hRule="exact"/>
        </w:trPr>
        <w:tc>
          <w:tcPr>
            <w:tcW w:w="15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5"/>
              <w:jc w:val="left"/>
              <w:rPr>
                <w:rFonts w:ascii="宋体" w:hAnsi="宋体" w:cs="宋体" w:eastAsia="宋体" w:hint="default"/>
                <w:sz w:val="18"/>
                <w:szCs w:val="18"/>
              </w:rPr>
            </w:pPr>
            <w:r>
              <w:rPr>
                <w:rFonts w:ascii="宋体" w:hAnsi="宋体" w:cs="宋体" w:eastAsia="宋体" w:hint="default"/>
                <w:sz w:val="18"/>
                <w:szCs w:val="18"/>
              </w:rPr>
              <w:t>归属于上市公司股 东的净利润</w:t>
            </w:r>
          </w:p>
        </w:tc>
        <w:tc>
          <w:tcPr>
            <w:tcW w:w="100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16,924,398.2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63,705,367.4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10,034,243.5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26,522,561.7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11,106,334.2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51,722,579.1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13,163,397.4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93,602,561.2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营业收入整体情况</w:t>
      </w:r>
    </w:p>
    <w:p>
      <w:pPr>
        <w:spacing w:before="115"/>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7"/>
        <w:gridCol w:w="1600"/>
        <w:gridCol w:w="1588"/>
        <w:gridCol w:w="1602"/>
        <w:gridCol w:w="1582"/>
        <w:gridCol w:w="1600"/>
      </w:tblGrid>
      <w:tr>
        <w:trPr>
          <w:trHeight w:val="206" w:hRule="exact"/>
        </w:trPr>
        <w:tc>
          <w:tcPr>
            <w:tcW w:w="1597"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8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0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6" w:hRule="exact"/>
        </w:trPr>
        <w:tc>
          <w:tcPr>
            <w:tcW w:w="1597" w:type="dxa"/>
            <w:vMerge w:val="restart"/>
            <w:tcBorders>
              <w:top w:val="nil" w:sz="6" w:space="0" w:color="auto"/>
              <w:left w:val="single" w:sz="4" w:space="0" w:color="000000"/>
              <w:right w:val="single" w:sz="4" w:space="0" w:color="000000"/>
            </w:tcBorders>
            <w:shd w:val="clear" w:color="auto" w:fill="D2D2D2"/>
          </w:tcPr>
          <w:p>
            <w:pPr/>
          </w:p>
        </w:tc>
        <w:tc>
          <w:tcPr>
            <w:tcW w:w="3188" w:type="dxa"/>
            <w:gridSpan w:val="2"/>
            <w:vMerge/>
            <w:tcBorders>
              <w:left w:val="single" w:sz="4" w:space="0" w:color="000000"/>
              <w:bottom w:val="single" w:sz="4" w:space="0" w:color="000000"/>
              <w:right w:val="single" w:sz="4" w:space="0" w:color="000000"/>
            </w:tcBorders>
            <w:shd w:val="clear" w:color="auto" w:fill="D2D2D2"/>
          </w:tcPr>
          <w:p>
            <w:pPr/>
          </w:p>
        </w:tc>
        <w:tc>
          <w:tcPr>
            <w:tcW w:w="3184" w:type="dxa"/>
            <w:gridSpan w:val="2"/>
            <w:vMerge/>
            <w:tcBorders>
              <w:left w:val="single" w:sz="4" w:space="0" w:color="000000"/>
              <w:bottom w:val="single" w:sz="4" w:space="0" w:color="000000"/>
              <w:right w:val="single" w:sz="4" w:space="0" w:color="000000"/>
            </w:tcBorders>
            <w:shd w:val="clear" w:color="auto" w:fill="D2D2D2"/>
          </w:tcPr>
          <w:p>
            <w:pPr/>
          </w:p>
        </w:tc>
        <w:tc>
          <w:tcPr>
            <w:tcW w:w="160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38"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196" w:hRule="exact"/>
        </w:trPr>
        <w:tc>
          <w:tcPr>
            <w:tcW w:w="1597" w:type="dxa"/>
            <w:vMerge/>
            <w:tcBorders>
              <w:left w:val="single" w:sz="4" w:space="0" w:color="000000"/>
              <w:bottom w:val="nil" w:sz="6" w:space="0" w:color="auto"/>
              <w:right w:val="single" w:sz="4" w:space="0" w:color="000000"/>
            </w:tcBorders>
            <w:shd w:val="clear" w:color="auto" w:fill="D2D2D2"/>
          </w:tcPr>
          <w:p>
            <w:pPr/>
          </w:p>
        </w:tc>
        <w:tc>
          <w:tcPr>
            <w:tcW w:w="16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5"/>
              <w:jc w:val="center"/>
              <w:rPr>
                <w:rFonts w:ascii="宋体" w:hAnsi="宋体" w:cs="宋体" w:eastAsia="宋体" w:hint="default"/>
                <w:sz w:val="18"/>
                <w:szCs w:val="18"/>
              </w:rPr>
            </w:pPr>
            <w:r>
              <w:rPr>
                <w:rFonts w:ascii="宋体" w:hAnsi="宋体" w:cs="宋体" w:eastAsia="宋体" w:hint="default"/>
                <w:sz w:val="18"/>
                <w:szCs w:val="18"/>
              </w:rPr>
              <w:t>金额</w:t>
            </w:r>
          </w:p>
        </w:tc>
        <w:tc>
          <w:tcPr>
            <w:tcW w:w="15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157"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6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6"/>
              <w:jc w:val="center"/>
              <w:rPr>
                <w:rFonts w:ascii="宋体" w:hAnsi="宋体" w:cs="宋体" w:eastAsia="宋体" w:hint="default"/>
                <w:sz w:val="18"/>
                <w:szCs w:val="18"/>
              </w:rPr>
            </w:pPr>
            <w:r>
              <w:rPr>
                <w:rFonts w:ascii="宋体" w:hAnsi="宋体" w:cs="宋体" w:eastAsia="宋体" w:hint="default"/>
                <w:sz w:val="18"/>
                <w:szCs w:val="18"/>
              </w:rPr>
              <w:t>金额</w:t>
            </w:r>
          </w:p>
        </w:tc>
        <w:tc>
          <w:tcPr>
            <w:tcW w:w="15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157"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600"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597" w:type="dxa"/>
            <w:tcBorders>
              <w:top w:val="nil" w:sz="6" w:space="0" w:color="auto"/>
              <w:left w:val="single" w:sz="4" w:space="0" w:color="000000"/>
              <w:bottom w:val="single" w:sz="4" w:space="0" w:color="000000"/>
              <w:right w:val="single" w:sz="4" w:space="0" w:color="000000"/>
            </w:tcBorders>
            <w:shd w:val="clear" w:color="auto" w:fill="D2D2D2"/>
          </w:tcPr>
          <w:p>
            <w:pPr/>
          </w:p>
        </w:tc>
        <w:tc>
          <w:tcPr>
            <w:tcW w:w="1600" w:type="dxa"/>
            <w:vMerge/>
            <w:tcBorders>
              <w:left w:val="single" w:sz="4" w:space="0" w:color="000000"/>
              <w:bottom w:val="single" w:sz="4" w:space="0" w:color="000000"/>
              <w:right w:val="single" w:sz="4" w:space="0" w:color="000000"/>
            </w:tcBorders>
            <w:shd w:val="clear" w:color="auto" w:fill="D2D2D2"/>
          </w:tcPr>
          <w:p>
            <w:pPr/>
          </w:p>
        </w:tc>
        <w:tc>
          <w:tcPr>
            <w:tcW w:w="1588" w:type="dxa"/>
            <w:vMerge/>
            <w:tcBorders>
              <w:left w:val="single" w:sz="4" w:space="0" w:color="000000"/>
              <w:bottom w:val="single" w:sz="4" w:space="0" w:color="000000"/>
              <w:right w:val="single" w:sz="4" w:space="0" w:color="000000"/>
            </w:tcBorders>
            <w:shd w:val="clear" w:color="auto" w:fill="D2D2D2"/>
          </w:tcPr>
          <w:p>
            <w:pPr/>
          </w:p>
        </w:tc>
        <w:tc>
          <w:tcPr>
            <w:tcW w:w="1602" w:type="dxa"/>
            <w:vMerge/>
            <w:tcBorders>
              <w:left w:val="single" w:sz="4" w:space="0" w:color="000000"/>
              <w:bottom w:val="single" w:sz="4" w:space="0" w:color="000000"/>
              <w:right w:val="single" w:sz="4" w:space="0" w:color="000000"/>
            </w:tcBorders>
            <w:shd w:val="clear" w:color="auto" w:fill="D2D2D2"/>
          </w:tcPr>
          <w:p>
            <w:pPr/>
          </w:p>
        </w:tc>
        <w:tc>
          <w:tcPr>
            <w:tcW w:w="1582" w:type="dxa"/>
            <w:vMerge/>
            <w:tcBorders>
              <w:left w:val="single" w:sz="4" w:space="0" w:color="000000"/>
              <w:bottom w:val="single" w:sz="4" w:space="0" w:color="000000"/>
              <w:right w:val="single" w:sz="4" w:space="0" w:color="000000"/>
            </w:tcBorders>
            <w:shd w:val="clear" w:color="auto" w:fill="D2D2D2"/>
          </w:tcPr>
          <w:p>
            <w:pPr/>
          </w:p>
        </w:tc>
        <w:tc>
          <w:tcPr>
            <w:tcW w:w="160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8" w:hRule="exact"/>
        </w:trPr>
        <w:tc>
          <w:tcPr>
            <w:tcW w:w="15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600" w:type="dxa"/>
            <w:tcBorders>
              <w:top w:val="single" w:sz="4" w:space="0" w:color="000000"/>
              <w:left w:val="single" w:sz="9" w:space="0" w:color="D2D2D2"/>
              <w:bottom w:val="single" w:sz="4" w:space="0" w:color="000000"/>
              <w:right w:val="single" w:sz="13"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1,288,815,520.62</w:t>
            </w:r>
          </w:p>
        </w:tc>
        <w:tc>
          <w:tcPr>
            <w:tcW w:w="15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100%</w:t>
            </w:r>
          </w:p>
        </w:tc>
        <w:tc>
          <w:tcPr>
            <w:tcW w:w="1602"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1,202,976,973.86</w:t>
            </w:r>
          </w:p>
        </w:tc>
        <w:tc>
          <w:tcPr>
            <w:tcW w:w="15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100%</w:t>
            </w:r>
          </w:p>
        </w:tc>
        <w:tc>
          <w:tcPr>
            <w:tcW w:w="16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7.14%</w:t>
            </w:r>
          </w:p>
        </w:tc>
      </w:tr>
      <w:tr>
        <w:trPr>
          <w:trHeight w:val="396"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3" w:hRule="exact"/>
        </w:trPr>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智慧城市管理领域</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6"/>
              <w:jc w:val="right"/>
              <w:rPr>
                <w:rFonts w:ascii="Times New Roman" w:hAnsi="Times New Roman" w:cs="Times New Roman" w:eastAsia="Times New Roman" w:hint="default"/>
                <w:sz w:val="18"/>
                <w:szCs w:val="18"/>
              </w:rPr>
            </w:pPr>
            <w:r>
              <w:rPr>
                <w:rFonts w:ascii="Times New Roman"/>
                <w:spacing w:val="-1"/>
                <w:sz w:val="18"/>
              </w:rPr>
              <w:t>1,264,176,375.99</w:t>
            </w: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98.09%</w:t>
            </w:r>
          </w:p>
        </w:tc>
        <w:tc>
          <w:tcPr>
            <w:tcW w:w="16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8"/>
              <w:jc w:val="right"/>
              <w:rPr>
                <w:rFonts w:ascii="Times New Roman" w:hAnsi="Times New Roman" w:cs="Times New Roman" w:eastAsia="Times New Roman" w:hint="default"/>
                <w:sz w:val="18"/>
                <w:szCs w:val="18"/>
              </w:rPr>
            </w:pPr>
            <w:r>
              <w:rPr>
                <w:rFonts w:ascii="Times New Roman"/>
                <w:spacing w:val="-1"/>
                <w:sz w:val="18"/>
              </w:rPr>
              <w:t>1,176,063,389.98</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z w:val="18"/>
              </w:rPr>
              <w:t>97.76%</w:t>
            </w:r>
          </w:p>
        </w:tc>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7.49%</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0"/>
              <w:jc w:val="left"/>
              <w:rPr>
                <w:rFonts w:ascii="宋体" w:hAnsi="宋体" w:cs="宋体" w:eastAsia="宋体" w:hint="default"/>
                <w:sz w:val="18"/>
                <w:szCs w:val="18"/>
              </w:rPr>
            </w:pPr>
            <w:r>
              <w:rPr>
                <w:rFonts w:ascii="宋体" w:hAnsi="宋体" w:cs="宋体" w:eastAsia="宋体" w:hint="default"/>
                <w:sz w:val="18"/>
                <w:szCs w:val="18"/>
              </w:rPr>
              <w:t>国土资源管理与城 市规划领域</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24,639,144.63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26,913,583.88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2.24%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-8.45%</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450,497,226.38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34.95%</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484,561,772.02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40.28%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-7.03%</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280,356,069.19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21.75%</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264,865,663.49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22.02%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5.85%</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运营服务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557,962,225.05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43.29%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453,549,538.35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37.70%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23.02%</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559,010,669.53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43.37%</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560,876,567.35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46.62%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-0.33%</w:t>
            </w:r>
          </w:p>
        </w:tc>
      </w:tr>
      <w:tr>
        <w:trPr>
          <w:trHeight w:val="40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南方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729,804,851.09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56.63%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642,100,406.51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53.38%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13.66%</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）占公司营业收入或营业利润</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以上的行业、产品或地区情况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79" w:top="1060" w:bottom="1160" w:left="980" w:right="0"/>
        </w:sectPr>
      </w:pPr>
    </w:p>
    <w:p>
      <w:pPr>
        <w:spacing w:line="348" w:lineRule="auto" w:before="44"/>
        <w:ind w:left="152" w:right="583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 公司是否需要遵守特殊行业的披露要求 是</w:t>
      </w:r>
    </w:p>
    <w:p>
      <w:pPr>
        <w:spacing w:before="36"/>
        <w:ind w:left="152" w:right="5833" w:firstLine="0"/>
        <w:jc w:val="left"/>
        <w:rPr>
          <w:rFonts w:ascii="宋体" w:hAnsi="宋体" w:cs="宋体" w:eastAsia="宋体" w:hint="default"/>
          <w:sz w:val="18"/>
          <w:szCs w:val="18"/>
        </w:rPr>
      </w:pPr>
      <w:r>
        <w:rPr>
          <w:rFonts w:ascii="宋体" w:hAnsi="宋体" w:cs="宋体" w:eastAsia="宋体" w:hint="default"/>
          <w:sz w:val="18"/>
          <w:szCs w:val="18"/>
        </w:rPr>
        <w:t>软件与信息技术服务业</w:t>
      </w:r>
    </w:p>
    <w:p>
      <w:pPr>
        <w:spacing w:before="115"/>
        <w:ind w:left="152" w:right="-17"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上市公司从事软件与信息技术服务业务》的披露要求</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5"/>
        <w:ind w:left="-3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9066" w:space="40"/>
            <w:col w:w="1824"/>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6"/>
        <w:gridCol w:w="1368"/>
        <w:gridCol w:w="1366"/>
        <w:gridCol w:w="1369"/>
        <w:gridCol w:w="1370"/>
      </w:tblGrid>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19" w:right="47" w:hanging="272"/>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19" w:right="50" w:hanging="272"/>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10"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3"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分客户所处行业</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智慧城市管理领 域</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1,264,176,375.99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904,711,207.31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28.43%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7.49%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18.13%</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-6.45%</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国土资源管理与 城市规划领域</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24,639,144.63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13,539,651.04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45.05%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-8.45%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-1.99%</w:t>
            </w:r>
          </w:p>
        </w:tc>
      </w:tr>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450,497,226.38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232,604,224.21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48.37%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0.64%</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-3.93%</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280,356,069.19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267,246,586.39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4.68%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16.42%</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-8.65%</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运营服务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557,962,225.05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418,400,047.75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25.01%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23.02%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30.99%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-4.56%</w:t>
            </w:r>
          </w:p>
        </w:tc>
      </w:tr>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北方</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559,010,669.53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439,276,579.96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21.42%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-0.33%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15.79%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-10.94%</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南方</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729,804,851.09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478,974,278.39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34.37%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13.66%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19.53%</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-3.22%</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公司主营业务数据统计口径在报告期发生调整的情况下，公司最近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年按报告期末口径调整后的主营业务数据</w:t>
      </w:r>
    </w:p>
    <w:p>
      <w:pPr>
        <w:spacing w:before="103"/>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5"/>
          <w:szCs w:val="25"/>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）公司实物销售收入是否大于劳务收入</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10"/>
        <w:rPr>
          <w:rFonts w:ascii="宋体" w:hAnsi="宋体" w:cs="宋体" w:eastAsia="宋体" w:hint="default"/>
          <w:sz w:val="24"/>
          <w:szCs w:val="24"/>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）公司已签订的重大销售合同截至本报告期的履行情况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5"/>
          <w:szCs w:val="25"/>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）营业成本构成</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79" w:top="1060" w:bottom="1160" w:left="980" w:right="0"/>
        </w:sectPr>
      </w:pPr>
    </w:p>
    <w:p>
      <w:pPr>
        <w:spacing w:line="340" w:lineRule="auto" w:before="44"/>
        <w:ind w:left="152" w:right="-17"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上市公司从事软件与信息技术服务业务》的披露要求 主营业务成本构成</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3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9066" w:space="40"/>
            <w:col w:w="1824"/>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3" w:hRule="exact"/>
        </w:trPr>
        <w:tc>
          <w:tcPr>
            <w:tcW w:w="15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4" w:right="0"/>
              <w:jc w:val="left"/>
              <w:rPr>
                <w:rFonts w:ascii="宋体" w:hAnsi="宋体" w:cs="宋体" w:eastAsia="宋体" w:hint="default"/>
                <w:sz w:val="18"/>
                <w:szCs w:val="18"/>
              </w:rPr>
            </w:pPr>
            <w:r>
              <w:rPr>
                <w:rFonts w:ascii="宋体" w:hAnsi="宋体" w:cs="宋体" w:eastAsia="宋体" w:hint="default"/>
                <w:sz w:val="18"/>
                <w:szCs w:val="18"/>
              </w:rPr>
              <w:t>成本构成</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本报告期</w:t>
            </w:r>
          </w:p>
        </w:tc>
        <w:tc>
          <w:tcPr>
            <w:tcW w:w="319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上年同期</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594"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273,528,131.08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29.79%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254,302,719.28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32.60%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7.56%</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人工成本</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333,409,331.73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36.31%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263,287,377.58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33.75%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26.63%</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外部服务成本</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204,270,800.75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22.25%</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160,514,956.65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20.58%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27.26%</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项目差旅及办公费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84,472,691.68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9.20%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82,502,717.01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10.58%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2.39%</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折旧与摊销</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10,046,404.25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6,413,257.26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56.65%</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其他成本</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12,523,498.86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1.36%</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13,076,990.40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-4.23%</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918,250,858.35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780,098,018.18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17.71%</w:t>
            </w:r>
          </w:p>
        </w:tc>
      </w:tr>
    </w:tbl>
    <w:p>
      <w:pPr>
        <w:spacing w:line="240" w:lineRule="auto" w:before="2"/>
        <w:rPr>
          <w:rFonts w:ascii="宋体" w:hAnsi="宋体" w:cs="宋体" w:eastAsia="宋体" w:hint="default"/>
          <w:sz w:val="27"/>
          <w:szCs w:val="27"/>
        </w:rPr>
      </w:pPr>
    </w:p>
    <w:p>
      <w:pPr>
        <w:spacing w:before="44"/>
        <w:ind w:left="152" w:right="982" w:firstLine="0"/>
        <w:jc w:val="left"/>
        <w:rPr>
          <w:rFonts w:ascii="宋体" w:hAnsi="宋体" w:cs="宋体" w:eastAsia="宋体" w:hint="default"/>
          <w:sz w:val="18"/>
          <w:szCs w:val="18"/>
        </w:rPr>
      </w:pPr>
      <w:r>
        <w:rPr>
          <w:rFonts w:ascii="宋体" w:hAnsi="宋体" w:cs="宋体" w:eastAsia="宋体" w:hint="default"/>
          <w:sz w:val="18"/>
          <w:szCs w:val="18"/>
        </w:rPr>
        <w:t>产品分类</w:t>
      </w:r>
    </w:p>
    <w:p>
      <w:pPr>
        <w:spacing w:before="117"/>
        <w:ind w:left="0" w:right="1222"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9"/>
        <w:gridCol w:w="1368"/>
        <w:gridCol w:w="1366"/>
        <w:gridCol w:w="1368"/>
        <w:gridCol w:w="1366"/>
        <w:gridCol w:w="1368"/>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232,604,224.21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25.33%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231,117,549.33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29.63%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0.64%</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267,246,586.39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29.10%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229,554,866.91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29.43%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16.42%</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运营服务</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418,400,047.75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45.57%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319,425,601.94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40.94%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30.99%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6"/>
          <w:szCs w:val="26"/>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）报告期内合并范围是否发生变动</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否</w:t>
      </w:r>
    </w:p>
    <w:p>
      <w:pPr>
        <w:pStyle w:val="BodyText"/>
        <w:spacing w:line="357" w:lineRule="auto" w:before="134"/>
        <w:ind w:right="1013" w:firstLine="480"/>
        <w:jc w:val="both"/>
      </w:pPr>
      <w:r>
        <w:rPr>
          <w:spacing w:val="6"/>
        </w:rPr>
        <w:t>公司新设子公司福建政通城运信息科技有限公司，注册资本</w:t>
      </w:r>
      <w:r>
        <w:rPr>
          <w:rFonts w:ascii="宋体" w:hAnsi="宋体" w:cs="宋体" w:eastAsia="宋体" w:hint="default"/>
          <w:spacing w:val="6"/>
        </w:rPr>
        <w:t>2,000.00</w:t>
      </w:r>
      <w:r>
        <w:rPr>
          <w:spacing w:val="6"/>
        </w:rPr>
        <w:t>万元，持股比例</w:t>
      </w:r>
      <w:r>
        <w:rPr/>
        <w:t> </w:t>
      </w:r>
      <w:r>
        <w:rPr>
          <w:rFonts w:ascii="宋体" w:hAnsi="宋体" w:cs="宋体" w:eastAsia="宋体" w:hint="default"/>
        </w:rPr>
        <w:t>100%</w:t>
      </w:r>
      <w:r>
        <w:rPr/>
        <w:t>，已认缴出资额</w:t>
      </w:r>
      <w:r>
        <w:rPr>
          <w:rFonts w:ascii="宋体" w:hAnsi="宋体" w:cs="宋体" w:eastAsia="宋体" w:hint="default"/>
        </w:rPr>
        <w:t>2,000.00</w:t>
      </w:r>
      <w:r>
        <w:rPr/>
        <w:t>万元。统一社会信用代码：</w:t>
      </w:r>
      <w:r>
        <w:rPr>
          <w:rFonts w:ascii="宋体" w:hAnsi="宋体" w:cs="宋体" w:eastAsia="宋体" w:hint="default"/>
        </w:rPr>
        <w:t>91350901MA31FBUKXU</w:t>
      </w:r>
      <w:r>
        <w:rPr/>
        <w:t>，注册地：宁</w:t>
      </w:r>
      <w:r>
        <w:rPr>
          <w:spacing w:val="-82"/>
        </w:rPr>
        <w:t> </w:t>
      </w:r>
      <w:r>
        <w:rPr>
          <w:spacing w:val="-82"/>
        </w:rPr>
      </w:r>
      <w:r>
        <w:rPr/>
        <w:t>德市；业务范围：计算机软件开发；计算机信息领域内的技术咨询服务、技术开发、技术转</w:t>
      </w:r>
      <w:r>
        <w:rPr>
          <w:spacing w:val="-91"/>
        </w:rPr>
        <w:t> </w:t>
      </w:r>
      <w:r>
        <w:rPr>
          <w:spacing w:val="-91"/>
        </w:rPr>
      </w:r>
      <w:r>
        <w:rPr/>
        <w:t>让；计算机网络系统工程设计、维护；品牌设计、策划；组织文化艺术交流活动；娱乐演出</w:t>
      </w:r>
      <w:r>
        <w:rPr>
          <w:spacing w:val="-91"/>
        </w:rPr>
        <w:t> </w:t>
      </w:r>
      <w:r>
        <w:rPr>
          <w:spacing w:val="-91"/>
        </w:rPr>
      </w:r>
      <w:r>
        <w:rPr>
          <w:spacing w:val="-3"/>
        </w:rPr>
        <w:t>活动策划；礼仪庆典活动策划；公关策划；企业形象策划、推广；展览展示服务；礼仪服务；</w:t>
      </w:r>
    </w:p>
    <w:p>
      <w:pPr>
        <w:spacing w:after="0" w:line="357" w:lineRule="auto"/>
        <w:jc w:val="both"/>
        <w:sectPr>
          <w:type w:val="continuous"/>
          <w:pgSz w:w="11910" w:h="16840"/>
          <w:pgMar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982"/>
        <w:jc w:val="left"/>
      </w:pPr>
      <w:r>
        <w:rPr/>
        <w:t>会务服务；旅游信息咨询服务；企业管理信息咨询服务（以上经营范围不含金融、证券、期</w:t>
      </w:r>
      <w:r>
        <w:rPr>
          <w:spacing w:val="-91"/>
        </w:rPr>
        <w:t> </w:t>
      </w:r>
      <w:r>
        <w:rPr>
          <w:spacing w:val="-91"/>
        </w:rPr>
      </w:r>
      <w:r>
        <w:rPr/>
        <w:t>货、保险）。（依法须经批准的项目，经相关部门批准后方可开展经营活动）。</w:t>
      </w:r>
    </w:p>
    <w:p>
      <w:pPr>
        <w:pStyle w:val="BodyText"/>
        <w:spacing w:line="357" w:lineRule="auto"/>
        <w:ind w:right="1116" w:firstLine="480"/>
        <w:jc w:val="left"/>
      </w:pPr>
      <w:r>
        <w:rPr>
          <w:rFonts w:ascii="宋体" w:hAnsi="宋体" w:cs="宋体" w:eastAsia="宋体" w:hint="default"/>
          <w:spacing w:val="-2"/>
        </w:rPr>
        <w:t>2018</w:t>
      </w:r>
      <w:r>
        <w:rPr>
          <w:spacing w:val="-2"/>
        </w:rPr>
        <w:t>年</w:t>
      </w:r>
      <w:r>
        <w:rPr>
          <w:rFonts w:ascii="宋体" w:hAnsi="宋体" w:cs="宋体" w:eastAsia="宋体" w:hint="default"/>
          <w:spacing w:val="-2"/>
        </w:rPr>
        <w:t>7</w:t>
      </w:r>
      <w:r>
        <w:rPr>
          <w:spacing w:val="-2"/>
        </w:rPr>
        <w:t>月，本公司注销子公司北京数聚联盟科技有限公司，自清算之日起，北京数聚联</w:t>
      </w:r>
      <w:r>
        <w:rPr/>
        <w:t> 盟科技有限公司不再纳入本公司合并财务报表范围。</w:t>
      </w:r>
    </w:p>
    <w:p>
      <w:pPr>
        <w:spacing w:line="240" w:lineRule="auto" w:before="10"/>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）公司报告期内业务、产品或服务发生重大变化或调整有关情况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6"/>
          <w:szCs w:val="26"/>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）主要销售客户和主要供应商情况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公司主要销售客户情况</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257"/>
        <w:gridCol w:w="5312"/>
      </w:tblGrid>
      <w:tr>
        <w:trPr>
          <w:trHeight w:val="401"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174,031,893.13</w:t>
            </w:r>
          </w:p>
        </w:tc>
      </w:tr>
      <w:tr>
        <w:trPr>
          <w:trHeight w:val="40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13.51%</w:t>
            </w:r>
          </w:p>
        </w:tc>
      </w:tr>
      <w:tr>
        <w:trPr>
          <w:trHeight w:val="71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 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大客户资料</w:t>
      </w:r>
    </w:p>
    <w:p>
      <w:pPr>
        <w:spacing w:line="240" w:lineRule="auto" w:before="4"/>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779"/>
        <w:gridCol w:w="3314"/>
        <w:gridCol w:w="2321"/>
        <w:gridCol w:w="3145"/>
      </w:tblGrid>
      <w:tr>
        <w:trPr>
          <w:trHeight w:val="401"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4"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1</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58,028,620.69</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4.50%</w:t>
            </w:r>
          </w:p>
        </w:tc>
      </w:tr>
      <w:tr>
        <w:trPr>
          <w:trHeight w:val="401"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2</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38,401,342.24</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2.98%</w:t>
            </w:r>
          </w:p>
        </w:tc>
      </w:tr>
      <w:tr>
        <w:trPr>
          <w:trHeight w:val="403"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3</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29,846,161.32</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2.32%</w:t>
            </w:r>
          </w:p>
        </w:tc>
      </w:tr>
      <w:tr>
        <w:trPr>
          <w:trHeight w:val="401"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4</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24,489,051.73</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1.90%</w:t>
            </w:r>
          </w:p>
        </w:tc>
      </w:tr>
      <w:tr>
        <w:trPr>
          <w:trHeight w:val="403"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5</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23,266,717.15</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1.81%</w:t>
            </w:r>
          </w:p>
        </w:tc>
      </w:tr>
      <w:tr>
        <w:trPr>
          <w:trHeight w:val="401" w:hRule="exact"/>
        </w:trPr>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174,031,893.13</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13.51%</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主要客户其他情况说明</w:t>
      </w:r>
    </w:p>
    <w:p>
      <w:pPr>
        <w:spacing w:line="338" w:lineRule="auto" w:before="117"/>
        <w:ind w:left="152" w:right="91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公司主要供应商情况</w:t>
      </w:r>
    </w:p>
    <w:p>
      <w:pPr>
        <w:spacing w:line="240" w:lineRule="auto" w:before="9"/>
        <w:rPr>
          <w:rFonts w:ascii="宋体" w:hAnsi="宋体" w:cs="宋体" w:eastAsia="宋体" w:hint="default"/>
          <w:sz w:val="2"/>
          <w:szCs w:val="2"/>
        </w:rPr>
      </w:pPr>
    </w:p>
    <w:tbl>
      <w:tblPr>
        <w:tblW w:w="0" w:type="auto"/>
        <w:jc w:val="left"/>
        <w:tblInd w:w="149" w:type="dxa"/>
        <w:tblLayout w:type="fixed"/>
        <w:tblCellMar>
          <w:top w:w="0" w:type="dxa"/>
          <w:left w:w="0" w:type="dxa"/>
          <w:bottom w:w="0" w:type="dxa"/>
          <w:right w:w="0" w:type="dxa"/>
        </w:tblCellMar>
        <w:tblLook w:val="01E0"/>
      </w:tblPr>
      <w:tblGrid>
        <w:gridCol w:w="4257"/>
        <w:gridCol w:w="5312"/>
      </w:tblGrid>
      <w:tr>
        <w:trPr>
          <w:trHeight w:val="40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47,437,002.13</w:t>
            </w:r>
          </w:p>
        </w:tc>
      </w:tr>
      <w:tr>
        <w:trPr>
          <w:trHeight w:val="401"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8.44%</w:t>
            </w:r>
          </w:p>
        </w:tc>
      </w:tr>
      <w:tr>
        <w:trPr>
          <w:trHeight w:val="715"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 比例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名供应商资料</w:t>
      </w:r>
    </w:p>
    <w:p>
      <w:pPr>
        <w:spacing w:line="240" w:lineRule="auto" w:before="1"/>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912"/>
        <w:gridCol w:w="3181"/>
        <w:gridCol w:w="2321"/>
        <w:gridCol w:w="3145"/>
      </w:tblGrid>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1"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1</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19,688,563.30</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3.50%</w:t>
            </w:r>
          </w:p>
        </w:tc>
      </w:tr>
      <w:tr>
        <w:trPr>
          <w:trHeight w:val="404"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2</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8,301,994.20</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1.48%</w:t>
            </w:r>
          </w:p>
        </w:tc>
      </w:tr>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3</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7,482,644.45</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1.33%</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912"/>
        <w:gridCol w:w="3181"/>
        <w:gridCol w:w="2321"/>
        <w:gridCol w:w="3145"/>
      </w:tblGrid>
      <w:tr>
        <w:trPr>
          <w:trHeight w:val="401"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left"/>
              <w:rPr>
                <w:rFonts w:ascii="Times New Roman" w:hAnsi="Times New Roman" w:cs="Times New Roman" w:eastAsia="Times New Roman" w:hint="default"/>
                <w:sz w:val="18"/>
                <w:szCs w:val="18"/>
              </w:rPr>
            </w:pPr>
            <w:r>
              <w:rPr>
                <w:rFonts w:ascii="Times New Roman"/>
                <w:sz w:val="18"/>
              </w:rPr>
              <w:t>4</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7,000,000.05</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1.25%</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2" w:right="0"/>
              <w:jc w:val="left"/>
              <w:rPr>
                <w:rFonts w:ascii="Times New Roman" w:hAnsi="Times New Roman" w:cs="Times New Roman" w:eastAsia="Times New Roman" w:hint="default"/>
                <w:sz w:val="18"/>
                <w:szCs w:val="18"/>
              </w:rPr>
            </w:pPr>
            <w:r>
              <w:rPr>
                <w:rFonts w:ascii="Times New Roman"/>
                <w:sz w:val="18"/>
              </w:rPr>
              <w:t>5</w:t>
            </w:r>
          </w:p>
        </w:tc>
        <w:tc>
          <w:tcPr>
            <w:tcW w:w="31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4,963,800.13</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0.88%</w:t>
            </w:r>
          </w:p>
        </w:tc>
      </w:tr>
      <w:tr>
        <w:trPr>
          <w:trHeight w:val="403"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47,437,002.13</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8.44%</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主要供应商其他情况说明</w:t>
      </w:r>
    </w:p>
    <w:p>
      <w:pPr>
        <w:spacing w:before="115"/>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、费用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05"/>
        <w:gridCol w:w="1648"/>
        <w:gridCol w:w="1637"/>
        <w:gridCol w:w="1462"/>
        <w:gridCol w:w="2919"/>
      </w:tblGrid>
      <w:tr>
        <w:trPr>
          <w:trHeight w:val="404" w:hRule="exact"/>
        </w:trPr>
        <w:tc>
          <w:tcPr>
            <w:tcW w:w="190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3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65"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4"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1" w:hRule="exact"/>
        </w:trPr>
        <w:tc>
          <w:tcPr>
            <w:tcW w:w="1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4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575" w:right="0"/>
              <w:jc w:val="left"/>
              <w:rPr>
                <w:rFonts w:ascii="Times New Roman" w:hAnsi="Times New Roman" w:cs="Times New Roman" w:eastAsia="Times New Roman" w:hint="default"/>
                <w:sz w:val="18"/>
                <w:szCs w:val="18"/>
              </w:rPr>
            </w:pPr>
            <w:r>
              <w:rPr>
                <w:rFonts w:ascii="Times New Roman"/>
                <w:sz w:val="18"/>
              </w:rPr>
              <w:t>90,110,781.22</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1" w:right="0"/>
              <w:jc w:val="left"/>
              <w:rPr>
                <w:rFonts w:ascii="Times New Roman" w:hAnsi="Times New Roman" w:cs="Times New Roman" w:eastAsia="Times New Roman" w:hint="default"/>
                <w:sz w:val="18"/>
                <w:szCs w:val="18"/>
              </w:rPr>
            </w:pPr>
            <w:r>
              <w:rPr>
                <w:rFonts w:ascii="Times New Roman"/>
                <w:sz w:val="18"/>
              </w:rPr>
              <w:t>79,342,969.25</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13.57%</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905" w:type="dxa"/>
            <w:tcBorders>
              <w:top w:val="single" w:sz="4" w:space="0" w:color="000000"/>
              <w:left w:val="single" w:sz="4" w:space="0" w:color="000000"/>
              <w:bottom w:val="nil" w:sz="6" w:space="0" w:color="auto"/>
              <w:right w:val="single" w:sz="4" w:space="0" w:color="000000"/>
            </w:tcBorders>
            <w:shd w:val="clear" w:color="auto" w:fill="D2D2D2"/>
          </w:tcPr>
          <w:p>
            <w:pPr/>
          </w:p>
        </w:tc>
        <w:tc>
          <w:tcPr>
            <w:tcW w:w="1648"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5" w:right="0"/>
              <w:jc w:val="left"/>
              <w:rPr>
                <w:rFonts w:ascii="Times New Roman" w:hAnsi="Times New Roman" w:cs="Times New Roman" w:eastAsia="Times New Roman" w:hint="default"/>
                <w:sz w:val="18"/>
                <w:szCs w:val="18"/>
              </w:rPr>
            </w:pPr>
            <w:r>
              <w:rPr>
                <w:rFonts w:ascii="Times New Roman"/>
                <w:sz w:val="18"/>
              </w:rPr>
              <w:t>75,099,306.29</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71" w:right="0"/>
              <w:jc w:val="left"/>
              <w:rPr>
                <w:rFonts w:ascii="Times New Roman" w:hAnsi="Times New Roman" w:cs="Times New Roman" w:eastAsia="Times New Roman" w:hint="default"/>
                <w:sz w:val="18"/>
                <w:szCs w:val="18"/>
              </w:rPr>
            </w:pPr>
            <w:r>
              <w:rPr>
                <w:rFonts w:ascii="Times New Roman"/>
                <w:sz w:val="18"/>
              </w:rPr>
              <w:t>95,129,913.67</w:t>
            </w:r>
          </w:p>
        </w:tc>
        <w:tc>
          <w:tcPr>
            <w:tcW w:w="14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13" w:right="0"/>
              <w:jc w:val="left"/>
              <w:rPr>
                <w:rFonts w:ascii="Times New Roman" w:hAnsi="Times New Roman" w:cs="Times New Roman" w:eastAsia="Times New Roman" w:hint="default"/>
                <w:sz w:val="18"/>
                <w:szCs w:val="18"/>
              </w:rPr>
            </w:pPr>
            <w:r>
              <w:rPr>
                <w:rFonts w:ascii="Times New Roman"/>
                <w:sz w:val="18"/>
              </w:rPr>
              <w:t>-21.06%</w:t>
            </w:r>
          </w:p>
        </w:tc>
        <w:tc>
          <w:tcPr>
            <w:tcW w:w="2919" w:type="dxa"/>
            <w:vMerge w:val="restart"/>
            <w:tcBorders>
              <w:top w:val="single" w:sz="4" w:space="0" w:color="000000"/>
              <w:left w:val="single" w:sz="4" w:space="0" w:color="000000"/>
              <w:right w:val="single" w:sz="4" w:space="0" w:color="000000"/>
            </w:tcBorders>
          </w:tcPr>
          <w:p>
            <w:pPr>
              <w:pStyle w:val="TableParagraph"/>
              <w:spacing w:line="316" w:lineRule="auto" w:before="49"/>
              <w:ind w:left="23" w:right="183"/>
              <w:jc w:val="left"/>
              <w:rPr>
                <w:rFonts w:ascii="宋体" w:hAnsi="宋体" w:cs="宋体" w:eastAsia="宋体" w:hint="default"/>
                <w:sz w:val="18"/>
                <w:szCs w:val="18"/>
              </w:rPr>
            </w:pPr>
            <w:r>
              <w:rPr>
                <w:rFonts w:ascii="宋体" w:hAnsi="宋体" w:cs="宋体" w:eastAsia="宋体" w:hint="default"/>
                <w:sz w:val="18"/>
                <w:szCs w:val="18"/>
              </w:rPr>
              <w:t>主要原因为限制性股票无法如期行 权冲回第三期股权激励成本所致</w:t>
            </w:r>
          </w:p>
        </w:tc>
      </w:tr>
      <w:tr>
        <w:trPr>
          <w:trHeight w:val="394" w:hRule="exact"/>
        </w:trPr>
        <w:tc>
          <w:tcPr>
            <w:tcW w:w="19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48" w:type="dxa"/>
            <w:vMerge/>
            <w:tcBorders>
              <w:left w:val="single" w:sz="9" w:space="0" w:color="D2D2D2"/>
              <w:right w:val="single" w:sz="4" w:space="0" w:color="000000"/>
            </w:tcBorders>
          </w:tcPr>
          <w:p>
            <w:pPr/>
          </w:p>
        </w:tc>
        <w:tc>
          <w:tcPr>
            <w:tcW w:w="1637" w:type="dxa"/>
            <w:vMerge/>
            <w:tcBorders>
              <w:left w:val="single" w:sz="4" w:space="0" w:color="000000"/>
              <w:right w:val="single" w:sz="4" w:space="0" w:color="000000"/>
            </w:tcBorders>
          </w:tcPr>
          <w:p>
            <w:pPr/>
          </w:p>
        </w:tc>
        <w:tc>
          <w:tcPr>
            <w:tcW w:w="1462" w:type="dxa"/>
            <w:vMerge/>
            <w:tcBorders>
              <w:left w:val="single" w:sz="4" w:space="0" w:color="000000"/>
              <w:right w:val="single" w:sz="4" w:space="0" w:color="000000"/>
            </w:tcBorders>
          </w:tcPr>
          <w:p>
            <w:pPr/>
          </w:p>
        </w:tc>
        <w:tc>
          <w:tcPr>
            <w:tcW w:w="2919" w:type="dxa"/>
            <w:vMerge/>
            <w:tcBorders>
              <w:left w:val="single" w:sz="4" w:space="0" w:color="000000"/>
              <w:right w:val="single" w:sz="4" w:space="0" w:color="000000"/>
            </w:tcBorders>
          </w:tcPr>
          <w:p>
            <w:pPr/>
          </w:p>
        </w:tc>
      </w:tr>
      <w:tr>
        <w:trPr>
          <w:trHeight w:val="161" w:hRule="exact"/>
        </w:trPr>
        <w:tc>
          <w:tcPr>
            <w:tcW w:w="1905" w:type="dxa"/>
            <w:tcBorders>
              <w:top w:val="nil" w:sz="6" w:space="0" w:color="auto"/>
              <w:left w:val="single" w:sz="4" w:space="0" w:color="000000"/>
              <w:bottom w:val="single" w:sz="4" w:space="0" w:color="000000"/>
              <w:right w:val="single" w:sz="4" w:space="0" w:color="000000"/>
            </w:tcBorders>
            <w:shd w:val="clear" w:color="auto" w:fill="D2D2D2"/>
          </w:tcPr>
          <w:p>
            <w:pPr/>
          </w:p>
        </w:tc>
        <w:tc>
          <w:tcPr>
            <w:tcW w:w="1648" w:type="dxa"/>
            <w:vMerge/>
            <w:tcBorders>
              <w:left w:val="single" w:sz="9" w:space="0" w:color="D2D2D2"/>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62" w:type="dxa"/>
            <w:vMerge/>
            <w:tcBorders>
              <w:left w:val="single" w:sz="4" w:space="0" w:color="000000"/>
              <w:bottom w:val="single" w:sz="4" w:space="0" w:color="000000"/>
              <w:right w:val="single" w:sz="4" w:space="0" w:color="000000"/>
            </w:tcBorders>
          </w:tcPr>
          <w:p>
            <w:pPr/>
          </w:p>
        </w:tc>
        <w:tc>
          <w:tcPr>
            <w:tcW w:w="2919" w:type="dxa"/>
            <w:vMerge/>
            <w:tcBorders>
              <w:left w:val="single" w:sz="4" w:space="0" w:color="000000"/>
              <w:bottom w:val="single" w:sz="4" w:space="0" w:color="000000"/>
              <w:right w:val="single" w:sz="4" w:space="0" w:color="000000"/>
            </w:tcBorders>
          </w:tcPr>
          <w:p>
            <w:pPr/>
          </w:p>
        </w:tc>
      </w:tr>
      <w:tr>
        <w:trPr>
          <w:trHeight w:val="317" w:hRule="exact"/>
        </w:trPr>
        <w:tc>
          <w:tcPr>
            <w:tcW w:w="1905" w:type="dxa"/>
            <w:tcBorders>
              <w:top w:val="single" w:sz="4" w:space="0" w:color="000000"/>
              <w:left w:val="single" w:sz="4" w:space="0" w:color="000000"/>
              <w:bottom w:val="nil" w:sz="6" w:space="0" w:color="auto"/>
              <w:right w:val="single" w:sz="4" w:space="0" w:color="000000"/>
            </w:tcBorders>
            <w:shd w:val="clear" w:color="auto" w:fill="D2D2D2"/>
          </w:tcPr>
          <w:p>
            <w:pPr/>
          </w:p>
        </w:tc>
        <w:tc>
          <w:tcPr>
            <w:tcW w:w="1648" w:type="dxa"/>
            <w:vMerge w:val="restart"/>
            <w:tcBorders>
              <w:top w:val="single" w:sz="4" w:space="0" w:color="000000"/>
              <w:left w:val="single" w:sz="9"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15" w:right="0"/>
              <w:jc w:val="left"/>
              <w:rPr>
                <w:rFonts w:ascii="Times New Roman" w:hAnsi="Times New Roman" w:cs="Times New Roman" w:eastAsia="Times New Roman" w:hint="default"/>
                <w:sz w:val="18"/>
                <w:szCs w:val="18"/>
              </w:rPr>
            </w:pPr>
            <w:r>
              <w:rPr>
                <w:rFonts w:ascii="Times New Roman"/>
                <w:sz w:val="18"/>
              </w:rPr>
              <w:t>-10,640,881.69</w:t>
            </w:r>
          </w:p>
        </w:tc>
        <w:tc>
          <w:tcPr>
            <w:tcW w:w="163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99" w:right="0"/>
              <w:jc w:val="left"/>
              <w:rPr>
                <w:rFonts w:ascii="Times New Roman" w:hAnsi="Times New Roman" w:cs="Times New Roman" w:eastAsia="Times New Roman" w:hint="default"/>
                <w:sz w:val="18"/>
                <w:szCs w:val="18"/>
              </w:rPr>
            </w:pPr>
            <w:r>
              <w:rPr>
                <w:rFonts w:ascii="Times New Roman"/>
                <w:sz w:val="18"/>
              </w:rPr>
              <w:t>-6,050,159.05</w:t>
            </w:r>
          </w:p>
        </w:tc>
        <w:tc>
          <w:tcPr>
            <w:tcW w:w="14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13" w:right="0"/>
              <w:jc w:val="left"/>
              <w:rPr>
                <w:rFonts w:ascii="Times New Roman" w:hAnsi="Times New Roman" w:cs="Times New Roman" w:eastAsia="Times New Roman" w:hint="default"/>
                <w:sz w:val="18"/>
                <w:szCs w:val="18"/>
              </w:rPr>
            </w:pPr>
            <w:r>
              <w:rPr>
                <w:rFonts w:ascii="Times New Roman"/>
                <w:sz w:val="18"/>
              </w:rPr>
              <w:t>-75.88%</w:t>
            </w:r>
          </w:p>
        </w:tc>
        <w:tc>
          <w:tcPr>
            <w:tcW w:w="2919" w:type="dxa"/>
            <w:vMerge w:val="restart"/>
            <w:tcBorders>
              <w:top w:val="single" w:sz="4" w:space="0" w:color="000000"/>
              <w:left w:val="single" w:sz="4" w:space="0" w:color="000000"/>
              <w:right w:val="single" w:sz="4" w:space="0" w:color="000000"/>
            </w:tcBorders>
          </w:tcPr>
          <w:p>
            <w:pPr>
              <w:pStyle w:val="TableParagraph"/>
              <w:spacing w:line="316" w:lineRule="auto" w:before="49"/>
              <w:ind w:left="23" w:right="183"/>
              <w:jc w:val="both"/>
              <w:rPr>
                <w:rFonts w:ascii="宋体" w:hAnsi="宋体" w:cs="宋体" w:eastAsia="宋体" w:hint="default"/>
                <w:sz w:val="18"/>
                <w:szCs w:val="18"/>
              </w:rPr>
            </w:pPr>
            <w:r>
              <w:rPr>
                <w:rFonts w:ascii="宋体" w:hAnsi="宋体" w:cs="宋体" w:eastAsia="宋体" w:hint="default"/>
                <w:sz w:val="18"/>
                <w:szCs w:val="18"/>
              </w:rPr>
              <w:t>主要原因为利息收入及长期应收款 项目所产生的未确认融资费用摊销 同比增长所致</w:t>
            </w:r>
          </w:p>
        </w:tc>
      </w:tr>
      <w:tr>
        <w:trPr>
          <w:trHeight w:val="391" w:hRule="exact"/>
        </w:trPr>
        <w:tc>
          <w:tcPr>
            <w:tcW w:w="19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48" w:type="dxa"/>
            <w:vMerge/>
            <w:tcBorders>
              <w:left w:val="single" w:sz="9" w:space="0" w:color="D2D2D2"/>
              <w:right w:val="single" w:sz="4" w:space="0" w:color="000000"/>
            </w:tcBorders>
          </w:tcPr>
          <w:p>
            <w:pPr/>
          </w:p>
        </w:tc>
        <w:tc>
          <w:tcPr>
            <w:tcW w:w="1637" w:type="dxa"/>
            <w:vMerge/>
            <w:tcBorders>
              <w:left w:val="single" w:sz="4" w:space="0" w:color="000000"/>
              <w:right w:val="single" w:sz="4" w:space="0" w:color="000000"/>
            </w:tcBorders>
          </w:tcPr>
          <w:p>
            <w:pPr/>
          </w:p>
        </w:tc>
        <w:tc>
          <w:tcPr>
            <w:tcW w:w="1462" w:type="dxa"/>
            <w:vMerge/>
            <w:tcBorders>
              <w:left w:val="single" w:sz="4" w:space="0" w:color="000000"/>
              <w:right w:val="single" w:sz="4" w:space="0" w:color="000000"/>
            </w:tcBorders>
          </w:tcPr>
          <w:p>
            <w:pPr/>
          </w:p>
        </w:tc>
        <w:tc>
          <w:tcPr>
            <w:tcW w:w="2919" w:type="dxa"/>
            <w:vMerge/>
            <w:tcBorders>
              <w:left w:val="single" w:sz="4" w:space="0" w:color="000000"/>
              <w:right w:val="single" w:sz="4" w:space="0" w:color="000000"/>
            </w:tcBorders>
          </w:tcPr>
          <w:p>
            <w:pPr/>
          </w:p>
        </w:tc>
      </w:tr>
      <w:tr>
        <w:trPr>
          <w:trHeight w:val="317" w:hRule="exact"/>
        </w:trPr>
        <w:tc>
          <w:tcPr>
            <w:tcW w:w="1905" w:type="dxa"/>
            <w:tcBorders>
              <w:top w:val="nil" w:sz="6" w:space="0" w:color="auto"/>
              <w:left w:val="single" w:sz="4" w:space="0" w:color="000000"/>
              <w:bottom w:val="single" w:sz="4" w:space="0" w:color="000000"/>
              <w:right w:val="single" w:sz="4" w:space="0" w:color="000000"/>
            </w:tcBorders>
            <w:shd w:val="clear" w:color="auto" w:fill="D2D2D2"/>
          </w:tcPr>
          <w:p>
            <w:pPr/>
          </w:p>
        </w:tc>
        <w:tc>
          <w:tcPr>
            <w:tcW w:w="1648" w:type="dxa"/>
            <w:vMerge/>
            <w:tcBorders>
              <w:left w:val="single" w:sz="9" w:space="0" w:color="D2D2D2"/>
              <w:bottom w:val="single" w:sz="4" w:space="0" w:color="000000"/>
              <w:right w:val="single" w:sz="4" w:space="0" w:color="000000"/>
            </w:tcBorders>
          </w:tcPr>
          <w:p>
            <w:pPr/>
          </w:p>
        </w:tc>
        <w:tc>
          <w:tcPr>
            <w:tcW w:w="1637" w:type="dxa"/>
            <w:vMerge/>
            <w:tcBorders>
              <w:left w:val="single" w:sz="4" w:space="0" w:color="000000"/>
              <w:bottom w:val="single" w:sz="4" w:space="0" w:color="000000"/>
              <w:right w:val="single" w:sz="4" w:space="0" w:color="000000"/>
            </w:tcBorders>
          </w:tcPr>
          <w:p>
            <w:pPr/>
          </w:p>
        </w:tc>
        <w:tc>
          <w:tcPr>
            <w:tcW w:w="1462" w:type="dxa"/>
            <w:vMerge/>
            <w:tcBorders>
              <w:left w:val="single" w:sz="4" w:space="0" w:color="000000"/>
              <w:bottom w:val="single" w:sz="4" w:space="0" w:color="000000"/>
              <w:right w:val="single" w:sz="4" w:space="0" w:color="000000"/>
            </w:tcBorders>
          </w:tcPr>
          <w:p>
            <w:pPr/>
          </w:p>
        </w:tc>
        <w:tc>
          <w:tcPr>
            <w:tcW w:w="2919" w:type="dxa"/>
            <w:vMerge/>
            <w:tcBorders>
              <w:left w:val="single" w:sz="4" w:space="0" w:color="000000"/>
              <w:bottom w:val="single" w:sz="4" w:space="0" w:color="000000"/>
              <w:right w:val="single" w:sz="4" w:space="0" w:color="000000"/>
            </w:tcBorders>
          </w:tcPr>
          <w:p>
            <w:pPr/>
          </w:p>
        </w:tc>
      </w:tr>
      <w:tr>
        <w:trPr>
          <w:trHeight w:val="403" w:hRule="exact"/>
        </w:trPr>
        <w:tc>
          <w:tcPr>
            <w:tcW w:w="1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64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571" w:right="0"/>
              <w:jc w:val="left"/>
              <w:rPr>
                <w:rFonts w:ascii="Times New Roman" w:hAnsi="Times New Roman" w:cs="Times New Roman" w:eastAsia="Times New Roman" w:hint="default"/>
                <w:sz w:val="18"/>
                <w:szCs w:val="18"/>
              </w:rPr>
            </w:pPr>
            <w:r>
              <w:rPr>
                <w:rFonts w:ascii="Times New Roman"/>
                <w:sz w:val="18"/>
              </w:rPr>
              <w:t>48,517,456.92</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1" w:right="0"/>
              <w:jc w:val="left"/>
              <w:rPr>
                <w:rFonts w:ascii="Times New Roman" w:hAnsi="Times New Roman" w:cs="Times New Roman" w:eastAsia="Times New Roman" w:hint="default"/>
                <w:sz w:val="18"/>
                <w:szCs w:val="18"/>
              </w:rPr>
            </w:pPr>
            <w:r>
              <w:rPr>
                <w:rFonts w:ascii="Times New Roman"/>
                <w:sz w:val="18"/>
              </w:rPr>
              <w:t>45,054,518.41</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7.69%</w:t>
            </w:r>
          </w:p>
        </w:tc>
        <w:tc>
          <w:tcPr>
            <w:tcW w:w="291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、研发投入</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240" w:lineRule="auto" w:before="134"/>
        <w:ind w:left="633" w:right="982"/>
        <w:jc w:val="left"/>
      </w:pPr>
      <w:r>
        <w:rPr>
          <w:rFonts w:ascii="宋体" w:hAnsi="宋体" w:cs="宋体" w:eastAsia="宋体" w:hint="default"/>
        </w:rPr>
        <w:t>2018</w:t>
      </w:r>
      <w:r>
        <w:rPr>
          <w:rFonts w:ascii="宋体" w:hAnsi="宋体" w:cs="宋体" w:eastAsia="宋体" w:hint="default"/>
          <w:spacing w:val="-85"/>
        </w:rPr>
        <w:t> </w:t>
      </w:r>
      <w:r>
        <w:rPr/>
        <w:t>年，公司保持了较高的研发投入，进一步增强核心技术与产品的竞争能力，共有年</w:t>
      </w:r>
    </w:p>
    <w:p>
      <w:pPr>
        <w:pStyle w:val="BodyText"/>
        <w:spacing w:line="240" w:lineRule="auto" w:before="154"/>
        <w:ind w:right="982"/>
        <w:jc w:val="left"/>
        <w:rPr>
          <w:rFonts w:ascii="宋体" w:hAnsi="宋体" w:cs="宋体" w:eastAsia="宋体" w:hint="default"/>
        </w:rPr>
      </w:pPr>
      <w:r>
        <w:rPr/>
        <w:t>研发人员</w:t>
      </w:r>
      <w:r>
        <w:rPr>
          <w:spacing w:val="-60"/>
        </w:rPr>
        <w:t> </w:t>
      </w:r>
      <w:r>
        <w:rPr>
          <w:rFonts w:ascii="宋体" w:hAnsi="宋体" w:cs="宋体" w:eastAsia="宋体" w:hint="default"/>
        </w:rPr>
        <w:t>304</w:t>
      </w:r>
      <w:r>
        <w:rPr>
          <w:rFonts w:ascii="宋体" w:hAnsi="宋体" w:cs="宋体" w:eastAsia="宋体" w:hint="default"/>
          <w:spacing w:val="-60"/>
        </w:rPr>
        <w:t> </w:t>
      </w:r>
      <w:r>
        <w:rPr/>
        <w:t>人</w:t>
      </w:r>
      <w:r>
        <w:rPr>
          <w:spacing w:val="-111"/>
        </w:rPr>
        <w:t>，</w:t>
      </w:r>
      <w:r>
        <w:rPr/>
        <w:t>研发人数占比</w:t>
      </w:r>
      <w:r>
        <w:rPr>
          <w:spacing w:val="-60"/>
        </w:rPr>
        <w:t> </w:t>
      </w:r>
      <w:r>
        <w:rPr>
          <w:rFonts w:ascii="宋体" w:hAnsi="宋体" w:cs="宋体" w:eastAsia="宋体" w:hint="default"/>
        </w:rPr>
        <w:t>15.52</w:t>
      </w:r>
      <w:r>
        <w:rPr>
          <w:rFonts w:ascii="宋体" w:hAnsi="宋体" w:cs="宋体" w:eastAsia="宋体" w:hint="default"/>
          <w:spacing w:val="-111"/>
        </w:rPr>
        <w:t>%</w:t>
      </w:r>
      <w:r>
        <w:rPr/>
        <w:t>（扣除信息采集人员</w:t>
      </w:r>
      <w:r>
        <w:rPr>
          <w:spacing w:val="-111"/>
        </w:rPr>
        <w:t>），</w:t>
      </w:r>
      <w:r>
        <w:rPr/>
        <w:t>研发费用总额为</w:t>
      </w:r>
      <w:r>
        <w:rPr>
          <w:spacing w:val="-59"/>
        </w:rPr>
        <w:t> </w:t>
      </w:r>
      <w:r>
        <w:rPr>
          <w:rFonts w:ascii="宋体" w:hAnsi="宋体" w:cs="宋体" w:eastAsia="宋体" w:hint="default"/>
        </w:rPr>
        <w:t>81,311,057.55</w:t>
      </w:r>
    </w:p>
    <w:p>
      <w:pPr>
        <w:pStyle w:val="BodyText"/>
        <w:spacing w:line="357" w:lineRule="auto" w:before="154"/>
        <w:ind w:right="1115"/>
        <w:jc w:val="left"/>
      </w:pPr>
      <w:r>
        <w:rPr/>
        <w:t>元，其中研发费用资本化金额合计为 </w:t>
      </w:r>
      <w:r>
        <w:rPr>
          <w:rFonts w:ascii="宋体" w:hAnsi="宋体" w:cs="宋体" w:eastAsia="宋体" w:hint="default"/>
        </w:rPr>
        <w:t>32,793,600.63</w:t>
      </w:r>
      <w:r>
        <w:rPr>
          <w:rFonts w:ascii="宋体" w:hAnsi="宋体" w:cs="宋体" w:eastAsia="宋体" w:hint="default"/>
          <w:spacing w:val="-81"/>
        </w:rPr>
        <w:t> </w:t>
      </w:r>
      <w:r>
        <w:rPr/>
        <w:t>元，资本化研发支出占当期净利润的比 重为</w:t>
      </w:r>
      <w:r>
        <w:rPr>
          <w:spacing w:val="-61"/>
        </w:rPr>
        <w:t> </w:t>
      </w:r>
      <w:r>
        <w:rPr>
          <w:rFonts w:ascii="宋体" w:hAnsi="宋体" w:cs="宋体" w:eastAsia="宋体" w:hint="default"/>
        </w:rPr>
        <w:t>27.98%</w:t>
      </w:r>
      <w:r>
        <w:rPr/>
        <w:t>，近三年基本保持稳定。</w:t>
      </w:r>
    </w:p>
    <w:p>
      <w:pPr>
        <w:pStyle w:val="BodyText"/>
        <w:spacing w:line="240" w:lineRule="auto"/>
        <w:ind w:left="633" w:right="982"/>
        <w:jc w:val="left"/>
      </w:pPr>
      <w:r>
        <w:rPr/>
        <w:t>近三年公司研发投入金额及占营业收入的比例</w:t>
      </w:r>
    </w:p>
    <w:p>
      <w:pPr>
        <w:spacing w:line="240" w:lineRule="auto" w:before="1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69"/>
        <w:gridCol w:w="2403"/>
        <w:gridCol w:w="2393"/>
        <w:gridCol w:w="2393"/>
      </w:tblGrid>
      <w:tr>
        <w:trPr>
          <w:trHeight w:val="40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304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324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315</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20.68%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17.75%</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81,311,057.55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89,807,052.71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86,492,705.92</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7.47%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8.94%</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研发支出资本化的金额（元）</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32,793,600.63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34,732,589.81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33,027,687.10</w:t>
            </w:r>
          </w:p>
        </w:tc>
      </w:tr>
      <w:tr>
        <w:trPr>
          <w:trHeight w:val="715"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85"/>
              <w:jc w:val="left"/>
              <w:rPr>
                <w:rFonts w:ascii="宋体" w:hAnsi="宋体" w:cs="宋体" w:eastAsia="宋体" w:hint="default"/>
                <w:sz w:val="18"/>
                <w:szCs w:val="18"/>
              </w:rPr>
            </w:pPr>
            <w:r>
              <w:rPr>
                <w:rFonts w:ascii="宋体" w:hAnsi="宋体" w:cs="宋体" w:eastAsia="宋体" w:hint="default"/>
                <w:sz w:val="18"/>
                <w:szCs w:val="18"/>
              </w:rPr>
              <w:t>资本化研发支出占研发投入 的比例</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40.33%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38.67%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38.19%</w:t>
            </w:r>
          </w:p>
        </w:tc>
      </w:tr>
      <w:tr>
        <w:trPr>
          <w:trHeight w:val="71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85"/>
              <w:jc w:val="left"/>
              <w:rPr>
                <w:rFonts w:ascii="宋体" w:hAnsi="宋体" w:cs="宋体" w:eastAsia="宋体" w:hint="default"/>
                <w:sz w:val="18"/>
                <w:szCs w:val="18"/>
              </w:rPr>
            </w:pPr>
            <w:r>
              <w:rPr>
                <w:rFonts w:ascii="宋体" w:hAnsi="宋体" w:cs="宋体" w:eastAsia="宋体" w:hint="default"/>
                <w:sz w:val="18"/>
                <w:szCs w:val="18"/>
              </w:rPr>
              <w:t>资本化研发支出占当期净利 润的比重</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27.98%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20.48%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25.14%</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研发投入总额占营业收入的比重较上年发生显著变化的原因</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1910" w:h="16840"/>
          <w:pgMar w:header="745" w:footer="979" w:top="1060" w:bottom="1160" w:left="980" w:right="0"/>
        </w:sectPr>
      </w:pPr>
    </w:p>
    <w:p>
      <w:pPr>
        <w:spacing w:line="340" w:lineRule="auto" w:before="44"/>
        <w:ind w:left="152" w:right="493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研发投入资本化率大幅变动的原因及其合理性说明</w:t>
      </w:r>
    </w:p>
    <w:p>
      <w:pPr>
        <w:spacing w:before="39"/>
        <w:ind w:left="152" w:right="5833"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before="103"/>
        <w:ind w:left="152" w:right="-17"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上市公司从事软件与信息技术服务业务》的披露要求</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1"/>
          <w:szCs w:val="21"/>
        </w:rPr>
      </w:pPr>
    </w:p>
    <w:p>
      <w:pPr>
        <w:spacing w:before="0"/>
        <w:ind w:left="-3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9066" w:space="40"/>
            <w:col w:w="1824"/>
          </w:cols>
        </w:sectPr>
      </w:pP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2" w:right="0"/>
              <w:jc w:val="left"/>
              <w:rPr>
                <w:rFonts w:ascii="宋体" w:hAnsi="宋体" w:cs="宋体" w:eastAsia="宋体" w:hint="default"/>
                <w:sz w:val="18"/>
                <w:szCs w:val="18"/>
              </w:rPr>
            </w:pPr>
            <w:r>
              <w:rPr>
                <w:rFonts w:ascii="宋体" w:hAnsi="宋体" w:cs="宋体" w:eastAsia="宋体" w:hint="default"/>
                <w:sz w:val="18"/>
                <w:szCs w:val="18"/>
              </w:rPr>
              <w:t>研发资本化金额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1" w:right="0"/>
              <w:jc w:val="left"/>
              <w:rPr>
                <w:rFonts w:ascii="宋体" w:hAnsi="宋体" w:cs="宋体" w:eastAsia="宋体" w:hint="default"/>
                <w:sz w:val="18"/>
                <w:szCs w:val="18"/>
              </w:rPr>
            </w:pPr>
            <w:r>
              <w:rPr>
                <w:rFonts w:ascii="宋体" w:hAnsi="宋体" w:cs="宋体" w:eastAsia="宋体" w:hint="default"/>
                <w:sz w:val="18"/>
                <w:szCs w:val="18"/>
              </w:rPr>
              <w:t>相关项目的基本情况</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实施进度</w:t>
            </w:r>
          </w:p>
        </w:tc>
      </w:tr>
      <w:tr>
        <w:trPr>
          <w:trHeight w:val="1649"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车辆多维特征识别终端</w:t>
            </w:r>
            <w:r>
              <w:rPr>
                <w:rFonts w:ascii="Times New Roman" w:hAnsi="Times New Roman" w:cs="Times New Roman" w:eastAsia="Times New Roman" w:hint="default"/>
                <w:sz w:val="18"/>
                <w:szCs w:val="18"/>
              </w:rPr>
              <w:t>-Z</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638,339.33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23"/>
              <w:jc w:val="left"/>
              <w:rPr>
                <w:rFonts w:ascii="宋体" w:hAnsi="宋体" w:cs="宋体" w:eastAsia="宋体" w:hint="default"/>
                <w:sz w:val="18"/>
                <w:szCs w:val="18"/>
              </w:rPr>
            </w:pPr>
            <w:r>
              <w:rPr>
                <w:rFonts w:ascii="宋体" w:hAnsi="宋体" w:cs="宋体" w:eastAsia="宋体" w:hint="default"/>
                <w:sz w:val="18"/>
                <w:szCs w:val="18"/>
              </w:rPr>
              <w:t>车辆多维特征识别终端基于 深度学习技术为高速公路管 理单位提供了更全面的车辆 </w:t>
            </w:r>
            <w:r>
              <w:rPr>
                <w:rFonts w:ascii="宋体" w:hAnsi="宋体" w:cs="宋体" w:eastAsia="宋体" w:hint="default"/>
                <w:spacing w:val="-8"/>
                <w:sz w:val="18"/>
                <w:szCs w:val="18"/>
              </w:rPr>
              <w:t>识别特征信息，在高速</w:t>
            </w:r>
            <w:r>
              <w:rPr>
                <w:rFonts w:ascii="宋体" w:hAnsi="宋体" w:cs="宋体" w:eastAsia="宋体" w:hint="default"/>
                <w:spacing w:val="-43"/>
                <w:sz w:val="18"/>
                <w:szCs w:val="18"/>
              </w:rPr>
              <w:t> </w:t>
            </w:r>
            <w:r>
              <w:rPr>
                <w:rFonts w:ascii="Times New Roman" w:hAnsi="Times New Roman" w:cs="Times New Roman" w:eastAsia="Times New Roman" w:hint="default"/>
                <w:spacing w:val="-1"/>
                <w:sz w:val="18"/>
                <w:szCs w:val="18"/>
              </w:rPr>
              <w:t>ETC</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费 用稽查方面进行突破。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项目已完成</w:t>
            </w:r>
          </w:p>
        </w:tc>
      </w:tr>
      <w:tr>
        <w:trPr>
          <w:trHeight w:val="5708"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云鹭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V1.0-Z</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2"/>
              <w:ind w:right="19"/>
              <w:jc w:val="right"/>
              <w:rPr>
                <w:rFonts w:ascii="Times New Roman" w:hAnsi="Times New Roman" w:cs="Times New Roman" w:eastAsia="Times New Roman" w:hint="default"/>
                <w:sz w:val="18"/>
                <w:szCs w:val="18"/>
              </w:rPr>
            </w:pPr>
            <w:r>
              <w:rPr>
                <w:rFonts w:ascii="Times New Roman"/>
                <w:spacing w:val="-1"/>
                <w:sz w:val="18"/>
              </w:rPr>
              <w:t>446,943.24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2"/>
              <w:jc w:val="left"/>
              <w:rPr>
                <w:rFonts w:ascii="宋体" w:hAnsi="宋体" w:cs="宋体" w:eastAsia="宋体" w:hint="default"/>
                <w:sz w:val="18"/>
                <w:szCs w:val="18"/>
              </w:rPr>
            </w:pPr>
            <w:r>
              <w:rPr>
                <w:rFonts w:ascii="宋体" w:hAnsi="宋体" w:cs="宋体" w:eastAsia="宋体" w:hint="default"/>
                <w:sz w:val="18"/>
                <w:szCs w:val="18"/>
              </w:rPr>
              <w:t>云鹭系统是面向高速公路管 理部门进行车辆的分析研判 和预警的平台，基于大数据技 术和深度学习技术，整合高速 出入口车牌识别设备、主线卡 口设备、服务区卡口设备抓拍 的车辆数据和图片，并基于深 度学习的车辆二次识别算法 及重点车辆如危化品运输车 的专项识别，提取更多的车辆 特征，一方面形成完整的车辆 通行轨迹，另一方面对重点关 注的车辆进行轨迹分析和实 时监控和跟踪，同时对有逃费 嫌疑的问题车辆进行分析挖 掘，对超高超宽的车辆进行实 时预警，保障高速公路的正常 运营。</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项目已完成</w:t>
            </w:r>
          </w:p>
        </w:tc>
      </w:tr>
      <w:tr>
        <w:trPr>
          <w:trHeight w:val="4419"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云隼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V4.0-Z</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803,404.47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7"/>
              <w:jc w:val="left"/>
              <w:rPr>
                <w:rFonts w:ascii="宋体" w:hAnsi="宋体" w:cs="宋体" w:eastAsia="宋体" w:hint="default"/>
                <w:sz w:val="18"/>
                <w:szCs w:val="18"/>
              </w:rPr>
            </w:pPr>
            <w:r>
              <w:rPr>
                <w:rFonts w:ascii="宋体" w:hAnsi="宋体" w:cs="宋体" w:eastAsia="宋体" w:hint="default"/>
                <w:sz w:val="18"/>
                <w:szCs w:val="18"/>
              </w:rPr>
              <w:t>云隼系统是面向公安部门进 行涉车的情报分析研判平台， 平台基于大数据和深度学习 技术，整合公安的各类车辆卡 口设备的数据和图片，并进行 二次识别特征提取，提供车辆 的检索、图搜、预警、及公安 </w:t>
            </w:r>
            <w:r>
              <w:rPr>
                <w:rFonts w:ascii="宋体" w:hAnsi="宋体" w:cs="宋体" w:eastAsia="宋体" w:hint="default"/>
                <w:spacing w:val="-4"/>
                <w:sz w:val="18"/>
                <w:szCs w:val="18"/>
              </w:rPr>
              <w:t>破案的实战应用工具；</w:t>
            </w:r>
            <w:r>
              <w:rPr>
                <w:rFonts w:ascii="Times New Roman" w:hAnsi="Times New Roman" w:cs="Times New Roman" w:eastAsia="Times New Roman" w:hint="default"/>
                <w:spacing w:val="-4"/>
                <w:sz w:val="18"/>
                <w:szCs w:val="18"/>
              </w:rPr>
              <w:t>V4.0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是</w:t>
            </w:r>
            <w:r>
              <w:rPr>
                <w:rFonts w:ascii="宋体" w:hAnsi="宋体" w:cs="宋体" w:eastAsia="宋体" w:hint="default"/>
                <w:spacing w:val="-87"/>
                <w:sz w:val="18"/>
                <w:szCs w:val="18"/>
              </w:rPr>
              <w:t> </w:t>
            </w:r>
            <w:r>
              <w:rPr>
                <w:rFonts w:ascii="宋体" w:hAnsi="宋体" w:cs="宋体" w:eastAsia="宋体" w:hint="default"/>
                <w:sz w:val="18"/>
                <w:szCs w:val="18"/>
              </w:rPr>
              <w:t>在原有版本的基础上进行全 面的升级，包括算法升级和前</w:t>
            </w:r>
            <w:r>
              <w:rPr>
                <w:rFonts w:ascii="宋体" w:hAnsi="宋体" w:cs="宋体" w:eastAsia="宋体" w:hint="default"/>
                <w:sz w:val="18"/>
                <w:szCs w:val="18"/>
              </w:rPr>
              <w:t> 后端框架的调整升级，基于微 服务框架和前后端分离，使系 统架构更加合理，并进行应用 功能的整合和</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UI</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的改版，对</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项目已完成</w:t>
            </w:r>
          </w:p>
        </w:tc>
      </w:tr>
    </w:tbl>
    <w:p>
      <w:pPr>
        <w:spacing w:after="0" w:line="240"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675" w:hRule="exact"/>
        </w:trPr>
        <w:tc>
          <w:tcPr>
            <w:tcW w:w="2393"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97"/>
              <w:jc w:val="left"/>
              <w:rPr>
                <w:rFonts w:ascii="宋体" w:hAnsi="宋体" w:cs="宋体" w:eastAsia="宋体" w:hint="default"/>
                <w:sz w:val="18"/>
                <w:szCs w:val="18"/>
              </w:rPr>
            </w:pPr>
            <w:r>
              <w:rPr>
                <w:rFonts w:ascii="宋体" w:hAnsi="宋体" w:cs="宋体" w:eastAsia="宋体" w:hint="default"/>
                <w:sz w:val="18"/>
                <w:szCs w:val="18"/>
              </w:rPr>
              <w:t>用户常用的功能进行深度的 优化设计和实现。</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457"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城市管理运行中心平台</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V1.0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8,158,010.48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20"/>
              <w:jc w:val="left"/>
              <w:rPr>
                <w:rFonts w:ascii="宋体" w:hAnsi="宋体" w:cs="宋体" w:eastAsia="宋体" w:hint="default"/>
                <w:sz w:val="18"/>
                <w:szCs w:val="18"/>
              </w:rPr>
            </w:pPr>
            <w:r>
              <w:rPr>
                <w:rFonts w:ascii="宋体" w:hAnsi="宋体" w:cs="宋体" w:eastAsia="宋体" w:hint="default"/>
                <w:sz w:val="18"/>
                <w:szCs w:val="18"/>
              </w:rPr>
              <w:t>城市管理运行中心平台基于</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云计算</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大数据</w:t>
            </w:r>
            <w:r>
              <w:rPr>
                <w:rFonts w:ascii="Times New Roman" w:hAnsi="Times New Roman" w:cs="Times New Roman" w:eastAsia="Times New Roman" w:hint="default"/>
                <w:sz w:val="18"/>
                <w:szCs w:val="18"/>
              </w:rPr>
              <w:t>"</w:t>
            </w:r>
            <w:r>
              <w:rPr>
                <w:rFonts w:ascii="宋体" w:hAnsi="宋体" w:cs="宋体" w:eastAsia="宋体" w:hint="default"/>
                <w:sz w:val="18"/>
                <w:szCs w:val="18"/>
              </w:rPr>
              <w:t>技术研发， 基于信息资源的整合和数据 交换共享平台的建设，利用知 识管理、大数据等手段建设大 数据平台，通过建设数据管 理、数据加工、数据存储和数 据分析支撑，对海量数据挖掘 和分析，推进以数据大集中实 现业务大协同，提供多元化的 数据分析能力，充分挖掘数据 信息资源的潜在价值。建设城 市管理大数据中心和城市管 理大数据分析平台。</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3"/>
                <w:szCs w:val="23"/>
              </w:rPr>
            </w:pPr>
          </w:p>
          <w:p>
            <w:pPr>
              <w:pStyle w:val="TableParagraph"/>
              <w:spacing w:line="316" w:lineRule="auto"/>
              <w:ind w:left="23" w:right="197"/>
              <w:jc w:val="left"/>
              <w:rPr>
                <w:rFonts w:ascii="宋体" w:hAnsi="宋体" w:cs="宋体" w:eastAsia="宋体" w:hint="default"/>
                <w:sz w:val="18"/>
                <w:szCs w:val="18"/>
              </w:rPr>
            </w:pPr>
            <w:r>
              <w:rPr>
                <w:rFonts w:ascii="宋体" w:hAnsi="宋体" w:cs="宋体" w:eastAsia="宋体" w:hint="default"/>
                <w:sz w:val="18"/>
                <w:szCs w:val="18"/>
              </w:rPr>
              <w:t>已完成基本的需求分析和设 计，正在开发中</w:t>
            </w:r>
          </w:p>
        </w:tc>
      </w:tr>
      <w:tr>
        <w:trPr>
          <w:trHeight w:val="5708"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建设用地智能审批系统</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V1.0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9,068,252.95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17"/>
              <w:jc w:val="left"/>
              <w:rPr>
                <w:rFonts w:ascii="宋体" w:hAnsi="宋体" w:cs="宋体" w:eastAsia="宋体" w:hint="default"/>
                <w:sz w:val="18"/>
                <w:szCs w:val="18"/>
              </w:rPr>
            </w:pPr>
            <w:r>
              <w:rPr>
                <w:rFonts w:ascii="宋体" w:hAnsi="宋体" w:cs="宋体" w:eastAsia="宋体" w:hint="default"/>
                <w:sz w:val="18"/>
                <w:szCs w:val="18"/>
              </w:rPr>
              <w:t>依托云南省国土资源云平台 和大数据管理平台，以国土空 间基础平台为平台服务支撑</w:t>
            </w:r>
            <w:r>
              <w:rPr>
                <w:rFonts w:ascii="Times New Roman" w:hAnsi="Times New Roman" w:cs="Times New Roman" w:eastAsia="Times New Roman" w:hint="default"/>
                <w:sz w:val="18"/>
                <w:szCs w:val="18"/>
              </w:rPr>
              <w:t>, </w:t>
            </w:r>
            <w:r>
              <w:rPr>
                <w:rFonts w:ascii="宋体" w:hAnsi="宋体" w:cs="宋体" w:eastAsia="宋体" w:hint="default"/>
                <w:sz w:val="18"/>
                <w:szCs w:val="18"/>
              </w:rPr>
              <w:t>使用云南省国土资源云平台 和大数据管理平台的统一技 </w:t>
            </w:r>
            <w:r>
              <w:rPr>
                <w:rFonts w:ascii="宋体" w:hAnsi="宋体" w:cs="宋体" w:eastAsia="宋体" w:hint="default"/>
                <w:spacing w:val="-4"/>
                <w:sz w:val="18"/>
                <w:szCs w:val="18"/>
              </w:rPr>
              <w:t>术框架</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构建全省分布式、分层</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级应用的政务审批系统。国土</w:t>
            </w:r>
            <w:r>
              <w:rPr>
                <w:rFonts w:ascii="宋体" w:hAnsi="宋体" w:cs="宋体" w:eastAsia="宋体" w:hint="default"/>
                <w:sz w:val="18"/>
                <w:szCs w:val="18"/>
              </w:rPr>
              <w:t> 资源政务审批系统要应用数 据挖掘方法，建立智能审批业 务模型；以国土资源管理相关 法律法规、政策文件、国土资 源专题数据、土地和矿业权历 史审批项目数据为支撑，建立 审批系统的查询查证知识库； 基于云管理与服务平台和大 数据管理平台成果，构建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分布式、省州县三级分层级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应用的智能审批系统。</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316" w:lineRule="auto"/>
              <w:ind w:left="23" w:right="22"/>
              <w:jc w:val="left"/>
              <w:rPr>
                <w:rFonts w:ascii="宋体" w:hAnsi="宋体" w:cs="宋体" w:eastAsia="宋体" w:hint="default"/>
                <w:sz w:val="18"/>
                <w:szCs w:val="18"/>
              </w:rPr>
            </w:pPr>
            <w:r>
              <w:rPr>
                <w:rFonts w:ascii="宋体" w:hAnsi="宋体" w:cs="宋体" w:eastAsia="宋体" w:hint="default"/>
                <w:sz w:val="18"/>
                <w:szCs w:val="18"/>
              </w:rPr>
              <w:t>基本功能已经完成，现在正进 行系统的测试和完善。</w:t>
            </w:r>
          </w:p>
        </w:tc>
      </w:tr>
      <w:tr>
        <w:trPr>
          <w:trHeight w:val="2859"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5"/>
                <w:szCs w:val="25"/>
              </w:rPr>
            </w:pPr>
          </w:p>
          <w:p>
            <w:pPr>
              <w:pStyle w:val="TableParagraph"/>
              <w:spacing w:line="297" w:lineRule="auto"/>
              <w:ind w:left="24" w:right="19"/>
              <w:jc w:val="left"/>
              <w:rPr>
                <w:rFonts w:ascii="Times New Roman" w:hAnsi="Times New Roman" w:cs="Times New Roman" w:eastAsia="Times New Roman" w:hint="default"/>
                <w:sz w:val="18"/>
                <w:szCs w:val="18"/>
              </w:rPr>
            </w:pPr>
            <w:r>
              <w:rPr>
                <w:rFonts w:ascii="宋体" w:hAnsi="宋体" w:cs="宋体" w:eastAsia="宋体" w:hint="default"/>
                <w:sz w:val="18"/>
                <w:szCs w:val="18"/>
              </w:rPr>
              <w:t>智慧城管</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综合管理信息系 统</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V1.0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11,485,859.74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z w:val="18"/>
                <w:szCs w:val="18"/>
              </w:rPr>
              <w:t>智慧城管</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综合管理系统是 数字城管到智慧城管升级的 主要核心业务系统，系统涵盖 市政、环卫、园林、执法等四 个业务领域。系统借助网格化 管理模式，利用物联网、大数 据、云计算等现代新技术全面 推进数字化城市管理向智慧 化升级，着力打造以信息化为</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5"/>
                <w:szCs w:val="25"/>
              </w:rPr>
            </w:pPr>
          </w:p>
          <w:p>
            <w:pPr>
              <w:pStyle w:val="TableParagraph"/>
              <w:spacing w:line="314" w:lineRule="auto"/>
              <w:ind w:left="23" w:right="22"/>
              <w:jc w:val="left"/>
              <w:rPr>
                <w:rFonts w:ascii="宋体" w:hAnsi="宋体" w:cs="宋体" w:eastAsia="宋体" w:hint="default"/>
                <w:sz w:val="18"/>
                <w:szCs w:val="18"/>
              </w:rPr>
            </w:pPr>
            <w:r>
              <w:rPr>
                <w:rFonts w:ascii="宋体" w:hAnsi="宋体" w:cs="宋体" w:eastAsia="宋体" w:hint="default"/>
                <w:sz w:val="18"/>
                <w:szCs w:val="18"/>
              </w:rPr>
              <w:t>系统已开发完成，全国落地推 广</w:t>
            </w:r>
          </w:p>
        </w:tc>
      </w:tr>
    </w:tbl>
    <w:p>
      <w:pPr>
        <w:spacing w:after="0" w:line="314"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415.869995pt;margin-top:153.019989pt;width:119.1pt;height:78pt;mso-position-horizontal-relative:page;mso-position-vertical-relative:page;z-index:-881008" coordorigin="8317,3060" coordsize="2382,1560">
            <v:shape style="position:absolute;left:8317;top:3060;width:2382;height:1560" coordorigin="8317,3060" coordsize="2382,1560" path="m8317,4620l10699,4620,10699,3060,8317,3060,8317,4620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1611" w:hRule="exact"/>
        </w:trPr>
        <w:tc>
          <w:tcPr>
            <w:tcW w:w="2393"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22"/>
              <w:jc w:val="both"/>
              <w:rPr>
                <w:rFonts w:ascii="宋体" w:hAnsi="宋体" w:cs="宋体" w:eastAsia="宋体" w:hint="default"/>
                <w:sz w:val="18"/>
                <w:szCs w:val="18"/>
              </w:rPr>
            </w:pPr>
            <w:r>
              <w:rPr>
                <w:rFonts w:ascii="宋体" w:hAnsi="宋体" w:cs="宋体" w:eastAsia="宋体" w:hint="default"/>
                <w:sz w:val="18"/>
                <w:szCs w:val="18"/>
              </w:rPr>
              <w:t>主导的城市管理新模式，建立 用数据说话、用数据决策、用 数据管理、用数据创新的新机 制，实现城市管理各业务领域 的有效协调运行。</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383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60"/>
              <w:ind w:left="24" w:right="197"/>
              <w:jc w:val="left"/>
              <w:rPr>
                <w:rFonts w:ascii="Times New Roman" w:hAnsi="Times New Roman" w:cs="Times New Roman" w:eastAsia="Times New Roman" w:hint="default"/>
                <w:sz w:val="18"/>
                <w:szCs w:val="18"/>
              </w:rPr>
            </w:pPr>
            <w:r>
              <w:rPr>
                <w:rFonts w:ascii="宋体" w:hAnsi="宋体" w:cs="宋体" w:eastAsia="宋体" w:hint="default"/>
                <w:sz w:val="18"/>
                <w:szCs w:val="18"/>
              </w:rPr>
              <w:t>货车入城智能管控综合应用 系统</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V1.0-Z</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left="1414" w:right="0"/>
              <w:jc w:val="left"/>
              <w:rPr>
                <w:rFonts w:ascii="Times New Roman" w:hAnsi="Times New Roman" w:cs="Times New Roman" w:eastAsia="Times New Roman" w:hint="default"/>
                <w:sz w:val="18"/>
                <w:szCs w:val="18"/>
              </w:rPr>
            </w:pPr>
            <w:r>
              <w:rPr>
                <w:rFonts w:ascii="Times New Roman"/>
                <w:sz w:val="18"/>
              </w:rPr>
              <w:t>2,192,790.42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2"/>
              <w:jc w:val="left"/>
              <w:rPr>
                <w:rFonts w:ascii="宋体" w:hAnsi="宋体" w:cs="宋体" w:eastAsia="宋体" w:hint="default"/>
                <w:sz w:val="18"/>
                <w:szCs w:val="18"/>
              </w:rPr>
            </w:pPr>
            <w:r>
              <w:rPr>
                <w:rFonts w:ascii="宋体" w:hAnsi="宋体" w:cs="宋体" w:eastAsia="宋体" w:hint="default"/>
                <w:sz w:val="18"/>
                <w:szCs w:val="18"/>
              </w:rPr>
              <w:t>货车入城智能管控综合应用 系统主要是帮助交警部门对 进入主城区的货运车辆进行 管理，包括进城通行证的申请</w:t>
            </w:r>
          </w:p>
          <w:p>
            <w:pPr>
              <w:pStyle w:val="TableParagraph"/>
              <w:spacing w:line="316" w:lineRule="auto" w:before="19"/>
              <w:ind w:left="23" w:right="22"/>
              <w:jc w:val="left"/>
              <w:rPr>
                <w:rFonts w:ascii="宋体" w:hAnsi="宋体" w:cs="宋体" w:eastAsia="宋体" w:hint="default"/>
                <w:sz w:val="18"/>
                <w:szCs w:val="18"/>
              </w:rPr>
            </w:pPr>
            <w:r>
              <w:rPr>
                <w:rFonts w:ascii="宋体" w:hAnsi="宋体" w:cs="宋体" w:eastAsia="宋体" w:hint="default"/>
                <w:spacing w:val="-8"/>
                <w:sz w:val="18"/>
                <w:szCs w:val="18"/>
              </w:rPr>
              <w:t>（线上、线下）、审批、打印</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领证，并基于车辆卡口抓拍的</w:t>
            </w:r>
            <w:r>
              <w:rPr>
                <w:rFonts w:ascii="宋体" w:hAnsi="宋体" w:cs="宋体" w:eastAsia="宋体" w:hint="default"/>
                <w:sz w:val="18"/>
                <w:szCs w:val="18"/>
              </w:rPr>
              <w:t> 过往车辆数据和图片，判断对 应的进城货车是否申请了通 行证、是否在允许的路段和时 段通行、通行证是否在有效期 内等，对问题货车抓拍并生成 违章数据进行处置。</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126"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319" w:lineRule="auto" w:before="76"/>
              <w:ind w:left="23" w:right="22"/>
              <w:jc w:val="left"/>
              <w:rPr>
                <w:rFonts w:ascii="宋体" w:hAnsi="宋体" w:cs="宋体" w:eastAsia="宋体" w:hint="default"/>
                <w:sz w:val="18"/>
                <w:szCs w:val="18"/>
              </w:rPr>
            </w:pPr>
            <w:r>
              <w:rPr>
                <w:rFonts w:ascii="宋体" w:hAnsi="宋体" w:cs="宋体" w:eastAsia="宋体" w:hint="default"/>
                <w:sz w:val="18"/>
                <w:szCs w:val="18"/>
              </w:rPr>
              <w:t>基本功能已初步成型，正在应 用验证</w:t>
            </w:r>
          </w:p>
        </w:tc>
      </w:tr>
    </w:tbl>
    <w:p>
      <w:pPr>
        <w:spacing w:line="240" w:lineRule="auto" w:before="10"/>
        <w:rPr>
          <w:rFonts w:ascii="Times New Roman" w:hAnsi="Times New Roman" w:cs="Times New Roman" w:eastAsia="Times New Roman" w:hint="default"/>
          <w:sz w:val="21"/>
          <w:szCs w:val="21"/>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、现金流</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5"/>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69"/>
        <w:gridCol w:w="2403"/>
        <w:gridCol w:w="2393"/>
        <w:gridCol w:w="2393"/>
      </w:tblGrid>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1,512,557,238.20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1,128,889,048.95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33.99%</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1,336,826,943.22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1,164,926,838.85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14.76%</w:t>
            </w:r>
          </w:p>
        </w:tc>
      </w:tr>
      <w:tr>
        <w:trPr>
          <w:trHeight w:val="715"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85"/>
              <w:jc w:val="left"/>
              <w:rPr>
                <w:rFonts w:ascii="宋体" w:hAnsi="宋体" w:cs="宋体" w:eastAsia="宋体" w:hint="default"/>
                <w:sz w:val="18"/>
                <w:szCs w:val="18"/>
              </w:rPr>
            </w:pPr>
            <w:r>
              <w:rPr>
                <w:rFonts w:ascii="宋体" w:hAnsi="宋体" w:cs="宋体" w:eastAsia="宋体" w:hint="default"/>
                <w:sz w:val="18"/>
                <w:szCs w:val="18"/>
              </w:rPr>
              <w:t>经营活动产生的现金流量净 额</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175,730,294.98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-36,037,789.90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587.63%</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1,760,600.00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15,683,200.00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-88.77%</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41,145,067.98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70,132,938.52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-41.33%</w:t>
            </w:r>
          </w:p>
        </w:tc>
      </w:tr>
      <w:tr>
        <w:trPr>
          <w:trHeight w:val="71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185"/>
              <w:jc w:val="left"/>
              <w:rPr>
                <w:rFonts w:ascii="宋体" w:hAnsi="宋体" w:cs="宋体" w:eastAsia="宋体" w:hint="default"/>
                <w:sz w:val="18"/>
                <w:szCs w:val="18"/>
              </w:rPr>
            </w:pPr>
            <w:r>
              <w:rPr>
                <w:rFonts w:ascii="宋体" w:hAnsi="宋体" w:cs="宋体" w:eastAsia="宋体" w:hint="default"/>
                <w:sz w:val="18"/>
                <w:szCs w:val="18"/>
              </w:rPr>
              <w:t>投资活动产生的现金流量净 额</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-39,384,467.98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-54,449,738.52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27.67%</w:t>
            </w:r>
          </w:p>
        </w:tc>
      </w:tr>
      <w:tr>
        <w:trPr>
          <w:trHeight w:val="403"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216,377,029.55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619,850,126.53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-65.09%</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237,101,254.35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247,573,783.25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-4.23%</w:t>
            </w:r>
          </w:p>
        </w:tc>
      </w:tr>
      <w:tr>
        <w:trPr>
          <w:trHeight w:val="715"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85"/>
              <w:jc w:val="left"/>
              <w:rPr>
                <w:rFonts w:ascii="宋体" w:hAnsi="宋体" w:cs="宋体" w:eastAsia="宋体" w:hint="default"/>
                <w:sz w:val="18"/>
                <w:szCs w:val="18"/>
              </w:rPr>
            </w:pPr>
            <w:r>
              <w:rPr>
                <w:rFonts w:ascii="宋体" w:hAnsi="宋体" w:cs="宋体" w:eastAsia="宋体" w:hint="default"/>
                <w:sz w:val="18"/>
                <w:szCs w:val="18"/>
              </w:rPr>
              <w:t>筹资活动产生的现金流量净 额</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-20,724,224.80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372,276,343.28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-105.57%</w:t>
            </w:r>
          </w:p>
        </w:tc>
      </w:tr>
      <w:tr>
        <w:trPr>
          <w:trHeight w:val="401"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4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115,621,602.60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281,788,814.86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-58.97%</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相关数据同比发生重大变动的主要影响因素说明</w:t>
      </w:r>
    </w:p>
    <w:p>
      <w:pPr>
        <w:spacing w:before="117"/>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2"/>
        <w:ind w:right="1118" w:firstLine="480"/>
        <w:jc w:val="left"/>
      </w:pPr>
      <w:r>
        <w:rPr/>
        <w:t>报告期内，经营活动现金流入小计同比增长</w:t>
      </w:r>
      <w:r>
        <w:rPr>
          <w:rFonts w:ascii="宋体" w:hAnsi="宋体" w:cs="宋体" w:eastAsia="宋体" w:hint="default"/>
        </w:rPr>
        <w:t>33.99%</w:t>
      </w:r>
      <w:r>
        <w:rPr/>
        <w:t>，主要原因为公司加大回款力度，建 </w:t>
      </w:r>
      <w:r>
        <w:rPr>
          <w:spacing w:val="-2"/>
        </w:rPr>
        <w:t>立应收账款管理体系，使得销售商品、提供劳务收到的现金同比增长</w:t>
      </w:r>
      <w:r>
        <w:rPr>
          <w:rFonts w:ascii="宋体" w:hAnsi="宋体" w:cs="宋体" w:eastAsia="宋体" w:hint="default"/>
          <w:spacing w:val="-2"/>
        </w:rPr>
        <w:t>38%</w:t>
      </w:r>
      <w:r>
        <w:rPr>
          <w:spacing w:val="-2"/>
        </w:rPr>
        <w:t>，同时，随着开票回</w:t>
      </w:r>
    </w:p>
    <w:p>
      <w:pPr>
        <w:spacing w:after="0" w:line="357"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28"/>
        <w:jc w:val="both"/>
      </w:pPr>
      <w:r>
        <w:rPr>
          <w:spacing w:val="-2"/>
        </w:rPr>
        <w:t>款的增加，收到的税费返还同比增长</w:t>
      </w:r>
      <w:r>
        <w:rPr>
          <w:rFonts w:ascii="宋体" w:hAnsi="宋体" w:cs="宋体" w:eastAsia="宋体" w:hint="default"/>
          <w:spacing w:val="-2"/>
        </w:rPr>
        <w:t>59%</w:t>
      </w:r>
      <w:r>
        <w:rPr>
          <w:spacing w:val="-2"/>
        </w:rPr>
        <w:t>。因经营活动现金流入小计同比增长</w:t>
      </w:r>
      <w:r>
        <w:rPr>
          <w:rFonts w:ascii="宋体" w:hAnsi="宋体" w:cs="宋体" w:eastAsia="宋体" w:hint="default"/>
          <w:spacing w:val="-2"/>
        </w:rPr>
        <w:t>33.99%</w:t>
      </w:r>
      <w:r>
        <w:rPr>
          <w:spacing w:val="-2"/>
        </w:rPr>
        <w:t>，公司经</w:t>
      </w:r>
      <w:r>
        <w:rPr>
          <w:spacing w:val="-109"/>
        </w:rPr>
        <w:t> </w:t>
      </w:r>
      <w:r>
        <w:rPr>
          <w:spacing w:val="-109"/>
        </w:rPr>
      </w:r>
      <w:r>
        <w:rPr>
          <w:spacing w:val="3"/>
        </w:rPr>
        <w:t>营活动产生的现金流量净额由负转正，取得经营活动产生的现金流量净额同比增长</w:t>
      </w:r>
      <w:r>
        <w:rPr>
          <w:rFonts w:ascii="宋体" w:hAnsi="宋体" w:cs="宋体" w:eastAsia="宋体" w:hint="default"/>
          <w:spacing w:val="3"/>
        </w:rPr>
        <w:t>587.63%</w:t>
      </w:r>
      <w:r>
        <w:rPr>
          <w:rFonts w:ascii="宋体" w:hAnsi="宋体" w:cs="宋体" w:eastAsia="宋体" w:hint="default"/>
          <w:spacing w:val="-116"/>
        </w:rPr>
        <w:t> </w:t>
      </w:r>
      <w:r>
        <w:rPr/>
        <w:t>的成绩。</w:t>
      </w:r>
    </w:p>
    <w:p>
      <w:pPr>
        <w:pStyle w:val="BodyText"/>
        <w:spacing w:line="357" w:lineRule="auto"/>
        <w:ind w:right="1134" w:firstLine="480"/>
        <w:jc w:val="both"/>
      </w:pPr>
      <w:r>
        <w:rPr/>
        <w:t>投资活动现金流入小计同比降低</w:t>
      </w:r>
      <w:r>
        <w:rPr>
          <w:rFonts w:ascii="宋体" w:hAnsi="宋体" w:cs="宋体" w:eastAsia="宋体" w:hint="default"/>
        </w:rPr>
        <w:t>88.77%</w:t>
      </w:r>
      <w:r>
        <w:rPr/>
        <w:t>，主要原因为上年同期处置联营公司股权取得较 高的现金流入；投资活动现金流出小计同比降低</w:t>
      </w:r>
      <w:r>
        <w:rPr>
          <w:rFonts w:ascii="宋体" w:hAnsi="宋体" w:cs="宋体" w:eastAsia="宋体" w:hint="default"/>
        </w:rPr>
        <w:t>41.33%</w:t>
      </w:r>
      <w:r>
        <w:rPr/>
        <w:t>，主要原因为上年同期购买北京天健</w:t>
      </w:r>
      <w:r>
        <w:rPr>
          <w:spacing w:val="-91"/>
        </w:rPr>
        <w:t> </w:t>
      </w:r>
      <w:r>
        <w:rPr>
          <w:spacing w:val="-91"/>
        </w:rPr>
      </w:r>
      <w:r>
        <w:rPr/>
        <w:t>源达科技有限公司部分股权导致投资支付的现金较多。以上因素致使公司投资活动产生的现</w:t>
      </w:r>
      <w:r>
        <w:rPr>
          <w:spacing w:val="-89"/>
        </w:rPr>
        <w:t> </w:t>
      </w:r>
      <w:r>
        <w:rPr>
          <w:spacing w:val="-89"/>
        </w:rPr>
      </w:r>
      <w:r>
        <w:rPr/>
        <w:t>金流量净额同比增长</w:t>
      </w:r>
      <w:r>
        <w:rPr>
          <w:rFonts w:ascii="宋体" w:hAnsi="宋体" w:cs="宋体" w:eastAsia="宋体" w:hint="default"/>
        </w:rPr>
        <w:t>27.67%</w:t>
      </w:r>
      <w:r>
        <w:rPr/>
        <w:t>。</w:t>
      </w:r>
    </w:p>
    <w:p>
      <w:pPr>
        <w:pStyle w:val="BodyText"/>
        <w:spacing w:line="357" w:lineRule="auto" w:before="37"/>
        <w:ind w:right="1134" w:firstLine="480"/>
        <w:jc w:val="both"/>
      </w:pPr>
      <w:r>
        <w:rPr/>
        <w:t>筹资活动现金流入小计同比降低</w:t>
      </w:r>
      <w:r>
        <w:rPr>
          <w:rFonts w:ascii="宋体" w:hAnsi="宋体" w:cs="宋体" w:eastAsia="宋体" w:hint="default"/>
        </w:rPr>
        <w:t>65.09%</w:t>
      </w:r>
      <w:r>
        <w:rPr/>
        <w:t>，主要原因为上年同期收到定向增发款所致，这 也是筹资活动产生的现金流量净额同比降低</w:t>
      </w:r>
      <w:r>
        <w:rPr>
          <w:rFonts w:ascii="宋体" w:hAnsi="宋体" w:cs="宋体" w:eastAsia="宋体" w:hint="default"/>
        </w:rPr>
        <w:t>105.57%</w:t>
      </w:r>
      <w:r>
        <w:rPr/>
        <w:t>的主要原因。</w:t>
      </w:r>
    </w:p>
    <w:p>
      <w:pPr>
        <w:pStyle w:val="BodyText"/>
        <w:spacing w:line="240" w:lineRule="auto"/>
        <w:ind w:left="633" w:right="982"/>
        <w:jc w:val="left"/>
      </w:pPr>
      <w:r>
        <w:rPr/>
        <w:t>以上因素共同影响，现金及现金等价物净增加额同比降低</w:t>
      </w:r>
      <w:r>
        <w:rPr>
          <w:rFonts w:ascii="宋体" w:hAnsi="宋体" w:cs="宋体" w:eastAsia="宋体" w:hint="default"/>
        </w:rPr>
        <w:t>58.97%</w:t>
      </w:r>
      <w:r>
        <w:rPr/>
        <w:t>。</w:t>
      </w:r>
    </w:p>
    <w:p>
      <w:pPr>
        <w:spacing w:before="164"/>
        <w:ind w:left="152" w:right="0" w:firstLine="0"/>
        <w:jc w:val="both"/>
        <w:rPr>
          <w:rFonts w:ascii="宋体" w:hAnsi="宋体" w:cs="宋体" w:eastAsia="宋体" w:hint="default"/>
          <w:sz w:val="18"/>
          <w:szCs w:val="18"/>
        </w:rPr>
      </w:pPr>
      <w:r>
        <w:rPr>
          <w:rFonts w:ascii="宋体" w:hAnsi="宋体" w:cs="宋体" w:eastAsia="宋体" w:hint="default"/>
          <w:sz w:val="18"/>
          <w:szCs w:val="18"/>
        </w:rPr>
        <w:t>报告期内公司经营活动产生的现金净流量与本年度净利润存在重大差异的原因说明</w:t>
      </w:r>
    </w:p>
    <w:p>
      <w:pPr>
        <w:spacing w:before="115"/>
        <w:ind w:left="152"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0"/>
        <w:jc w:val="both"/>
        <w:rPr>
          <w:b w:val="0"/>
          <w:bCs w:val="0"/>
        </w:rPr>
      </w:pPr>
      <w:r>
        <w:rPr/>
        <w:t>三、非主营业务情况</w:t>
      </w:r>
      <w:r>
        <w:rPr>
          <w:b w:val="0"/>
          <w:bCs w:val="0"/>
        </w:rPr>
      </w:r>
    </w:p>
    <w:p>
      <w:pPr>
        <w:spacing w:line="240" w:lineRule="auto" w:before="6"/>
        <w:rPr>
          <w:rFonts w:ascii="宋体" w:hAnsi="宋体" w:cs="宋体" w:eastAsia="宋体" w:hint="default"/>
          <w:b/>
          <w:bCs/>
          <w:sz w:val="26"/>
          <w:szCs w:val="26"/>
        </w:rPr>
      </w:pPr>
    </w:p>
    <w:p>
      <w:pPr>
        <w:spacing w:before="0"/>
        <w:ind w:left="152"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0"/>
        <w:jc w:val="both"/>
        <w:rPr>
          <w:b w:val="0"/>
          <w:bCs w:val="0"/>
        </w:rPr>
      </w:pPr>
      <w:r>
        <w:rPr/>
        <w:t>四、资产及负债状况</w:t>
      </w:r>
      <w:r>
        <w:rPr>
          <w:b w:val="0"/>
          <w:bCs w:val="0"/>
        </w:rPr>
      </w:r>
    </w:p>
    <w:p>
      <w:pPr>
        <w:spacing w:line="240" w:lineRule="auto" w:before="9"/>
        <w:rPr>
          <w:rFonts w:ascii="宋体" w:hAnsi="宋体" w:cs="宋体" w:eastAsia="宋体" w:hint="default"/>
          <w:b/>
          <w:bCs/>
          <w:sz w:val="24"/>
          <w:szCs w:val="24"/>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、资产构成重大变动情况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58"/>
        <w:gridCol w:w="1175"/>
        <w:gridCol w:w="1064"/>
        <w:gridCol w:w="1195"/>
        <w:gridCol w:w="1064"/>
        <w:gridCol w:w="797"/>
        <w:gridCol w:w="2919"/>
      </w:tblGrid>
      <w:tr>
        <w:trPr>
          <w:trHeight w:val="379" w:hRule="exact"/>
        </w:trPr>
        <w:tc>
          <w:tcPr>
            <w:tcW w:w="1358" w:type="dxa"/>
            <w:tcBorders>
              <w:top w:val="single" w:sz="4" w:space="0" w:color="000000"/>
              <w:left w:val="single" w:sz="4" w:space="0" w:color="000000"/>
              <w:bottom w:val="single" w:sz="13" w:space="0" w:color="FFFFFF"/>
              <w:right w:val="single" w:sz="4" w:space="0" w:color="000000"/>
            </w:tcBorders>
            <w:shd w:val="clear" w:color="auto" w:fill="D2D2D2"/>
          </w:tcPr>
          <w:p>
            <w:pPr/>
          </w:p>
        </w:tc>
        <w:tc>
          <w:tcPr>
            <w:tcW w:w="2239" w:type="dxa"/>
            <w:gridSpan w:val="2"/>
            <w:tcBorders>
              <w:top w:val="single" w:sz="4" w:space="0" w:color="000000"/>
              <w:left w:val="single" w:sz="4" w:space="0" w:color="000000"/>
              <w:bottom w:val="single" w:sz="13" w:space="0" w:color="FFFFFF"/>
              <w:right w:val="single" w:sz="4" w:space="0" w:color="000000"/>
            </w:tcBorders>
            <w:shd w:val="clear" w:color="auto" w:fill="D2D2D2"/>
          </w:tcPr>
          <w:p>
            <w:pPr>
              <w:pStyle w:val="TableParagraph"/>
              <w:spacing w:line="240" w:lineRule="auto" w:before="49"/>
              <w:ind w:left="73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2259" w:type="dxa"/>
            <w:gridSpan w:val="2"/>
            <w:tcBorders>
              <w:top w:val="single" w:sz="4" w:space="0" w:color="000000"/>
              <w:left w:val="single" w:sz="4" w:space="0" w:color="000000"/>
              <w:bottom w:val="single" w:sz="13" w:space="0" w:color="FFFFFF"/>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797" w:type="dxa"/>
            <w:tcBorders>
              <w:top w:val="single" w:sz="4" w:space="0" w:color="000000"/>
              <w:left w:val="single" w:sz="4" w:space="0" w:color="000000"/>
              <w:bottom w:val="single" w:sz="13" w:space="0" w:color="FFFFFF"/>
              <w:right w:val="single" w:sz="4" w:space="0" w:color="000000"/>
            </w:tcBorders>
            <w:shd w:val="clear" w:color="auto" w:fill="D2D2D2"/>
          </w:tcPr>
          <w:p>
            <w:pPr/>
          </w:p>
        </w:tc>
        <w:tc>
          <w:tcPr>
            <w:tcW w:w="2919" w:type="dxa"/>
            <w:tcBorders>
              <w:top w:val="single" w:sz="4" w:space="0" w:color="000000"/>
              <w:left w:val="single" w:sz="4" w:space="0" w:color="000000"/>
              <w:bottom w:val="single" w:sz="13" w:space="0" w:color="FFFFFF"/>
              <w:right w:val="single" w:sz="4" w:space="0" w:color="000000"/>
            </w:tcBorders>
            <w:shd w:val="clear" w:color="auto" w:fill="D2D2D2"/>
          </w:tcPr>
          <w:p>
            <w:pPr/>
          </w:p>
        </w:tc>
      </w:tr>
      <w:tr>
        <w:trPr>
          <w:trHeight w:val="182" w:hRule="exact"/>
        </w:trPr>
        <w:tc>
          <w:tcPr>
            <w:tcW w:w="1358" w:type="dxa"/>
            <w:vMerge w:val="restart"/>
            <w:tcBorders>
              <w:top w:val="single" w:sz="13" w:space="0" w:color="FFFFFF"/>
              <w:left w:val="single" w:sz="4" w:space="0" w:color="000000"/>
              <w:right w:val="single" w:sz="4" w:space="0" w:color="000000"/>
            </w:tcBorders>
            <w:shd w:val="clear" w:color="auto" w:fill="D2D2D2"/>
          </w:tcPr>
          <w:p>
            <w:pPr/>
          </w:p>
        </w:tc>
        <w:tc>
          <w:tcPr>
            <w:tcW w:w="1175" w:type="dxa"/>
            <w:tcBorders>
              <w:top w:val="single" w:sz="13" w:space="0" w:color="FFFFFF"/>
              <w:left w:val="single" w:sz="4" w:space="0" w:color="000000"/>
              <w:bottom w:val="nil" w:sz="6" w:space="0" w:color="auto"/>
              <w:right w:val="single" w:sz="4" w:space="0" w:color="000000"/>
            </w:tcBorders>
            <w:shd w:val="clear" w:color="auto" w:fill="D2D2D2"/>
          </w:tcPr>
          <w:p>
            <w:pPr/>
          </w:p>
        </w:tc>
        <w:tc>
          <w:tcPr>
            <w:tcW w:w="1064" w:type="dxa"/>
            <w:vMerge w:val="restart"/>
            <w:tcBorders>
              <w:top w:val="single" w:sz="13" w:space="0" w:color="FFFFFF"/>
              <w:left w:val="single" w:sz="4" w:space="0" w:color="000000"/>
              <w:right w:val="single" w:sz="4" w:space="0" w:color="000000"/>
            </w:tcBorders>
            <w:shd w:val="clear" w:color="auto" w:fill="D2D2D2"/>
          </w:tcPr>
          <w:p>
            <w:pPr>
              <w:pStyle w:val="TableParagraph"/>
              <w:spacing w:line="316" w:lineRule="auto" w:before="58"/>
              <w:ind w:left="437" w:right="75" w:hanging="361"/>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1195" w:type="dxa"/>
            <w:tcBorders>
              <w:top w:val="single" w:sz="13" w:space="0" w:color="FFFFFF"/>
              <w:left w:val="single" w:sz="4" w:space="0" w:color="000000"/>
              <w:bottom w:val="nil" w:sz="6" w:space="0" w:color="auto"/>
              <w:right w:val="single" w:sz="4" w:space="0" w:color="000000"/>
            </w:tcBorders>
            <w:shd w:val="clear" w:color="auto" w:fill="D2D2D2"/>
          </w:tcPr>
          <w:p>
            <w:pPr/>
          </w:p>
        </w:tc>
        <w:tc>
          <w:tcPr>
            <w:tcW w:w="1064" w:type="dxa"/>
            <w:vMerge w:val="restart"/>
            <w:tcBorders>
              <w:top w:val="single" w:sz="13" w:space="0" w:color="FFFFFF"/>
              <w:left w:val="single" w:sz="4" w:space="0" w:color="000000"/>
              <w:right w:val="single" w:sz="4" w:space="0" w:color="000000"/>
            </w:tcBorders>
            <w:shd w:val="clear" w:color="auto" w:fill="D2D2D2"/>
          </w:tcPr>
          <w:p>
            <w:pPr>
              <w:pStyle w:val="TableParagraph"/>
              <w:spacing w:line="316" w:lineRule="auto" w:before="58"/>
              <w:ind w:left="437" w:right="75" w:hanging="361"/>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797" w:type="dxa"/>
            <w:vMerge w:val="restart"/>
            <w:tcBorders>
              <w:top w:val="single" w:sz="13" w:space="0" w:color="FFFFFF"/>
              <w:left w:val="single" w:sz="4" w:space="0" w:color="000000"/>
              <w:right w:val="single" w:sz="4" w:space="0" w:color="000000"/>
            </w:tcBorders>
            <w:shd w:val="clear" w:color="auto" w:fill="D2D2D2"/>
          </w:tcPr>
          <w:p>
            <w:pPr>
              <w:pStyle w:val="TableParagraph"/>
              <w:spacing w:line="240" w:lineRule="auto" w:before="15"/>
              <w:ind w:left="33"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2919" w:type="dxa"/>
            <w:vMerge w:val="restart"/>
            <w:tcBorders>
              <w:top w:val="single" w:sz="13" w:space="0" w:color="FFFFFF"/>
              <w:left w:val="single" w:sz="4" w:space="0" w:color="000000"/>
              <w:right w:val="single" w:sz="4" w:space="0" w:color="000000"/>
            </w:tcBorders>
            <w:shd w:val="clear" w:color="auto" w:fill="D2D2D2"/>
          </w:tcPr>
          <w:p>
            <w:pPr>
              <w:pStyle w:val="TableParagraph"/>
              <w:spacing w:line="240" w:lineRule="auto" w:before="15"/>
              <w:ind w:left="914"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92" w:hRule="exact"/>
        </w:trPr>
        <w:tc>
          <w:tcPr>
            <w:tcW w:w="1358" w:type="dxa"/>
            <w:vMerge/>
            <w:tcBorders>
              <w:left w:val="single" w:sz="4" w:space="0" w:color="000000"/>
              <w:bottom w:val="nil" w:sz="6" w:space="0" w:color="auto"/>
              <w:right w:val="single" w:sz="4" w:space="0" w:color="000000"/>
            </w:tcBorders>
            <w:shd w:val="clear" w:color="auto" w:fill="D2D2D2"/>
          </w:tcPr>
          <w:p>
            <w:pPr/>
          </w:p>
        </w:tc>
        <w:tc>
          <w:tcPr>
            <w:tcW w:w="117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4" w:type="dxa"/>
            <w:vMerge/>
            <w:tcBorders>
              <w:left w:val="single" w:sz="4" w:space="0" w:color="000000"/>
              <w:right w:val="single" w:sz="4" w:space="0" w:color="000000"/>
            </w:tcBorders>
            <w:shd w:val="clear" w:color="auto" w:fill="D2D2D2"/>
          </w:tcPr>
          <w:p>
            <w:pPr/>
          </w:p>
        </w:tc>
        <w:tc>
          <w:tcPr>
            <w:tcW w:w="119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4" w:type="dxa"/>
            <w:vMerge/>
            <w:tcBorders>
              <w:left w:val="single" w:sz="4" w:space="0" w:color="000000"/>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2919"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358" w:type="dxa"/>
            <w:vMerge w:val="restart"/>
            <w:tcBorders>
              <w:top w:val="nil" w:sz="6" w:space="0" w:color="auto"/>
              <w:left w:val="single" w:sz="4" w:space="0" w:color="000000"/>
              <w:right w:val="single" w:sz="4" w:space="0" w:color="000000"/>
            </w:tcBorders>
            <w:shd w:val="clear" w:color="auto" w:fill="D2D2D2"/>
          </w:tcPr>
          <w:p>
            <w:pPr/>
          </w:p>
        </w:tc>
        <w:tc>
          <w:tcPr>
            <w:tcW w:w="1175" w:type="dxa"/>
            <w:vMerge/>
            <w:tcBorders>
              <w:left w:val="single" w:sz="4" w:space="0" w:color="000000"/>
              <w:bottom w:val="nil" w:sz="6" w:space="0" w:color="auto"/>
              <w:right w:val="single" w:sz="4" w:space="0" w:color="000000"/>
            </w:tcBorders>
            <w:shd w:val="clear" w:color="auto" w:fill="D2D2D2"/>
          </w:tcPr>
          <w:p>
            <w:pPr/>
          </w:p>
        </w:tc>
        <w:tc>
          <w:tcPr>
            <w:tcW w:w="1064"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bottom w:val="nil" w:sz="6" w:space="0" w:color="auto"/>
              <w:right w:val="single" w:sz="4" w:space="0" w:color="000000"/>
            </w:tcBorders>
            <w:shd w:val="clear" w:color="auto" w:fill="D2D2D2"/>
          </w:tcPr>
          <w:p>
            <w:pPr/>
          </w:p>
        </w:tc>
        <w:tc>
          <w:tcPr>
            <w:tcW w:w="1064" w:type="dxa"/>
            <w:vMerge/>
            <w:tcBorders>
              <w:left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
        </w:tc>
        <w:tc>
          <w:tcPr>
            <w:tcW w:w="2919"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358" w:type="dxa"/>
            <w:vMerge/>
            <w:tcBorders>
              <w:left w:val="single" w:sz="4" w:space="0" w:color="000000"/>
              <w:bottom w:val="single" w:sz="4" w:space="0" w:color="000000"/>
              <w:right w:val="single" w:sz="4" w:space="0" w:color="000000"/>
            </w:tcBorders>
            <w:shd w:val="clear" w:color="auto" w:fill="D2D2D2"/>
          </w:tcPr>
          <w:p>
            <w:pPr/>
          </w:p>
        </w:tc>
        <w:tc>
          <w:tcPr>
            <w:tcW w:w="1175"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vMerge/>
            <w:tcBorders>
              <w:left w:val="single" w:sz="4" w:space="0" w:color="000000"/>
              <w:bottom w:val="single" w:sz="4" w:space="0" w:color="000000"/>
              <w:right w:val="single" w:sz="4" w:space="0" w:color="000000"/>
            </w:tcBorders>
            <w:shd w:val="clear" w:color="auto" w:fill="D2D2D2"/>
          </w:tcPr>
          <w:p>
            <w:pPr/>
          </w:p>
        </w:tc>
        <w:tc>
          <w:tcPr>
            <w:tcW w:w="1195"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2919"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1358" w:type="dxa"/>
            <w:tcBorders>
              <w:top w:val="single" w:sz="4" w:space="0" w:color="000000"/>
              <w:left w:val="single" w:sz="4" w:space="0" w:color="000000"/>
              <w:bottom w:val="nil" w:sz="6" w:space="0" w:color="auto"/>
              <w:right w:val="single" w:sz="4" w:space="0" w:color="000000"/>
            </w:tcBorders>
            <w:shd w:val="clear" w:color="auto" w:fill="D2D2D2"/>
          </w:tcPr>
          <w:p>
            <w:pPr/>
          </w:p>
        </w:tc>
        <w:tc>
          <w:tcPr>
            <w:tcW w:w="1175" w:type="dxa"/>
            <w:vMerge w:val="restart"/>
            <w:tcBorders>
              <w:top w:val="single" w:sz="4" w:space="0" w:color="000000"/>
              <w:left w:val="single" w:sz="9" w:space="0" w:color="D2D2D2"/>
              <w:right w:val="single" w:sz="4" w:space="0" w:color="000000"/>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pacing w:val="-1"/>
                <w:sz w:val="18"/>
              </w:rPr>
              <w:t>807,143,248.1</w:t>
            </w:r>
          </w:p>
          <w:p>
            <w:pPr>
              <w:pStyle w:val="TableParagraph"/>
              <w:spacing w:line="240" w:lineRule="auto" w:before="103"/>
              <w:ind w:right="20"/>
              <w:jc w:val="right"/>
              <w:rPr>
                <w:rFonts w:ascii="Times New Roman" w:hAnsi="Times New Roman" w:cs="Times New Roman" w:eastAsia="Times New Roman" w:hint="default"/>
                <w:sz w:val="18"/>
                <w:szCs w:val="18"/>
              </w:rPr>
            </w:pPr>
            <w:r>
              <w:rPr>
                <w:rFonts w:ascii="Times New Roman"/>
                <w:sz w:val="18"/>
              </w:rPr>
              <w:t>1</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8" w:right="0"/>
              <w:jc w:val="left"/>
              <w:rPr>
                <w:rFonts w:ascii="Times New Roman" w:hAnsi="Times New Roman" w:cs="Times New Roman" w:eastAsia="Times New Roman" w:hint="default"/>
                <w:sz w:val="18"/>
                <w:szCs w:val="18"/>
              </w:rPr>
            </w:pPr>
            <w:r>
              <w:rPr>
                <w:rFonts w:ascii="Times New Roman"/>
                <w:sz w:val="18"/>
              </w:rPr>
              <w:t>26.13%</w:t>
            </w:r>
          </w:p>
        </w:tc>
        <w:tc>
          <w:tcPr>
            <w:tcW w:w="119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694,675,773.87</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8" w:right="0"/>
              <w:jc w:val="left"/>
              <w:rPr>
                <w:rFonts w:ascii="Times New Roman" w:hAnsi="Times New Roman" w:cs="Times New Roman" w:eastAsia="Times New Roman" w:hint="default"/>
                <w:sz w:val="18"/>
                <w:szCs w:val="18"/>
              </w:rPr>
            </w:pPr>
            <w:r>
              <w:rPr>
                <w:rFonts w:ascii="Times New Roman"/>
                <w:sz w:val="18"/>
              </w:rPr>
              <w:t>22.69%</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00" w:right="0"/>
              <w:jc w:val="left"/>
              <w:rPr>
                <w:rFonts w:ascii="Times New Roman" w:hAnsi="Times New Roman" w:cs="Times New Roman" w:eastAsia="Times New Roman" w:hint="default"/>
                <w:sz w:val="18"/>
                <w:szCs w:val="18"/>
              </w:rPr>
            </w:pPr>
            <w:r>
              <w:rPr>
                <w:rFonts w:ascii="Times New Roman"/>
                <w:sz w:val="18"/>
              </w:rPr>
              <w:t>3.44%</w:t>
            </w:r>
          </w:p>
        </w:tc>
        <w:tc>
          <w:tcPr>
            <w:tcW w:w="2919"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主要原因为销售回款同比增长所致</w:t>
            </w:r>
          </w:p>
        </w:tc>
      </w:tr>
      <w:tr>
        <w:trPr>
          <w:trHeight w:val="392" w:hRule="exact"/>
        </w:trPr>
        <w:tc>
          <w:tcPr>
            <w:tcW w:w="135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75" w:type="dxa"/>
            <w:vMerge/>
            <w:tcBorders>
              <w:left w:val="single" w:sz="9" w:space="0" w:color="D2D2D2"/>
              <w:right w:val="single" w:sz="4" w:space="0" w:color="000000"/>
            </w:tcBorders>
          </w:tcPr>
          <w:p>
            <w:pPr/>
          </w:p>
        </w:tc>
        <w:tc>
          <w:tcPr>
            <w:tcW w:w="1064"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2919" w:type="dxa"/>
            <w:vMerge/>
            <w:tcBorders>
              <w:left w:val="single" w:sz="4" w:space="0" w:color="000000"/>
              <w:right w:val="single" w:sz="4" w:space="0" w:color="000000"/>
            </w:tcBorders>
          </w:tcPr>
          <w:p>
            <w:pPr/>
          </w:p>
        </w:tc>
      </w:tr>
      <w:tr>
        <w:trPr>
          <w:trHeight w:val="161" w:hRule="exact"/>
        </w:trPr>
        <w:tc>
          <w:tcPr>
            <w:tcW w:w="1358" w:type="dxa"/>
            <w:tcBorders>
              <w:top w:val="nil" w:sz="6" w:space="0" w:color="auto"/>
              <w:left w:val="single" w:sz="4" w:space="0" w:color="000000"/>
              <w:bottom w:val="single" w:sz="4" w:space="0" w:color="000000"/>
              <w:right w:val="single" w:sz="4" w:space="0" w:color="000000"/>
            </w:tcBorders>
            <w:shd w:val="clear" w:color="auto" w:fill="D2D2D2"/>
          </w:tcPr>
          <w:p>
            <w:pPr/>
          </w:p>
        </w:tc>
        <w:tc>
          <w:tcPr>
            <w:tcW w:w="1175" w:type="dxa"/>
            <w:vMerge/>
            <w:tcBorders>
              <w:left w:val="single" w:sz="9" w:space="0" w:color="D2D2D2"/>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2919" w:type="dxa"/>
            <w:vMerge/>
            <w:tcBorders>
              <w:left w:val="single" w:sz="4" w:space="0" w:color="000000"/>
              <w:bottom w:val="single" w:sz="4" w:space="0" w:color="000000"/>
              <w:right w:val="single" w:sz="4" w:space="0" w:color="000000"/>
            </w:tcBorders>
          </w:tcPr>
          <w:p>
            <w:pPr/>
          </w:p>
        </w:tc>
      </w:tr>
      <w:tr>
        <w:trPr>
          <w:trHeight w:val="161" w:hRule="exact"/>
        </w:trPr>
        <w:tc>
          <w:tcPr>
            <w:tcW w:w="1358" w:type="dxa"/>
            <w:tcBorders>
              <w:top w:val="single" w:sz="4" w:space="0" w:color="000000"/>
              <w:left w:val="single" w:sz="4" w:space="0" w:color="000000"/>
              <w:bottom w:val="nil" w:sz="6" w:space="0" w:color="auto"/>
              <w:right w:val="single" w:sz="4" w:space="0" w:color="000000"/>
            </w:tcBorders>
            <w:shd w:val="clear" w:color="auto" w:fill="D2D2D2"/>
          </w:tcPr>
          <w:p>
            <w:pPr/>
          </w:p>
        </w:tc>
        <w:tc>
          <w:tcPr>
            <w:tcW w:w="1175"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1,067,276,237.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42</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8" w:right="0"/>
              <w:jc w:val="left"/>
              <w:rPr>
                <w:rFonts w:ascii="Times New Roman" w:hAnsi="Times New Roman" w:cs="Times New Roman" w:eastAsia="Times New Roman" w:hint="default"/>
                <w:sz w:val="18"/>
                <w:szCs w:val="18"/>
              </w:rPr>
            </w:pPr>
            <w:r>
              <w:rPr>
                <w:rFonts w:ascii="Times New Roman"/>
                <w:sz w:val="18"/>
              </w:rPr>
              <w:t>34.55%</w:t>
            </w:r>
          </w:p>
        </w:tc>
        <w:tc>
          <w:tcPr>
            <w:tcW w:w="1195"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1,024,697,948.</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34</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8" w:right="0"/>
              <w:jc w:val="left"/>
              <w:rPr>
                <w:rFonts w:ascii="Times New Roman" w:hAnsi="Times New Roman" w:cs="Times New Roman" w:eastAsia="Times New Roman" w:hint="default"/>
                <w:sz w:val="18"/>
                <w:szCs w:val="18"/>
              </w:rPr>
            </w:pPr>
            <w:r>
              <w:rPr>
                <w:rFonts w:ascii="Times New Roman"/>
                <w:sz w:val="18"/>
              </w:rPr>
              <w:t>33.46%</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00" w:right="0"/>
              <w:jc w:val="left"/>
              <w:rPr>
                <w:rFonts w:ascii="Times New Roman" w:hAnsi="Times New Roman" w:cs="Times New Roman" w:eastAsia="Times New Roman" w:hint="default"/>
                <w:sz w:val="18"/>
                <w:szCs w:val="18"/>
              </w:rPr>
            </w:pPr>
            <w:r>
              <w:rPr>
                <w:rFonts w:ascii="Times New Roman"/>
                <w:sz w:val="18"/>
              </w:rPr>
              <w:t>1.09%</w:t>
            </w:r>
          </w:p>
        </w:tc>
        <w:tc>
          <w:tcPr>
            <w:tcW w:w="2919"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主要原因为营业收入同比增长所致</w:t>
            </w:r>
          </w:p>
        </w:tc>
      </w:tr>
      <w:tr>
        <w:trPr>
          <w:trHeight w:val="394" w:hRule="exact"/>
        </w:trPr>
        <w:tc>
          <w:tcPr>
            <w:tcW w:w="135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75" w:type="dxa"/>
            <w:vMerge/>
            <w:tcBorders>
              <w:left w:val="single" w:sz="9" w:space="0" w:color="D2D2D2"/>
              <w:right w:val="single" w:sz="4" w:space="0" w:color="000000"/>
            </w:tcBorders>
          </w:tcPr>
          <w:p>
            <w:pPr/>
          </w:p>
        </w:tc>
        <w:tc>
          <w:tcPr>
            <w:tcW w:w="1064"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2919" w:type="dxa"/>
            <w:vMerge/>
            <w:tcBorders>
              <w:left w:val="single" w:sz="4" w:space="0" w:color="000000"/>
              <w:right w:val="single" w:sz="4" w:space="0" w:color="000000"/>
            </w:tcBorders>
          </w:tcPr>
          <w:p>
            <w:pPr/>
          </w:p>
        </w:tc>
      </w:tr>
      <w:tr>
        <w:trPr>
          <w:trHeight w:val="161" w:hRule="exact"/>
        </w:trPr>
        <w:tc>
          <w:tcPr>
            <w:tcW w:w="1358" w:type="dxa"/>
            <w:tcBorders>
              <w:top w:val="nil" w:sz="6" w:space="0" w:color="auto"/>
              <w:left w:val="single" w:sz="4" w:space="0" w:color="000000"/>
              <w:bottom w:val="single" w:sz="4" w:space="0" w:color="000000"/>
              <w:right w:val="single" w:sz="4" w:space="0" w:color="000000"/>
            </w:tcBorders>
            <w:shd w:val="clear" w:color="auto" w:fill="D2D2D2"/>
          </w:tcPr>
          <w:p>
            <w:pPr/>
          </w:p>
        </w:tc>
        <w:tc>
          <w:tcPr>
            <w:tcW w:w="1175" w:type="dxa"/>
            <w:vMerge/>
            <w:tcBorders>
              <w:left w:val="single" w:sz="9" w:space="0" w:color="D2D2D2"/>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2919" w:type="dxa"/>
            <w:vMerge/>
            <w:tcBorders>
              <w:left w:val="single" w:sz="4" w:space="0" w:color="000000"/>
              <w:bottom w:val="single" w:sz="4" w:space="0" w:color="000000"/>
              <w:right w:val="single" w:sz="4" w:space="0" w:color="000000"/>
            </w:tcBorders>
          </w:tcPr>
          <w:p>
            <w:pPr/>
          </w:p>
        </w:tc>
      </w:tr>
      <w:tr>
        <w:trPr>
          <w:trHeight w:val="161" w:hRule="exact"/>
        </w:trPr>
        <w:tc>
          <w:tcPr>
            <w:tcW w:w="1358" w:type="dxa"/>
            <w:tcBorders>
              <w:top w:val="single" w:sz="4" w:space="0" w:color="000000"/>
              <w:left w:val="single" w:sz="4" w:space="0" w:color="000000"/>
              <w:bottom w:val="nil" w:sz="6" w:space="0" w:color="auto"/>
              <w:right w:val="single" w:sz="4" w:space="0" w:color="000000"/>
            </w:tcBorders>
            <w:shd w:val="clear" w:color="auto" w:fill="D2D2D2"/>
          </w:tcPr>
          <w:p>
            <w:pPr/>
          </w:p>
        </w:tc>
        <w:tc>
          <w:tcPr>
            <w:tcW w:w="1175"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133,586,072.1</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6</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66" w:right="0"/>
              <w:jc w:val="left"/>
              <w:rPr>
                <w:rFonts w:ascii="Times New Roman" w:hAnsi="Times New Roman" w:cs="Times New Roman" w:eastAsia="Times New Roman" w:hint="default"/>
                <w:sz w:val="18"/>
                <w:szCs w:val="18"/>
              </w:rPr>
            </w:pPr>
            <w:r>
              <w:rPr>
                <w:rFonts w:ascii="Times New Roman"/>
                <w:sz w:val="18"/>
              </w:rPr>
              <w:t>4.32%</w:t>
            </w:r>
          </w:p>
        </w:tc>
        <w:tc>
          <w:tcPr>
            <w:tcW w:w="119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185,730,598.74</w:t>
            </w:r>
          </w:p>
        </w:tc>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66" w:right="0"/>
              <w:jc w:val="left"/>
              <w:rPr>
                <w:rFonts w:ascii="Times New Roman" w:hAnsi="Times New Roman" w:cs="Times New Roman" w:eastAsia="Times New Roman" w:hint="default"/>
                <w:sz w:val="18"/>
                <w:szCs w:val="18"/>
              </w:rPr>
            </w:pPr>
            <w:r>
              <w:rPr>
                <w:rFonts w:ascii="Times New Roman"/>
                <w:sz w:val="18"/>
              </w:rPr>
              <w:t>6.07%</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0" w:right="0"/>
              <w:jc w:val="left"/>
              <w:rPr>
                <w:rFonts w:ascii="Times New Roman" w:hAnsi="Times New Roman" w:cs="Times New Roman" w:eastAsia="Times New Roman" w:hint="default"/>
                <w:sz w:val="18"/>
                <w:szCs w:val="18"/>
              </w:rPr>
            </w:pPr>
            <w:r>
              <w:rPr>
                <w:rFonts w:ascii="Times New Roman"/>
                <w:sz w:val="18"/>
              </w:rPr>
              <w:t>-1.75%</w:t>
            </w:r>
          </w:p>
        </w:tc>
        <w:tc>
          <w:tcPr>
            <w:tcW w:w="2919" w:type="dxa"/>
            <w:vMerge w:val="restart"/>
            <w:tcBorders>
              <w:top w:val="single" w:sz="4" w:space="0" w:color="000000"/>
              <w:left w:val="single" w:sz="4" w:space="0" w:color="000000"/>
              <w:right w:val="single" w:sz="4" w:space="0" w:color="000000"/>
            </w:tcBorders>
          </w:tcPr>
          <w:p>
            <w:pPr>
              <w:pStyle w:val="TableParagraph"/>
              <w:spacing w:line="314" w:lineRule="auto" w:before="49"/>
              <w:ind w:left="23" w:right="183"/>
              <w:jc w:val="left"/>
              <w:rPr>
                <w:rFonts w:ascii="宋体" w:hAnsi="宋体" w:cs="宋体" w:eastAsia="宋体" w:hint="default"/>
                <w:sz w:val="18"/>
                <w:szCs w:val="18"/>
              </w:rPr>
            </w:pPr>
            <w:r>
              <w:rPr>
                <w:rFonts w:ascii="宋体" w:hAnsi="宋体" w:cs="宋体" w:eastAsia="宋体" w:hint="default"/>
                <w:sz w:val="18"/>
                <w:szCs w:val="18"/>
              </w:rPr>
              <w:t>主要原因为重大集成项目结算以及 计提存货减值所致</w:t>
            </w:r>
          </w:p>
        </w:tc>
      </w:tr>
      <w:tr>
        <w:trPr>
          <w:trHeight w:val="391" w:hRule="exact"/>
        </w:trPr>
        <w:tc>
          <w:tcPr>
            <w:tcW w:w="135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75" w:type="dxa"/>
            <w:vMerge/>
            <w:tcBorders>
              <w:left w:val="single" w:sz="9" w:space="0" w:color="D2D2D2"/>
              <w:right w:val="single" w:sz="4" w:space="0" w:color="000000"/>
            </w:tcBorders>
          </w:tcPr>
          <w:p>
            <w:pPr/>
          </w:p>
        </w:tc>
        <w:tc>
          <w:tcPr>
            <w:tcW w:w="1064"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c>
          <w:tcPr>
            <w:tcW w:w="1064"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2919" w:type="dxa"/>
            <w:vMerge/>
            <w:tcBorders>
              <w:left w:val="single" w:sz="4" w:space="0" w:color="000000"/>
              <w:right w:val="single" w:sz="4" w:space="0" w:color="000000"/>
            </w:tcBorders>
          </w:tcPr>
          <w:p>
            <w:pPr/>
          </w:p>
        </w:tc>
      </w:tr>
      <w:tr>
        <w:trPr>
          <w:trHeight w:val="161" w:hRule="exact"/>
        </w:trPr>
        <w:tc>
          <w:tcPr>
            <w:tcW w:w="1358" w:type="dxa"/>
            <w:tcBorders>
              <w:top w:val="nil" w:sz="6" w:space="0" w:color="auto"/>
              <w:left w:val="single" w:sz="4" w:space="0" w:color="000000"/>
              <w:bottom w:val="single" w:sz="4" w:space="0" w:color="000000"/>
              <w:right w:val="single" w:sz="4" w:space="0" w:color="000000"/>
            </w:tcBorders>
            <w:shd w:val="clear" w:color="auto" w:fill="D2D2D2"/>
          </w:tcPr>
          <w:p>
            <w:pPr/>
          </w:p>
        </w:tc>
        <w:tc>
          <w:tcPr>
            <w:tcW w:w="1175" w:type="dxa"/>
            <w:vMerge/>
            <w:tcBorders>
              <w:left w:val="single" w:sz="9" w:space="0" w:color="D2D2D2"/>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064"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2919" w:type="dxa"/>
            <w:vMerge/>
            <w:tcBorders>
              <w:left w:val="single" w:sz="4" w:space="0" w:color="000000"/>
              <w:bottom w:val="single" w:sz="4" w:space="0" w:color="000000"/>
              <w:right w:val="single" w:sz="4" w:space="0" w:color="000000"/>
            </w:tcBorders>
          </w:tcPr>
          <w:p>
            <w:pPr/>
          </w:p>
        </w:tc>
      </w:tr>
      <w:tr>
        <w:trPr>
          <w:trHeight w:val="403" w:hRule="exact"/>
        </w:trPr>
        <w:tc>
          <w:tcPr>
            <w:tcW w:w="1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17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71,805,792.58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72,595,627.78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-0.05%</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原因为计提折旧所致</w:t>
            </w:r>
          </w:p>
        </w:tc>
      </w:tr>
      <w:tr>
        <w:trPr>
          <w:trHeight w:val="401" w:hRule="exact"/>
        </w:trPr>
        <w:tc>
          <w:tcPr>
            <w:tcW w:w="1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7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7,908,743.79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0.26%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11,530,432.97</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0.38%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-0.12%</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7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58,513,363.22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1.89%</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61,041,560.30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-0.10%</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75" w:type="dxa"/>
            <w:tcBorders>
              <w:top w:val="single" w:sz="4" w:space="0" w:color="000000"/>
              <w:left w:val="single" w:sz="12" w:space="0" w:color="D2D2D2"/>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7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12"/>
              <w:ind w:right="19"/>
              <w:jc w:val="right"/>
              <w:rPr>
                <w:rFonts w:ascii="Times New Roman" w:hAnsi="Times New Roman" w:cs="Times New Roman" w:eastAsia="Times New Roman" w:hint="default"/>
                <w:sz w:val="18"/>
                <w:szCs w:val="18"/>
              </w:rPr>
            </w:pPr>
            <w:r>
              <w:rPr>
                <w:rFonts w:ascii="Times New Roman"/>
                <w:spacing w:val="-1"/>
                <w:sz w:val="18"/>
              </w:rPr>
              <w:t>167,000,000.0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5.41%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89,790,217.00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2.48%</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主要原因为使用银行票据融资所致</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7"/>
        <w:gridCol w:w="1164"/>
        <w:gridCol w:w="1064"/>
        <w:gridCol w:w="1195"/>
        <w:gridCol w:w="1064"/>
        <w:gridCol w:w="797"/>
        <w:gridCol w:w="2919"/>
      </w:tblGrid>
      <w:tr>
        <w:trPr>
          <w:trHeight w:val="36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291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、以公允价值计量的资产和负债</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、截至报告期末的资产权利受限情况</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45" w:type="dxa"/>
        <w:tblLayout w:type="fixed"/>
        <w:tblCellMar>
          <w:top w:w="0" w:type="dxa"/>
          <w:left w:w="0" w:type="dxa"/>
          <w:bottom w:w="0" w:type="dxa"/>
          <w:right w:w="0" w:type="dxa"/>
        </w:tblCellMar>
        <w:tblLook w:val="01E0"/>
      </w:tblPr>
      <w:tblGrid>
        <w:gridCol w:w="3795"/>
        <w:gridCol w:w="2499"/>
        <w:gridCol w:w="2499"/>
      </w:tblGrid>
      <w:tr>
        <w:trPr>
          <w:trHeight w:val="427" w:hRule="exact"/>
        </w:trPr>
        <w:tc>
          <w:tcPr>
            <w:tcW w:w="3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700"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24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right="2"/>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28" w:hRule="exact"/>
        </w:trPr>
        <w:tc>
          <w:tcPr>
            <w:tcW w:w="3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left="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4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
              <w:jc w:val="right"/>
              <w:rPr>
                <w:rFonts w:ascii="Times New Roman" w:hAnsi="Times New Roman" w:cs="Times New Roman" w:eastAsia="Times New Roman" w:hint="default"/>
                <w:sz w:val="18"/>
                <w:szCs w:val="18"/>
              </w:rPr>
            </w:pPr>
            <w:r>
              <w:rPr>
                <w:rFonts w:ascii="Times New Roman"/>
                <w:spacing w:val="-1"/>
                <w:sz w:val="18"/>
              </w:rPr>
              <w:t>11,539,689.05</w:t>
            </w:r>
          </w:p>
        </w:tc>
        <w:tc>
          <w:tcPr>
            <w:tcW w:w="24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9"/>
              <w:ind w:right="182"/>
              <w:jc w:val="right"/>
              <w:rPr>
                <w:rFonts w:ascii="宋体" w:hAnsi="宋体" w:cs="宋体" w:eastAsia="宋体" w:hint="default"/>
                <w:sz w:val="18"/>
                <w:szCs w:val="18"/>
              </w:rPr>
            </w:pPr>
            <w:r>
              <w:rPr>
                <w:rFonts w:ascii="宋体" w:hAnsi="宋体" w:cs="宋体" w:eastAsia="宋体" w:hint="default"/>
                <w:sz w:val="18"/>
                <w:szCs w:val="18"/>
              </w:rPr>
              <w:t>保函保证金和专项资金</w:t>
            </w:r>
          </w:p>
        </w:tc>
      </w:tr>
      <w:tr>
        <w:trPr>
          <w:trHeight w:val="425" w:hRule="exact"/>
        </w:trPr>
        <w:tc>
          <w:tcPr>
            <w:tcW w:w="3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left="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4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spacing w:val="-1"/>
                <w:sz w:val="18"/>
              </w:rPr>
              <w:t>20,114,488.61</w:t>
            </w:r>
          </w:p>
        </w:tc>
        <w:tc>
          <w:tcPr>
            <w:tcW w:w="24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8"/>
              <w:ind w:right="182"/>
              <w:jc w:val="right"/>
              <w:rPr>
                <w:rFonts w:ascii="宋体" w:hAnsi="宋体" w:cs="宋体" w:eastAsia="宋体" w:hint="default"/>
                <w:sz w:val="18"/>
                <w:szCs w:val="18"/>
              </w:rPr>
            </w:pPr>
            <w:r>
              <w:rPr>
                <w:rFonts w:ascii="宋体" w:hAnsi="宋体" w:cs="宋体" w:eastAsia="宋体" w:hint="default"/>
                <w:sz w:val="18"/>
                <w:szCs w:val="18"/>
              </w:rPr>
              <w:t>抵押借款尚未到期</w:t>
            </w:r>
          </w:p>
        </w:tc>
      </w:tr>
      <w:tr>
        <w:trPr>
          <w:trHeight w:val="427" w:hRule="exact"/>
        </w:trPr>
        <w:tc>
          <w:tcPr>
            <w:tcW w:w="3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24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2"/>
              <w:jc w:val="right"/>
              <w:rPr>
                <w:rFonts w:ascii="Times New Roman" w:hAnsi="Times New Roman" w:cs="Times New Roman" w:eastAsia="Times New Roman" w:hint="default"/>
                <w:sz w:val="18"/>
                <w:szCs w:val="18"/>
              </w:rPr>
            </w:pPr>
            <w:r>
              <w:rPr>
                <w:rFonts w:ascii="Times New Roman"/>
                <w:spacing w:val="-1"/>
                <w:sz w:val="18"/>
              </w:rPr>
              <w:t>5,087,506.67</w:t>
            </w:r>
          </w:p>
        </w:tc>
        <w:tc>
          <w:tcPr>
            <w:tcW w:w="24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82"/>
              <w:jc w:val="right"/>
              <w:rPr>
                <w:rFonts w:ascii="宋体" w:hAnsi="宋体" w:cs="宋体" w:eastAsia="宋体" w:hint="default"/>
                <w:sz w:val="18"/>
                <w:szCs w:val="18"/>
              </w:rPr>
            </w:pPr>
            <w:r>
              <w:rPr>
                <w:rFonts w:ascii="宋体" w:hAnsi="宋体" w:cs="宋体" w:eastAsia="宋体" w:hint="default"/>
                <w:sz w:val="18"/>
                <w:szCs w:val="18"/>
              </w:rPr>
              <w:t>抵押借款尚未到期</w:t>
            </w:r>
          </w:p>
        </w:tc>
      </w:tr>
      <w:tr>
        <w:trPr>
          <w:trHeight w:val="427" w:hRule="exact"/>
        </w:trPr>
        <w:tc>
          <w:tcPr>
            <w:tcW w:w="3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4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2"/>
              <w:jc w:val="right"/>
              <w:rPr>
                <w:rFonts w:ascii="Times New Roman" w:hAnsi="Times New Roman" w:cs="Times New Roman" w:eastAsia="Times New Roman" w:hint="default"/>
                <w:sz w:val="18"/>
                <w:szCs w:val="18"/>
              </w:rPr>
            </w:pPr>
            <w:r>
              <w:rPr>
                <w:rFonts w:ascii="Times New Roman"/>
                <w:spacing w:val="-1"/>
                <w:sz w:val="18"/>
              </w:rPr>
              <w:t>12,089,714.04</w:t>
            </w:r>
          </w:p>
        </w:tc>
        <w:tc>
          <w:tcPr>
            <w:tcW w:w="24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82"/>
              <w:jc w:val="right"/>
              <w:rPr>
                <w:rFonts w:ascii="宋体" w:hAnsi="宋体" w:cs="宋体" w:eastAsia="宋体" w:hint="default"/>
                <w:sz w:val="18"/>
                <w:szCs w:val="18"/>
              </w:rPr>
            </w:pPr>
            <w:r>
              <w:rPr>
                <w:rFonts w:ascii="宋体" w:hAnsi="宋体" w:cs="宋体" w:eastAsia="宋体" w:hint="default"/>
                <w:sz w:val="18"/>
                <w:szCs w:val="18"/>
              </w:rPr>
              <w:t>抵押借款尚未到期</w:t>
            </w:r>
          </w:p>
        </w:tc>
      </w:tr>
      <w:tr>
        <w:trPr>
          <w:trHeight w:val="427" w:hRule="exact"/>
        </w:trPr>
        <w:tc>
          <w:tcPr>
            <w:tcW w:w="37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3"/>
              <w:ind w:right="2"/>
              <w:jc w:val="right"/>
              <w:rPr>
                <w:rFonts w:ascii="Times New Roman" w:hAnsi="Times New Roman" w:cs="Times New Roman" w:eastAsia="Times New Roman" w:hint="default"/>
                <w:sz w:val="18"/>
                <w:szCs w:val="18"/>
              </w:rPr>
            </w:pPr>
            <w:r>
              <w:rPr>
                <w:rFonts w:ascii="Times New Roman"/>
                <w:spacing w:val="-1"/>
                <w:sz w:val="18"/>
              </w:rPr>
              <w:t>48,831,398.37</w:t>
            </w:r>
          </w:p>
        </w:tc>
        <w:tc>
          <w:tcPr>
            <w:tcW w:w="2499"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5"/>
          <w:szCs w:val="25"/>
        </w:rPr>
      </w:pPr>
    </w:p>
    <w:p>
      <w:pPr>
        <w:pStyle w:val="Heading2"/>
        <w:spacing w:line="240" w:lineRule="auto" w:before="26"/>
        <w:ind w:right="982"/>
        <w:jc w:val="left"/>
        <w:rPr>
          <w:b w:val="0"/>
          <w:bCs w:val="0"/>
        </w:rPr>
      </w:pPr>
      <w:r>
        <w:rPr/>
        <w:t>五、投资状况分析</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、总体情况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80"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91"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64,725,000.00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-69.10%</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、报告期内获取的重大的股权投资情况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6"/>
          <w:szCs w:val="26"/>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、报告期内正在进行的重大的非股权投资情况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、以公允价值计量的金融资产</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5"/>
          <w:szCs w:val="25"/>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、募集资金使用情况</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）募集资金总体使用情况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1"/>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864"/>
        <w:gridCol w:w="871"/>
        <w:gridCol w:w="869"/>
        <w:gridCol w:w="872"/>
        <w:gridCol w:w="869"/>
        <w:gridCol w:w="872"/>
        <w:gridCol w:w="869"/>
        <w:gridCol w:w="871"/>
        <w:gridCol w:w="869"/>
        <w:gridCol w:w="871"/>
        <w:gridCol w:w="869"/>
      </w:tblGrid>
      <w:tr>
        <w:trPr>
          <w:trHeight w:val="1337"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募集方式</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49" w:right="67" w:hanging="180"/>
              <w:jc w:val="left"/>
              <w:rPr>
                <w:rFonts w:ascii="宋体" w:hAnsi="宋体" w:cs="宋体" w:eastAsia="宋体" w:hint="default"/>
                <w:sz w:val="18"/>
                <w:szCs w:val="18"/>
              </w:rPr>
            </w:pPr>
            <w:r>
              <w:rPr>
                <w:rFonts w:ascii="宋体" w:hAnsi="宋体" w:cs="宋体" w:eastAsia="宋体" w:hint="default"/>
                <w:sz w:val="18"/>
                <w:szCs w:val="18"/>
              </w:rPr>
              <w:t>募集资金 总额</w:t>
            </w: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72" w:right="67"/>
              <w:jc w:val="both"/>
              <w:rPr>
                <w:rFonts w:ascii="宋体" w:hAnsi="宋体" w:cs="宋体" w:eastAsia="宋体" w:hint="default"/>
                <w:sz w:val="18"/>
                <w:szCs w:val="18"/>
              </w:rPr>
            </w:pPr>
            <w:r>
              <w:rPr>
                <w:rFonts w:ascii="宋体" w:hAnsi="宋体" w:cs="宋体" w:eastAsia="宋体" w:hint="default"/>
                <w:sz w:val="18"/>
                <w:szCs w:val="18"/>
              </w:rPr>
              <w:t>本期已使 用募集资 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9" w:right="67"/>
              <w:jc w:val="both"/>
              <w:rPr>
                <w:rFonts w:ascii="宋体" w:hAnsi="宋体" w:cs="宋体" w:eastAsia="宋体" w:hint="default"/>
                <w:sz w:val="18"/>
                <w:szCs w:val="18"/>
              </w:rPr>
            </w:pPr>
            <w:r>
              <w:rPr>
                <w:rFonts w:ascii="宋体" w:hAnsi="宋体" w:cs="宋体" w:eastAsia="宋体" w:hint="default"/>
                <w:sz w:val="18"/>
                <w:szCs w:val="18"/>
              </w:rPr>
              <w:t>已累计使 用募集资 金总额</w:t>
            </w: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2" w:right="69"/>
              <w:jc w:val="both"/>
              <w:rPr>
                <w:rFonts w:ascii="宋体" w:hAnsi="宋体" w:cs="宋体" w:eastAsia="宋体" w:hint="default"/>
                <w:sz w:val="18"/>
                <w:szCs w:val="18"/>
              </w:rPr>
            </w:pPr>
            <w:r>
              <w:rPr>
                <w:rFonts w:ascii="宋体" w:hAnsi="宋体" w:cs="宋体" w:eastAsia="宋体" w:hint="default"/>
                <w:sz w:val="18"/>
                <w:szCs w:val="18"/>
              </w:rPr>
              <w:t>报告期内 变更用途 的募集资 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69" w:right="67"/>
              <w:jc w:val="center"/>
              <w:rPr>
                <w:rFonts w:ascii="宋体" w:hAnsi="宋体" w:cs="宋体" w:eastAsia="宋体" w:hint="default"/>
                <w:sz w:val="18"/>
                <w:szCs w:val="18"/>
              </w:rPr>
            </w:pPr>
            <w:r>
              <w:rPr>
                <w:rFonts w:ascii="宋体" w:hAnsi="宋体" w:cs="宋体" w:eastAsia="宋体" w:hint="default"/>
                <w:sz w:val="18"/>
                <w:szCs w:val="18"/>
              </w:rPr>
              <w:t>累计变更 用途的募 集资金总 额</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69" w:right="71"/>
              <w:jc w:val="both"/>
              <w:rPr>
                <w:rFonts w:ascii="宋体" w:hAnsi="宋体" w:cs="宋体" w:eastAsia="宋体" w:hint="default"/>
                <w:sz w:val="18"/>
                <w:szCs w:val="18"/>
              </w:rPr>
            </w:pPr>
            <w:r>
              <w:rPr>
                <w:rFonts w:ascii="宋体" w:hAnsi="宋体" w:cs="宋体" w:eastAsia="宋体" w:hint="default"/>
                <w:sz w:val="18"/>
                <w:szCs w:val="18"/>
              </w:rPr>
              <w:t>累计变更 用途的募 集资金总 额比例</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9" w:right="68"/>
              <w:jc w:val="center"/>
              <w:rPr>
                <w:rFonts w:ascii="宋体" w:hAnsi="宋体" w:cs="宋体" w:eastAsia="宋体" w:hint="default"/>
                <w:sz w:val="18"/>
                <w:szCs w:val="18"/>
              </w:rPr>
            </w:pPr>
            <w:r>
              <w:rPr>
                <w:rFonts w:ascii="宋体" w:hAnsi="宋体" w:cs="宋体" w:eastAsia="宋体" w:hint="default"/>
                <w:sz w:val="18"/>
                <w:szCs w:val="18"/>
              </w:rPr>
              <w:t>尚未使用 募集资金 总额</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69" w:right="71"/>
              <w:jc w:val="center"/>
              <w:rPr>
                <w:rFonts w:ascii="宋体" w:hAnsi="宋体" w:cs="宋体" w:eastAsia="宋体" w:hint="default"/>
                <w:sz w:val="18"/>
                <w:szCs w:val="18"/>
              </w:rPr>
            </w:pPr>
            <w:r>
              <w:rPr>
                <w:rFonts w:ascii="宋体" w:hAnsi="宋体" w:cs="宋体" w:eastAsia="宋体" w:hint="default"/>
                <w:sz w:val="18"/>
                <w:szCs w:val="18"/>
              </w:rPr>
              <w:t>尚未使用 募集资金 用途及去 向</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9" w:right="67"/>
              <w:jc w:val="both"/>
              <w:rPr>
                <w:rFonts w:ascii="宋体" w:hAnsi="宋体" w:cs="宋体" w:eastAsia="宋体" w:hint="default"/>
                <w:sz w:val="18"/>
                <w:szCs w:val="18"/>
              </w:rPr>
            </w:pPr>
            <w:r>
              <w:rPr>
                <w:rFonts w:ascii="宋体" w:hAnsi="宋体" w:cs="宋体" w:eastAsia="宋体" w:hint="default"/>
                <w:sz w:val="18"/>
                <w:szCs w:val="18"/>
              </w:rPr>
              <w:t>闲置两年 以上募集 资金金额</w:t>
            </w:r>
          </w:p>
        </w:tc>
      </w:tr>
      <w:tr>
        <w:trPr>
          <w:trHeight w:val="1028"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2017</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4" w:lineRule="auto"/>
              <w:ind w:left="26" w:right="113"/>
              <w:jc w:val="left"/>
              <w:rPr>
                <w:rFonts w:ascii="宋体" w:hAnsi="宋体" w:cs="宋体" w:eastAsia="宋体" w:hint="default"/>
                <w:sz w:val="18"/>
                <w:szCs w:val="18"/>
              </w:rPr>
            </w:pPr>
            <w:r>
              <w:rPr>
                <w:rFonts w:ascii="宋体" w:hAnsi="宋体" w:cs="宋体" w:eastAsia="宋体" w:hint="default"/>
                <w:sz w:val="18"/>
                <w:szCs w:val="18"/>
              </w:rPr>
              <w:t>非公开发 行</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53,810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99" w:right="0"/>
              <w:jc w:val="center"/>
              <w:rPr>
                <w:rFonts w:ascii="Times New Roman" w:hAnsi="Times New Roman" w:cs="Times New Roman" w:eastAsia="Times New Roman" w:hint="default"/>
                <w:sz w:val="18"/>
                <w:szCs w:val="18"/>
              </w:rPr>
            </w:pPr>
            <w:r>
              <w:rPr>
                <w:rFonts w:ascii="Times New Roman"/>
                <w:sz w:val="18"/>
              </w:rPr>
              <w:t>14,965.18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38,425.82</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24,500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45.53%</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15,384.18</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15"/>
              <w:jc w:val="both"/>
              <w:rPr>
                <w:rFonts w:ascii="宋体" w:hAnsi="宋体" w:cs="宋体" w:eastAsia="宋体" w:hint="default"/>
                <w:sz w:val="18"/>
                <w:szCs w:val="18"/>
              </w:rPr>
            </w:pPr>
            <w:r>
              <w:rPr>
                <w:rFonts w:ascii="宋体" w:hAnsi="宋体" w:cs="宋体" w:eastAsia="宋体" w:hint="default"/>
                <w:sz w:val="18"/>
                <w:szCs w:val="18"/>
              </w:rPr>
              <w:t>募集资金 专项账户 存储</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53,810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9" w:right="0"/>
              <w:jc w:val="center"/>
              <w:rPr>
                <w:rFonts w:ascii="Times New Roman" w:hAnsi="Times New Roman" w:cs="Times New Roman" w:eastAsia="Times New Roman" w:hint="default"/>
                <w:sz w:val="18"/>
                <w:szCs w:val="18"/>
              </w:rPr>
            </w:pPr>
            <w:r>
              <w:rPr>
                <w:rFonts w:ascii="Times New Roman"/>
                <w:sz w:val="18"/>
              </w:rPr>
              <w:t>14,965.18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38,425.82</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24,500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45.53%</w:t>
            </w:r>
          </w:p>
        </w:tc>
        <w:tc>
          <w:tcPr>
            <w:tcW w:w="869"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15,384.18</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9566"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2276" w:hRule="exact"/>
        </w:trPr>
        <w:tc>
          <w:tcPr>
            <w:tcW w:w="9566"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根据公司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年度股东大会决议及中国证券监督管理委员会《关于核准北京数字政通科技股份有限公司非公开发行股票</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的批复</w:t>
            </w:r>
            <w:r>
              <w:rPr>
                <w:rFonts w:ascii="宋体" w:hAnsi="宋体" w:cs="宋体" w:eastAsia="宋体" w:hint="default"/>
                <w:spacing w:val="-92"/>
                <w:sz w:val="18"/>
                <w:szCs w:val="18"/>
              </w:rPr>
              <w:t>》</w:t>
            </w:r>
            <w:r>
              <w:rPr>
                <w:rFonts w:ascii="宋体" w:hAnsi="宋体" w:cs="宋体" w:eastAsia="宋体" w:hint="default"/>
                <w:sz w:val="18"/>
                <w:szCs w:val="18"/>
              </w:rPr>
              <w:t>（证监许可</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2"/>
                <w:sz w:val="18"/>
                <w:szCs w:val="18"/>
              </w:rPr>
              <w:t>7</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8</w:t>
            </w:r>
            <w:r>
              <w:rPr>
                <w:rFonts w:ascii="Times New Roman" w:hAnsi="Times New Roman" w:cs="Times New Roman" w:eastAsia="Times New Roman" w:hint="default"/>
                <w:sz w:val="18"/>
                <w:szCs w:val="18"/>
              </w:rPr>
              <w:t>4 </w:t>
            </w:r>
            <w:r>
              <w:rPr>
                <w:rFonts w:ascii="宋体" w:hAnsi="宋体" w:cs="宋体" w:eastAsia="宋体" w:hint="default"/>
                <w:sz w:val="18"/>
                <w:szCs w:val="18"/>
              </w:rPr>
              <w:t>号）核准，公司于</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日采用非公开发行方式</w:t>
            </w:r>
            <w:r>
              <w:rPr>
                <w:rFonts w:ascii="宋体" w:hAnsi="宋体" w:cs="宋体" w:eastAsia="宋体" w:hint="default"/>
                <w:spacing w:val="-3"/>
                <w:sz w:val="18"/>
                <w:szCs w:val="18"/>
              </w:rPr>
              <w:t>向</w:t>
            </w:r>
            <w:r>
              <w:rPr>
                <w:rFonts w:ascii="宋体" w:hAnsi="宋体" w:cs="宋体" w:eastAsia="宋体" w:hint="default"/>
                <w:sz w:val="18"/>
                <w:szCs w:val="18"/>
              </w:rPr>
              <w:t>特定投资者发行股票数量为</w:t>
            </w:r>
          </w:p>
          <w:p>
            <w:pPr>
              <w:pStyle w:val="TableParagraph"/>
              <w:spacing w:line="304" w:lineRule="auto" w:before="63"/>
              <w:ind w:left="24" w:right="2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29,039,395</w:t>
            </w:r>
            <w:r>
              <w:rPr>
                <w:rFonts w:ascii="Times New Roman" w:hAnsi="Times New Roman" w:cs="Times New Roman" w:eastAsia="Times New Roman" w:hint="default"/>
                <w:spacing w:val="7"/>
                <w:sz w:val="18"/>
                <w:szCs w:val="18"/>
              </w:rPr>
              <w:t> </w:t>
            </w:r>
            <w:r>
              <w:rPr>
                <w:rFonts w:ascii="宋体" w:hAnsi="宋体" w:cs="宋体" w:eastAsia="宋体" w:hint="default"/>
                <w:spacing w:val="-3"/>
                <w:sz w:val="18"/>
                <w:szCs w:val="18"/>
              </w:rPr>
              <w:t>股（发行价每股</w:t>
            </w:r>
            <w:r>
              <w:rPr>
                <w:rFonts w:ascii="宋体" w:hAnsi="宋体" w:cs="宋体" w:eastAsia="宋体" w:hint="default"/>
                <w:spacing w:val="-43"/>
                <w:sz w:val="18"/>
                <w:szCs w:val="18"/>
              </w:rPr>
              <w:t> </w:t>
            </w:r>
            <w:r>
              <w:rPr>
                <w:rFonts w:ascii="Times New Roman" w:hAnsi="Times New Roman" w:cs="Times New Roman" w:eastAsia="Times New Roman" w:hint="default"/>
                <w:spacing w:val="-1"/>
                <w:sz w:val="18"/>
                <w:szCs w:val="18"/>
              </w:rPr>
              <w:t>18.53</w:t>
            </w:r>
            <w:r>
              <w:rPr>
                <w:rFonts w:ascii="Times New Roman" w:hAnsi="Times New Roman" w:cs="Times New Roman" w:eastAsia="Times New Roman" w:hint="default"/>
                <w:spacing w:val="6"/>
                <w:sz w:val="18"/>
                <w:szCs w:val="18"/>
              </w:rPr>
              <w:t> </w:t>
            </w:r>
            <w:r>
              <w:rPr>
                <w:rFonts w:ascii="宋体" w:hAnsi="宋体" w:cs="宋体" w:eastAsia="宋体" w:hint="default"/>
                <w:spacing w:val="-8"/>
                <w:sz w:val="18"/>
                <w:szCs w:val="18"/>
              </w:rPr>
              <w:t>元），并申请增加注册资本人民币</w:t>
            </w:r>
            <w:r>
              <w:rPr>
                <w:rFonts w:ascii="宋体" w:hAnsi="宋体" w:cs="宋体" w:eastAsia="宋体" w:hint="default"/>
                <w:spacing w:val="-40"/>
                <w:sz w:val="18"/>
                <w:szCs w:val="18"/>
              </w:rPr>
              <w:t> </w:t>
            </w:r>
            <w:r>
              <w:rPr>
                <w:rFonts w:ascii="Times New Roman" w:hAnsi="Times New Roman" w:cs="Times New Roman" w:eastAsia="Times New Roman" w:hint="default"/>
                <w:spacing w:val="-1"/>
                <w:sz w:val="18"/>
                <w:szCs w:val="18"/>
              </w:rPr>
              <w:t>29,039,395.00</w:t>
            </w:r>
            <w:r>
              <w:rPr>
                <w:rFonts w:ascii="Times New Roman" w:hAnsi="Times New Roman" w:cs="Times New Roman" w:eastAsia="Times New Roman" w:hint="default"/>
                <w:spacing w:val="6"/>
                <w:sz w:val="18"/>
                <w:szCs w:val="18"/>
              </w:rPr>
              <w:t> </w:t>
            </w:r>
            <w:r>
              <w:rPr>
                <w:rFonts w:ascii="宋体" w:hAnsi="宋体" w:cs="宋体" w:eastAsia="宋体" w:hint="default"/>
                <w:spacing w:val="-8"/>
                <w:sz w:val="18"/>
                <w:szCs w:val="18"/>
              </w:rPr>
              <w:t>元，由</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5"/>
                <w:sz w:val="18"/>
                <w:szCs w:val="18"/>
              </w:rPr>
              <w:t> </w:t>
            </w:r>
            <w:r>
              <w:rPr>
                <w:rFonts w:ascii="宋体" w:hAnsi="宋体" w:cs="宋体" w:eastAsia="宋体" w:hint="default"/>
                <w:spacing w:val="-2"/>
                <w:sz w:val="18"/>
                <w:szCs w:val="18"/>
              </w:rPr>
              <w:t>个发行对象投入，出资方式为货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币。瑞华会计师事务所（特殊普通合伙）出具了</w:t>
            </w:r>
            <w:r>
              <w:rPr>
                <w:rFonts w:ascii="Times New Roman" w:hAnsi="Times New Roman" w:cs="Times New Roman" w:eastAsia="Times New Roman" w:hint="default"/>
                <w:sz w:val="18"/>
                <w:szCs w:val="18"/>
              </w:rPr>
              <w:t>“</w:t>
            </w:r>
            <w:r>
              <w:rPr>
                <w:rFonts w:ascii="宋体" w:hAnsi="宋体" w:cs="宋体" w:eastAsia="宋体" w:hint="default"/>
                <w:sz w:val="18"/>
                <w:szCs w:val="18"/>
              </w:rPr>
              <w:t>瑞华验字</w:t>
            </w:r>
            <w:r>
              <w:rPr>
                <w:rFonts w:ascii="Times New Roman" w:hAnsi="Times New Roman" w:cs="Times New Roman" w:eastAsia="Times New Roman" w:hint="default"/>
                <w:sz w:val="18"/>
                <w:szCs w:val="18"/>
              </w:rPr>
              <w:t>[2017]01310007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的验资报告予以验证，根据该验资报告，截 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日止，公司已收到主承销商转付的最终配售对象缴付的募集资金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538,099,989.35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元，扣除中泰证券股份 </w:t>
            </w:r>
            <w:r>
              <w:rPr>
                <w:rFonts w:ascii="宋体" w:hAnsi="宋体" w:cs="宋体" w:eastAsia="宋体" w:hint="default"/>
                <w:spacing w:val="-2"/>
                <w:sz w:val="18"/>
                <w:szCs w:val="18"/>
              </w:rPr>
              <w:t>有限公司、瑞华会计师事务所（特殊普通合伙）、北京市康达律师事务所等中介机构的发行费用后实际募集资金净额人民</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币</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526,459,909.53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其中新增注册资本人民币</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29,039,395.00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元，余额人民币</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497,420,514.53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元转入资本公积。</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）募集资金承诺项目情况</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22"/>
        <w:gridCol w:w="913"/>
        <w:gridCol w:w="722"/>
        <w:gridCol w:w="721"/>
        <w:gridCol w:w="722"/>
        <w:gridCol w:w="720"/>
        <w:gridCol w:w="720"/>
        <w:gridCol w:w="722"/>
        <w:gridCol w:w="722"/>
        <w:gridCol w:w="720"/>
        <w:gridCol w:w="723"/>
        <w:gridCol w:w="722"/>
        <w:gridCol w:w="722"/>
      </w:tblGrid>
      <w:tr>
        <w:trPr>
          <w:trHeight w:val="1651" w:hRule="exact"/>
        </w:trPr>
        <w:tc>
          <w:tcPr>
            <w:tcW w:w="16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4" w:lineRule="auto"/>
              <w:ind w:left="362" w:right="93" w:hanging="272"/>
              <w:jc w:val="left"/>
              <w:rPr>
                <w:rFonts w:ascii="宋体" w:hAnsi="宋体" w:cs="宋体" w:eastAsia="宋体" w:hint="default"/>
                <w:sz w:val="18"/>
                <w:szCs w:val="18"/>
              </w:rPr>
            </w:pPr>
            <w:r>
              <w:rPr>
                <w:rFonts w:ascii="宋体" w:hAnsi="宋体" w:cs="宋体" w:eastAsia="宋体" w:hint="default"/>
                <w:sz w:val="18"/>
                <w:szCs w:val="18"/>
              </w:rPr>
              <w:t>承诺投资项目和超 募资金投向</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2" w:lineRule="auto"/>
              <w:ind w:left="57" w:right="53" w:firstLine="28"/>
              <w:jc w:val="both"/>
              <w:rPr>
                <w:rFonts w:ascii="Times New Roman" w:hAnsi="Times New Roman" w:cs="Times New Roman" w:eastAsia="Times New Roman" w:hint="default"/>
                <w:sz w:val="18"/>
                <w:szCs w:val="18"/>
              </w:rPr>
            </w:pPr>
            <w:r>
              <w:rPr>
                <w:rFonts w:ascii="宋体" w:hAnsi="宋体" w:cs="宋体" w:eastAsia="宋体" w:hint="default"/>
                <w:sz w:val="18"/>
                <w:szCs w:val="18"/>
              </w:rPr>
              <w:t>是否已 变更项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含部 分变更</w:t>
            </w:r>
            <w:r>
              <w:rPr>
                <w:rFonts w:ascii="Times New Roman" w:hAnsi="Times New Roman" w:cs="Times New Roman" w:eastAsia="Times New Roman" w:hint="default"/>
                <w:sz w:val="18"/>
                <w:szCs w:val="18"/>
              </w:rPr>
              <w:t>)</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86" w:right="82"/>
              <w:jc w:val="center"/>
              <w:rPr>
                <w:rFonts w:ascii="宋体" w:hAnsi="宋体" w:cs="宋体" w:eastAsia="宋体" w:hint="default"/>
                <w:sz w:val="18"/>
                <w:szCs w:val="18"/>
              </w:rPr>
            </w:pPr>
            <w:r>
              <w:rPr>
                <w:rFonts w:ascii="宋体" w:hAnsi="宋体" w:cs="宋体" w:eastAsia="宋体" w:hint="default"/>
                <w:sz w:val="18"/>
                <w:szCs w:val="18"/>
              </w:rPr>
              <w:t>募集资 金承诺 投资总 额</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86" w:right="84"/>
              <w:jc w:val="both"/>
              <w:rPr>
                <w:rFonts w:ascii="Times New Roman" w:hAnsi="Times New Roman" w:cs="Times New Roman" w:eastAsia="Times New Roman" w:hint="default"/>
                <w:sz w:val="18"/>
                <w:szCs w:val="18"/>
              </w:rPr>
            </w:pPr>
            <w:r>
              <w:rPr>
                <w:rFonts w:ascii="宋体" w:hAnsi="宋体" w:cs="宋体" w:eastAsia="宋体" w:hint="default"/>
                <w:sz w:val="18"/>
                <w:szCs w:val="18"/>
              </w:rPr>
              <w:t>调整后 投资总 额</w:t>
            </w:r>
            <w:r>
              <w:rPr>
                <w:rFonts w:ascii="Times New Roman" w:hAnsi="Times New Roman" w:cs="Times New Roman" w:eastAsia="Times New Roman" w:hint="default"/>
                <w:sz w:val="18"/>
                <w:szCs w:val="18"/>
              </w:rPr>
              <w:t>(1)</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86" w:right="83"/>
              <w:jc w:val="both"/>
              <w:rPr>
                <w:rFonts w:ascii="宋体" w:hAnsi="宋体" w:cs="宋体" w:eastAsia="宋体" w:hint="default"/>
                <w:sz w:val="18"/>
                <w:szCs w:val="18"/>
              </w:rPr>
            </w:pPr>
            <w:r>
              <w:rPr>
                <w:rFonts w:ascii="宋体" w:hAnsi="宋体" w:cs="宋体" w:eastAsia="宋体" w:hint="default"/>
                <w:sz w:val="18"/>
                <w:szCs w:val="18"/>
              </w:rPr>
              <w:t>本报告 期投入 金额</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86" w:right="82"/>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末累计 投入金 额</w:t>
            </w:r>
            <w:r>
              <w:rPr>
                <w:rFonts w:ascii="Times New Roman" w:hAnsi="Times New Roman" w:cs="Times New Roman" w:eastAsia="Times New Roman" w:hint="default"/>
                <w:sz w:val="18"/>
                <w:szCs w:val="18"/>
              </w:rPr>
              <w:t>(2)</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71" w:right="67" w:firstLine="14"/>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末投资 进度</w:t>
            </w:r>
            <w:r>
              <w:rPr>
                <w:rFonts w:ascii="Times New Roman" w:hAnsi="Times New Roman" w:cs="Times New Roman" w:eastAsia="Times New Roman" w:hint="default"/>
                <w:sz w:val="18"/>
                <w:szCs w:val="18"/>
              </w:rPr>
              <w:t>(3)</w:t>
            </w:r>
          </w:p>
          <w:p>
            <w:pPr>
              <w:pStyle w:val="TableParagraph"/>
              <w:spacing w:line="248" w:lineRule="exact"/>
              <w:ind w:left="31"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86" w:right="84"/>
              <w:jc w:val="center"/>
              <w:rPr>
                <w:rFonts w:ascii="宋体" w:hAnsi="宋体" w:cs="宋体" w:eastAsia="宋体" w:hint="default"/>
                <w:sz w:val="18"/>
                <w:szCs w:val="18"/>
              </w:rPr>
            </w:pPr>
            <w:r>
              <w:rPr>
                <w:rFonts w:ascii="宋体" w:hAnsi="宋体" w:cs="宋体" w:eastAsia="宋体" w:hint="default"/>
                <w:sz w:val="18"/>
                <w:szCs w:val="18"/>
              </w:rPr>
              <w:t>项目达 到预定 可使用 状态日 期</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86" w:right="83"/>
              <w:jc w:val="both"/>
              <w:rPr>
                <w:rFonts w:ascii="宋体" w:hAnsi="宋体" w:cs="宋体" w:eastAsia="宋体" w:hint="default"/>
                <w:sz w:val="18"/>
                <w:szCs w:val="18"/>
              </w:rPr>
            </w:pPr>
            <w:r>
              <w:rPr>
                <w:rFonts w:ascii="宋体" w:hAnsi="宋体" w:cs="宋体" w:eastAsia="宋体" w:hint="default"/>
                <w:sz w:val="18"/>
                <w:szCs w:val="18"/>
              </w:rPr>
              <w:t>本报告 期实现 的效益</w:t>
            </w:r>
          </w:p>
        </w:tc>
        <w:tc>
          <w:tcPr>
            <w:tcW w:w="7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88" w:right="82"/>
              <w:jc w:val="center"/>
              <w:rPr>
                <w:rFonts w:ascii="宋体" w:hAnsi="宋体" w:cs="宋体" w:eastAsia="宋体" w:hint="default"/>
                <w:sz w:val="18"/>
                <w:szCs w:val="18"/>
              </w:rPr>
            </w:pPr>
            <w:r>
              <w:rPr>
                <w:rFonts w:ascii="宋体" w:hAnsi="宋体" w:cs="宋体" w:eastAsia="宋体" w:hint="default"/>
                <w:sz w:val="18"/>
                <w:szCs w:val="18"/>
              </w:rPr>
              <w:t>截止报 告期末 累计实 现的效 益</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86" w:right="84"/>
              <w:jc w:val="both"/>
              <w:rPr>
                <w:rFonts w:ascii="宋体" w:hAnsi="宋体" w:cs="宋体" w:eastAsia="宋体" w:hint="default"/>
                <w:sz w:val="18"/>
                <w:szCs w:val="18"/>
              </w:rPr>
            </w:pPr>
            <w:r>
              <w:rPr>
                <w:rFonts w:ascii="宋体" w:hAnsi="宋体" w:cs="宋体" w:eastAsia="宋体" w:hint="default"/>
                <w:sz w:val="18"/>
                <w:szCs w:val="18"/>
              </w:rPr>
              <w:t>是否达 到预计 效益</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86" w:right="84"/>
              <w:jc w:val="center"/>
              <w:rPr>
                <w:rFonts w:ascii="宋体" w:hAnsi="宋体" w:cs="宋体" w:eastAsia="宋体" w:hint="default"/>
                <w:sz w:val="18"/>
                <w:szCs w:val="18"/>
              </w:rPr>
            </w:pPr>
            <w:r>
              <w:rPr>
                <w:rFonts w:ascii="宋体" w:hAnsi="宋体" w:cs="宋体" w:eastAsia="宋体" w:hint="default"/>
                <w:sz w:val="18"/>
                <w:szCs w:val="18"/>
              </w:rPr>
              <w:t>项目可 行性是 否发生 重大变 化</w:t>
            </w:r>
          </w:p>
        </w:tc>
      </w:tr>
      <w:tr>
        <w:trPr>
          <w:trHeight w:val="401" w:hRule="exact"/>
        </w:trPr>
        <w:tc>
          <w:tcPr>
            <w:tcW w:w="9573"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1027" w:hRule="exact"/>
        </w:trPr>
        <w:tc>
          <w:tcPr>
            <w:tcW w:w="1635" w:type="dxa"/>
            <w:gridSpan w:val="2"/>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4" w:right="91"/>
              <w:jc w:val="left"/>
              <w:rPr>
                <w:rFonts w:ascii="宋体" w:hAnsi="宋体" w:cs="宋体" w:eastAsia="宋体" w:hint="default"/>
                <w:sz w:val="18"/>
                <w:szCs w:val="18"/>
              </w:rPr>
            </w:pPr>
            <w:r>
              <w:rPr>
                <w:rFonts w:ascii="宋体" w:hAnsi="宋体" w:cs="宋体" w:eastAsia="宋体" w:hint="default"/>
                <w:sz w:val="18"/>
                <w:szCs w:val="18"/>
              </w:rPr>
              <w:t>新一代</w:t>
            </w:r>
            <w:r>
              <w:rPr>
                <w:rFonts w:ascii="Times New Roman" w:hAnsi="Times New Roman" w:cs="Times New Roman" w:eastAsia="Times New Roman" w:hint="default"/>
                <w:sz w:val="18"/>
                <w:szCs w:val="18"/>
              </w:rPr>
              <w:t>"</w:t>
            </w:r>
            <w:r>
              <w:rPr>
                <w:rFonts w:ascii="宋体" w:hAnsi="宋体" w:cs="宋体" w:eastAsia="宋体" w:hint="default"/>
                <w:sz w:val="18"/>
                <w:szCs w:val="18"/>
              </w:rPr>
              <w:t>网格化</w:t>
            </w:r>
            <w:r>
              <w:rPr>
                <w:rFonts w:ascii="Times New Roman" w:hAnsi="Times New Roman" w:cs="Times New Roman" w:eastAsia="Times New Roman" w:hint="default"/>
                <w:sz w:val="18"/>
                <w:szCs w:val="18"/>
              </w:rPr>
              <w:t>+"</w:t>
            </w:r>
            <w:r>
              <w:rPr>
                <w:rFonts w:ascii="宋体" w:hAnsi="宋体" w:cs="宋体" w:eastAsia="宋体" w:hint="default"/>
                <w:sz w:val="18"/>
                <w:szCs w:val="18"/>
              </w:rPr>
              <w:t>智 慧城市综合信息服 务及运营项目</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37,810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37,810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14,965.1</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8</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22,425.8</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2</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59.31%</w:t>
            </w:r>
          </w:p>
        </w:tc>
        <w:tc>
          <w:tcPr>
            <w:tcW w:w="722"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4,978.64</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43" w:right="0"/>
              <w:jc w:val="center"/>
              <w:rPr>
                <w:rFonts w:ascii="Times New Roman" w:hAnsi="Times New Roman" w:cs="Times New Roman" w:eastAsia="Times New Roman" w:hint="default"/>
                <w:sz w:val="18"/>
                <w:szCs w:val="18"/>
              </w:rPr>
            </w:pPr>
            <w:r>
              <w:rPr>
                <w:rFonts w:ascii="Times New Roman"/>
                <w:sz w:val="18"/>
              </w:rPr>
              <w:t>5,293.84</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6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补充流动资金项目</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16,000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16,000</w:t>
            </w: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16,000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22"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3"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63" w:hRule="exact"/>
        </w:trPr>
        <w:tc>
          <w:tcPr>
            <w:tcW w:w="1635"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722" w:type="dxa"/>
            <w:tcBorders>
              <w:top w:val="single" w:sz="4" w:space="0" w:color="000000"/>
              <w:left w:val="single" w:sz="4" w:space="0" w:color="000000"/>
              <w:bottom w:val="nil" w:sz="6" w:space="0" w:color="auto"/>
              <w:right w:val="single" w:sz="4" w:space="0" w:color="000000"/>
            </w:tcBorders>
            <w:shd w:val="clear" w:color="auto" w:fill="D2D2D2"/>
          </w:tcPr>
          <w:p>
            <w:pPr/>
          </w:p>
        </w:tc>
        <w:tc>
          <w:tcPr>
            <w:tcW w:w="721" w:type="dxa"/>
            <w:vMerge w:val="restart"/>
            <w:tcBorders>
              <w:top w:val="single" w:sz="4" w:space="0" w:color="000000"/>
              <w:left w:val="single" w:sz="10" w:space="0" w:color="D2D2D2"/>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53,810</w:t>
            </w:r>
          </w:p>
        </w:tc>
        <w:tc>
          <w:tcPr>
            <w:tcW w:w="72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94" w:right="0"/>
              <w:jc w:val="left"/>
              <w:rPr>
                <w:rFonts w:ascii="Times New Roman" w:hAnsi="Times New Roman" w:cs="Times New Roman" w:eastAsia="Times New Roman" w:hint="default"/>
                <w:sz w:val="18"/>
                <w:szCs w:val="18"/>
              </w:rPr>
            </w:pPr>
            <w:r>
              <w:rPr>
                <w:rFonts w:ascii="Times New Roman"/>
                <w:sz w:val="18"/>
              </w:rPr>
              <w:t>53,810</w:t>
            </w:r>
          </w:p>
        </w:tc>
        <w:tc>
          <w:tcPr>
            <w:tcW w:w="720" w:type="dxa"/>
            <w:vMerge w:val="restart"/>
            <w:tcBorders>
              <w:top w:val="single" w:sz="4" w:space="0" w:color="000000"/>
              <w:left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14,965.1</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8</w:t>
            </w:r>
          </w:p>
        </w:tc>
        <w:tc>
          <w:tcPr>
            <w:tcW w:w="720" w:type="dxa"/>
            <w:vMerge w:val="restart"/>
            <w:tcBorders>
              <w:top w:val="single" w:sz="4" w:space="0" w:color="000000"/>
              <w:left w:val="single" w:sz="4" w:space="0" w:color="000000"/>
              <w:right w:val="single" w:sz="9" w:space="0" w:color="D2D2D2"/>
            </w:tcBorders>
          </w:tcPr>
          <w:p>
            <w:pPr>
              <w:pStyle w:val="TableParagraph"/>
              <w:spacing w:line="240" w:lineRule="auto" w:before="93"/>
              <w:ind w:right="11"/>
              <w:jc w:val="right"/>
              <w:rPr>
                <w:rFonts w:ascii="Times New Roman" w:hAnsi="Times New Roman" w:cs="Times New Roman" w:eastAsia="Times New Roman" w:hint="default"/>
                <w:sz w:val="18"/>
                <w:szCs w:val="18"/>
              </w:rPr>
            </w:pPr>
            <w:r>
              <w:rPr>
                <w:rFonts w:ascii="Times New Roman"/>
                <w:sz w:val="18"/>
              </w:rPr>
              <w:t>38,425.8</w:t>
            </w:r>
          </w:p>
          <w:p>
            <w:pPr>
              <w:pStyle w:val="TableParagraph"/>
              <w:spacing w:line="240" w:lineRule="auto" w:before="102"/>
              <w:ind w:right="12"/>
              <w:jc w:val="right"/>
              <w:rPr>
                <w:rFonts w:ascii="Times New Roman" w:hAnsi="Times New Roman" w:cs="Times New Roman" w:eastAsia="Times New Roman" w:hint="default"/>
                <w:sz w:val="18"/>
                <w:szCs w:val="18"/>
              </w:rPr>
            </w:pPr>
            <w:r>
              <w:rPr>
                <w:rFonts w:ascii="Times New Roman"/>
                <w:sz w:val="18"/>
              </w:rPr>
              <w:t>2</w:t>
            </w:r>
          </w:p>
        </w:tc>
        <w:tc>
          <w:tcPr>
            <w:tcW w:w="722" w:type="dxa"/>
            <w:tcBorders>
              <w:top w:val="single" w:sz="4" w:space="0" w:color="000000"/>
              <w:left w:val="single" w:sz="4" w:space="0" w:color="000000"/>
              <w:bottom w:val="nil" w:sz="6" w:space="0" w:color="auto"/>
              <w:right w:val="single" w:sz="4" w:space="0" w:color="000000"/>
            </w:tcBorders>
            <w:shd w:val="clear" w:color="auto" w:fill="D2D2D2"/>
          </w:tcPr>
          <w:p>
            <w:pPr/>
          </w:p>
        </w:tc>
        <w:tc>
          <w:tcPr>
            <w:tcW w:w="722" w:type="dxa"/>
            <w:tcBorders>
              <w:top w:val="single" w:sz="4" w:space="0" w:color="000000"/>
              <w:left w:val="single" w:sz="4" w:space="0" w:color="000000"/>
              <w:bottom w:val="nil" w:sz="6" w:space="0" w:color="auto"/>
              <w:right w:val="single" w:sz="4" w:space="0" w:color="000000"/>
            </w:tcBorders>
            <w:shd w:val="clear" w:color="auto" w:fill="D2D2D2"/>
          </w:tcPr>
          <w:p>
            <w:pPr/>
          </w:p>
        </w:tc>
        <w:tc>
          <w:tcPr>
            <w:tcW w:w="720" w:type="dxa"/>
            <w:vMerge w:val="restart"/>
            <w:tcBorders>
              <w:top w:val="single" w:sz="4" w:space="0" w:color="000000"/>
              <w:left w:val="single" w:sz="10" w:space="0" w:color="D2D2D2"/>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4,978.64</w:t>
            </w:r>
          </w:p>
        </w:tc>
        <w:tc>
          <w:tcPr>
            <w:tcW w:w="723" w:type="dxa"/>
            <w:vMerge w:val="restart"/>
            <w:tcBorders>
              <w:top w:val="single" w:sz="4" w:space="0" w:color="000000"/>
              <w:left w:val="single" w:sz="4" w:space="0" w:color="000000"/>
              <w:right w:val="single" w:sz="9" w:space="0" w:color="D2D2D2"/>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5,293.84</w:t>
            </w:r>
          </w:p>
        </w:tc>
        <w:tc>
          <w:tcPr>
            <w:tcW w:w="722" w:type="dxa"/>
            <w:tcBorders>
              <w:top w:val="single" w:sz="4" w:space="0" w:color="000000"/>
              <w:left w:val="single" w:sz="4" w:space="0" w:color="000000"/>
              <w:bottom w:val="nil" w:sz="6" w:space="0" w:color="auto"/>
              <w:right w:val="single" w:sz="4" w:space="0" w:color="000000"/>
            </w:tcBorders>
            <w:shd w:val="clear" w:color="auto" w:fill="D2D2D2"/>
          </w:tcPr>
          <w:p>
            <w:pPr/>
          </w:p>
        </w:tc>
        <w:tc>
          <w:tcPr>
            <w:tcW w:w="722"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1635"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7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293"/>
              <w:jc w:val="right"/>
              <w:rPr>
                <w:rFonts w:ascii="Times New Roman" w:hAnsi="Times New Roman" w:cs="Times New Roman" w:eastAsia="Times New Roman" w:hint="default"/>
                <w:sz w:val="18"/>
                <w:szCs w:val="18"/>
              </w:rPr>
            </w:pPr>
            <w:r>
              <w:rPr>
                <w:rFonts w:ascii="Times New Roman"/>
                <w:sz w:val="18"/>
              </w:rPr>
              <w:t>--</w:t>
            </w:r>
          </w:p>
        </w:tc>
        <w:tc>
          <w:tcPr>
            <w:tcW w:w="721" w:type="dxa"/>
            <w:vMerge/>
            <w:tcBorders>
              <w:left w:val="single" w:sz="10" w:space="0" w:color="D2D2D2"/>
              <w:right w:val="single" w:sz="4" w:space="0" w:color="000000"/>
            </w:tcBorders>
          </w:tcPr>
          <w:p>
            <w:pPr/>
          </w:p>
        </w:tc>
        <w:tc>
          <w:tcPr>
            <w:tcW w:w="722" w:type="dxa"/>
            <w:vMerge/>
            <w:tcBorders>
              <w:left w:val="single" w:sz="4" w:space="0" w:color="000000"/>
              <w:right w:val="single" w:sz="4" w:space="0" w:color="000000"/>
            </w:tcBorders>
          </w:tcPr>
          <w:p>
            <w:pPr/>
          </w:p>
        </w:tc>
        <w:tc>
          <w:tcPr>
            <w:tcW w:w="720" w:type="dxa"/>
            <w:vMerge/>
            <w:tcBorders>
              <w:left w:val="single" w:sz="4" w:space="0" w:color="000000"/>
              <w:right w:val="single" w:sz="4" w:space="0" w:color="000000"/>
            </w:tcBorders>
          </w:tcPr>
          <w:p>
            <w:pPr/>
          </w:p>
        </w:tc>
        <w:tc>
          <w:tcPr>
            <w:tcW w:w="720" w:type="dxa"/>
            <w:vMerge/>
            <w:tcBorders>
              <w:left w:val="single" w:sz="4" w:space="0" w:color="000000"/>
              <w:right w:val="single" w:sz="9" w:space="0" w:color="D2D2D2"/>
            </w:tcBorders>
          </w:tcPr>
          <w:p>
            <w:pPr/>
          </w:p>
        </w:tc>
        <w:tc>
          <w:tcPr>
            <w:tcW w:w="7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7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95" w:right="0"/>
              <w:jc w:val="left"/>
              <w:rPr>
                <w:rFonts w:ascii="Times New Roman" w:hAnsi="Times New Roman" w:cs="Times New Roman" w:eastAsia="Times New Roman" w:hint="default"/>
                <w:sz w:val="18"/>
                <w:szCs w:val="18"/>
              </w:rPr>
            </w:pPr>
            <w:r>
              <w:rPr>
                <w:rFonts w:ascii="Times New Roman"/>
                <w:sz w:val="18"/>
              </w:rPr>
              <w:t>--</w:t>
            </w:r>
          </w:p>
        </w:tc>
        <w:tc>
          <w:tcPr>
            <w:tcW w:w="720" w:type="dxa"/>
            <w:vMerge/>
            <w:tcBorders>
              <w:left w:val="single" w:sz="10" w:space="0" w:color="D2D2D2"/>
              <w:right w:val="single" w:sz="4" w:space="0" w:color="000000"/>
            </w:tcBorders>
          </w:tcPr>
          <w:p>
            <w:pPr/>
          </w:p>
        </w:tc>
        <w:tc>
          <w:tcPr>
            <w:tcW w:w="723" w:type="dxa"/>
            <w:vMerge/>
            <w:tcBorders>
              <w:left w:val="single" w:sz="4" w:space="0" w:color="000000"/>
              <w:right w:val="single" w:sz="9" w:space="0" w:color="D2D2D2"/>
            </w:tcBorders>
          </w:tcPr>
          <w:p>
            <w:pPr/>
          </w:p>
        </w:tc>
        <w:tc>
          <w:tcPr>
            <w:tcW w:w="7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7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293"/>
              <w:jc w:val="right"/>
              <w:rPr>
                <w:rFonts w:ascii="Times New Roman" w:hAnsi="Times New Roman" w:cs="Times New Roman" w:eastAsia="Times New Roman" w:hint="default"/>
                <w:sz w:val="18"/>
                <w:szCs w:val="18"/>
              </w:rPr>
            </w:pPr>
            <w:r>
              <w:rPr>
                <w:rFonts w:ascii="Times New Roman"/>
                <w:sz w:val="18"/>
              </w:rPr>
              <w:t>--</w:t>
            </w:r>
          </w:p>
        </w:tc>
      </w:tr>
      <w:tr>
        <w:trPr>
          <w:trHeight w:val="166" w:hRule="exact"/>
        </w:trPr>
        <w:tc>
          <w:tcPr>
            <w:tcW w:w="1635"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722" w:type="dxa"/>
            <w:tcBorders>
              <w:top w:val="nil" w:sz="6" w:space="0" w:color="auto"/>
              <w:left w:val="single" w:sz="4" w:space="0" w:color="000000"/>
              <w:bottom w:val="single" w:sz="4" w:space="0" w:color="000000"/>
              <w:right w:val="single" w:sz="4" w:space="0" w:color="000000"/>
            </w:tcBorders>
            <w:shd w:val="clear" w:color="auto" w:fill="D2D2D2"/>
          </w:tcPr>
          <w:p>
            <w:pPr/>
          </w:p>
        </w:tc>
        <w:tc>
          <w:tcPr>
            <w:tcW w:w="721" w:type="dxa"/>
            <w:vMerge/>
            <w:tcBorders>
              <w:left w:val="single" w:sz="10" w:space="0" w:color="D2D2D2"/>
              <w:bottom w:val="single" w:sz="4" w:space="0" w:color="000000"/>
              <w:right w:val="single" w:sz="4" w:space="0" w:color="000000"/>
            </w:tcBorders>
          </w:tcPr>
          <w:p>
            <w:pPr/>
          </w:p>
        </w:tc>
        <w:tc>
          <w:tcPr>
            <w:tcW w:w="722"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4" w:space="0" w:color="000000"/>
            </w:tcBorders>
          </w:tcPr>
          <w:p>
            <w:pPr/>
          </w:p>
        </w:tc>
        <w:tc>
          <w:tcPr>
            <w:tcW w:w="720" w:type="dxa"/>
            <w:vMerge/>
            <w:tcBorders>
              <w:left w:val="single" w:sz="4" w:space="0" w:color="000000"/>
              <w:bottom w:val="single" w:sz="4" w:space="0" w:color="000000"/>
              <w:right w:val="single" w:sz="9" w:space="0" w:color="D2D2D2"/>
            </w:tcBorders>
          </w:tcPr>
          <w:p>
            <w:pPr/>
          </w:p>
        </w:tc>
        <w:tc>
          <w:tcPr>
            <w:tcW w:w="722" w:type="dxa"/>
            <w:tcBorders>
              <w:top w:val="nil" w:sz="6" w:space="0" w:color="auto"/>
              <w:left w:val="single" w:sz="4" w:space="0" w:color="000000"/>
              <w:bottom w:val="single" w:sz="4" w:space="0" w:color="000000"/>
              <w:right w:val="single" w:sz="4" w:space="0" w:color="000000"/>
            </w:tcBorders>
            <w:shd w:val="clear" w:color="auto" w:fill="D2D2D2"/>
          </w:tcPr>
          <w:p>
            <w:pPr/>
          </w:p>
        </w:tc>
        <w:tc>
          <w:tcPr>
            <w:tcW w:w="722" w:type="dxa"/>
            <w:tcBorders>
              <w:top w:val="nil" w:sz="6" w:space="0" w:color="auto"/>
              <w:left w:val="single" w:sz="4" w:space="0" w:color="000000"/>
              <w:bottom w:val="single" w:sz="4" w:space="0" w:color="000000"/>
              <w:right w:val="single" w:sz="4" w:space="0" w:color="000000"/>
            </w:tcBorders>
            <w:shd w:val="clear" w:color="auto" w:fill="D2D2D2"/>
          </w:tcPr>
          <w:p>
            <w:pPr/>
          </w:p>
        </w:tc>
        <w:tc>
          <w:tcPr>
            <w:tcW w:w="720" w:type="dxa"/>
            <w:vMerge/>
            <w:tcBorders>
              <w:left w:val="single" w:sz="10" w:space="0" w:color="D2D2D2"/>
              <w:bottom w:val="single" w:sz="4" w:space="0" w:color="000000"/>
              <w:right w:val="single" w:sz="4" w:space="0" w:color="000000"/>
            </w:tcBorders>
          </w:tcPr>
          <w:p>
            <w:pPr/>
          </w:p>
        </w:tc>
        <w:tc>
          <w:tcPr>
            <w:tcW w:w="723" w:type="dxa"/>
            <w:vMerge/>
            <w:tcBorders>
              <w:left w:val="single" w:sz="4" w:space="0" w:color="000000"/>
              <w:bottom w:val="single" w:sz="4" w:space="0" w:color="000000"/>
              <w:right w:val="single" w:sz="9" w:space="0" w:color="D2D2D2"/>
            </w:tcBorders>
          </w:tcPr>
          <w:p>
            <w:pPr/>
          </w:p>
        </w:tc>
        <w:tc>
          <w:tcPr>
            <w:tcW w:w="722" w:type="dxa"/>
            <w:tcBorders>
              <w:top w:val="nil" w:sz="6" w:space="0" w:color="auto"/>
              <w:left w:val="single" w:sz="4" w:space="0" w:color="000000"/>
              <w:bottom w:val="single" w:sz="4" w:space="0" w:color="000000"/>
              <w:right w:val="single" w:sz="4" w:space="0" w:color="000000"/>
            </w:tcBorders>
            <w:shd w:val="clear" w:color="auto" w:fill="D2D2D2"/>
          </w:tcPr>
          <w:p>
            <w:pPr/>
          </w:p>
        </w:tc>
        <w:tc>
          <w:tcPr>
            <w:tcW w:w="722"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6" w:hRule="exact"/>
        </w:trPr>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852"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2"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404" w:hRule="exact"/>
        </w:trPr>
        <w:tc>
          <w:tcPr>
            <w:tcW w:w="16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无</w:t>
            </w:r>
          </w:p>
        </w:tc>
        <w:tc>
          <w:tcPr>
            <w:tcW w:w="722"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3"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6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93"/>
              <w:jc w:val="right"/>
              <w:rPr>
                <w:rFonts w:ascii="Times New Roman" w:hAnsi="Times New Roman" w:cs="Times New Roman" w:eastAsia="Times New Roman" w:hint="default"/>
                <w:sz w:val="18"/>
                <w:szCs w:val="18"/>
              </w:rPr>
            </w:pPr>
            <w:r>
              <w:rPr>
                <w:rFonts w:ascii="Times New Roman"/>
                <w:sz w:val="18"/>
              </w:rPr>
              <w:t>--</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53,810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53,810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57" w:right="0"/>
              <w:jc w:val="left"/>
              <w:rPr>
                <w:rFonts w:ascii="Times New Roman" w:hAnsi="Times New Roman" w:cs="Times New Roman" w:eastAsia="Times New Roman" w:hint="default"/>
                <w:sz w:val="18"/>
                <w:szCs w:val="18"/>
              </w:rPr>
            </w:pPr>
            <w:r>
              <w:rPr>
                <w:rFonts w:ascii="Times New Roman"/>
                <w:sz w:val="18"/>
              </w:rPr>
              <w:t>14,965.1</w:t>
            </w:r>
          </w:p>
        </w:tc>
        <w:tc>
          <w:tcPr>
            <w:tcW w:w="720"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110"/>
              <w:ind w:right="5"/>
              <w:jc w:val="right"/>
              <w:rPr>
                <w:rFonts w:ascii="Times New Roman" w:hAnsi="Times New Roman" w:cs="Times New Roman" w:eastAsia="Times New Roman" w:hint="default"/>
                <w:sz w:val="18"/>
                <w:szCs w:val="18"/>
              </w:rPr>
            </w:pPr>
            <w:r>
              <w:rPr>
                <w:rFonts w:ascii="Times New Roman"/>
                <w:sz w:val="18"/>
              </w:rPr>
              <w:t>38,425.8</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95" w:right="0"/>
              <w:jc w:val="left"/>
              <w:rPr>
                <w:rFonts w:ascii="Times New Roman" w:hAnsi="Times New Roman" w:cs="Times New Roman" w:eastAsia="Times New Roman" w:hint="default"/>
                <w:sz w:val="18"/>
                <w:szCs w:val="18"/>
              </w:rPr>
            </w:pPr>
            <w:r>
              <w:rPr>
                <w:rFonts w:ascii="Times New Roman"/>
                <w:sz w:val="18"/>
              </w:rPr>
              <w:t>--</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 w:right="0"/>
              <w:jc w:val="center"/>
              <w:rPr>
                <w:rFonts w:ascii="Times New Roman" w:hAnsi="Times New Roman" w:cs="Times New Roman" w:eastAsia="Times New Roman" w:hint="default"/>
                <w:sz w:val="18"/>
                <w:szCs w:val="18"/>
              </w:rPr>
            </w:pPr>
            <w:r>
              <w:rPr>
                <w:rFonts w:ascii="Times New Roman"/>
                <w:sz w:val="18"/>
              </w:rPr>
              <w:t>4,978.64</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 w:right="0"/>
              <w:jc w:val="center"/>
              <w:rPr>
                <w:rFonts w:ascii="Times New Roman" w:hAnsi="Times New Roman" w:cs="Times New Roman" w:eastAsia="Times New Roman" w:hint="default"/>
                <w:sz w:val="18"/>
                <w:szCs w:val="18"/>
              </w:rPr>
            </w:pPr>
            <w:r>
              <w:rPr>
                <w:rFonts w:ascii="Times New Roman"/>
                <w:sz w:val="18"/>
              </w:rPr>
              <w:t>5,293.84</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93"/>
              <w:jc w:val="right"/>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634"/>
        <w:gridCol w:w="722"/>
        <w:gridCol w:w="721"/>
        <w:gridCol w:w="722"/>
        <w:gridCol w:w="720"/>
        <w:gridCol w:w="722"/>
        <w:gridCol w:w="721"/>
        <w:gridCol w:w="722"/>
        <w:gridCol w:w="720"/>
        <w:gridCol w:w="724"/>
        <w:gridCol w:w="721"/>
        <w:gridCol w:w="722"/>
      </w:tblGrid>
      <w:tr>
        <w:trPr>
          <w:trHeight w:val="363"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8</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2</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4"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5"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9"/>
              <w:jc w:val="left"/>
              <w:rPr>
                <w:rFonts w:ascii="宋体" w:hAnsi="宋体" w:cs="宋体" w:eastAsia="宋体" w:hint="default"/>
                <w:sz w:val="18"/>
                <w:szCs w:val="18"/>
              </w:rPr>
            </w:pPr>
            <w:r>
              <w:rPr>
                <w:rFonts w:ascii="宋体" w:hAnsi="宋体" w:cs="宋体" w:eastAsia="宋体" w:hint="default"/>
                <w:sz w:val="18"/>
                <w:szCs w:val="18"/>
              </w:rPr>
              <w:t>未达到计划进度或 预计收益的情况和 原因（分具体项目）</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15" w:hRule="exact"/>
        </w:trPr>
        <w:tc>
          <w:tcPr>
            <w:tcW w:w="1634" w:type="dxa"/>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316" w:lineRule="auto" w:before="49"/>
              <w:ind w:left="22" w:right="159"/>
              <w:jc w:val="left"/>
              <w:rPr>
                <w:rFonts w:ascii="宋体" w:hAnsi="宋体" w:cs="宋体" w:eastAsia="宋体" w:hint="default"/>
                <w:sz w:val="18"/>
                <w:szCs w:val="18"/>
              </w:rPr>
            </w:pPr>
            <w:r>
              <w:rPr>
                <w:rFonts w:ascii="宋体" w:hAnsi="宋体" w:cs="宋体" w:eastAsia="宋体" w:hint="default"/>
                <w:sz w:val="18"/>
                <w:szCs w:val="18"/>
              </w:rPr>
              <w:t>项目可行性发生重 大变化的情况说明</w:t>
            </w:r>
          </w:p>
        </w:tc>
        <w:tc>
          <w:tcPr>
            <w:tcW w:w="72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FFFFFF"/>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1" w:hRule="exact"/>
        </w:trPr>
        <w:tc>
          <w:tcPr>
            <w:tcW w:w="1634" w:type="dxa"/>
            <w:vMerge w:val="restart"/>
            <w:tcBorders>
              <w:top w:val="single" w:sz="4" w:space="0" w:color="FFFFFF"/>
              <w:left w:val="single" w:sz="4" w:space="0" w:color="000000"/>
              <w:right w:val="single" w:sz="4" w:space="0" w:color="000000"/>
            </w:tcBorders>
            <w:shd w:val="clear" w:color="auto" w:fill="D2D2D2"/>
          </w:tcPr>
          <w:p>
            <w:pPr>
              <w:pStyle w:val="TableParagraph"/>
              <w:spacing w:line="314" w:lineRule="auto" w:before="94"/>
              <w:ind w:left="22" w:right="22"/>
              <w:jc w:val="left"/>
              <w:rPr>
                <w:rFonts w:ascii="宋体" w:hAnsi="宋体" w:cs="宋体" w:eastAsia="宋体" w:hint="default"/>
                <w:sz w:val="18"/>
                <w:szCs w:val="18"/>
              </w:rPr>
            </w:pPr>
            <w:r>
              <w:rPr>
                <w:rFonts w:ascii="宋体" w:hAnsi="宋体" w:cs="宋体" w:eastAsia="宋体" w:hint="default"/>
                <w:spacing w:val="-5"/>
                <w:sz w:val="18"/>
                <w:szCs w:val="18"/>
              </w:rPr>
              <w:t>超募资金的金额、用</w:t>
            </w:r>
            <w:r>
              <w:rPr>
                <w:rFonts w:ascii="宋体" w:hAnsi="宋体" w:cs="宋体" w:eastAsia="宋体" w:hint="default"/>
                <w:sz w:val="18"/>
                <w:szCs w:val="18"/>
              </w:rPr>
              <w:t> 途及使用进展情况</w:t>
            </w:r>
          </w:p>
        </w:tc>
        <w:tc>
          <w:tcPr>
            <w:tcW w:w="722" w:type="dxa"/>
            <w:tcBorders>
              <w:top w:val="single" w:sz="4" w:space="0" w:color="FFFFFF"/>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FFFFFF"/>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1634" w:type="dxa"/>
            <w:vMerge/>
            <w:tcBorders>
              <w:left w:val="single" w:sz="4" w:space="0" w:color="000000"/>
              <w:bottom w:val="single" w:sz="4" w:space="0" w:color="000000"/>
              <w:right w:val="single" w:sz="4" w:space="0" w:color="000000"/>
            </w:tcBorders>
            <w:shd w:val="clear" w:color="auto" w:fill="D2D2D2"/>
          </w:tcPr>
          <w:p>
            <w:pP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6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2"/>
                <w:szCs w:val="22"/>
              </w:rPr>
            </w:pPr>
          </w:p>
          <w:p>
            <w:pPr>
              <w:pStyle w:val="TableParagraph"/>
              <w:spacing w:line="319" w:lineRule="auto"/>
              <w:ind w:left="22" w:right="159"/>
              <w:jc w:val="left"/>
              <w:rPr>
                <w:rFonts w:ascii="宋体" w:hAnsi="宋体" w:cs="宋体" w:eastAsia="宋体" w:hint="default"/>
                <w:sz w:val="18"/>
                <w:szCs w:val="18"/>
              </w:rPr>
            </w:pPr>
            <w:r>
              <w:rPr>
                <w:rFonts w:ascii="宋体" w:hAnsi="宋体" w:cs="宋体" w:eastAsia="宋体" w:hint="default"/>
                <w:sz w:val="18"/>
                <w:szCs w:val="18"/>
              </w:rPr>
              <w:t>募集资金投资项目 实施地点变更情况</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4" w:hRule="exact"/>
        </w:trPr>
        <w:tc>
          <w:tcPr>
            <w:tcW w:w="1634" w:type="dxa"/>
            <w:vMerge/>
            <w:tcBorders>
              <w:left w:val="single" w:sz="4" w:space="0" w:color="000000"/>
              <w:right w:val="single" w:sz="4" w:space="0" w:color="000000"/>
            </w:tcBorders>
            <w:shd w:val="clear" w:color="auto" w:fill="D2D2D2"/>
          </w:tcPr>
          <w:p>
            <w:pP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634" w:type="dxa"/>
            <w:vMerge/>
            <w:tcBorders>
              <w:left w:val="single" w:sz="4" w:space="0" w:color="000000"/>
              <w:bottom w:val="single" w:sz="4" w:space="0" w:color="000000"/>
              <w:right w:val="single" w:sz="4" w:space="0" w:color="000000"/>
            </w:tcBorders>
            <w:shd w:val="clear" w:color="auto" w:fill="D2D2D2"/>
          </w:tcPr>
          <w:p>
            <w:pP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6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2"/>
                <w:szCs w:val="22"/>
              </w:rPr>
            </w:pPr>
          </w:p>
          <w:p>
            <w:pPr>
              <w:pStyle w:val="TableParagraph"/>
              <w:spacing w:line="316" w:lineRule="auto"/>
              <w:ind w:left="22" w:right="159"/>
              <w:jc w:val="left"/>
              <w:rPr>
                <w:rFonts w:ascii="宋体" w:hAnsi="宋体" w:cs="宋体" w:eastAsia="宋体" w:hint="default"/>
                <w:sz w:val="18"/>
                <w:szCs w:val="18"/>
              </w:rPr>
            </w:pPr>
            <w:r>
              <w:rPr>
                <w:rFonts w:ascii="宋体" w:hAnsi="宋体" w:cs="宋体" w:eastAsia="宋体" w:hint="default"/>
                <w:sz w:val="18"/>
                <w:szCs w:val="18"/>
              </w:rPr>
              <w:t>募集资金投资项目 实施方式调整情况</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1" w:hRule="exact"/>
        </w:trPr>
        <w:tc>
          <w:tcPr>
            <w:tcW w:w="1634" w:type="dxa"/>
            <w:vMerge/>
            <w:tcBorders>
              <w:left w:val="single" w:sz="4" w:space="0" w:color="000000"/>
              <w:right w:val="single" w:sz="4" w:space="0" w:color="000000"/>
            </w:tcBorders>
            <w:shd w:val="clear" w:color="auto" w:fill="D2D2D2"/>
          </w:tcPr>
          <w:p>
            <w:pP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634" w:type="dxa"/>
            <w:vMerge/>
            <w:tcBorders>
              <w:left w:val="single" w:sz="4" w:space="0" w:color="000000"/>
              <w:bottom w:val="single" w:sz="4" w:space="0" w:color="FFFFFF"/>
              <w:right w:val="single" w:sz="4" w:space="0" w:color="000000"/>
            </w:tcBorders>
            <w:shd w:val="clear" w:color="auto" w:fill="D2D2D2"/>
          </w:tcPr>
          <w:p>
            <w:pPr/>
          </w:p>
        </w:tc>
        <w:tc>
          <w:tcPr>
            <w:tcW w:w="72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FFFFFF"/>
              <w:right w:val="single" w:sz="4" w:space="0" w:color="000000"/>
            </w:tcBorders>
          </w:tcPr>
          <w:p>
            <w:pPr/>
          </w:p>
        </w:tc>
      </w:tr>
      <w:tr>
        <w:trPr>
          <w:trHeight w:val="401" w:hRule="exact"/>
        </w:trPr>
        <w:tc>
          <w:tcPr>
            <w:tcW w:w="1634" w:type="dxa"/>
            <w:vMerge w:val="restart"/>
            <w:tcBorders>
              <w:top w:val="single" w:sz="4" w:space="0" w:color="FFFFFF"/>
              <w:left w:val="single" w:sz="4" w:space="0" w:color="000000"/>
              <w:right w:val="single" w:sz="4" w:space="0" w:color="000000"/>
            </w:tcBorders>
            <w:shd w:val="clear" w:color="auto" w:fill="D2D2D2"/>
          </w:tcPr>
          <w:p>
            <w:pPr>
              <w:pStyle w:val="TableParagraph"/>
              <w:spacing w:line="316" w:lineRule="auto" w:before="94"/>
              <w:ind w:left="22" w:right="159"/>
              <w:jc w:val="both"/>
              <w:rPr>
                <w:rFonts w:ascii="宋体" w:hAnsi="宋体" w:cs="宋体" w:eastAsia="宋体" w:hint="default"/>
                <w:sz w:val="18"/>
                <w:szCs w:val="18"/>
              </w:rPr>
            </w:pPr>
            <w:r>
              <w:rPr>
                <w:rFonts w:ascii="宋体" w:hAnsi="宋体" w:cs="宋体" w:eastAsia="宋体" w:hint="default"/>
                <w:sz w:val="18"/>
                <w:szCs w:val="18"/>
              </w:rPr>
              <w:t>募集资金投资项目 先期投入及置换情 况</w:t>
            </w:r>
          </w:p>
        </w:tc>
        <w:tc>
          <w:tcPr>
            <w:tcW w:w="722" w:type="dxa"/>
            <w:tcBorders>
              <w:top w:val="single" w:sz="4" w:space="0" w:color="FFFFFF"/>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FFFFFF"/>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715" w:hRule="exact"/>
        </w:trPr>
        <w:tc>
          <w:tcPr>
            <w:tcW w:w="1634" w:type="dxa"/>
            <w:vMerge/>
            <w:tcBorders>
              <w:left w:val="single" w:sz="4" w:space="0" w:color="000000"/>
              <w:bottom w:val="single" w:sz="4" w:space="0" w:color="000000"/>
              <w:right w:val="single" w:sz="4" w:space="0" w:color="000000"/>
            </w:tcBorders>
            <w:shd w:val="clear" w:color="auto" w:fill="D2D2D2"/>
          </w:tcPr>
          <w:p>
            <w:pP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3" w:right="714"/>
              <w:jc w:val="left"/>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2018-12-31</w:t>
            </w:r>
            <w:r>
              <w:rPr>
                <w:rFonts w:ascii="宋体" w:hAnsi="宋体" w:cs="宋体" w:eastAsia="宋体" w:hint="default"/>
                <w:sz w:val="18"/>
                <w:szCs w:val="18"/>
              </w:rPr>
              <w:t>，公司以募集资金置换预先已投入募集资金投资项目的自筹资金为 </w:t>
            </w:r>
            <w:r>
              <w:rPr>
                <w:rFonts w:ascii="Times New Roman" w:hAnsi="Times New Roman" w:cs="Times New Roman" w:eastAsia="Times New Roman" w:hint="default"/>
                <w:sz w:val="18"/>
                <w:szCs w:val="18"/>
              </w:rPr>
              <w:t>67,421,468.01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tc>
      </w:tr>
      <w:tr>
        <w:trPr>
          <w:trHeight w:val="401" w:hRule="exact"/>
        </w:trPr>
        <w:tc>
          <w:tcPr>
            <w:tcW w:w="163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22" w:right="159"/>
              <w:jc w:val="both"/>
              <w:rPr>
                <w:rFonts w:ascii="宋体" w:hAnsi="宋体" w:cs="宋体" w:eastAsia="宋体" w:hint="default"/>
                <w:sz w:val="18"/>
                <w:szCs w:val="18"/>
              </w:rPr>
            </w:pPr>
            <w:r>
              <w:rPr>
                <w:rFonts w:ascii="宋体" w:hAnsi="宋体" w:cs="宋体" w:eastAsia="宋体" w:hint="default"/>
                <w:sz w:val="18"/>
                <w:szCs w:val="18"/>
              </w:rPr>
              <w:t>用闲置募集资金暂 时补充流动资金情 况</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24" w:hRule="exact"/>
        </w:trPr>
        <w:tc>
          <w:tcPr>
            <w:tcW w:w="1634" w:type="dxa"/>
            <w:vMerge/>
            <w:tcBorders>
              <w:left w:val="single" w:sz="4" w:space="0" w:color="000000"/>
              <w:bottom w:val="single" w:sz="4" w:space="0" w:color="000000"/>
              <w:right w:val="single" w:sz="4" w:space="0" w:color="000000"/>
            </w:tcBorders>
            <w:shd w:val="clear" w:color="auto" w:fill="D2D2D2"/>
          </w:tcPr>
          <w:p>
            <w:pP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63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22" w:right="159"/>
              <w:jc w:val="both"/>
              <w:rPr>
                <w:rFonts w:ascii="宋体" w:hAnsi="宋体" w:cs="宋体" w:eastAsia="宋体" w:hint="default"/>
                <w:sz w:val="18"/>
                <w:szCs w:val="18"/>
              </w:rPr>
            </w:pPr>
            <w:r>
              <w:rPr>
                <w:rFonts w:ascii="宋体" w:hAnsi="宋体" w:cs="宋体" w:eastAsia="宋体" w:hint="default"/>
                <w:sz w:val="18"/>
                <w:szCs w:val="18"/>
              </w:rPr>
              <w:t>项目实施出现募集 资金结余的金额及 原因</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24" w:hRule="exact"/>
        </w:trPr>
        <w:tc>
          <w:tcPr>
            <w:tcW w:w="1634" w:type="dxa"/>
            <w:vMerge/>
            <w:tcBorders>
              <w:left w:val="single" w:sz="4" w:space="0" w:color="000000"/>
              <w:bottom w:val="single" w:sz="4" w:space="0" w:color="000000"/>
              <w:right w:val="single" w:sz="4" w:space="0" w:color="000000"/>
            </w:tcBorders>
            <w:shd w:val="clear" w:color="auto" w:fill="D2D2D2"/>
          </w:tcPr>
          <w:p>
            <w:pP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59"/>
              <w:jc w:val="left"/>
              <w:rPr>
                <w:rFonts w:ascii="宋体" w:hAnsi="宋体" w:cs="宋体" w:eastAsia="宋体" w:hint="default"/>
                <w:sz w:val="18"/>
                <w:szCs w:val="18"/>
              </w:rPr>
            </w:pPr>
            <w:r>
              <w:rPr>
                <w:rFonts w:ascii="宋体" w:hAnsi="宋体" w:cs="宋体" w:eastAsia="宋体" w:hint="default"/>
                <w:sz w:val="18"/>
                <w:szCs w:val="18"/>
              </w:rPr>
              <w:t>尚未使用的募集资 金用途及去向</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尚未使用的募集资金未来将继续用于承诺投资项目</w:t>
            </w:r>
          </w:p>
        </w:tc>
      </w:tr>
      <w:tr>
        <w:trPr>
          <w:trHeight w:val="1028"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 w:right="159"/>
              <w:jc w:val="both"/>
              <w:rPr>
                <w:rFonts w:ascii="宋体" w:hAnsi="宋体" w:cs="宋体" w:eastAsia="宋体" w:hint="default"/>
                <w:sz w:val="18"/>
                <w:szCs w:val="18"/>
              </w:rPr>
            </w:pPr>
            <w:r>
              <w:rPr>
                <w:rFonts w:ascii="宋体" w:hAnsi="宋体" w:cs="宋体" w:eastAsia="宋体" w:hint="default"/>
                <w:sz w:val="18"/>
                <w:szCs w:val="18"/>
              </w:rPr>
              <w:t>募集资金使用及披 露中存在的问题或 其他情况</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）募集资金变更项目情况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1"/>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957"/>
        <w:gridCol w:w="958"/>
        <w:gridCol w:w="958"/>
        <w:gridCol w:w="958"/>
        <w:gridCol w:w="958"/>
        <w:gridCol w:w="956"/>
        <w:gridCol w:w="958"/>
        <w:gridCol w:w="955"/>
        <w:gridCol w:w="958"/>
        <w:gridCol w:w="958"/>
      </w:tblGrid>
      <w:tr>
        <w:trPr>
          <w:trHeight w:val="1337" w:hRule="exact"/>
        </w:trPr>
        <w:tc>
          <w:tcPr>
            <w:tcW w:w="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383" w:right="22" w:hanging="361"/>
              <w:jc w:val="left"/>
              <w:rPr>
                <w:rFonts w:ascii="宋体" w:hAnsi="宋体" w:cs="宋体" w:eastAsia="宋体" w:hint="default"/>
                <w:sz w:val="18"/>
                <w:szCs w:val="18"/>
              </w:rPr>
            </w:pPr>
            <w:r>
              <w:rPr>
                <w:rFonts w:ascii="宋体" w:hAnsi="宋体" w:cs="宋体" w:eastAsia="宋体" w:hint="default"/>
                <w:sz w:val="18"/>
                <w:szCs w:val="18"/>
              </w:rPr>
              <w:t>变更后的项 目</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04" w:right="23" w:hanging="180"/>
              <w:jc w:val="left"/>
              <w:rPr>
                <w:rFonts w:ascii="宋体" w:hAnsi="宋体" w:cs="宋体" w:eastAsia="宋体" w:hint="default"/>
                <w:sz w:val="18"/>
                <w:szCs w:val="18"/>
              </w:rPr>
            </w:pPr>
            <w:r>
              <w:rPr>
                <w:rFonts w:ascii="宋体" w:hAnsi="宋体" w:cs="宋体" w:eastAsia="宋体" w:hint="default"/>
                <w:sz w:val="18"/>
                <w:szCs w:val="18"/>
              </w:rPr>
              <w:t>对应的原承 诺项目</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exact" w:before="9"/>
              <w:ind w:left="23" w:right="22"/>
              <w:jc w:val="center"/>
              <w:rPr>
                <w:rFonts w:ascii="Times New Roman" w:hAnsi="Times New Roman" w:cs="Times New Roman" w:eastAsia="Times New Roman" w:hint="default"/>
                <w:sz w:val="18"/>
                <w:szCs w:val="18"/>
              </w:rPr>
            </w:pPr>
            <w:r>
              <w:rPr>
                <w:rFonts w:ascii="宋体" w:hAnsi="宋体" w:cs="宋体" w:eastAsia="宋体" w:hint="default"/>
                <w:sz w:val="18"/>
                <w:szCs w:val="18"/>
              </w:rPr>
              <w:t>变更后项目 拟投入募集 资金总额 </w:t>
            </w:r>
            <w:r>
              <w:rPr>
                <w:rFonts w:ascii="Times New Roman" w:hAnsi="Times New Roman" w:cs="Times New Roman" w:eastAsia="Times New Roman" w:hint="default"/>
                <w:sz w:val="18"/>
                <w:szCs w:val="18"/>
              </w:rPr>
              <w:t>(1)</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3" w:right="23"/>
              <w:jc w:val="left"/>
              <w:rPr>
                <w:rFonts w:ascii="宋体" w:hAnsi="宋体" w:cs="宋体" w:eastAsia="宋体" w:hint="default"/>
                <w:sz w:val="18"/>
                <w:szCs w:val="18"/>
              </w:rPr>
            </w:pPr>
            <w:r>
              <w:rPr>
                <w:rFonts w:ascii="宋体" w:hAnsi="宋体" w:cs="宋体" w:eastAsia="宋体" w:hint="default"/>
                <w:sz w:val="18"/>
                <w:szCs w:val="18"/>
              </w:rPr>
              <w:t>本报告期实 际投入金额</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23"/>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截至期末实 际累计投入 金额</w:t>
            </w:r>
            <w:r>
              <w:rPr>
                <w:rFonts w:ascii="Times New Roman" w:hAnsi="Times New Roman" w:cs="Times New Roman" w:eastAsia="Times New Roman" w:hint="default"/>
                <w:sz w:val="18"/>
                <w:szCs w:val="18"/>
              </w:rPr>
              <w:t>(2)</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38" w:lineRule="auto"/>
              <w:ind w:left="23" w:right="21"/>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截至期末投 资进度 </w:t>
            </w:r>
            <w:r>
              <w:rPr>
                <w:rFonts w:ascii="Times New Roman" w:hAnsi="Times New Roman" w:cs="Times New Roman" w:eastAsia="Times New Roman" w:hint="default"/>
                <w:sz w:val="18"/>
                <w:szCs w:val="18"/>
              </w:rPr>
              <w:t>(3)=(2)/(1)</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23"/>
              <w:jc w:val="center"/>
              <w:rPr>
                <w:rFonts w:ascii="宋体" w:hAnsi="宋体" w:cs="宋体" w:eastAsia="宋体" w:hint="default"/>
                <w:sz w:val="18"/>
                <w:szCs w:val="18"/>
              </w:rPr>
            </w:pPr>
            <w:r>
              <w:rPr>
                <w:rFonts w:ascii="宋体" w:hAnsi="宋体" w:cs="宋体" w:eastAsia="宋体" w:hint="default"/>
                <w:sz w:val="18"/>
                <w:szCs w:val="18"/>
              </w:rPr>
              <w:t>项目达到预 定可使用状 态日期</w:t>
            </w:r>
          </w:p>
        </w:tc>
        <w:tc>
          <w:tcPr>
            <w:tcW w:w="9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112" w:right="19" w:hanging="89"/>
              <w:jc w:val="left"/>
              <w:rPr>
                <w:rFonts w:ascii="宋体" w:hAnsi="宋体" w:cs="宋体" w:eastAsia="宋体" w:hint="default"/>
                <w:sz w:val="18"/>
                <w:szCs w:val="18"/>
              </w:rPr>
            </w:pPr>
            <w:r>
              <w:rPr>
                <w:rFonts w:ascii="宋体" w:hAnsi="宋体" w:cs="宋体" w:eastAsia="宋体" w:hint="default"/>
                <w:sz w:val="18"/>
                <w:szCs w:val="18"/>
              </w:rPr>
              <w:t>本报告期实 现的效益</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04" w:right="22" w:hanging="181"/>
              <w:jc w:val="left"/>
              <w:rPr>
                <w:rFonts w:ascii="宋体" w:hAnsi="宋体" w:cs="宋体" w:eastAsia="宋体" w:hint="default"/>
                <w:sz w:val="18"/>
                <w:szCs w:val="18"/>
              </w:rPr>
            </w:pPr>
            <w:r>
              <w:rPr>
                <w:rFonts w:ascii="宋体" w:hAnsi="宋体" w:cs="宋体" w:eastAsia="宋体" w:hint="default"/>
                <w:sz w:val="18"/>
                <w:szCs w:val="18"/>
              </w:rPr>
              <w:t>是否达到预 计效益</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3" w:right="23"/>
              <w:jc w:val="center"/>
              <w:rPr>
                <w:rFonts w:ascii="宋体" w:hAnsi="宋体" w:cs="宋体" w:eastAsia="宋体" w:hint="default"/>
                <w:sz w:val="18"/>
                <w:szCs w:val="18"/>
              </w:rPr>
            </w:pPr>
            <w:r>
              <w:rPr>
                <w:rFonts w:ascii="宋体" w:hAnsi="宋体" w:cs="宋体" w:eastAsia="宋体" w:hint="default"/>
                <w:sz w:val="18"/>
                <w:szCs w:val="18"/>
              </w:rPr>
              <w:t>变更后的项 目可行性是 否发生重大 变化</w:t>
            </w:r>
          </w:p>
        </w:tc>
      </w:tr>
      <w:tr>
        <w:trPr>
          <w:trHeight w:val="675" w:hRule="exact"/>
        </w:trPr>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2" w:right="29"/>
              <w:jc w:val="left"/>
              <w:rPr>
                <w:rFonts w:ascii="宋体" w:hAnsi="宋体" w:cs="宋体" w:eastAsia="宋体" w:hint="default"/>
                <w:sz w:val="18"/>
                <w:szCs w:val="18"/>
              </w:rPr>
            </w:pPr>
            <w:r>
              <w:rPr>
                <w:rFonts w:ascii="宋体" w:hAnsi="宋体" w:cs="宋体" w:eastAsia="宋体" w:hint="default"/>
                <w:sz w:val="18"/>
                <w:szCs w:val="18"/>
              </w:rPr>
              <w:t>新一代</w:t>
            </w:r>
            <w:r>
              <w:rPr>
                <w:rFonts w:ascii="Times New Roman" w:hAnsi="Times New Roman" w:cs="Times New Roman" w:eastAsia="Times New Roman" w:hint="default"/>
                <w:sz w:val="18"/>
                <w:szCs w:val="18"/>
              </w:rPr>
              <w:t>"</w:t>
            </w:r>
            <w:r>
              <w:rPr>
                <w:rFonts w:ascii="宋体" w:hAnsi="宋体" w:cs="宋体" w:eastAsia="宋体" w:hint="default"/>
                <w:sz w:val="18"/>
                <w:szCs w:val="18"/>
              </w:rPr>
              <w:t>网 格化</w:t>
            </w:r>
            <w:r>
              <w:rPr>
                <w:rFonts w:ascii="Times New Roman" w:hAnsi="Times New Roman" w:cs="Times New Roman" w:eastAsia="Times New Roman" w:hint="default"/>
                <w:sz w:val="18"/>
                <w:szCs w:val="18"/>
              </w:rPr>
              <w:t>+"</w:t>
            </w:r>
            <w:r>
              <w:rPr>
                <w:rFonts w:ascii="宋体" w:hAnsi="宋体" w:cs="宋体" w:eastAsia="宋体" w:hint="default"/>
                <w:sz w:val="18"/>
                <w:szCs w:val="18"/>
              </w:rPr>
              <w:t>智慧</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23"/>
              <w:jc w:val="left"/>
              <w:rPr>
                <w:rFonts w:ascii="宋体" w:hAnsi="宋体" w:cs="宋体" w:eastAsia="宋体" w:hint="default"/>
                <w:sz w:val="18"/>
                <w:szCs w:val="18"/>
              </w:rPr>
            </w:pPr>
            <w:r>
              <w:rPr>
                <w:rFonts w:ascii="宋体" w:hAnsi="宋体" w:cs="宋体" w:eastAsia="宋体" w:hint="default"/>
                <w:sz w:val="18"/>
                <w:szCs w:val="18"/>
              </w:rPr>
              <w:t>新一代</w:t>
            </w:r>
            <w:r>
              <w:rPr>
                <w:rFonts w:ascii="Times New Roman" w:hAnsi="Times New Roman" w:cs="Times New Roman" w:eastAsia="Times New Roman" w:hint="default"/>
                <w:sz w:val="18"/>
                <w:szCs w:val="18"/>
              </w:rPr>
              <w:t>“</w:t>
            </w:r>
            <w:r>
              <w:rPr>
                <w:rFonts w:ascii="宋体" w:hAnsi="宋体" w:cs="宋体" w:eastAsia="宋体" w:hint="default"/>
                <w:sz w:val="18"/>
                <w:szCs w:val="18"/>
              </w:rPr>
              <w:t>网 格化</w:t>
            </w:r>
            <w:r>
              <w:rPr>
                <w:rFonts w:ascii="Times New Roman" w:hAnsi="Times New Roman" w:cs="Times New Roman" w:eastAsia="Times New Roman" w:hint="default"/>
                <w:sz w:val="18"/>
                <w:szCs w:val="18"/>
              </w:rPr>
              <w:t>+”</w:t>
            </w:r>
            <w:r>
              <w:rPr>
                <w:rFonts w:ascii="宋体" w:hAnsi="宋体" w:cs="宋体" w:eastAsia="宋体" w:hint="default"/>
                <w:sz w:val="18"/>
                <w:szCs w:val="18"/>
              </w:rPr>
              <w:t>智慧</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429" w:right="0"/>
              <w:jc w:val="left"/>
              <w:rPr>
                <w:rFonts w:ascii="Times New Roman" w:hAnsi="Times New Roman" w:cs="Times New Roman" w:eastAsia="Times New Roman" w:hint="default"/>
                <w:sz w:val="18"/>
                <w:szCs w:val="18"/>
              </w:rPr>
            </w:pPr>
            <w:r>
              <w:rPr>
                <w:rFonts w:ascii="Times New Roman"/>
                <w:sz w:val="18"/>
              </w:rPr>
              <w:t>37,810</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14,965.18</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203" w:right="0"/>
              <w:jc w:val="left"/>
              <w:rPr>
                <w:rFonts w:ascii="Times New Roman" w:hAnsi="Times New Roman" w:cs="Times New Roman" w:eastAsia="Times New Roman" w:hint="default"/>
                <w:sz w:val="18"/>
                <w:szCs w:val="18"/>
              </w:rPr>
            </w:pPr>
            <w:r>
              <w:rPr>
                <w:rFonts w:ascii="Times New Roman"/>
                <w:sz w:val="18"/>
              </w:rPr>
              <w:t>22,425.82</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369" w:right="0"/>
              <w:jc w:val="left"/>
              <w:rPr>
                <w:rFonts w:ascii="Times New Roman" w:hAnsi="Times New Roman" w:cs="Times New Roman" w:eastAsia="Times New Roman" w:hint="default"/>
                <w:sz w:val="18"/>
                <w:szCs w:val="18"/>
              </w:rPr>
            </w:pPr>
            <w:r>
              <w:rPr>
                <w:rFonts w:ascii="Times New Roman"/>
                <w:sz w:val="18"/>
              </w:rPr>
              <w:t>59.31%</w:t>
            </w: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292" w:right="0"/>
              <w:jc w:val="left"/>
              <w:rPr>
                <w:rFonts w:ascii="Times New Roman" w:hAnsi="Times New Roman" w:cs="Times New Roman" w:eastAsia="Times New Roman" w:hint="default"/>
                <w:sz w:val="18"/>
                <w:szCs w:val="18"/>
              </w:rPr>
            </w:pPr>
            <w:r>
              <w:rPr>
                <w:rFonts w:ascii="Times New Roman"/>
                <w:sz w:val="18"/>
              </w:rPr>
              <w:t>4,978.64</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r>
        <w:rPr/>
        <w:pict>
          <v:shape style="position:absolute;margin-left:56.400002pt;margin-top:71.999985pt;width:479.4pt;height:660.75pt;mso-position-horizontal-relative:page;mso-position-vertical-relative:page;z-index:1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58"/>
                    <w:gridCol w:w="958"/>
                    <w:gridCol w:w="958"/>
                    <w:gridCol w:w="958"/>
                    <w:gridCol w:w="958"/>
                    <w:gridCol w:w="956"/>
                    <w:gridCol w:w="958"/>
                    <w:gridCol w:w="955"/>
                    <w:gridCol w:w="958"/>
                    <w:gridCol w:w="958"/>
                  </w:tblGrid>
                  <w:tr>
                    <w:trPr>
                      <w:trHeight w:val="5667" w:hRule="exact"/>
                    </w:trPr>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8"/>
                          <w:ind w:left="24" w:right="22"/>
                          <w:jc w:val="left"/>
                          <w:rPr>
                            <w:rFonts w:ascii="宋体" w:hAnsi="宋体" w:cs="宋体" w:eastAsia="宋体" w:hint="default"/>
                            <w:sz w:val="18"/>
                            <w:szCs w:val="18"/>
                          </w:rPr>
                        </w:pPr>
                        <w:r>
                          <w:rPr>
                            <w:rFonts w:ascii="宋体" w:hAnsi="宋体" w:cs="宋体" w:eastAsia="宋体" w:hint="default"/>
                            <w:sz w:val="18"/>
                            <w:szCs w:val="18"/>
                          </w:rPr>
                          <w:t>城市综合信 息服务及运 营项目</w:t>
                        </w:r>
                        <w:r>
                          <w:rPr>
                            <w:rFonts w:ascii="Times New Roman" w:hAnsi="Times New Roman" w:cs="Times New Roman" w:eastAsia="Times New Roman" w:hint="default"/>
                            <w:sz w:val="18"/>
                            <w:szCs w:val="18"/>
                          </w:rPr>
                          <w:t>-</w:t>
                        </w:r>
                        <w:r>
                          <w:rPr>
                            <w:rFonts w:ascii="宋体" w:hAnsi="宋体" w:cs="宋体" w:eastAsia="宋体" w:hint="default"/>
                            <w:sz w:val="18"/>
                            <w:szCs w:val="18"/>
                          </w:rPr>
                          <w:t>江 西省大余县 智慧亮化路 灯节能改造 项目、宁德 市网格化服 务管理信息 平台和宁德 市政务云计 算中心项 目、东南大 区新一代</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网格化</w:t>
                        </w:r>
                        <w:r>
                          <w:rPr>
                            <w:rFonts w:ascii="Times New Roman" w:hAnsi="Times New Roman" w:cs="Times New Roman" w:eastAsia="Times New Roman" w:hint="default"/>
                            <w:sz w:val="18"/>
                            <w:szCs w:val="18"/>
                          </w:rPr>
                          <w:t>+'</w:t>
                        </w:r>
                        <w:r>
                          <w:rPr>
                            <w:rFonts w:ascii="宋体" w:hAnsi="宋体" w:cs="宋体" w:eastAsia="宋体" w:hint="default"/>
                            <w:sz w:val="18"/>
                            <w:szCs w:val="18"/>
                          </w:rPr>
                          <w:t>智 慧城市综合 信息服务及 运营项目</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8"/>
                          <w:ind w:left="24" w:right="23"/>
                          <w:jc w:val="left"/>
                          <w:rPr>
                            <w:rFonts w:ascii="宋体" w:hAnsi="宋体" w:cs="宋体" w:eastAsia="宋体" w:hint="default"/>
                            <w:sz w:val="18"/>
                            <w:szCs w:val="18"/>
                          </w:rPr>
                        </w:pPr>
                        <w:r>
                          <w:rPr>
                            <w:rFonts w:ascii="宋体" w:hAnsi="宋体" w:cs="宋体" w:eastAsia="宋体" w:hint="default"/>
                            <w:sz w:val="18"/>
                            <w:szCs w:val="18"/>
                          </w:rPr>
                          <w:t>城市综合信 息服务及运 营项目</w:t>
                        </w:r>
                        <w:r>
                          <w:rPr>
                            <w:rFonts w:ascii="Times New Roman" w:hAnsi="Times New Roman" w:cs="Times New Roman" w:eastAsia="Times New Roman" w:hint="default"/>
                            <w:sz w:val="18"/>
                            <w:szCs w:val="18"/>
                          </w:rPr>
                          <w:t>-</w:t>
                        </w:r>
                        <w:r>
                          <w:rPr>
                            <w:rFonts w:ascii="宋体" w:hAnsi="宋体" w:cs="宋体" w:eastAsia="宋体" w:hint="default"/>
                            <w:sz w:val="18"/>
                            <w:szCs w:val="18"/>
                          </w:rPr>
                          <w:t>智 慧乌当、新 一代</w:t>
                        </w:r>
                        <w:r>
                          <w:rPr>
                            <w:rFonts w:ascii="Times New Roman" w:hAnsi="Times New Roman" w:cs="Times New Roman" w:eastAsia="Times New Roman" w:hint="default"/>
                            <w:sz w:val="18"/>
                            <w:szCs w:val="18"/>
                          </w:rPr>
                          <w:t>„</w:t>
                        </w:r>
                        <w:r>
                          <w:rPr>
                            <w:rFonts w:ascii="宋体" w:hAnsi="宋体" w:cs="宋体" w:eastAsia="宋体" w:hint="default"/>
                            <w:sz w:val="18"/>
                            <w:szCs w:val="18"/>
                          </w:rPr>
                          <w:t>网格 </w:t>
                        </w:r>
                        <w:r>
                          <w:rPr>
                            <w:rFonts w:ascii="宋体" w:hAnsi="宋体" w:cs="宋体" w:eastAsia="宋体" w:hint="default"/>
                            <w:w w:val="95"/>
                            <w:sz w:val="18"/>
                            <w:szCs w:val="18"/>
                          </w:rPr>
                          <w:t>化</w:t>
                        </w:r>
                        <w:r>
                          <w:rPr>
                            <w:rFonts w:ascii="Times New Roman" w:hAnsi="Times New Roman" w:cs="Times New Roman" w:eastAsia="Times New Roman" w:hint="default"/>
                            <w:w w:val="95"/>
                            <w:sz w:val="18"/>
                            <w:szCs w:val="18"/>
                          </w:rPr>
                          <w:t>+‟</w:t>
                        </w:r>
                        <w:r>
                          <w:rPr>
                            <w:rFonts w:ascii="宋体" w:hAnsi="宋体" w:cs="宋体" w:eastAsia="宋体" w:hint="default"/>
                            <w:w w:val="95"/>
                            <w:sz w:val="18"/>
                            <w:szCs w:val="18"/>
                          </w:rPr>
                          <w:t>智慧城</w:t>
                        </w:r>
                        <w:r>
                          <w:rPr>
                            <w:rFonts w:ascii="宋体" w:hAnsi="宋体" w:cs="宋体" w:eastAsia="宋体" w:hint="default"/>
                            <w:spacing w:val="-62"/>
                            <w:w w:val="95"/>
                            <w:sz w:val="18"/>
                            <w:szCs w:val="18"/>
                          </w:rPr>
                          <w:t> </w:t>
                        </w:r>
                        <w:r>
                          <w:rPr>
                            <w:rFonts w:ascii="宋体" w:hAnsi="宋体" w:cs="宋体" w:eastAsia="宋体" w:hint="default"/>
                            <w:sz w:val="18"/>
                            <w:szCs w:val="18"/>
                          </w:rPr>
                          <w:t>市综合信息 服务及运营 项目</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智慧</w:t>
                        </w:r>
                        <w:r>
                          <w:rPr>
                            <w:rFonts w:ascii="宋体" w:hAnsi="宋体" w:cs="宋体" w:eastAsia="宋体" w:hint="default"/>
                            <w:w w:val="99"/>
                            <w:sz w:val="18"/>
                            <w:szCs w:val="18"/>
                          </w:rPr>
                          <w:t> </w:t>
                        </w:r>
                        <w:r>
                          <w:rPr>
                            <w:rFonts w:ascii="宋体" w:hAnsi="宋体" w:cs="宋体" w:eastAsia="宋体" w:hint="default"/>
                            <w:sz w:val="18"/>
                            <w:szCs w:val="18"/>
                          </w:rPr>
                          <w:t>即墨经济开</w:t>
                        </w:r>
                        <w:r>
                          <w:rPr>
                            <w:rFonts w:ascii="宋体" w:hAnsi="宋体" w:cs="宋体" w:eastAsia="宋体" w:hint="default"/>
                            <w:w w:val="99"/>
                            <w:sz w:val="18"/>
                            <w:szCs w:val="18"/>
                          </w:rPr>
                          <w:t> </w:t>
                        </w:r>
                        <w:r>
                          <w:rPr>
                            <w:rFonts w:ascii="宋体" w:hAnsi="宋体" w:cs="宋体" w:eastAsia="宋体" w:hint="default"/>
                            <w:sz w:val="18"/>
                            <w:szCs w:val="18"/>
                          </w:rPr>
                          <w:t>发区</w:t>
                        </w: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29" w:right="0"/>
                          <w:jc w:val="left"/>
                          <w:rPr>
                            <w:rFonts w:ascii="Times New Roman" w:hAnsi="Times New Roman" w:cs="Times New Roman" w:eastAsia="Times New Roman" w:hint="default"/>
                            <w:sz w:val="18"/>
                            <w:szCs w:val="18"/>
                          </w:rPr>
                        </w:pPr>
                        <w:r>
                          <w:rPr>
                            <w:rFonts w:ascii="Times New Roman"/>
                            <w:sz w:val="18"/>
                          </w:rPr>
                          <w:t>37,810</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6" w:right="0"/>
                          <w:jc w:val="left"/>
                          <w:rPr>
                            <w:rFonts w:ascii="Times New Roman" w:hAnsi="Times New Roman" w:cs="Times New Roman" w:eastAsia="Times New Roman" w:hint="default"/>
                            <w:sz w:val="18"/>
                            <w:szCs w:val="18"/>
                          </w:rPr>
                        </w:pPr>
                        <w:r>
                          <w:rPr>
                            <w:rFonts w:ascii="Times New Roman"/>
                            <w:sz w:val="18"/>
                          </w:rPr>
                          <w:t>14,965.18</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 w:right="0"/>
                          <w:jc w:val="left"/>
                          <w:rPr>
                            <w:rFonts w:ascii="Times New Roman" w:hAnsi="Times New Roman" w:cs="Times New Roman" w:eastAsia="Times New Roman" w:hint="default"/>
                            <w:sz w:val="18"/>
                            <w:szCs w:val="18"/>
                          </w:rPr>
                        </w:pPr>
                        <w:r>
                          <w:rPr>
                            <w:rFonts w:ascii="Times New Roman"/>
                            <w:sz w:val="18"/>
                          </w:rPr>
                          <w:t>22,425.82</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55"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left="292" w:right="0"/>
                          <w:jc w:val="left"/>
                          <w:rPr>
                            <w:rFonts w:ascii="Times New Roman" w:hAnsi="Times New Roman" w:cs="Times New Roman" w:eastAsia="Times New Roman" w:hint="default"/>
                            <w:sz w:val="18"/>
                            <w:szCs w:val="18"/>
                          </w:rPr>
                        </w:pPr>
                        <w:r>
                          <w:rPr>
                            <w:rFonts w:ascii="Times New Roman"/>
                            <w:sz w:val="18"/>
                          </w:rPr>
                          <w:t>4,978.64</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5708" w:hRule="exact"/>
                    </w:trPr>
                    <w:tc>
                      <w:tcPr>
                        <w:tcW w:w="287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4"/>
                            <w:szCs w:val="14"/>
                          </w:rPr>
                        </w:pPr>
                      </w:p>
                      <w:p>
                        <w:pPr>
                          <w:pStyle w:val="TableParagraph"/>
                          <w:spacing w:line="316" w:lineRule="auto"/>
                          <w:ind w:left="24" w:right="24"/>
                          <w:jc w:val="left"/>
                          <w:rPr>
                            <w:rFonts w:ascii="Times New Roman" w:hAnsi="Times New Roman" w:cs="Times New Roman" w:eastAsia="Times New Roman" w:hint="default"/>
                            <w:sz w:val="18"/>
                            <w:szCs w:val="18"/>
                          </w:rPr>
                        </w:pPr>
                        <w:r>
                          <w:rPr>
                            <w:rFonts w:ascii="宋体" w:hAnsi="宋体" w:cs="宋体" w:eastAsia="宋体" w:hint="default"/>
                            <w:spacing w:val="-5"/>
                            <w:sz w:val="18"/>
                            <w:szCs w:val="18"/>
                          </w:rPr>
                          <w:t>变更原因、决策程序及信息披露情况</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说明</w:t>
                        </w:r>
                        <w:r>
                          <w:rPr>
                            <w:rFonts w:ascii="Times New Roman" w:hAnsi="Times New Roman" w:cs="Times New Roman" w:eastAsia="Times New Roman" w:hint="default"/>
                            <w:sz w:val="18"/>
                            <w:szCs w:val="18"/>
                          </w:rPr>
                          <w:t>(</w:t>
                        </w:r>
                        <w:r>
                          <w:rPr>
                            <w:rFonts w:ascii="宋体" w:hAnsi="宋体" w:cs="宋体" w:eastAsia="宋体" w:hint="default"/>
                            <w:sz w:val="18"/>
                            <w:szCs w:val="18"/>
                          </w:rPr>
                          <w:t>分具体项目</w:t>
                        </w:r>
                        <w:r>
                          <w:rPr>
                            <w:rFonts w:ascii="Times New Roman" w:hAnsi="Times New Roman" w:cs="Times New Roman" w:eastAsia="Times New Roman" w:hint="default"/>
                            <w:sz w:val="18"/>
                            <w:szCs w:val="18"/>
                          </w:rPr>
                          <w:t>)</w:t>
                        </w:r>
                      </w:p>
                    </w:tc>
                    <w:tc>
                      <w:tcPr>
                        <w:tcW w:w="6699" w:type="dxa"/>
                        <w:gridSpan w:val="7"/>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23" w:right="3"/>
                          <w:jc w:val="left"/>
                          <w:rPr>
                            <w:rFonts w:ascii="宋体" w:hAnsi="宋体" w:cs="宋体" w:eastAsia="宋体" w:hint="default"/>
                            <w:sz w:val="18"/>
                            <w:szCs w:val="18"/>
                          </w:rPr>
                        </w:pPr>
                        <w:r>
                          <w:rPr>
                            <w:rFonts w:ascii="宋体" w:hAnsi="宋体" w:cs="宋体" w:eastAsia="宋体" w:hint="default"/>
                            <w:sz w:val="18"/>
                            <w:szCs w:val="18"/>
                          </w:rPr>
                          <w:t>公司着力整合技术和市场资源、加强本地化运营和服务团队建设，并综合考虑项目实 施的优先次序对资金使用做出合理安排。根据项目的具体进展情况，鉴于公司与贵阳 市乌当区国有独资企业</w:t>
                        </w:r>
                        <w:r>
                          <w:rPr>
                            <w:rFonts w:ascii="Times New Roman" w:hAnsi="Times New Roman" w:cs="Times New Roman" w:eastAsia="Times New Roman" w:hint="default"/>
                            <w:sz w:val="18"/>
                            <w:szCs w:val="18"/>
                          </w:rPr>
                          <w:t>——</w:t>
                        </w:r>
                        <w:r>
                          <w:rPr>
                            <w:rFonts w:ascii="宋体" w:hAnsi="宋体" w:cs="宋体" w:eastAsia="宋体" w:hint="default"/>
                            <w:sz w:val="18"/>
                            <w:szCs w:val="18"/>
                          </w:rPr>
                          <w:t>贵州智源信息产业孵化基地有限公司所签订的</w:t>
                        </w:r>
                        <w:r>
                          <w:rPr>
                            <w:rFonts w:ascii="Times New Roman" w:hAnsi="Times New Roman" w:cs="Times New Roman" w:eastAsia="Times New Roman" w:hint="default"/>
                            <w:sz w:val="18"/>
                            <w:szCs w:val="18"/>
                          </w:rPr>
                          <w:t>“</w:t>
                        </w:r>
                        <w:r>
                          <w:rPr>
                            <w:rFonts w:ascii="宋体" w:hAnsi="宋体" w:cs="宋体" w:eastAsia="宋体" w:hint="default"/>
                            <w:sz w:val="18"/>
                            <w:szCs w:val="18"/>
                          </w:rPr>
                          <w:t>智慧乌当</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项目涉及部门众多，系统较为复杂，仍处于方案设计期间，尚未实际投入建设资金， 为提高资金使用效率和项目的投资收益率，于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日召开第三届董事会 </w:t>
                        </w:r>
                        <w:r>
                          <w:rPr>
                            <w:rFonts w:ascii="宋体" w:hAnsi="宋体" w:cs="宋体" w:eastAsia="宋体" w:hint="default"/>
                            <w:spacing w:val="-3"/>
                            <w:sz w:val="18"/>
                            <w:szCs w:val="18"/>
                          </w:rPr>
                          <w:t>第三十二次会议，审议通过了《关于变更部分募集资金用途的议案》。同意将</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新一代</w:t>
                        </w:r>
                      </w:p>
                      <w:p>
                        <w:pPr>
                          <w:pStyle w:val="TableParagraph"/>
                          <w:spacing w:line="300" w:lineRule="auto" w:before="3"/>
                          <w:ind w:left="23" w:right="35"/>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网格化</w:t>
                        </w:r>
                        <w:r>
                          <w:rPr>
                            <w:rFonts w:ascii="Times New Roman" w:hAnsi="Times New Roman" w:cs="Times New Roman" w:eastAsia="Times New Roman" w:hint="default"/>
                            <w:sz w:val="18"/>
                            <w:szCs w:val="18"/>
                          </w:rPr>
                          <w:t>+‟</w:t>
                        </w:r>
                        <w:r>
                          <w:rPr>
                            <w:rFonts w:ascii="宋体" w:hAnsi="宋体" w:cs="宋体" w:eastAsia="宋体" w:hint="default"/>
                            <w:sz w:val="18"/>
                            <w:szCs w:val="18"/>
                          </w:rPr>
                          <w:t>智慧城市综合信息服务及运营项目</w:t>
                        </w:r>
                        <w:r>
                          <w:rPr>
                            <w:rFonts w:ascii="Times New Roman" w:hAnsi="Times New Roman" w:cs="Times New Roman" w:eastAsia="Times New Roman" w:hint="default"/>
                            <w:sz w:val="18"/>
                            <w:szCs w:val="18"/>
                          </w:rPr>
                          <w:t>”</w:t>
                        </w:r>
                        <w:r>
                          <w:rPr>
                            <w:rFonts w:ascii="宋体" w:hAnsi="宋体" w:cs="宋体" w:eastAsia="宋体" w:hint="default"/>
                            <w:sz w:val="18"/>
                            <w:szCs w:val="18"/>
                          </w:rPr>
                          <w:t>中原用于投入</w:t>
                        </w:r>
                        <w:r>
                          <w:rPr>
                            <w:rFonts w:ascii="Times New Roman" w:hAnsi="Times New Roman" w:cs="Times New Roman" w:eastAsia="Times New Roman" w:hint="default"/>
                            <w:sz w:val="18"/>
                            <w:szCs w:val="18"/>
                          </w:rPr>
                          <w:t>“</w:t>
                        </w:r>
                        <w:r>
                          <w:rPr>
                            <w:rFonts w:ascii="宋体" w:hAnsi="宋体" w:cs="宋体" w:eastAsia="宋体" w:hint="default"/>
                            <w:sz w:val="18"/>
                            <w:szCs w:val="18"/>
                          </w:rPr>
                          <w:t>智慧乌当</w:t>
                        </w:r>
                        <w:r>
                          <w:rPr>
                            <w:rFonts w:ascii="Times New Roman" w:hAnsi="Times New Roman" w:cs="Times New Roman" w:eastAsia="Times New Roman" w:hint="default"/>
                            <w:sz w:val="18"/>
                            <w:szCs w:val="18"/>
                          </w:rPr>
                          <w:t>”</w:t>
                        </w:r>
                        <w:r>
                          <w:rPr>
                            <w:rFonts w:ascii="宋体" w:hAnsi="宋体" w:cs="宋体" w:eastAsia="宋体" w:hint="default"/>
                            <w:sz w:val="18"/>
                            <w:szCs w:val="18"/>
                          </w:rPr>
                          <w:t>的</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15,500</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万元 变更用途用于</w:t>
                        </w:r>
                        <w:r>
                          <w:rPr>
                            <w:rFonts w:ascii="Times New Roman" w:hAnsi="Times New Roman" w:cs="Times New Roman" w:eastAsia="Times New Roman" w:hint="default"/>
                            <w:sz w:val="18"/>
                            <w:szCs w:val="18"/>
                          </w:rPr>
                          <w:t>“</w:t>
                        </w:r>
                        <w:r>
                          <w:rPr>
                            <w:rFonts w:ascii="宋体" w:hAnsi="宋体" w:cs="宋体" w:eastAsia="宋体" w:hint="default"/>
                            <w:sz w:val="18"/>
                            <w:szCs w:val="18"/>
                          </w:rPr>
                          <w:t>江西省大余县智慧亮化路灯节能改造项目</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宁德市网格化服务管理 信息平台和宁德市政务云计算中心项目</w:t>
                        </w:r>
                        <w:r>
                          <w:rPr>
                            <w:rFonts w:ascii="Times New Roman" w:hAnsi="Times New Roman" w:cs="Times New Roman" w:eastAsia="Times New Roman" w:hint="default"/>
                            <w:sz w:val="18"/>
                            <w:szCs w:val="18"/>
                          </w:rPr>
                          <w:t>”</w:t>
                        </w:r>
                        <w:r>
                          <w:rPr>
                            <w:rFonts w:ascii="宋体" w:hAnsi="宋体" w:cs="宋体" w:eastAsia="宋体" w:hint="default"/>
                            <w:sz w:val="18"/>
                            <w:szCs w:val="18"/>
                          </w:rPr>
                          <w:t>。本次变更项目涉及的总金额为</w:t>
                        </w:r>
                        <w:r>
                          <w:rPr>
                            <w:rFonts w:ascii="宋体" w:hAnsi="宋体" w:cs="宋体" w:eastAsia="宋体" w:hint="default"/>
                            <w:spacing w:val="-72"/>
                            <w:sz w:val="18"/>
                            <w:szCs w:val="18"/>
                          </w:rPr>
                          <w:t> </w:t>
                        </w:r>
                        <w:r>
                          <w:rPr>
                            <w:rFonts w:ascii="Times New Roman" w:hAnsi="Times New Roman" w:cs="Times New Roman" w:eastAsia="Times New Roman" w:hint="default"/>
                            <w:sz w:val="18"/>
                            <w:szCs w:val="18"/>
                          </w:rPr>
                          <w:t>15,500</w:t>
                        </w:r>
                        <w:r>
                          <w:rPr>
                            <w:rFonts w:ascii="Times New Roman" w:hAnsi="Times New Roman" w:cs="Times New Roman" w:eastAsia="Times New Roman" w:hint="default"/>
                            <w:spacing w:val="-26"/>
                            <w:sz w:val="18"/>
                            <w:szCs w:val="18"/>
                          </w:rPr>
                          <w:t> </w:t>
                        </w:r>
                        <w:r>
                          <w:rPr>
                            <w:rFonts w:ascii="宋体" w:hAnsi="宋体" w:cs="宋体" w:eastAsia="宋体" w:hint="default"/>
                            <w:sz w:val="18"/>
                            <w:szCs w:val="18"/>
                          </w:rPr>
                          <w:t>万元</w:t>
                        </w:r>
                      </w:p>
                      <w:p>
                        <w:pPr>
                          <w:pStyle w:val="TableParagraph"/>
                          <w:spacing w:line="309" w:lineRule="auto" w:before="13"/>
                          <w:ind w:left="23" w:right="29"/>
                          <w:jc w:val="left"/>
                          <w:rPr>
                            <w:rFonts w:ascii="宋体" w:hAnsi="宋体" w:cs="宋体" w:eastAsia="宋体" w:hint="default"/>
                            <w:sz w:val="18"/>
                            <w:szCs w:val="18"/>
                          </w:rPr>
                        </w:pPr>
                        <w:r>
                          <w:rPr>
                            <w:rFonts w:ascii="宋体" w:hAnsi="宋体" w:cs="宋体" w:eastAsia="宋体" w:hint="default"/>
                            <w:sz w:val="18"/>
                            <w:szCs w:val="18"/>
                          </w:rPr>
                          <w:t>占上述非公开发行募集资金总额的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28.81%</w:t>
                        </w:r>
                        <w:r>
                          <w:rPr>
                            <w:rFonts w:ascii="宋体" w:hAnsi="宋体" w:cs="宋体" w:eastAsia="宋体" w:hint="default"/>
                            <w:sz w:val="18"/>
                            <w:szCs w:val="18"/>
                          </w:rPr>
                          <w:t>，并于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日进行公告。公司 本次变更部分募集资金用途事宜已经第三届董事会第三十二次会议和第三届监事会 第二十六次会议审议通过，经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年第一次临时股东审议通过，公司独立董事发表</w:t>
                        </w:r>
                      </w:p>
                      <w:p>
                        <w:pPr>
                          <w:pStyle w:val="TableParagraph"/>
                          <w:spacing w:line="307" w:lineRule="auto" w:before="5"/>
                          <w:ind w:left="23" w:right="19"/>
                          <w:jc w:val="left"/>
                          <w:rPr>
                            <w:rFonts w:ascii="宋体" w:hAnsi="宋体" w:cs="宋体" w:eastAsia="宋体" w:hint="default"/>
                            <w:sz w:val="18"/>
                            <w:szCs w:val="18"/>
                          </w:rPr>
                        </w:pPr>
                        <w:r>
                          <w:rPr>
                            <w:rFonts w:ascii="宋体" w:hAnsi="宋体" w:cs="宋体" w:eastAsia="宋体" w:hint="default"/>
                            <w:sz w:val="18"/>
                            <w:szCs w:val="18"/>
                          </w:rPr>
                          <w:t>了明确同意的独立意见，履行了必要的审批程序。公司于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日召开第三 </w:t>
                        </w:r>
                        <w:r>
                          <w:rPr>
                            <w:rFonts w:ascii="宋体" w:hAnsi="宋体" w:cs="宋体" w:eastAsia="宋体" w:hint="default"/>
                            <w:spacing w:val="-3"/>
                            <w:sz w:val="18"/>
                            <w:szCs w:val="18"/>
                          </w:rPr>
                          <w:t>届董事会第三十七次会议，审议通过了《关于变更部分募集资金用途的议案》。同意</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将</w:t>
                        </w:r>
                        <w:r>
                          <w:rPr>
                            <w:rFonts w:ascii="Times New Roman" w:hAnsi="Times New Roman" w:cs="Times New Roman" w:eastAsia="Times New Roman" w:hint="default"/>
                            <w:sz w:val="18"/>
                            <w:szCs w:val="18"/>
                          </w:rPr>
                          <w:t>“</w:t>
                        </w:r>
                        <w:r>
                          <w:rPr>
                            <w:rFonts w:ascii="宋体" w:hAnsi="宋体" w:cs="宋体" w:eastAsia="宋体" w:hint="default"/>
                            <w:sz w:val="18"/>
                            <w:szCs w:val="18"/>
                          </w:rPr>
                          <w:t>新一代</w:t>
                        </w:r>
                        <w:r>
                          <w:rPr>
                            <w:rFonts w:ascii="Times New Roman" w:hAnsi="Times New Roman" w:cs="Times New Roman" w:eastAsia="Times New Roman" w:hint="default"/>
                            <w:sz w:val="18"/>
                            <w:szCs w:val="18"/>
                          </w:rPr>
                          <w:t>„</w:t>
                        </w:r>
                        <w:r>
                          <w:rPr>
                            <w:rFonts w:ascii="宋体" w:hAnsi="宋体" w:cs="宋体" w:eastAsia="宋体" w:hint="default"/>
                            <w:sz w:val="18"/>
                            <w:szCs w:val="18"/>
                          </w:rPr>
                          <w:t>网格化</w:t>
                        </w:r>
                        <w:r>
                          <w:rPr>
                            <w:rFonts w:ascii="Times New Roman" w:hAnsi="Times New Roman" w:cs="Times New Roman" w:eastAsia="Times New Roman" w:hint="default"/>
                            <w:sz w:val="18"/>
                            <w:szCs w:val="18"/>
                          </w:rPr>
                          <w:t>+‟</w:t>
                        </w:r>
                        <w:r>
                          <w:rPr>
                            <w:rFonts w:ascii="宋体" w:hAnsi="宋体" w:cs="宋体" w:eastAsia="宋体" w:hint="default"/>
                            <w:sz w:val="18"/>
                            <w:szCs w:val="18"/>
                          </w:rPr>
                          <w:t>智慧城市综合信息服务及运营项目</w:t>
                        </w:r>
                        <w:r>
                          <w:rPr>
                            <w:rFonts w:ascii="Times New Roman" w:hAnsi="Times New Roman" w:cs="Times New Roman" w:eastAsia="Times New Roman" w:hint="default"/>
                            <w:sz w:val="18"/>
                            <w:szCs w:val="18"/>
                          </w:rPr>
                          <w:t>”</w:t>
                        </w:r>
                        <w:r>
                          <w:rPr>
                            <w:rFonts w:ascii="宋体" w:hAnsi="宋体" w:cs="宋体" w:eastAsia="宋体" w:hint="default"/>
                            <w:sz w:val="18"/>
                            <w:szCs w:val="18"/>
                          </w:rPr>
                          <w:t>中原用于投入</w:t>
                        </w:r>
                        <w:r>
                          <w:rPr>
                            <w:rFonts w:ascii="Times New Roman" w:hAnsi="Times New Roman" w:cs="Times New Roman" w:eastAsia="Times New Roman" w:hint="default"/>
                            <w:sz w:val="18"/>
                            <w:szCs w:val="18"/>
                          </w:rPr>
                          <w:t>“</w:t>
                        </w:r>
                        <w:r>
                          <w:rPr>
                            <w:rFonts w:ascii="宋体" w:hAnsi="宋体" w:cs="宋体" w:eastAsia="宋体" w:hint="default"/>
                            <w:sz w:val="18"/>
                            <w:szCs w:val="18"/>
                          </w:rPr>
                          <w:t>智慧即墨经济 开发区</w:t>
                        </w:r>
                        <w:r>
                          <w:rPr>
                            <w:rFonts w:ascii="Times New Roman" w:hAnsi="Times New Roman" w:cs="Times New Roman" w:eastAsia="Times New Roman" w:hint="default"/>
                            <w:sz w:val="18"/>
                            <w:szCs w:val="18"/>
                          </w:rPr>
                          <w:t>”</w:t>
                        </w:r>
                        <w:r>
                          <w:rPr>
                            <w:rFonts w:ascii="宋体" w:hAnsi="宋体" w:cs="宋体" w:eastAsia="宋体" w:hint="default"/>
                            <w:sz w:val="18"/>
                            <w:szCs w:val="18"/>
                          </w:rPr>
                          <w:t>的</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9,000</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万元变更用途用于</w:t>
                        </w:r>
                        <w:r>
                          <w:rPr>
                            <w:rFonts w:ascii="Times New Roman" w:hAnsi="Times New Roman" w:cs="Times New Roman" w:eastAsia="Times New Roman" w:hint="default"/>
                            <w:sz w:val="18"/>
                            <w:szCs w:val="18"/>
                          </w:rPr>
                          <w:t>“</w:t>
                        </w:r>
                        <w:r>
                          <w:rPr>
                            <w:rFonts w:ascii="宋体" w:hAnsi="宋体" w:cs="宋体" w:eastAsia="宋体" w:hint="default"/>
                            <w:sz w:val="18"/>
                            <w:szCs w:val="18"/>
                          </w:rPr>
                          <w:t>东南大区新一代</w:t>
                        </w:r>
                        <w:r>
                          <w:rPr>
                            <w:rFonts w:ascii="Times New Roman" w:hAnsi="Times New Roman" w:cs="Times New Roman" w:eastAsia="Times New Roman" w:hint="default"/>
                            <w:sz w:val="18"/>
                            <w:szCs w:val="18"/>
                          </w:rPr>
                          <w:t>„</w:t>
                        </w:r>
                        <w:r>
                          <w:rPr>
                            <w:rFonts w:ascii="宋体" w:hAnsi="宋体" w:cs="宋体" w:eastAsia="宋体" w:hint="default"/>
                            <w:sz w:val="18"/>
                            <w:szCs w:val="18"/>
                          </w:rPr>
                          <w:t>网格化</w:t>
                        </w:r>
                        <w:r>
                          <w:rPr>
                            <w:rFonts w:ascii="Times New Roman" w:hAnsi="Times New Roman" w:cs="Times New Roman" w:eastAsia="Times New Roman" w:hint="default"/>
                            <w:sz w:val="18"/>
                            <w:szCs w:val="18"/>
                          </w:rPr>
                          <w:t>+‟</w:t>
                        </w:r>
                        <w:r>
                          <w:rPr>
                            <w:rFonts w:ascii="宋体" w:hAnsi="宋体" w:cs="宋体" w:eastAsia="宋体" w:hint="default"/>
                            <w:sz w:val="18"/>
                            <w:szCs w:val="18"/>
                          </w:rPr>
                          <w:t>智慧城市综合信息服务</w:t>
                        </w:r>
                      </w:p>
                      <w:p>
                        <w:pPr>
                          <w:pStyle w:val="TableParagraph"/>
                          <w:spacing w:line="300" w:lineRule="auto" w:before="7"/>
                          <w:ind w:left="23" w:right="26"/>
                          <w:jc w:val="left"/>
                          <w:rPr>
                            <w:rFonts w:ascii="宋体" w:hAnsi="宋体" w:cs="宋体" w:eastAsia="宋体" w:hint="default"/>
                            <w:sz w:val="18"/>
                            <w:szCs w:val="18"/>
                          </w:rPr>
                        </w:pPr>
                        <w:r>
                          <w:rPr>
                            <w:rFonts w:ascii="宋体" w:hAnsi="宋体" w:cs="宋体" w:eastAsia="宋体" w:hint="default"/>
                            <w:sz w:val="18"/>
                            <w:szCs w:val="18"/>
                          </w:rPr>
                          <w:t>及运营项目</w:t>
                        </w:r>
                        <w:r>
                          <w:rPr>
                            <w:rFonts w:ascii="Times New Roman" w:hAnsi="Times New Roman" w:cs="Times New Roman" w:eastAsia="Times New Roman" w:hint="default"/>
                            <w:sz w:val="18"/>
                            <w:szCs w:val="18"/>
                          </w:rPr>
                          <w:t>(</w:t>
                        </w:r>
                        <w:r>
                          <w:rPr>
                            <w:rFonts w:ascii="宋体" w:hAnsi="宋体" w:cs="宋体" w:eastAsia="宋体" w:hint="default"/>
                            <w:sz w:val="18"/>
                            <w:szCs w:val="18"/>
                          </w:rPr>
                          <w:t>简称：智慧东南</w:t>
                        </w:r>
                        <w:r>
                          <w:rPr>
                            <w:rFonts w:ascii="Times New Roman" w:hAnsi="Times New Roman" w:cs="Times New Roman" w:eastAsia="Times New Roman" w:hint="default"/>
                            <w:sz w:val="18"/>
                            <w:szCs w:val="18"/>
                          </w:rPr>
                          <w:t>)”</w:t>
                        </w:r>
                        <w:r>
                          <w:rPr>
                            <w:rFonts w:ascii="宋体" w:hAnsi="宋体" w:cs="宋体" w:eastAsia="宋体" w:hint="default"/>
                            <w:sz w:val="18"/>
                            <w:szCs w:val="18"/>
                          </w:rPr>
                          <w:t>。本次变更项目涉及的总金额为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9,000 </w:t>
                        </w:r>
                        <w:r>
                          <w:rPr>
                            <w:rFonts w:ascii="宋体" w:hAnsi="宋体" w:cs="宋体" w:eastAsia="宋体" w:hint="default"/>
                            <w:sz w:val="18"/>
                            <w:szCs w:val="18"/>
                          </w:rPr>
                          <w:t>万元，占上述非 公开发行募集资金总额的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16.73%</w:t>
                        </w:r>
                        <w:r>
                          <w:rPr>
                            <w:rFonts w:ascii="宋体" w:hAnsi="宋体" w:cs="宋体" w:eastAsia="宋体" w:hint="default"/>
                            <w:sz w:val="18"/>
                            <w:szCs w:val="18"/>
                          </w:rPr>
                          <w:t>。</w:t>
                        </w:r>
                      </w:p>
                    </w:tc>
                  </w:tr>
                  <w:tr>
                    <w:trPr>
                      <w:trHeight w:val="713" w:hRule="exact"/>
                    </w:trPr>
                    <w:tc>
                      <w:tcPr>
                        <w:tcW w:w="287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38"/>
                          <w:jc w:val="left"/>
                          <w:rPr>
                            <w:rFonts w:ascii="Times New Roman" w:hAnsi="Times New Roman" w:cs="Times New Roman" w:eastAsia="Times New Roman" w:hint="default"/>
                            <w:sz w:val="18"/>
                            <w:szCs w:val="18"/>
                          </w:rPr>
                        </w:pPr>
                        <w:r>
                          <w:rPr>
                            <w:rFonts w:ascii="宋体" w:hAnsi="宋体" w:cs="宋体" w:eastAsia="宋体" w:hint="default"/>
                            <w:sz w:val="18"/>
                            <w:szCs w:val="18"/>
                          </w:rPr>
                          <w:t>未达到计划进度或预计收益的情况 和原因</w:t>
                        </w:r>
                        <w:r>
                          <w:rPr>
                            <w:rFonts w:ascii="Times New Roman" w:hAnsi="Times New Roman" w:cs="Times New Roman" w:eastAsia="Times New Roman" w:hint="default"/>
                            <w:sz w:val="18"/>
                            <w:szCs w:val="18"/>
                          </w:rPr>
                          <w:t>(</w:t>
                        </w:r>
                        <w:r>
                          <w:rPr>
                            <w:rFonts w:ascii="宋体" w:hAnsi="宋体" w:cs="宋体" w:eastAsia="宋体" w:hint="default"/>
                            <w:sz w:val="18"/>
                            <w:szCs w:val="18"/>
                          </w:rPr>
                          <w:t>分具体项目</w:t>
                        </w:r>
                        <w:r>
                          <w:rPr>
                            <w:rFonts w:ascii="Times New Roman" w:hAnsi="Times New Roman" w:cs="Times New Roman" w:eastAsia="Times New Roman" w:hint="default"/>
                            <w:sz w:val="18"/>
                            <w:szCs w:val="18"/>
                          </w:rPr>
                          <w:t>)</w:t>
                        </w:r>
                      </w:p>
                    </w:tc>
                    <w:tc>
                      <w:tcPr>
                        <w:tcW w:w="6699"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15" w:hRule="exact"/>
                    </w:trPr>
                    <w:tc>
                      <w:tcPr>
                        <w:tcW w:w="287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38"/>
                          <w:jc w:val="left"/>
                          <w:rPr>
                            <w:rFonts w:ascii="宋体" w:hAnsi="宋体" w:cs="宋体" w:eastAsia="宋体" w:hint="default"/>
                            <w:sz w:val="18"/>
                            <w:szCs w:val="18"/>
                          </w:rPr>
                        </w:pPr>
                        <w:r>
                          <w:rPr>
                            <w:rFonts w:ascii="宋体" w:hAnsi="宋体" w:cs="宋体" w:eastAsia="宋体" w:hint="default"/>
                            <w:sz w:val="18"/>
                            <w:szCs w:val="18"/>
                          </w:rPr>
                          <w:t>变更后的项目可行性发生重大变化 的情况说明</w:t>
                        </w:r>
                      </w:p>
                    </w:tc>
                    <w:tc>
                      <w:tcPr>
                        <w:tcW w:w="6699"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4"/>
          <w:szCs w:val="24"/>
        </w:rPr>
      </w:pPr>
    </w:p>
    <w:p>
      <w:pPr>
        <w:spacing w:before="44"/>
        <w:ind w:left="0" w:right="1133" w:firstLine="0"/>
        <w:jc w:val="right"/>
        <w:rPr>
          <w:rFonts w:ascii="宋体" w:hAnsi="宋体" w:cs="宋体" w:eastAsia="宋体" w:hint="default"/>
          <w:sz w:val="18"/>
          <w:szCs w:val="18"/>
        </w:rPr>
      </w:pPr>
      <w:r>
        <w:rPr>
          <w:rFonts w:ascii="宋体" w:hAnsi="宋体" w:cs="宋体" w:eastAsia="宋体" w:hint="default"/>
          <w:sz w:val="18"/>
          <w:szCs w:val="18"/>
        </w:rPr>
        <w:t>，</w:t>
      </w:r>
    </w:p>
    <w:p>
      <w:pPr>
        <w:spacing w:after="0"/>
        <w:jc w:val="right"/>
        <w:rPr>
          <w:rFonts w:ascii="宋体" w:hAnsi="宋体" w:cs="宋体" w:eastAsia="宋体" w:hint="default"/>
          <w:sz w:val="18"/>
          <w:szCs w:val="18"/>
        </w:rPr>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六、重大资产和股权出售</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、出售重大资产情况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40" w:lineRule="auto" w:before="0"/>
        <w:ind w:left="152" w:right="84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公司报告期未出售重大资产。</w:t>
      </w:r>
    </w:p>
    <w:p>
      <w:pPr>
        <w:spacing w:line="240" w:lineRule="auto" w:before="3"/>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、出售重大股权情况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982"/>
        <w:jc w:val="left"/>
        <w:rPr>
          <w:b w:val="0"/>
          <w:bCs w:val="0"/>
        </w:rPr>
      </w:pPr>
      <w:r>
        <w:rPr/>
        <w:t>七、主要控股参股公司分析</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5" w:footer="979" w:top="1060" w:bottom="1160" w:left="980" w:right="0"/>
        </w:sectPr>
      </w:pPr>
    </w:p>
    <w:p>
      <w:pPr>
        <w:spacing w:before="44"/>
        <w:ind w:left="152" w:right="-1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1"/>
        <w:ind w:left="152" w:right="-18" w:firstLine="0"/>
        <w:jc w:val="left"/>
        <w:rPr>
          <w:rFonts w:ascii="宋体" w:hAnsi="宋体" w:cs="宋体" w:eastAsia="宋体" w:hint="default"/>
          <w:sz w:val="18"/>
          <w:szCs w:val="18"/>
        </w:rPr>
      </w:pPr>
      <w:r>
        <w:rPr>
          <w:rFonts w:ascii="宋体" w:hAnsi="宋体" w:cs="宋体" w:eastAsia="宋体" w:hint="default"/>
          <w:sz w:val="18"/>
          <w:szCs w:val="18"/>
        </w:rPr>
        <w:t>主要子公司及对公司净利润影响达</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4851" w:space="4069"/>
            <w:col w:w="2010"/>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054"/>
        <w:gridCol w:w="1198"/>
        <w:gridCol w:w="1045"/>
        <w:gridCol w:w="1044"/>
        <w:gridCol w:w="1047"/>
        <w:gridCol w:w="1046"/>
        <w:gridCol w:w="1044"/>
        <w:gridCol w:w="1045"/>
        <w:gridCol w:w="1046"/>
      </w:tblGrid>
      <w:tr>
        <w:trPr>
          <w:trHeight w:val="401" w:hRule="exact"/>
        </w:trPr>
        <w:tc>
          <w:tcPr>
            <w:tcW w:w="1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8"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8"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0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9"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7"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8"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1027"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both"/>
              <w:rPr>
                <w:rFonts w:ascii="宋体" w:hAnsi="宋体" w:cs="宋体" w:eastAsia="宋体" w:hint="default"/>
                <w:sz w:val="18"/>
                <w:szCs w:val="18"/>
              </w:rPr>
            </w:pPr>
            <w:r>
              <w:rPr>
                <w:rFonts w:ascii="宋体" w:hAnsi="宋体" w:cs="宋体" w:eastAsia="宋体" w:hint="default"/>
                <w:sz w:val="18"/>
                <w:szCs w:val="18"/>
              </w:rPr>
              <w:t>北京数字智 通科技有限 公司</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 w:right="110"/>
              <w:jc w:val="left"/>
              <w:rPr>
                <w:rFonts w:ascii="宋体" w:hAnsi="宋体" w:cs="宋体" w:eastAsia="宋体" w:hint="default"/>
                <w:sz w:val="18"/>
                <w:szCs w:val="18"/>
              </w:rPr>
            </w:pPr>
            <w:r>
              <w:rPr>
                <w:rFonts w:ascii="宋体" w:hAnsi="宋体" w:cs="宋体" w:eastAsia="宋体" w:hint="default"/>
                <w:sz w:val="18"/>
                <w:szCs w:val="18"/>
              </w:rPr>
              <w:t>计算机系统 集成</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40,000,000.0</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0</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357,795,819.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53,392,904.4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74,429,982.4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-49,469,680.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-47,252,324.</w:t>
            </w:r>
          </w:p>
          <w:p>
            <w:pPr>
              <w:pStyle w:val="TableParagraph"/>
              <w:spacing w:line="240" w:lineRule="auto" w:before="105"/>
              <w:ind w:right="14"/>
              <w:jc w:val="right"/>
              <w:rPr>
                <w:rFonts w:ascii="Times New Roman" w:hAnsi="Times New Roman" w:cs="Times New Roman" w:eastAsia="Times New Roman" w:hint="default"/>
                <w:sz w:val="18"/>
                <w:szCs w:val="18"/>
              </w:rPr>
            </w:pPr>
            <w:r>
              <w:rPr>
                <w:rFonts w:ascii="Times New Roman"/>
                <w:sz w:val="18"/>
              </w:rPr>
              <w:t>04</w:t>
            </w:r>
          </w:p>
        </w:tc>
      </w:tr>
      <w:tr>
        <w:trPr>
          <w:trHeight w:val="1337"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both"/>
              <w:rPr>
                <w:rFonts w:ascii="宋体" w:hAnsi="宋体" w:cs="宋体" w:eastAsia="宋体" w:hint="default"/>
                <w:sz w:val="18"/>
                <w:szCs w:val="18"/>
              </w:rPr>
            </w:pPr>
            <w:r>
              <w:rPr>
                <w:rFonts w:ascii="宋体" w:hAnsi="宋体" w:cs="宋体" w:eastAsia="宋体" w:hint="default"/>
                <w:sz w:val="18"/>
                <w:szCs w:val="18"/>
              </w:rPr>
              <w:t>保定金迪地 下管线探测 工程有限公 司</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0"/>
              <w:jc w:val="both"/>
              <w:rPr>
                <w:rFonts w:ascii="宋体" w:hAnsi="宋体" w:cs="宋体" w:eastAsia="宋体" w:hint="default"/>
                <w:sz w:val="18"/>
                <w:szCs w:val="18"/>
              </w:rPr>
            </w:pPr>
            <w:r>
              <w:rPr>
                <w:rFonts w:ascii="宋体" w:hAnsi="宋体" w:cs="宋体" w:eastAsia="宋体" w:hint="default"/>
                <w:sz w:val="18"/>
                <w:szCs w:val="18"/>
              </w:rPr>
              <w:t>计算机系统 集成及测绘 专业软件开 发销售</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10,000,000.0</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0</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431,813,490.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221,332,337.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46</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280,073,798.</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31</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77,402,405.9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66,773,514.4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3</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报告期内取得和处置子公司的情况</w:t>
      </w:r>
    </w:p>
    <w:p>
      <w:pPr>
        <w:spacing w:before="117"/>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31"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19"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福建政通城运信息科技有限公司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直接投资</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尚无重大影响</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主要控股参股公司情况说明</w:t>
      </w:r>
    </w:p>
    <w:p>
      <w:pPr>
        <w:spacing w:line="240" w:lineRule="auto" w:before="1"/>
        <w:rPr>
          <w:rFonts w:ascii="宋体" w:hAnsi="宋体" w:cs="宋体" w:eastAsia="宋体" w:hint="default"/>
          <w:sz w:val="25"/>
          <w:szCs w:val="25"/>
        </w:rPr>
      </w:pPr>
    </w:p>
    <w:p>
      <w:pPr>
        <w:pStyle w:val="Heading2"/>
        <w:spacing w:line="240" w:lineRule="auto"/>
        <w:ind w:right="982"/>
        <w:jc w:val="left"/>
        <w:rPr>
          <w:b w:val="0"/>
          <w:bCs w:val="0"/>
        </w:rPr>
      </w:pPr>
      <w:r>
        <w:rPr/>
        <w:t>八、公司控制的结构化主体情况</w:t>
      </w:r>
      <w:r>
        <w:rPr>
          <w:b w:val="0"/>
          <w:bCs w:val="0"/>
        </w:rPr>
      </w:r>
    </w:p>
    <w:p>
      <w:pPr>
        <w:spacing w:line="240" w:lineRule="auto" w:before="6"/>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688" w:lineRule="exact" w:before="46"/>
        <w:ind w:left="635" w:right="7271" w:hanging="483"/>
        <w:jc w:val="left"/>
        <w:rPr>
          <w:rFonts w:ascii="宋体" w:hAnsi="宋体" w:cs="宋体" w:eastAsia="宋体" w:hint="default"/>
          <w:sz w:val="24"/>
          <w:szCs w:val="24"/>
        </w:rPr>
      </w:pPr>
      <w:r>
        <w:rPr>
          <w:rFonts w:ascii="宋体" w:hAnsi="宋体" w:cs="宋体" w:eastAsia="宋体" w:hint="default"/>
          <w:b/>
          <w:bCs/>
          <w:sz w:val="24"/>
          <w:szCs w:val="24"/>
        </w:rPr>
        <w:t>九、公司未来发展的展望</w:t>
      </w:r>
      <w:r>
        <w:rPr>
          <w:rFonts w:ascii="宋体" w:hAnsi="宋体" w:cs="宋体" w:eastAsia="宋体" w:hint="default"/>
          <w:b/>
          <w:bCs/>
          <w:w w:val="99"/>
          <w:sz w:val="24"/>
          <w:szCs w:val="24"/>
        </w:rPr>
        <w:t> </w:t>
      </w:r>
      <w:r>
        <w:rPr>
          <w:rFonts w:ascii="宋体" w:hAnsi="宋体" w:cs="宋体" w:eastAsia="宋体" w:hint="default"/>
          <w:sz w:val="24"/>
          <w:szCs w:val="24"/>
        </w:rPr>
        <w:t>1</w:t>
      </w:r>
      <w:r>
        <w:rPr>
          <w:rFonts w:ascii="宋体" w:hAnsi="宋体" w:cs="宋体" w:eastAsia="宋体" w:hint="default"/>
          <w:sz w:val="24"/>
          <w:szCs w:val="24"/>
        </w:rPr>
        <w:t>、公司面临的行业发展趋势</w:t>
      </w:r>
    </w:p>
    <w:p>
      <w:pPr>
        <w:pStyle w:val="BodyText"/>
        <w:spacing w:line="357" w:lineRule="auto" w:before="50"/>
        <w:ind w:right="982" w:firstLine="482"/>
        <w:jc w:val="left"/>
      </w:pPr>
      <w:r>
        <w:rPr>
          <w:spacing w:val="-3"/>
        </w:rPr>
        <w:t>随着我国城市化进程的加快以及城镇化率的提高，越来越多的人进入城市，对城市规划、</w:t>
      </w:r>
      <w:r>
        <w:rPr/>
        <w:t> 建设、管理和服务提出了新的更高的要求，对本来就比较脆弱的基础设施造成了巨大挑战，</w:t>
      </w:r>
      <w:r>
        <w:rPr>
          <w:spacing w:val="-91"/>
        </w:rPr>
        <w:t> </w:t>
      </w:r>
      <w:r>
        <w:rPr>
          <w:spacing w:val="-91"/>
        </w:rPr>
      </w:r>
      <w:r>
        <w:rPr/>
        <w:t>教育、医疗、城市供排水、污水处理、燃气供应、交通、环保等领域的压力尤为巨大，城市</w:t>
      </w:r>
    </w:p>
    <w:p>
      <w:pPr>
        <w:spacing w:after="0" w:line="357" w:lineRule="auto"/>
        <w:jc w:val="left"/>
        <w:sectPr>
          <w:type w:val="continuous"/>
          <w:pgSz w:w="11910" w:h="16840"/>
          <w:pgMar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28"/>
        <w:jc w:val="both"/>
      </w:pPr>
      <w:r>
        <w:rPr>
          <w:spacing w:val="-2"/>
        </w:rPr>
        <w:t>管理的难度加大。从城镇化率的角度看，</w:t>
      </w:r>
      <w:r>
        <w:rPr>
          <w:rFonts w:ascii="宋体" w:hAnsi="宋体" w:cs="宋体" w:eastAsia="宋体" w:hint="default"/>
          <w:spacing w:val="-2"/>
        </w:rPr>
        <w:t>2008-2017</w:t>
      </w:r>
      <w:r>
        <w:rPr>
          <w:spacing w:val="-2"/>
        </w:rPr>
        <w:t>年，我国城镇化率不断提高，</w:t>
      </w:r>
      <w:r>
        <w:rPr>
          <w:rFonts w:ascii="宋体" w:hAnsi="宋体" w:cs="宋体" w:eastAsia="宋体" w:hint="default"/>
          <w:spacing w:val="-2"/>
        </w:rPr>
        <w:t>2018</w:t>
      </w:r>
      <w:r>
        <w:rPr>
          <w:spacing w:val="-2"/>
        </w:rPr>
        <w:t>年城镇</w:t>
      </w:r>
      <w:r>
        <w:rPr>
          <w:spacing w:val="-106"/>
        </w:rPr>
        <w:t> </w:t>
      </w:r>
      <w:r>
        <w:rPr/>
        <w:t>化率已达到</w:t>
      </w:r>
      <w:r>
        <w:rPr>
          <w:rFonts w:ascii="宋体" w:hAnsi="宋体" w:cs="宋体" w:eastAsia="宋体" w:hint="default"/>
        </w:rPr>
        <w:t>59.63%</w:t>
      </w:r>
      <w:r>
        <w:rPr/>
        <w:t>，这意味着大量人口集聚在城市，城市承担着重要的经济发展和社会建设</w:t>
      </w:r>
      <w:r>
        <w:rPr>
          <w:spacing w:val="-92"/>
        </w:rPr>
        <w:t> </w:t>
      </w:r>
      <w:r>
        <w:rPr>
          <w:spacing w:val="-92"/>
        </w:rPr>
      </w:r>
      <w:r>
        <w:rPr/>
        <w:t>的责任，必须提高城市的建设发展水平，进行智慧城市建设才能更好地满足发展需求。建设</w:t>
      </w:r>
      <w:r>
        <w:rPr>
          <w:spacing w:val="-91"/>
        </w:rPr>
        <w:t> </w:t>
      </w:r>
      <w:r>
        <w:rPr>
          <w:spacing w:val="-91"/>
        </w:rPr>
      </w:r>
      <w:r>
        <w:rPr/>
        <w:t>智慧城市，对加快工业化、信息化、城镇化、农业现代化融合，提升城市可持续发展能力具</w:t>
      </w:r>
      <w:r>
        <w:rPr>
          <w:spacing w:val="-91"/>
        </w:rPr>
        <w:t> </w:t>
      </w:r>
      <w:r>
        <w:rPr>
          <w:spacing w:val="-91"/>
        </w:rPr>
      </w:r>
      <w:r>
        <w:rPr/>
        <w:t>有重要意义，有助于我国“两个一百年”目标的实现，提高社会发展水平与质量。</w:t>
      </w:r>
    </w:p>
    <w:p>
      <w:pPr>
        <w:pStyle w:val="BodyText"/>
        <w:spacing w:line="357" w:lineRule="auto"/>
        <w:ind w:right="982" w:firstLine="482"/>
        <w:jc w:val="left"/>
      </w:pPr>
      <w:r>
        <w:rPr/>
        <w:t>继</w:t>
      </w:r>
      <w:r>
        <w:rPr>
          <w:rFonts w:ascii="宋体" w:hAnsi="宋体" w:cs="宋体" w:eastAsia="宋体" w:hint="default"/>
        </w:rPr>
        <w:t>2016</w:t>
      </w:r>
      <w:r>
        <w:rPr/>
        <w:t>年首个智慧城市国家标准《</w:t>
      </w:r>
      <w:r>
        <w:rPr>
          <w:rFonts w:ascii="宋体" w:hAnsi="宋体" w:cs="宋体" w:eastAsia="宋体" w:hint="default"/>
        </w:rPr>
        <w:t>GB/T</w:t>
      </w:r>
      <w:r>
        <w:rPr>
          <w:rFonts w:ascii="宋体" w:hAnsi="宋体" w:cs="宋体" w:eastAsia="宋体" w:hint="default"/>
          <w:spacing w:val="-1"/>
        </w:rPr>
        <w:t> </w:t>
      </w:r>
      <w:r>
        <w:rPr>
          <w:rFonts w:ascii="宋体" w:hAnsi="宋体" w:cs="宋体" w:eastAsia="宋体" w:hint="default"/>
        </w:rPr>
        <w:t>33356-2016</w:t>
      </w:r>
      <w:r>
        <w:rPr/>
        <w:t>新型智慧城市评价指标》出台以来， </w:t>
      </w:r>
      <w:r>
        <w:rPr>
          <w:rFonts w:ascii="宋体" w:hAnsi="宋体" w:cs="宋体" w:eastAsia="宋体" w:hint="default"/>
        </w:rPr>
        <w:t>2017</w:t>
      </w:r>
      <w:r>
        <w:rPr/>
        <w:t>年我国发布了五项智慧城市国家标准，而</w:t>
      </w:r>
      <w:r>
        <w:rPr>
          <w:rFonts w:ascii="宋体" w:hAnsi="宋体" w:cs="宋体" w:eastAsia="宋体" w:hint="default"/>
        </w:rPr>
        <w:t>2018</w:t>
      </w:r>
      <w:r>
        <w:rPr/>
        <w:t>年智慧城市标准发布高达</w:t>
      </w:r>
      <w:r>
        <w:rPr>
          <w:rFonts w:ascii="宋体" w:hAnsi="宋体" w:cs="宋体" w:eastAsia="宋体" w:hint="default"/>
        </w:rPr>
        <w:t>11</w:t>
      </w:r>
      <w:r>
        <w:rPr/>
        <w:t>项，覆盖顶层</w:t>
      </w:r>
      <w:r>
        <w:rPr>
          <w:spacing w:val="-88"/>
        </w:rPr>
        <w:t> </w:t>
      </w:r>
      <w:r>
        <w:rPr>
          <w:spacing w:val="-88"/>
        </w:rPr>
      </w:r>
      <w:r>
        <w:rPr>
          <w:spacing w:val="-3"/>
        </w:rPr>
        <w:t>设计、平台、技术应用和数据融合等各方面，成为智慧城市标准规范体系全面建立的关键年。</w:t>
      </w:r>
      <w:r>
        <w:rPr>
          <w:spacing w:val="-80"/>
        </w:rPr>
        <w:t> </w:t>
      </w:r>
      <w:r>
        <w:rPr>
          <w:spacing w:val="-80"/>
        </w:rPr>
      </w:r>
      <w:r>
        <w:rPr/>
        <w:t>多层次、全方位、密集发布的标准体系为新型智慧城市健康有序发展指明方向，也为各产业</w:t>
      </w:r>
      <w:r>
        <w:rPr>
          <w:spacing w:val="-91"/>
        </w:rPr>
        <w:t> </w:t>
      </w:r>
      <w:r>
        <w:rPr>
          <w:spacing w:val="-91"/>
        </w:rPr>
      </w:r>
      <w:r>
        <w:rPr/>
        <w:t>主体协同合作奠定基本条件，标志着智慧城市从探索阶段走向规范化发展阶段，将进一步带</w:t>
      </w:r>
      <w:r>
        <w:rPr>
          <w:spacing w:val="-91"/>
        </w:rPr>
        <w:t> </w:t>
      </w:r>
      <w:r>
        <w:rPr>
          <w:spacing w:val="-91"/>
        </w:rPr>
      </w:r>
      <w:r>
        <w:rPr/>
        <w:t>来智慧城市产业生态的集聚。</w:t>
      </w:r>
    </w:p>
    <w:p>
      <w:pPr>
        <w:pStyle w:val="BodyText"/>
        <w:spacing w:line="357" w:lineRule="auto"/>
        <w:ind w:right="1133" w:firstLine="482"/>
        <w:jc w:val="both"/>
      </w:pPr>
      <w:r>
        <w:rPr/>
        <w:t>除设备商、集成商等智慧城市传统从业者，互联网企业成为市场新进入者，以人工智能 或互联网入口为抓手抢滩新型智慧城市，以技术、用户、平台和创新能力等优势快速抢占市</w:t>
      </w:r>
      <w:r>
        <w:rPr>
          <w:spacing w:val="-91"/>
        </w:rPr>
        <w:t> </w:t>
      </w:r>
      <w:r>
        <w:rPr>
          <w:spacing w:val="-91"/>
        </w:rPr>
      </w:r>
      <w:r>
        <w:rPr/>
        <w:t>场份额，丰富了新型智慧城市产业生态体系。如阿里巴巴</w:t>
      </w:r>
      <w:r>
        <w:rPr>
          <w:rFonts w:ascii="宋体" w:hAnsi="宋体" w:cs="宋体" w:eastAsia="宋体" w:hint="default"/>
        </w:rPr>
        <w:t>2016</w:t>
      </w:r>
      <w:r>
        <w:rPr/>
        <w:t>年在杭州提出城市大脑，</w:t>
      </w:r>
      <w:r>
        <w:rPr>
          <w:rFonts w:ascii="宋体" w:hAnsi="宋体" w:cs="宋体" w:eastAsia="宋体" w:hint="default"/>
        </w:rPr>
        <w:t>2017</w:t>
      </w:r>
      <w:r>
        <w:rPr>
          <w:rFonts w:ascii="宋体" w:hAnsi="宋体" w:cs="宋体" w:eastAsia="宋体" w:hint="default"/>
          <w:spacing w:val="-89"/>
        </w:rPr>
        <w:t> </w:t>
      </w:r>
      <w:r>
        <w:rPr/>
        <w:t>年、</w:t>
      </w:r>
      <w:r>
        <w:rPr>
          <w:rFonts w:ascii="宋体" w:hAnsi="宋体" w:cs="宋体" w:eastAsia="宋体" w:hint="default"/>
        </w:rPr>
        <w:t>2018</w:t>
      </w:r>
      <w:r>
        <w:rPr/>
        <w:t>年又分别推出城市大脑</w:t>
      </w:r>
      <w:r>
        <w:rPr>
          <w:rFonts w:ascii="宋体" w:hAnsi="宋体" w:cs="宋体" w:eastAsia="宋体" w:hint="default"/>
        </w:rPr>
        <w:t>1.0</w:t>
      </w:r>
      <w:r>
        <w:rPr/>
        <w:t>和</w:t>
      </w:r>
      <w:r>
        <w:rPr>
          <w:rFonts w:ascii="宋体" w:hAnsi="宋体" w:cs="宋体" w:eastAsia="宋体" w:hint="default"/>
        </w:rPr>
        <w:t>2.0</w:t>
      </w:r>
      <w:r>
        <w:rPr/>
        <w:t>版，并提出将全面开放城市大脑平台</w:t>
      </w:r>
      <w:r>
        <w:rPr>
          <w:rFonts w:ascii="宋体" w:hAnsi="宋体" w:cs="宋体" w:eastAsia="宋体" w:hint="default"/>
        </w:rPr>
        <w:t>AI</w:t>
      </w:r>
      <w:r>
        <w:rPr/>
        <w:t>能力，提供</w:t>
      </w:r>
      <w:r>
        <w:rPr>
          <w:spacing w:val="-88"/>
        </w:rPr>
        <w:t> </w:t>
      </w:r>
      <w:r>
        <w:rPr>
          <w:spacing w:val="-88"/>
        </w:rPr>
      </w:r>
      <w:r>
        <w:rPr/>
        <w:t>城市交通、医疗等八大领域的计算能力、数据算法、管理模型等，汇聚上下游从业者，试图</w:t>
      </w:r>
      <w:r>
        <w:rPr>
          <w:spacing w:val="-91"/>
        </w:rPr>
        <w:t> </w:t>
      </w:r>
      <w:r>
        <w:rPr>
          <w:spacing w:val="-91"/>
        </w:rPr>
      </w:r>
      <w:r>
        <w:rPr/>
        <w:t>构建以阿里巴巴为中心的智慧城市超级生态圈。腾讯</w:t>
      </w:r>
      <w:r>
        <w:rPr>
          <w:rFonts w:ascii="宋体" w:hAnsi="宋体" w:cs="宋体" w:eastAsia="宋体" w:hint="default"/>
        </w:rPr>
        <w:t>2017</w:t>
      </w:r>
      <w:r>
        <w:rPr/>
        <w:t>年与电信、移动、联通共同出资成</w:t>
      </w:r>
      <w:r>
        <w:rPr>
          <w:spacing w:val="-88"/>
        </w:rPr>
        <w:t> </w:t>
      </w:r>
      <w:r>
        <w:rPr>
          <w:spacing w:val="-88"/>
        </w:rPr>
      </w:r>
      <w:r>
        <w:rPr/>
        <w:t>立数字广东网络建设有限公司，为广东数字政府改革提供全流程技术支撑，并于</w:t>
      </w:r>
      <w:r>
        <w:rPr>
          <w:rFonts w:ascii="宋体" w:hAnsi="宋体" w:cs="宋体" w:eastAsia="宋体" w:hint="default"/>
        </w:rPr>
        <w:t>2018</w:t>
      </w:r>
      <w:r>
        <w:rPr/>
        <w:t>年上线</w:t>
      </w:r>
      <w:r>
        <w:rPr>
          <w:spacing w:val="-88"/>
        </w:rPr>
        <w:t> </w:t>
      </w:r>
      <w:r>
        <w:rPr/>
        <w:t>粤省事</w:t>
      </w:r>
      <w:r>
        <w:rPr>
          <w:rFonts w:ascii="宋体" w:hAnsi="宋体" w:cs="宋体" w:eastAsia="宋体" w:hint="default"/>
        </w:rPr>
        <w:t>App</w:t>
      </w:r>
      <w:r>
        <w:rPr/>
        <w:t>，以微信为入口整合广东省公共服务，形成智慧城市领域的超级</w:t>
      </w:r>
      <w:r>
        <w:rPr>
          <w:rFonts w:ascii="宋体" w:hAnsi="宋体" w:cs="宋体" w:eastAsia="宋体" w:hint="default"/>
        </w:rPr>
        <w:t>App</w:t>
      </w:r>
      <w:r>
        <w:rPr/>
        <w:t>。</w:t>
      </w:r>
    </w:p>
    <w:p>
      <w:pPr>
        <w:spacing w:line="240" w:lineRule="auto" w:before="1"/>
        <w:rPr>
          <w:rFonts w:ascii="宋体" w:hAnsi="宋体" w:cs="宋体" w:eastAsia="宋体" w:hint="default"/>
          <w:sz w:val="2"/>
          <w:szCs w:val="2"/>
        </w:rPr>
      </w:pPr>
    </w:p>
    <w:p>
      <w:pPr>
        <w:spacing w:line="4317" w:lineRule="exact"/>
        <w:ind w:left="1298"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4985734" cy="2741485"/>
            <wp:effectExtent l="0" t="0" r="0" b="0"/>
            <wp:docPr id="37" name="image20.jpeg" descr=""/>
            <wp:cNvGraphicFramePr>
              <a:graphicFrameLocks noChangeAspect="1"/>
            </wp:cNvGraphicFramePr>
            <a:graphic>
              <a:graphicData uri="http://schemas.openxmlformats.org/drawingml/2006/picture">
                <pic:pic>
                  <pic:nvPicPr>
                    <pic:cNvPr id="38" name="image20.jpeg"/>
                    <pic:cNvPicPr/>
                  </pic:nvPicPr>
                  <pic:blipFill>
                    <a:blip r:embed="rId30" cstate="print"/>
                    <a:stretch>
                      <a:fillRect/>
                    </a:stretch>
                  </pic:blipFill>
                  <pic:spPr>
                    <a:xfrm>
                      <a:off x="0" y="0"/>
                      <a:ext cx="4985734" cy="2741485"/>
                    </a:xfrm>
                    <a:prstGeom prst="rect">
                      <a:avLst/>
                    </a:prstGeom>
                  </pic:spPr>
                </pic:pic>
              </a:graphicData>
            </a:graphic>
          </wp:inline>
        </w:drawing>
      </w:r>
      <w:r>
        <w:rPr>
          <w:rFonts w:ascii="宋体" w:hAnsi="宋体" w:cs="宋体" w:eastAsia="宋体" w:hint="default"/>
          <w:position w:val="-85"/>
          <w:sz w:val="20"/>
          <w:szCs w:val="20"/>
        </w:rPr>
      </w:r>
    </w:p>
    <w:p>
      <w:pPr>
        <w:spacing w:before="109"/>
        <w:ind w:left="3233" w:right="982" w:firstLine="0"/>
        <w:jc w:val="left"/>
        <w:rPr>
          <w:rFonts w:ascii="宋体" w:hAnsi="宋体" w:cs="宋体" w:eastAsia="宋体" w:hint="default"/>
          <w:sz w:val="18"/>
          <w:szCs w:val="18"/>
        </w:rPr>
      </w:pPr>
      <w:r>
        <w:rPr>
          <w:rFonts w:ascii="宋体" w:hAnsi="宋体" w:cs="宋体" w:eastAsia="宋体" w:hint="default"/>
          <w:sz w:val="18"/>
          <w:szCs w:val="18"/>
        </w:rPr>
        <w:t>资料来源：艾瑞咨询</w:t>
      </w:r>
      <w:r>
        <w:rPr>
          <w:rFonts w:ascii="宋体" w:hAnsi="宋体" w:cs="宋体" w:eastAsia="宋体" w:hint="default"/>
          <w:sz w:val="18"/>
          <w:szCs w:val="18"/>
        </w:rPr>
        <w:t>2019</w:t>
      </w:r>
      <w:r>
        <w:rPr>
          <w:rFonts w:ascii="宋体" w:hAnsi="宋体" w:cs="宋体" w:eastAsia="宋体" w:hint="default"/>
          <w:sz w:val="18"/>
          <w:szCs w:val="18"/>
        </w:rPr>
        <w:t>年中国智慧城市发展报告</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spacing w:line="5024" w:lineRule="exact"/>
        <w:ind w:left="1410" w:right="0" w:firstLine="0"/>
        <w:rPr>
          <w:rFonts w:ascii="宋体" w:hAnsi="宋体" w:cs="宋体" w:eastAsia="宋体" w:hint="default"/>
          <w:sz w:val="20"/>
          <w:szCs w:val="20"/>
        </w:rPr>
      </w:pPr>
      <w:r>
        <w:rPr>
          <w:rFonts w:ascii="宋体" w:hAnsi="宋体" w:cs="宋体" w:eastAsia="宋体" w:hint="default"/>
          <w:position w:val="-99"/>
          <w:sz w:val="20"/>
          <w:szCs w:val="20"/>
        </w:rPr>
        <w:drawing>
          <wp:inline distT="0" distB="0" distL="0" distR="0">
            <wp:extent cx="4814860" cy="3190494"/>
            <wp:effectExtent l="0" t="0" r="0" b="0"/>
            <wp:docPr id="39" name="image21.jpeg" descr=""/>
            <wp:cNvGraphicFramePr>
              <a:graphicFrameLocks noChangeAspect="1"/>
            </wp:cNvGraphicFramePr>
            <a:graphic>
              <a:graphicData uri="http://schemas.openxmlformats.org/drawingml/2006/picture">
                <pic:pic>
                  <pic:nvPicPr>
                    <pic:cNvPr id="40" name="image21.jpeg"/>
                    <pic:cNvPicPr/>
                  </pic:nvPicPr>
                  <pic:blipFill>
                    <a:blip r:embed="rId31" cstate="print"/>
                    <a:stretch>
                      <a:fillRect/>
                    </a:stretch>
                  </pic:blipFill>
                  <pic:spPr>
                    <a:xfrm>
                      <a:off x="0" y="0"/>
                      <a:ext cx="4814860" cy="3190494"/>
                    </a:xfrm>
                    <a:prstGeom prst="rect">
                      <a:avLst/>
                    </a:prstGeom>
                  </pic:spPr>
                </pic:pic>
              </a:graphicData>
            </a:graphic>
          </wp:inline>
        </w:drawing>
      </w:r>
      <w:r>
        <w:rPr>
          <w:rFonts w:ascii="宋体" w:hAnsi="宋体" w:cs="宋体" w:eastAsia="宋体" w:hint="default"/>
          <w:position w:val="-99"/>
          <w:sz w:val="20"/>
          <w:szCs w:val="20"/>
        </w:rPr>
      </w:r>
    </w:p>
    <w:p>
      <w:pPr>
        <w:spacing w:line="240" w:lineRule="auto" w:before="9"/>
        <w:rPr>
          <w:rFonts w:ascii="宋体" w:hAnsi="宋体" w:cs="宋体" w:eastAsia="宋体" w:hint="default"/>
          <w:sz w:val="14"/>
          <w:szCs w:val="14"/>
        </w:rPr>
      </w:pPr>
    </w:p>
    <w:p>
      <w:pPr>
        <w:spacing w:before="44"/>
        <w:ind w:left="3233" w:right="982" w:firstLine="0"/>
        <w:jc w:val="left"/>
        <w:rPr>
          <w:rFonts w:ascii="宋体" w:hAnsi="宋体" w:cs="宋体" w:eastAsia="宋体" w:hint="default"/>
          <w:sz w:val="18"/>
          <w:szCs w:val="18"/>
        </w:rPr>
      </w:pPr>
      <w:r>
        <w:rPr>
          <w:rFonts w:ascii="宋体" w:hAnsi="宋体" w:cs="宋体" w:eastAsia="宋体" w:hint="default"/>
          <w:sz w:val="18"/>
          <w:szCs w:val="18"/>
        </w:rPr>
        <w:t>资料来源：艾瑞咨询</w:t>
      </w:r>
      <w:r>
        <w:rPr>
          <w:rFonts w:ascii="宋体" w:hAnsi="宋体" w:cs="宋体" w:eastAsia="宋体" w:hint="default"/>
          <w:sz w:val="18"/>
          <w:szCs w:val="18"/>
        </w:rPr>
        <w:t>2019</w:t>
      </w:r>
      <w:r>
        <w:rPr>
          <w:rFonts w:ascii="宋体" w:hAnsi="宋体" w:cs="宋体" w:eastAsia="宋体" w:hint="default"/>
          <w:sz w:val="18"/>
          <w:szCs w:val="18"/>
        </w:rPr>
        <w:t>年中国智慧城市发展报告</w:t>
      </w:r>
    </w:p>
    <w:p>
      <w:pPr>
        <w:spacing w:line="240" w:lineRule="auto" w:before="1"/>
        <w:rPr>
          <w:rFonts w:ascii="宋体" w:hAnsi="宋体" w:cs="宋体" w:eastAsia="宋体" w:hint="default"/>
          <w:sz w:val="14"/>
          <w:szCs w:val="14"/>
        </w:rPr>
      </w:pPr>
    </w:p>
    <w:p>
      <w:pPr>
        <w:pStyle w:val="BodyText"/>
        <w:spacing w:line="357" w:lineRule="auto" w:before="0"/>
        <w:ind w:right="1138" w:firstLine="482"/>
        <w:jc w:val="right"/>
      </w:pPr>
      <w:r>
        <w:rPr/>
        <w:t>国家“十三五”规划指出，城市道路病害、城市内涝、城市黑臭水体治理、城市双修等 以国家层面提出的城市公共服务对地下管线，集中力量加快灾后水利薄弱环节和涝灾严重城</w:t>
      </w:r>
      <w:r>
        <w:rPr>
          <w:spacing w:val="-101"/>
        </w:rPr>
        <w:t> </w:t>
      </w:r>
      <w:r>
        <w:rPr>
          <w:spacing w:val="-101"/>
        </w:rPr>
      </w:r>
      <w:r>
        <w:rPr/>
        <w:t>市排水防涝能力建设，是补上民生短板、保护生态的重要举措。管线服务已从管线探测保障</w:t>
      </w:r>
      <w:r>
        <w:rPr>
          <w:spacing w:val="-101"/>
        </w:rPr>
        <w:t> </w:t>
      </w:r>
      <w:r>
        <w:rPr>
          <w:spacing w:val="-101"/>
        </w:rPr>
      </w:r>
      <w:r>
        <w:rPr/>
        <w:t>城市的规划、建设、管理，进化到以安全、生态、环保、绿色、发展等为主题的城市治理。 </w:t>
      </w:r>
      <w:r>
        <w:rPr>
          <w:rFonts w:ascii="宋体" w:hAnsi="宋体" w:cs="宋体" w:eastAsia="宋体" w:hint="default"/>
        </w:rPr>
        <w:t>2014</w:t>
      </w:r>
      <w:r>
        <w:rPr/>
        <w:t>年以来，国务院连续发布了《关于加强城市地下管线建设管理的指导意见》、《关 于加强城市地下管线规划管理的通知》、《关于推进城市地下综合管廊建设的指导意见》、</w:t>
      </w:r>
    </w:p>
    <w:p>
      <w:pPr>
        <w:pStyle w:val="BodyText"/>
        <w:spacing w:line="357" w:lineRule="auto"/>
        <w:ind w:right="996"/>
        <w:jc w:val="left"/>
      </w:pPr>
      <w:r>
        <w:rPr/>
        <w:t>《关于进一步加强城市规划建设管理工作的若干意见》、《关于深入推进新型城镇化建设的</w:t>
      </w:r>
      <w:r>
        <w:rPr>
          <w:spacing w:val="-91"/>
        </w:rPr>
        <w:t> </w:t>
      </w:r>
      <w:r>
        <w:rPr>
          <w:spacing w:val="-91"/>
        </w:rPr>
      </w:r>
      <w:r>
        <w:rPr/>
        <w:t>若干意见》和《关于推进海绵城市建设的指导意见》等一系列重要的文件，为中国城市地下</w:t>
      </w:r>
      <w:r>
        <w:rPr>
          <w:spacing w:val="-91"/>
        </w:rPr>
        <w:t> </w:t>
      </w:r>
      <w:r>
        <w:rPr>
          <w:spacing w:val="-91"/>
        </w:rPr>
      </w:r>
      <w:r>
        <w:rPr/>
        <w:t>管线的建设、管理和运营指明了发展方向。随后住房城乡建设部等部门根据国务院要求，在</w:t>
      </w:r>
      <w:r>
        <w:rPr>
          <w:spacing w:val="-91"/>
        </w:rPr>
        <w:t> </w:t>
      </w:r>
      <w:r>
        <w:rPr>
          <w:spacing w:val="-91"/>
        </w:rPr>
      </w:r>
      <w:r>
        <w:rPr/>
        <w:t>全国各地广泛开展了城市地下管线普查、建立综合管理信息系统、编制完成地下管线综合规</w:t>
      </w:r>
      <w:r>
        <w:rPr>
          <w:spacing w:val="-91"/>
        </w:rPr>
        <w:t> </w:t>
      </w:r>
      <w:r>
        <w:rPr>
          <w:spacing w:val="-91"/>
        </w:rPr>
      </w:r>
      <w:r>
        <w:rPr>
          <w:spacing w:val="-5"/>
        </w:rPr>
        <w:t>划等工作。力争用</w:t>
      </w:r>
      <w:r>
        <w:rPr>
          <w:rFonts w:ascii="宋体" w:hAnsi="宋体" w:cs="宋体" w:eastAsia="宋体" w:hint="default"/>
          <w:spacing w:val="-5"/>
        </w:rPr>
        <w:t>5</w:t>
      </w:r>
      <w:r>
        <w:rPr>
          <w:spacing w:val="-5"/>
        </w:rPr>
        <w:t>年时间，完成城市地下老旧管网改造，将管网漏失率控制在国家标准以内，</w:t>
      </w:r>
      <w:r>
        <w:rPr>
          <w:spacing w:val="-114"/>
        </w:rPr>
        <w:t> </w:t>
      </w:r>
      <w:r>
        <w:rPr>
          <w:spacing w:val="-114"/>
        </w:rPr>
      </w:r>
      <w:r>
        <w:rPr/>
        <w:t>显著降低管网事故率，避免重大事故发生。用</w:t>
      </w:r>
      <w:r>
        <w:rPr>
          <w:rFonts w:ascii="宋体" w:hAnsi="宋体" w:cs="宋体" w:eastAsia="宋体" w:hint="default"/>
        </w:rPr>
        <w:t>10</w:t>
      </w:r>
      <w:r>
        <w:rPr/>
        <w:t>年左右时间，建成较为完善的城市地下管线</w:t>
      </w:r>
      <w:r>
        <w:rPr>
          <w:spacing w:val="-88"/>
        </w:rPr>
        <w:t> </w:t>
      </w:r>
      <w:r>
        <w:rPr>
          <w:spacing w:val="-88"/>
        </w:rPr>
      </w:r>
      <w:r>
        <w:rPr>
          <w:spacing w:val="-5"/>
        </w:rPr>
        <w:t>体系，使地下管线建设管理水平能够适应经济社会发展需要，应急防灾能力大幅提升。到</w:t>
      </w:r>
      <w:r>
        <w:rPr>
          <w:rFonts w:ascii="宋体" w:hAnsi="宋体" w:cs="宋体" w:eastAsia="宋体" w:hint="default"/>
          <w:spacing w:val="-5"/>
        </w:rPr>
        <w:t>2020</w:t>
      </w:r>
      <w:r>
        <w:rPr>
          <w:rFonts w:ascii="宋体" w:hAnsi="宋体" w:cs="宋体" w:eastAsia="宋体" w:hint="default"/>
          <w:spacing w:val="-107"/>
        </w:rPr>
        <w:t> </w:t>
      </w:r>
      <w:r>
        <w:rPr/>
        <w:t>年，建成一批具有国际先进水平的地下综合管廊并投入运营，反复开挖地面的“马路拉链”</w:t>
      </w:r>
      <w:r>
        <w:rPr>
          <w:spacing w:val="-86"/>
        </w:rPr>
        <w:t> </w:t>
      </w:r>
      <w:r>
        <w:rPr>
          <w:spacing w:val="-86"/>
        </w:rPr>
      </w:r>
      <w:r>
        <w:rPr>
          <w:spacing w:val="-2"/>
        </w:rPr>
        <w:t>问题明显改善，管线安全水平和防灾抗灾能力明显提升，逐步消除主要街道蜘蛛网式架空线，</w:t>
      </w:r>
      <w:r>
        <w:rPr/>
        <w:t> 城市地面景观明显好转。</w:t>
      </w:r>
    </w:p>
    <w:p>
      <w:pPr>
        <w:pStyle w:val="BodyText"/>
        <w:spacing w:line="240" w:lineRule="auto"/>
        <w:ind w:left="635" w:right="982"/>
        <w:jc w:val="left"/>
      </w:pPr>
      <w:r>
        <w:rPr>
          <w:rFonts w:ascii="宋体" w:hAnsi="宋体" w:cs="宋体" w:eastAsia="宋体" w:hint="default"/>
        </w:rPr>
        <w:t>2</w:t>
      </w:r>
      <w:r>
        <w:rPr/>
        <w:t>、未来发展计划</w:t>
      </w:r>
    </w:p>
    <w:p>
      <w:pPr>
        <w:spacing w:after="0" w:line="240"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36" w:firstLine="482"/>
        <w:jc w:val="both"/>
      </w:pPr>
      <w:r>
        <w:rPr/>
        <w:t>新的一年，随着国家行政体制改革的持续推进及全国各地城市智慧城市建设逐步落地， 公司面对的市场前景良好，决心在以下方面继续加强工作，努力提升经营业绩。</w:t>
      </w:r>
    </w:p>
    <w:p>
      <w:pPr>
        <w:pStyle w:val="BodyText"/>
        <w:spacing w:line="357" w:lineRule="auto"/>
        <w:ind w:right="1128" w:firstLine="482"/>
        <w:jc w:val="both"/>
      </w:pPr>
      <w:r>
        <w:rPr/>
        <w:t>一是“越来越综合的城市管理”是大的发展趋势，越来越多的地方建设融合电子政务系 统要求能够整合更多“政府行业”数据，协同更多“政府部门”业务，综合更多“智慧”服</w:t>
      </w:r>
      <w:r>
        <w:rPr>
          <w:spacing w:val="-90"/>
        </w:rPr>
        <w:t> </w:t>
      </w:r>
      <w:r>
        <w:rPr>
          <w:spacing w:val="-90"/>
        </w:rPr>
      </w:r>
      <w:r>
        <w:rPr/>
        <w:t>务，建立一套上下一体的“网格化管理服务体系”。公司“城市运行中心”（城市大脑）产</w:t>
      </w:r>
      <w:r>
        <w:rPr>
          <w:spacing w:val="-87"/>
        </w:rPr>
        <w:t> </w:t>
      </w:r>
      <w:r>
        <w:rPr>
          <w:spacing w:val="-87"/>
        </w:rPr>
      </w:r>
      <w:r>
        <w:rPr/>
        <w:t>品的研发，已经成为公司生存与发展的“胜负手”，网格化城市运行中心就是“网格化城市</w:t>
      </w:r>
      <w:r>
        <w:rPr>
          <w:spacing w:val="-91"/>
        </w:rPr>
        <w:t> </w:t>
      </w:r>
      <w:r>
        <w:rPr>
          <w:spacing w:val="-91"/>
        </w:rPr>
      </w:r>
      <w:r>
        <w:rPr/>
        <w:t>管理系统”的升级版，也是网格化业务未来的发展方向，公司在</w:t>
      </w:r>
      <w:r>
        <w:rPr>
          <w:rFonts w:ascii="宋体" w:hAnsi="宋体" w:cs="宋体" w:eastAsia="宋体" w:hint="default"/>
        </w:rPr>
        <w:t>2019</w:t>
      </w:r>
      <w:r>
        <w:rPr/>
        <w:t>年将全面提升产品核心</w:t>
      </w:r>
      <w:r>
        <w:rPr>
          <w:spacing w:val="-88"/>
        </w:rPr>
        <w:t> </w:t>
      </w:r>
      <w:r>
        <w:rPr>
          <w:spacing w:val="-88"/>
        </w:rPr>
      </w:r>
      <w:r>
        <w:rPr>
          <w:spacing w:val="3"/>
        </w:rPr>
        <w:t>竞争力，跟上“城市运行中心”这趟快车，及时高效地推出包括城市大数据、各种网格化</w:t>
      </w:r>
      <w:r>
        <w:rPr>
          <w:rFonts w:ascii="宋体" w:hAnsi="宋体" w:cs="宋体" w:eastAsia="宋体" w:hint="default"/>
          <w:spacing w:val="3"/>
        </w:rPr>
        <w:t>+</w:t>
      </w:r>
      <w:r>
        <w:rPr>
          <w:rFonts w:ascii="宋体" w:hAnsi="宋体" w:cs="宋体" w:eastAsia="宋体" w:hint="default"/>
          <w:spacing w:val="-98"/>
        </w:rPr>
        <w:t> </w:t>
      </w:r>
      <w:r>
        <w:rPr>
          <w:spacing w:val="-2"/>
        </w:rPr>
        <w:t>行业专题应用、二三维一体化</w:t>
      </w:r>
      <w:r>
        <w:rPr>
          <w:rFonts w:ascii="宋体" w:hAnsi="宋体" w:cs="宋体" w:eastAsia="宋体" w:hint="default"/>
          <w:spacing w:val="-2"/>
        </w:rPr>
        <w:t>GIS</w:t>
      </w:r>
      <w:r>
        <w:rPr>
          <w:spacing w:val="-2"/>
        </w:rPr>
        <w:t>平台、视频大数据智能分析等有分量的新产品，培育和打造</w:t>
      </w:r>
      <w:r>
        <w:rPr>
          <w:spacing w:val="-118"/>
        </w:rPr>
        <w:t> </w:t>
      </w:r>
      <w:r>
        <w:rPr>
          <w:spacing w:val="-118"/>
        </w:rPr>
      </w:r>
      <w:r>
        <w:rPr>
          <w:spacing w:val="-3"/>
        </w:rPr>
        <w:t>新的核心竞争力，通过</w:t>
      </w:r>
      <w:r>
        <w:rPr>
          <w:spacing w:val="-49"/>
        </w:rPr>
        <w:t> </w:t>
      </w:r>
      <w:r>
        <w:rPr/>
        <w:t>“多网合一的网格化管理服务平台”帮助各地客户构建起“网格化城</w:t>
      </w:r>
      <w:r>
        <w:rPr/>
        <w:t> 市管理运行中心”体系。</w:t>
      </w:r>
    </w:p>
    <w:p>
      <w:pPr>
        <w:pStyle w:val="BodyText"/>
        <w:spacing w:line="357" w:lineRule="auto"/>
        <w:ind w:right="1128" w:firstLine="482"/>
        <w:jc w:val="both"/>
      </w:pPr>
      <w:r>
        <w:rPr>
          <w:spacing w:val="-5"/>
        </w:rPr>
        <w:t>二是中央全面深化改革委员会在</w:t>
      </w:r>
      <w:r>
        <w:rPr>
          <w:rFonts w:ascii="宋体" w:hAnsi="宋体" w:cs="宋体" w:eastAsia="宋体" w:hint="default"/>
          <w:spacing w:val="-5"/>
        </w:rPr>
        <w:t>2018</w:t>
      </w:r>
      <w:r>
        <w:rPr>
          <w:spacing w:val="-5"/>
        </w:rPr>
        <w:t>年</w:t>
      </w:r>
      <w:r>
        <w:rPr>
          <w:rFonts w:ascii="宋体" w:hAnsi="宋体" w:cs="宋体" w:eastAsia="宋体" w:hint="default"/>
          <w:spacing w:val="-5"/>
        </w:rPr>
        <w:t>11</w:t>
      </w:r>
      <w:r>
        <w:rPr>
          <w:spacing w:val="-5"/>
        </w:rPr>
        <w:t>月</w:t>
      </w:r>
      <w:r>
        <w:rPr>
          <w:rFonts w:ascii="宋体" w:hAnsi="宋体" w:cs="宋体" w:eastAsia="宋体" w:hint="default"/>
          <w:spacing w:val="-5"/>
        </w:rPr>
        <w:t>14</w:t>
      </w:r>
      <w:r>
        <w:rPr>
          <w:spacing w:val="-5"/>
        </w:rPr>
        <w:t>日召开了第五次会议，通过三个文件（《关</w:t>
      </w:r>
      <w:r>
        <w:rPr/>
        <w:t> 于推进基层整合审批服务执法力量的实施意见》、《关于全面推行行政执法公示制度执法全</w:t>
      </w:r>
      <w:r>
        <w:rPr>
          <w:spacing w:val="-91"/>
        </w:rPr>
        <w:t> </w:t>
      </w:r>
      <w:r>
        <w:rPr>
          <w:spacing w:val="-91"/>
        </w:rPr>
      </w:r>
      <w:r>
        <w:rPr/>
        <w:t>过程记录制度重大执法决定法制审核制度的指导意见》和《“街乡吹哨、部门报到”——北</w:t>
      </w:r>
      <w:r>
        <w:rPr>
          <w:spacing w:val="-89"/>
        </w:rPr>
        <w:t> </w:t>
      </w:r>
      <w:r>
        <w:rPr>
          <w:spacing w:val="-89"/>
        </w:rPr>
      </w:r>
      <w:r>
        <w:rPr/>
        <w:t>京市推进党建引领基层治理体制机制创新的探索》），随着“城市执法体制改革”和“深化</w:t>
      </w:r>
      <w:r>
        <w:rPr>
          <w:spacing w:val="-88"/>
        </w:rPr>
        <w:t> </w:t>
      </w:r>
      <w:r>
        <w:rPr>
          <w:spacing w:val="-88"/>
        </w:rPr>
      </w:r>
      <w:r>
        <w:rPr>
          <w:spacing w:val="-2"/>
        </w:rPr>
        <w:t>党和国家机构改革方案”在地市级的落地，</w:t>
      </w:r>
      <w:r>
        <w:rPr>
          <w:rFonts w:ascii="宋体" w:hAnsi="宋体" w:cs="宋体" w:eastAsia="宋体" w:hint="default"/>
          <w:spacing w:val="-2"/>
        </w:rPr>
        <w:t>2019</w:t>
      </w:r>
      <w:r>
        <w:rPr>
          <w:spacing w:val="-2"/>
        </w:rPr>
        <w:t>年开始，各个地市基于“</w:t>
      </w:r>
      <w:r>
        <w:rPr>
          <w:rFonts w:ascii="宋体" w:hAnsi="宋体" w:cs="宋体" w:eastAsia="宋体" w:hint="default"/>
          <w:spacing w:val="-2"/>
        </w:rPr>
        <w:t>3+1</w:t>
      </w:r>
      <w:r>
        <w:rPr>
          <w:spacing w:val="-2"/>
        </w:rPr>
        <w:t>”的城市管理机</w:t>
      </w:r>
      <w:r>
        <w:rPr>
          <w:spacing w:val="-116"/>
        </w:rPr>
        <w:t> </w:t>
      </w:r>
      <w:r>
        <w:rPr>
          <w:spacing w:val="-116"/>
        </w:rPr>
      </w:r>
      <w:r>
        <w:rPr>
          <w:spacing w:val="-2"/>
        </w:rPr>
        <w:t>构会逐步落地，公司的“智慧城管</w:t>
      </w:r>
      <w:r>
        <w:rPr>
          <w:rFonts w:ascii="宋体" w:hAnsi="宋体" w:cs="宋体" w:eastAsia="宋体" w:hint="default"/>
          <w:spacing w:val="-2"/>
        </w:rPr>
        <w:t>3+1</w:t>
      </w:r>
      <w:r>
        <w:rPr>
          <w:spacing w:val="-2"/>
        </w:rPr>
        <w:t>”的业务也会更多地逐步展开，网格化基层治理体制会</w:t>
      </w:r>
      <w:r>
        <w:rPr>
          <w:spacing w:val="-118"/>
        </w:rPr>
        <w:t> </w:t>
      </w:r>
      <w:r>
        <w:rPr>
          <w:spacing w:val="-118"/>
        </w:rPr>
      </w:r>
      <w:r>
        <w:rPr>
          <w:spacing w:val="-2"/>
        </w:rPr>
        <w:t>成为新热点。公司决心大力推动基于城市管理云平台的“新智信云升级”和基于网格化</w:t>
      </w:r>
      <w:r>
        <w:rPr>
          <w:rFonts w:ascii="宋体" w:hAnsi="宋体" w:cs="宋体" w:eastAsia="宋体" w:hint="default"/>
          <w:spacing w:val="-2"/>
        </w:rPr>
        <w:t>+</w:t>
      </w:r>
      <w:r>
        <w:rPr>
          <w:spacing w:val="-2"/>
        </w:rPr>
        <w:t>模式</w:t>
      </w:r>
      <w:r>
        <w:rPr>
          <w:spacing w:val="-118"/>
        </w:rPr>
        <w:t> </w:t>
      </w:r>
      <w:r>
        <w:rPr>
          <w:spacing w:val="-2"/>
        </w:rPr>
        <w:t>的“智慧城管</w:t>
      </w:r>
      <w:r>
        <w:rPr>
          <w:rFonts w:ascii="宋体" w:hAnsi="宋体" w:cs="宋体" w:eastAsia="宋体" w:hint="default"/>
          <w:spacing w:val="-2"/>
        </w:rPr>
        <w:t>3+1</w:t>
      </w:r>
      <w:r>
        <w:rPr>
          <w:spacing w:val="-2"/>
        </w:rPr>
        <w:t>”产品的研发，</w:t>
      </w:r>
      <w:r>
        <w:rPr>
          <w:rFonts w:ascii="宋体" w:hAnsi="宋体" w:cs="宋体" w:eastAsia="宋体" w:hint="default"/>
          <w:spacing w:val="-2"/>
        </w:rPr>
        <w:t>2019</w:t>
      </w:r>
      <w:r>
        <w:rPr>
          <w:spacing w:val="-2"/>
        </w:rPr>
        <w:t>年将推出面向各地城市管理中心的“城市管理大数据平</w:t>
      </w:r>
      <w:r>
        <w:rPr>
          <w:spacing w:val="-114"/>
        </w:rPr>
        <w:t> </w:t>
      </w:r>
      <w:r>
        <w:rPr>
          <w:spacing w:val="-114"/>
        </w:rPr>
      </w:r>
      <w:r>
        <w:rPr/>
        <w:t>台”和基于抖音模式的新智信产品（为</w:t>
      </w:r>
      <w:r>
        <w:rPr>
          <w:rFonts w:ascii="宋体" w:hAnsi="宋体" w:cs="宋体" w:eastAsia="宋体" w:hint="default"/>
        </w:rPr>
        <w:t>5G</w:t>
      </w:r>
      <w:r>
        <w:rPr/>
        <w:t>视频应用模式做准备）。</w:t>
      </w:r>
    </w:p>
    <w:p>
      <w:pPr>
        <w:pStyle w:val="BodyText"/>
        <w:spacing w:line="357" w:lineRule="auto"/>
        <w:ind w:right="1133" w:firstLine="482"/>
        <w:jc w:val="both"/>
      </w:pPr>
      <w:r>
        <w:rPr/>
        <w:t>三是根据目前国内智慧城市的发展建设阶段和公司已有的市场拓展情况，集中技术和市 场营销力量，有选择的将优势资源下沉到一批经济较发达、人口较密集、城市治理理念较先</w:t>
      </w:r>
      <w:r>
        <w:rPr>
          <w:spacing w:val="-91"/>
        </w:rPr>
        <w:t> </w:t>
      </w:r>
      <w:r>
        <w:rPr>
          <w:spacing w:val="-91"/>
        </w:rPr>
      </w:r>
      <w:r>
        <w:rPr/>
        <w:t>进、信息化基础较好的中心城市，提供更加全面的智慧城市解决方案，努力形成一点进入、</w:t>
      </w:r>
      <w:r>
        <w:rPr>
          <w:spacing w:val="-88"/>
        </w:rPr>
        <w:t> </w:t>
      </w:r>
      <w:r>
        <w:rPr>
          <w:spacing w:val="-88"/>
        </w:rPr>
      </w:r>
      <w:r>
        <w:rPr/>
        <w:t>全面开花的发展态势，深度参与这些城市的多网融合智慧城市建设项目，全力打造一批技术</w:t>
      </w:r>
      <w:r>
        <w:rPr>
          <w:spacing w:val="-86"/>
        </w:rPr>
        <w:t> </w:t>
      </w:r>
      <w:r>
        <w:rPr>
          <w:spacing w:val="-86"/>
        </w:rPr>
      </w:r>
      <w:r>
        <w:rPr/>
        <w:t>先进、专业化程度高的中心城市“智慧城市示范点”。</w:t>
      </w:r>
    </w:p>
    <w:p>
      <w:pPr>
        <w:spacing w:line="240" w:lineRule="auto" w:before="11"/>
        <w:rPr>
          <w:rFonts w:ascii="宋体" w:hAnsi="宋体" w:cs="宋体" w:eastAsia="宋体" w:hint="default"/>
          <w:sz w:val="19"/>
          <w:szCs w:val="19"/>
        </w:rPr>
      </w:pPr>
    </w:p>
    <w:p>
      <w:pPr>
        <w:pStyle w:val="Heading2"/>
        <w:spacing w:line="240" w:lineRule="auto"/>
        <w:ind w:right="982"/>
        <w:jc w:val="left"/>
        <w:rPr>
          <w:b w:val="0"/>
          <w:bCs w:val="0"/>
        </w:rPr>
      </w:pPr>
      <w:r>
        <w:rPr/>
        <w:t>十、接待调研、沟通、采访等活动登记表</w:t>
      </w:r>
      <w:r>
        <w:rPr>
          <w:b w:val="0"/>
          <w:bCs w:val="0"/>
        </w:rPr>
      </w:r>
    </w:p>
    <w:p>
      <w:pPr>
        <w:spacing w:line="240" w:lineRule="auto" w:before="9"/>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、报告期内接待调研、沟通、采访等活动登记表</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line="340" w:lineRule="auto" w:before="0"/>
        <w:ind w:left="152" w:right="66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公司报告期内未发生接待调研、沟通、采访等活动。</w:t>
      </w:r>
    </w:p>
    <w:p>
      <w:pPr>
        <w:spacing w:after="0" w:line="3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r>
        <w:rPr/>
        <w:pict>
          <v:group style="position:absolute;margin-left:242.809998pt;margin-top:739.440002pt;width:290.95pt;height:20.8pt;mso-position-horizontal-relative:page;mso-position-vertical-relative:page;z-index:-880960" coordorigin="4856,14789" coordsize="5819,416">
            <v:group style="position:absolute;left:4868;top:14801;width:2;height:392" coordorigin="4868,14801" coordsize="2,392">
              <v:shape style="position:absolute;left:4868;top:14801;width:2;height:392" coordorigin="4868,14801" coordsize="0,392" path="m4868,14801l4868,15192e" filled="false" stroked="true" strokeweight="1.2pt" strokecolor="#ffffff">
                <v:path arrowok="t"/>
              </v:shape>
            </v:group>
            <v:group style="position:absolute;left:4880;top:14801;width:5795;height:392" coordorigin="4880,14801" coordsize="5795,392">
              <v:shape style="position:absolute;left:4880;top:14801;width:5795;height:392" coordorigin="4880,14801" coordsize="5795,392" path="m4880,15192l10675,15192,10675,14801,4880,14801,4880,15192xe" filled="true" fillcolor="#ffffff" stroked="false">
                <v:path arrowok="t"/>
                <v:fill type="solid"/>
              </v:shape>
            </v:group>
            <w10:wrap type="none"/>
          </v:group>
        </w:pic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right="3397"/>
        <w:jc w:val="center"/>
        <w:rPr>
          <w:b w:val="0"/>
          <w:bCs w:val="0"/>
        </w:rPr>
      </w:pPr>
      <w:bookmarkStart w:name="_bookmark3" w:id="4"/>
      <w:bookmarkEnd w:id="4"/>
      <w:r>
        <w:rPr>
          <w:b w:val="0"/>
          <w:bCs w:val="0"/>
        </w:rPr>
      </w:r>
      <w:r>
        <w:rPr/>
        <w:t>第五节</w:t>
      </w:r>
      <w:r>
        <w:rPr>
          <w:spacing w:val="-2"/>
        </w:rPr>
        <w:t> </w:t>
      </w:r>
      <w:r>
        <w:rPr/>
        <w:t>重要事项</w:t>
      </w:r>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982"/>
        <w:jc w:val="left"/>
        <w:rPr>
          <w:b w:val="0"/>
          <w:bCs w:val="0"/>
        </w:rPr>
      </w:pPr>
      <w:r>
        <w:rPr/>
        <w:t>一、公司普通股利润分配及资本公积金转增股本情况</w:t>
      </w:r>
      <w:r>
        <w:rPr>
          <w:b w:val="0"/>
          <w:bCs w:val="0"/>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宋体" w:hAnsi="宋体" w:cs="宋体" w:eastAsia="宋体" w:hint="default"/>
          <w:sz w:val="18"/>
          <w:szCs w:val="18"/>
        </w:rPr>
        <w:t>报告期内普通股利润分配政策，特别是现金分红政策的制定、执行或调整情况</w:t>
      </w:r>
    </w:p>
    <w:p>
      <w:pPr>
        <w:spacing w:before="117"/>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2"/>
        <w:ind w:right="996" w:firstLine="482"/>
        <w:jc w:val="left"/>
      </w:pPr>
      <w:r>
        <w:rPr>
          <w:spacing w:val="-3"/>
        </w:rPr>
        <w:t>报告期内，公司严格按照《公司章程》相关利润分配政策和审议程序实施利润分配方案，</w:t>
      </w:r>
      <w:r>
        <w:rPr/>
        <w:t> </w:t>
      </w:r>
      <w:r>
        <w:rPr>
          <w:spacing w:val="-2"/>
        </w:rPr>
        <w:t>分红标准和分红比例明确清晰，相关的决策程序和机制完备。公司利润分配方案经由董事会、</w:t>
      </w:r>
      <w:r>
        <w:rPr/>
        <w:t> 监事会审议过后提交股东大会审议，并由独立董事发表独立意见，审议通过后在规定时间内</w:t>
      </w:r>
      <w:r>
        <w:rPr>
          <w:spacing w:val="-91"/>
        </w:rPr>
        <w:t> </w:t>
      </w:r>
      <w:r>
        <w:rPr>
          <w:spacing w:val="-91"/>
        </w:rPr>
      </w:r>
      <w:r>
        <w:rPr/>
        <w:t>进行实施，切实保证了全体股东的利益。</w:t>
      </w:r>
    </w:p>
    <w:p>
      <w:pPr>
        <w:pStyle w:val="BodyText"/>
        <w:spacing w:line="357" w:lineRule="auto"/>
        <w:ind w:right="1131" w:firstLine="482"/>
        <w:jc w:val="both"/>
      </w:pPr>
      <w:r>
        <w:rPr>
          <w:rFonts w:ascii="宋体" w:hAnsi="宋体" w:cs="宋体" w:eastAsia="宋体" w:hint="default"/>
          <w:spacing w:val="-2"/>
        </w:rPr>
        <w:t>2018</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15</w:t>
      </w:r>
      <w:r>
        <w:rPr>
          <w:spacing w:val="-2"/>
        </w:rPr>
        <w:t>日，公司</w:t>
      </w:r>
      <w:r>
        <w:rPr>
          <w:rFonts w:ascii="宋体" w:hAnsi="宋体" w:cs="宋体" w:eastAsia="宋体" w:hint="default"/>
          <w:spacing w:val="-2"/>
        </w:rPr>
        <w:t>2017</w:t>
      </w:r>
      <w:r>
        <w:rPr>
          <w:spacing w:val="-2"/>
        </w:rPr>
        <w:t>年度股东大会审议通过了</w:t>
      </w:r>
      <w:r>
        <w:rPr>
          <w:rFonts w:ascii="宋体" w:hAnsi="宋体" w:cs="宋体" w:eastAsia="宋体" w:hint="default"/>
          <w:spacing w:val="-2"/>
        </w:rPr>
        <w:t>2017</w:t>
      </w:r>
      <w:r>
        <w:rPr>
          <w:spacing w:val="-2"/>
        </w:rPr>
        <w:t>年度利润分配方案，公司拟以总</w:t>
      </w:r>
      <w:r>
        <w:rPr/>
        <w:t> 股本</w:t>
      </w:r>
      <w:r>
        <w:rPr>
          <w:rFonts w:ascii="宋体" w:hAnsi="宋体" w:cs="宋体" w:eastAsia="宋体" w:hint="default"/>
        </w:rPr>
        <w:t>424,626,905</w:t>
      </w:r>
      <w:r>
        <w:rPr/>
        <w:t>股为基数，向全体股东每</w:t>
      </w:r>
      <w:r>
        <w:rPr>
          <w:rFonts w:ascii="宋体" w:hAnsi="宋体" w:cs="宋体" w:eastAsia="宋体" w:hint="default"/>
        </w:rPr>
        <w:t>10</w:t>
      </w:r>
      <w:r>
        <w:rPr/>
        <w:t>股派发现金红利</w:t>
      </w:r>
      <w:r>
        <w:rPr>
          <w:rFonts w:ascii="宋体" w:hAnsi="宋体" w:cs="宋体" w:eastAsia="宋体" w:hint="default"/>
        </w:rPr>
        <w:t>0.3</w:t>
      </w:r>
      <w:r>
        <w:rPr/>
        <w:t>元（含税），共计派发现金</w:t>
      </w:r>
      <w:r>
        <w:rPr>
          <w:spacing w:val="-88"/>
        </w:rPr>
        <w:t> </w:t>
      </w:r>
      <w:r>
        <w:rPr>
          <w:spacing w:val="-88"/>
        </w:rPr>
      </w:r>
      <w:r>
        <w:rPr>
          <w:spacing w:val="-2"/>
        </w:rPr>
        <w:t>红利</w:t>
      </w:r>
      <w:r>
        <w:rPr>
          <w:rFonts w:ascii="宋体" w:hAnsi="宋体" w:cs="宋体" w:eastAsia="宋体" w:hint="default"/>
          <w:spacing w:val="-2"/>
        </w:rPr>
        <w:t>12,738,807.15</w:t>
      </w:r>
      <w:r>
        <w:rPr>
          <w:spacing w:val="-2"/>
        </w:rPr>
        <w:t>元，剩余未分配利润结转以后年度分配。本年度不进行资本公积金转增股</w:t>
      </w:r>
      <w:r>
        <w:rPr>
          <w:spacing w:val="-109"/>
        </w:rPr>
        <w:t> </w:t>
      </w:r>
      <w:r>
        <w:rPr>
          <w:spacing w:val="-109"/>
        </w:rPr>
      </w:r>
      <w:r>
        <w:rPr/>
        <w:t>本。本次权益分派股权登记日为：</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14</w:t>
      </w:r>
      <w:r>
        <w:rPr/>
        <w:t>日，除权除息日为：</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15</w:t>
      </w:r>
      <w:r>
        <w:rPr/>
        <w:t>日。</w:t>
      </w:r>
    </w:p>
    <w:tbl>
      <w:tblPr>
        <w:tblW w:w="0" w:type="auto"/>
        <w:jc w:val="left"/>
        <w:tblInd w:w="160" w:type="dxa"/>
        <w:tblLayout w:type="fixed"/>
        <w:tblCellMar>
          <w:top w:w="0" w:type="dxa"/>
          <w:left w:w="0" w:type="dxa"/>
          <w:bottom w:w="0" w:type="dxa"/>
          <w:right w:w="0" w:type="dxa"/>
        </w:tblCellMar>
        <w:tblLook w:val="01E0"/>
      </w:tblPr>
      <w:tblGrid>
        <w:gridCol w:w="4761"/>
        <w:gridCol w:w="4797"/>
      </w:tblGrid>
      <w:tr>
        <w:trPr>
          <w:trHeight w:val="398" w:hRule="exact"/>
        </w:trPr>
        <w:tc>
          <w:tcPr>
            <w:tcW w:w="95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11"/>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407"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2"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3"/>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0"/>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9"/>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0"/>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57"/>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 否得到了充分保护：</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4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12" w:right="57"/>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现金分红政策进行调整或变更的，条件及程序是否合规、透 明：</w:t>
            </w:r>
          </w:p>
        </w:tc>
        <w:tc>
          <w:tcPr>
            <w:tcW w:w="479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公司报告期利润分配预案及资本公积金转增股本预案与公司章程和分红管理办法等的相关规定一致</w:t>
      </w:r>
    </w:p>
    <w:p>
      <w:pPr>
        <w:spacing w:line="350" w:lineRule="auto" w:before="115"/>
        <w:ind w:left="152" w:right="42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宋体" w:hAnsi="宋体" w:cs="宋体" w:eastAsia="宋体" w:hint="default"/>
          <w:sz w:val="18"/>
          <w:szCs w:val="18"/>
        </w:rPr>
        <w:t>否 </w:t>
      </w:r>
      <w:r>
        <w:rPr>
          <w:rFonts w:ascii="Times New Roman" w:hAnsi="Times New Roman" w:cs="Times New Roman" w:eastAsia="Times New Roman" w:hint="default"/>
          <w:sz w:val="18"/>
          <w:szCs w:val="18"/>
        </w:rPr>
        <w:t>□ </w:t>
      </w:r>
      <w:r>
        <w:rPr>
          <w:rFonts w:ascii="宋体" w:hAnsi="宋体" w:cs="宋体" w:eastAsia="宋体" w:hint="default"/>
          <w:sz w:val="18"/>
          <w:szCs w:val="18"/>
        </w:rPr>
        <w:t>不适用 公司报告期利润分配预案及资本公积金转增股本预案符合公司章程等的相关规定。 本年度利润分配及资本公积金转增股本情况</w:t>
      </w:r>
    </w:p>
    <w:tbl>
      <w:tblPr>
        <w:tblW w:w="0" w:type="auto"/>
        <w:jc w:val="left"/>
        <w:tblInd w:w="149" w:type="dxa"/>
        <w:tblLayout w:type="fixed"/>
        <w:tblCellMar>
          <w:top w:w="0" w:type="dxa"/>
          <w:left w:w="0" w:type="dxa"/>
          <w:bottom w:w="0" w:type="dxa"/>
          <w:right w:w="0" w:type="dxa"/>
        </w:tblCellMar>
        <w:tblLook w:val="01E0"/>
      </w:tblPr>
      <w:tblGrid>
        <w:gridCol w:w="3717"/>
        <w:gridCol w:w="5852"/>
      </w:tblGrid>
      <w:tr>
        <w:trPr>
          <w:trHeight w:val="403"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股派息数（元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5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0.30</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426,552,605</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现金分红金额（元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5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12,796,578.15</w:t>
            </w:r>
          </w:p>
        </w:tc>
      </w:tr>
      <w:tr>
        <w:trPr>
          <w:trHeight w:val="403"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以其他方式（如回购股份）现金分红金额（元</w:t>
            </w:r>
          </w:p>
        </w:tc>
        <w:tc>
          <w:tcPr>
            <w:tcW w:w="5852" w:type="dxa"/>
            <w:tcBorders>
              <w:top w:val="single" w:sz="4" w:space="0" w:color="000000"/>
              <w:left w:val="single" w:sz="4" w:space="0" w:color="000000"/>
              <w:bottom w:val="single" w:sz="4" w:space="0" w:color="000000"/>
              <w:right w:val="single" w:sz="4" w:space="0" w:color="000000"/>
            </w:tcBorders>
          </w:tcPr>
          <w:p>
            <w:pPr>
              <w:pStyle w:val="TableParagraph"/>
              <w:tabs>
                <w:tab w:pos="5506" w:val="left" w:leader="none"/>
              </w:tabs>
              <w:spacing w:line="240" w:lineRule="auto" w:before="49"/>
              <w:ind w:left="-124" w:right="18"/>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pacing w:val="-1"/>
                <w:sz w:val="18"/>
                <w:szCs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708"/>
        <w:gridCol w:w="5863"/>
      </w:tblGrid>
      <w:tr>
        <w:trPr>
          <w:trHeight w:val="402" w:hRule="exact"/>
        </w:trPr>
        <w:tc>
          <w:tcPr>
            <w:tcW w:w="3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现金分红总额（含其他方式</w:t>
            </w:r>
            <w:r>
              <w:rPr>
                <w:rFonts w:ascii="宋体" w:hAnsi="宋体" w:cs="宋体" w:eastAsia="宋体" w:hint="default"/>
                <w:spacing w:val="-92"/>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元）</w:t>
            </w:r>
          </w:p>
        </w:tc>
        <w:tc>
          <w:tcPr>
            <w:tcW w:w="586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12,796,578.15</w:t>
            </w:r>
          </w:p>
        </w:tc>
      </w:tr>
      <w:tr>
        <w:trPr>
          <w:trHeight w:val="402" w:hRule="exact"/>
        </w:trPr>
        <w:tc>
          <w:tcPr>
            <w:tcW w:w="3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86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739,220,638.21</w:t>
            </w:r>
          </w:p>
        </w:tc>
      </w:tr>
      <w:tr>
        <w:trPr>
          <w:trHeight w:val="714" w:hRule="exact"/>
        </w:trPr>
        <w:tc>
          <w:tcPr>
            <w:tcW w:w="3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现金分红总额（含其他方式）占利润分配总额 的比例</w:t>
            </w:r>
          </w:p>
        </w:tc>
        <w:tc>
          <w:tcPr>
            <w:tcW w:w="586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2"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2" w:hRule="exact"/>
        </w:trPr>
        <w:tc>
          <w:tcPr>
            <w:tcW w:w="95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2"/>
                <w:sz w:val="18"/>
                <w:szCs w:val="18"/>
              </w:rPr>
              <w:t>公司发展阶段属成长期且有重大资金支出安排的，进行利润分配时，现金分红在本次利润分配中所占比例最低应达到</w:t>
            </w:r>
            <w:r>
              <w:rPr>
                <w:rFonts w:ascii="宋体" w:hAnsi="宋体" w:cs="宋体" w:eastAsia="宋体" w:hint="default"/>
                <w:spacing w:val="-11"/>
                <w:sz w:val="18"/>
                <w:szCs w:val="18"/>
              </w:rPr>
              <w:t> </w:t>
            </w:r>
            <w:r>
              <w:rPr>
                <w:rFonts w:ascii="Times New Roman" w:hAnsi="Times New Roman" w:cs="Times New Roman" w:eastAsia="Times New Roman" w:hint="default"/>
                <w:spacing w:val="-1"/>
                <w:sz w:val="18"/>
                <w:szCs w:val="18"/>
              </w:rPr>
              <w:t>20</w:t>
            </w:r>
            <w:r>
              <w:rPr>
                <w:rFonts w:ascii="宋体" w:hAnsi="宋体" w:cs="宋体" w:eastAsia="宋体" w:hint="default"/>
                <w:spacing w:val="-1"/>
                <w:sz w:val="18"/>
                <w:szCs w:val="18"/>
              </w:rPr>
              <w:t>％</w:t>
            </w:r>
          </w:p>
        </w:tc>
      </w:tr>
      <w:tr>
        <w:trPr>
          <w:trHeight w:val="402"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90"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716" w:hRule="exact"/>
        </w:trPr>
        <w:tc>
          <w:tcPr>
            <w:tcW w:w="95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公司拟以总股本</w:t>
            </w:r>
            <w:r>
              <w:rPr>
                <w:rFonts w:ascii="宋体" w:hAnsi="宋体" w:cs="宋体" w:eastAsia="宋体" w:hint="default"/>
                <w:spacing w:val="1"/>
                <w:sz w:val="18"/>
                <w:szCs w:val="18"/>
              </w:rPr>
              <w:t> </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6</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5</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60</w:t>
            </w:r>
            <w:r>
              <w:rPr>
                <w:rFonts w:ascii="Times New Roman" w:hAnsi="Times New Roman" w:cs="Times New Roman" w:eastAsia="Times New Roman" w:hint="default"/>
                <w:sz w:val="18"/>
                <w:szCs w:val="18"/>
              </w:rPr>
              <w:t>5 </w:t>
            </w:r>
            <w:r>
              <w:rPr>
                <w:rFonts w:ascii="宋体" w:hAnsi="宋体" w:cs="宋体" w:eastAsia="宋体" w:hint="default"/>
                <w:sz w:val="18"/>
                <w:szCs w:val="18"/>
              </w:rPr>
              <w:t>股为基数，向全体股东每</w:t>
            </w:r>
            <w:r>
              <w:rPr>
                <w:rFonts w:ascii="宋体" w:hAnsi="宋体" w:cs="宋体" w:eastAsia="宋体" w:hint="default"/>
                <w:spacing w:val="1"/>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股派发现金红利</w:t>
            </w:r>
            <w:r>
              <w:rPr>
                <w:rFonts w:ascii="宋体" w:hAnsi="宋体" w:cs="宋体" w:eastAsia="宋体" w:hint="default"/>
                <w:spacing w:val="1"/>
                <w:sz w:val="18"/>
                <w:szCs w:val="18"/>
              </w:rPr>
              <w:t> </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元（含</w:t>
            </w:r>
            <w:r>
              <w:rPr>
                <w:rFonts w:ascii="宋体" w:hAnsi="宋体" w:cs="宋体" w:eastAsia="宋体" w:hint="default"/>
                <w:spacing w:val="-3"/>
                <w:sz w:val="18"/>
                <w:szCs w:val="18"/>
              </w:rPr>
              <w:t>税</w:t>
            </w:r>
            <w:r>
              <w:rPr>
                <w:rFonts w:ascii="宋体" w:hAnsi="宋体" w:cs="宋体" w:eastAsia="宋体" w:hint="default"/>
                <w:spacing w:val="-92"/>
                <w:sz w:val="18"/>
                <w:szCs w:val="18"/>
              </w:rPr>
              <w:t>）</w:t>
            </w:r>
            <w:r>
              <w:rPr>
                <w:rFonts w:ascii="宋体" w:hAnsi="宋体" w:cs="宋体" w:eastAsia="宋体" w:hint="default"/>
                <w:sz w:val="18"/>
                <w:szCs w:val="18"/>
              </w:rPr>
              <w:t>，共计派发现金红利</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12,796,578.15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元，剩余未分配利润结转以后年度分配。本年度不进行资本公积金转增股本。</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公司近</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年（包括本报告期</w:t>
      </w:r>
      <w:r>
        <w:rPr>
          <w:rFonts w:ascii="宋体" w:hAnsi="宋体" w:cs="宋体" w:eastAsia="宋体" w:hint="default"/>
          <w:spacing w:val="-3"/>
          <w:sz w:val="18"/>
          <w:szCs w:val="18"/>
        </w:rPr>
        <w:t>）</w:t>
      </w:r>
      <w:r>
        <w:rPr>
          <w:rFonts w:ascii="宋体" w:hAnsi="宋体" w:cs="宋体" w:eastAsia="宋体" w:hint="default"/>
          <w:sz w:val="18"/>
          <w:szCs w:val="18"/>
        </w:rPr>
        <w:t>的普通股股利分配方案（预案</w:t>
      </w:r>
      <w:r>
        <w:rPr>
          <w:rFonts w:ascii="宋体" w:hAnsi="宋体" w:cs="宋体" w:eastAsia="宋体" w:hint="default"/>
          <w:spacing w:val="-89"/>
          <w:sz w:val="18"/>
          <w:szCs w:val="18"/>
        </w:rPr>
        <w:t>）</w:t>
      </w:r>
      <w:r>
        <w:rPr>
          <w:rFonts w:ascii="宋体" w:hAnsi="宋体" w:cs="宋体" w:eastAsia="宋体" w:hint="default"/>
          <w:sz w:val="18"/>
          <w:szCs w:val="18"/>
        </w:rPr>
        <w:t>、资本公积金转增股本方案（预案）情况</w:t>
      </w:r>
    </w:p>
    <w:p>
      <w:pPr>
        <w:pStyle w:val="BodyText"/>
        <w:spacing w:line="357" w:lineRule="auto" w:before="132"/>
        <w:ind w:right="1131" w:firstLine="482"/>
        <w:jc w:val="both"/>
      </w:pPr>
      <w:r>
        <w:rPr>
          <w:rFonts w:ascii="宋体" w:hAnsi="宋体" w:cs="宋体" w:eastAsia="宋体" w:hint="default"/>
          <w:spacing w:val="-2"/>
        </w:rPr>
        <w:t>1</w:t>
      </w:r>
      <w:r>
        <w:rPr>
          <w:spacing w:val="-2"/>
        </w:rPr>
        <w:t>、</w:t>
      </w:r>
      <w:r>
        <w:rPr>
          <w:rFonts w:ascii="宋体" w:hAnsi="宋体" w:cs="宋体" w:eastAsia="宋体" w:hint="default"/>
          <w:spacing w:val="-2"/>
        </w:rPr>
        <w:t>2017</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23</w:t>
      </w:r>
      <w:r>
        <w:rPr>
          <w:spacing w:val="-2"/>
        </w:rPr>
        <w:t>日，公司召开第三届董事会第二十二次会议</w:t>
      </w:r>
      <w:r>
        <w:rPr>
          <w:rFonts w:ascii="宋体" w:hAnsi="宋体" w:cs="宋体" w:eastAsia="宋体" w:hint="default"/>
          <w:spacing w:val="-2"/>
        </w:rPr>
        <w:t>,</w:t>
      </w:r>
      <w:r>
        <w:rPr>
          <w:spacing w:val="-2"/>
        </w:rPr>
        <w:t>审议通过了</w:t>
      </w:r>
      <w:r>
        <w:rPr>
          <w:rFonts w:ascii="宋体" w:hAnsi="宋体" w:cs="宋体" w:eastAsia="宋体" w:hint="default"/>
          <w:spacing w:val="-2"/>
        </w:rPr>
        <w:t>2016</w:t>
      </w:r>
      <w:r>
        <w:rPr>
          <w:spacing w:val="-2"/>
        </w:rPr>
        <w:t>年度利润分</w:t>
      </w:r>
      <w:r>
        <w:rPr/>
        <w:t> 配方案</w:t>
      </w:r>
      <w:r>
        <w:rPr>
          <w:rFonts w:ascii="宋体" w:hAnsi="宋体" w:cs="宋体" w:eastAsia="宋体" w:hint="default"/>
        </w:rPr>
        <w:t>:</w:t>
      </w:r>
      <w:r>
        <w:rPr/>
        <w:t>以公司现有总股本</w:t>
      </w:r>
      <w:r>
        <w:rPr>
          <w:rFonts w:ascii="宋体" w:hAnsi="宋体" w:cs="宋体" w:eastAsia="宋体" w:hint="default"/>
        </w:rPr>
        <w:t>395,621,710</w:t>
      </w:r>
      <w:r>
        <w:rPr/>
        <w:t>股为基数，每</w:t>
      </w:r>
      <w:r>
        <w:rPr>
          <w:rFonts w:ascii="宋体" w:hAnsi="宋体" w:cs="宋体" w:eastAsia="宋体" w:hint="default"/>
        </w:rPr>
        <w:t>10</w:t>
      </w:r>
      <w:r>
        <w:rPr/>
        <w:t>股派</w:t>
      </w:r>
      <w:r>
        <w:rPr>
          <w:rFonts w:ascii="宋体" w:hAnsi="宋体" w:cs="宋体" w:eastAsia="宋体" w:hint="default"/>
        </w:rPr>
        <w:t>0.3</w:t>
      </w:r>
      <w:r>
        <w:rPr/>
        <w:t>元人民币现金（含税</w:t>
      </w:r>
      <w:r>
        <w:rPr>
          <w:rFonts w:ascii="宋体" w:hAnsi="宋体" w:cs="宋体" w:eastAsia="宋体" w:hint="default"/>
        </w:rPr>
        <w:t>)</w:t>
      </w:r>
      <w:r>
        <w:rPr/>
        <w:t>，共计</w:t>
      </w:r>
      <w:r>
        <w:rPr>
          <w:spacing w:val="-87"/>
        </w:rPr>
        <w:t> </w:t>
      </w:r>
      <w:r>
        <w:rPr>
          <w:spacing w:val="-87"/>
        </w:rPr>
      </w:r>
      <w:r>
        <w:rPr/>
        <w:t>派发现金红利 </w:t>
      </w:r>
      <w:r>
        <w:rPr>
          <w:rFonts w:ascii="宋体" w:hAnsi="宋体" w:cs="宋体" w:eastAsia="宋体" w:hint="default"/>
        </w:rPr>
        <w:t>11,868,651.30</w:t>
      </w:r>
      <w:r>
        <w:rPr/>
        <w:t>元（含税</w:t>
      </w:r>
      <w:r>
        <w:rPr>
          <w:rFonts w:ascii="宋体" w:hAnsi="宋体" w:cs="宋体" w:eastAsia="宋体" w:hint="default"/>
        </w:rPr>
        <w:t>)</w:t>
      </w:r>
      <w:r>
        <w:rPr/>
        <w:t>。</w:t>
      </w:r>
    </w:p>
    <w:p>
      <w:pPr>
        <w:pStyle w:val="BodyText"/>
        <w:spacing w:line="357" w:lineRule="auto"/>
        <w:ind w:right="1128" w:firstLine="482"/>
        <w:jc w:val="both"/>
      </w:pPr>
      <w:r>
        <w:rPr>
          <w:rFonts w:ascii="宋体" w:hAnsi="宋体" w:cs="宋体" w:eastAsia="宋体" w:hint="default"/>
          <w:spacing w:val="-2"/>
        </w:rPr>
        <w:t>2</w:t>
      </w:r>
      <w:r>
        <w:rPr>
          <w:spacing w:val="-2"/>
        </w:rPr>
        <w:t>、</w:t>
      </w:r>
      <w:r>
        <w:rPr>
          <w:rFonts w:ascii="宋体" w:hAnsi="宋体" w:cs="宋体" w:eastAsia="宋体" w:hint="default"/>
          <w:spacing w:val="-2"/>
        </w:rPr>
        <w:t>2018</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22</w:t>
      </w:r>
      <w:r>
        <w:rPr>
          <w:spacing w:val="-2"/>
        </w:rPr>
        <w:t>日，公司召开第三届董事会第三十四次会议</w:t>
      </w:r>
      <w:r>
        <w:rPr>
          <w:rFonts w:ascii="宋体" w:hAnsi="宋体" w:cs="宋体" w:eastAsia="宋体" w:hint="default"/>
          <w:spacing w:val="-2"/>
        </w:rPr>
        <w:t>,</w:t>
      </w:r>
      <w:r>
        <w:rPr>
          <w:spacing w:val="-2"/>
        </w:rPr>
        <w:t>审议通过了</w:t>
      </w:r>
      <w:r>
        <w:rPr>
          <w:rFonts w:ascii="宋体" w:hAnsi="宋体" w:cs="宋体" w:eastAsia="宋体" w:hint="default"/>
          <w:spacing w:val="-2"/>
        </w:rPr>
        <w:t>2017</w:t>
      </w:r>
      <w:r>
        <w:rPr>
          <w:spacing w:val="-2"/>
        </w:rPr>
        <w:t>年度利润分</w:t>
      </w:r>
      <w:r>
        <w:rPr/>
        <w:t> </w:t>
      </w:r>
      <w:r>
        <w:rPr>
          <w:spacing w:val="-2"/>
        </w:rPr>
        <w:t>配方案：以公司现有总股本</w:t>
      </w:r>
      <w:r>
        <w:rPr>
          <w:rFonts w:ascii="宋体" w:hAnsi="宋体" w:cs="宋体" w:eastAsia="宋体" w:hint="default"/>
          <w:spacing w:val="-2"/>
        </w:rPr>
        <w:t>424,626,905</w:t>
      </w:r>
      <w:r>
        <w:rPr>
          <w:spacing w:val="-2"/>
        </w:rPr>
        <w:t>股为基数，每</w:t>
      </w:r>
      <w:r>
        <w:rPr>
          <w:rFonts w:ascii="宋体" w:hAnsi="宋体" w:cs="宋体" w:eastAsia="宋体" w:hint="default"/>
          <w:spacing w:val="-2"/>
        </w:rPr>
        <w:t>10</w:t>
      </w:r>
      <w:r>
        <w:rPr>
          <w:spacing w:val="-2"/>
        </w:rPr>
        <w:t>股派</w:t>
      </w:r>
      <w:r>
        <w:rPr>
          <w:rFonts w:ascii="宋体" w:hAnsi="宋体" w:cs="宋体" w:eastAsia="宋体" w:hint="default"/>
          <w:spacing w:val="-2"/>
        </w:rPr>
        <w:t>0.3</w:t>
      </w:r>
      <w:r>
        <w:rPr>
          <w:spacing w:val="-2"/>
        </w:rPr>
        <w:t>元人民币现金（含税</w:t>
      </w:r>
      <w:r>
        <w:rPr>
          <w:rFonts w:ascii="宋体" w:hAnsi="宋体" w:cs="宋体" w:eastAsia="宋体" w:hint="default"/>
          <w:spacing w:val="-2"/>
        </w:rPr>
        <w:t>)</w:t>
      </w:r>
      <w:r>
        <w:rPr>
          <w:spacing w:val="-2"/>
        </w:rPr>
        <w:t>，共计</w:t>
      </w:r>
      <w:r>
        <w:rPr>
          <w:spacing w:val="-103"/>
        </w:rPr>
        <w:t> </w:t>
      </w:r>
      <w:r>
        <w:rPr>
          <w:spacing w:val="-103"/>
        </w:rPr>
      </w:r>
      <w:r>
        <w:rPr/>
        <w:t>派发现金红利 </w:t>
      </w:r>
      <w:r>
        <w:rPr>
          <w:rFonts w:ascii="宋体" w:hAnsi="宋体" w:cs="宋体" w:eastAsia="宋体" w:hint="default"/>
        </w:rPr>
        <w:t>12,738,807.15</w:t>
      </w:r>
      <w:r>
        <w:rPr/>
        <w:t>元（含税</w:t>
      </w:r>
      <w:r>
        <w:rPr>
          <w:rFonts w:ascii="宋体" w:hAnsi="宋体" w:cs="宋体" w:eastAsia="宋体" w:hint="default"/>
        </w:rPr>
        <w:t>)</w:t>
      </w:r>
      <w:r>
        <w:rPr/>
        <w:t>。</w:t>
      </w:r>
    </w:p>
    <w:p>
      <w:pPr>
        <w:pStyle w:val="BodyText"/>
        <w:spacing w:line="357" w:lineRule="auto"/>
        <w:ind w:right="1129" w:firstLine="482"/>
        <w:jc w:val="both"/>
      </w:pPr>
      <w:r>
        <w:rPr>
          <w:rFonts w:ascii="宋体" w:hAnsi="宋体" w:cs="宋体" w:eastAsia="宋体" w:hint="default"/>
          <w:spacing w:val="-2"/>
        </w:rPr>
        <w:t>3</w:t>
      </w:r>
      <w:r>
        <w:rPr>
          <w:spacing w:val="-2"/>
        </w:rPr>
        <w:t>、</w:t>
      </w:r>
      <w:r>
        <w:rPr>
          <w:rFonts w:ascii="宋体" w:hAnsi="宋体" w:cs="宋体" w:eastAsia="宋体" w:hint="default"/>
          <w:spacing w:val="-2"/>
        </w:rPr>
        <w:t>2019</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23</w:t>
      </w:r>
      <w:r>
        <w:rPr>
          <w:spacing w:val="-2"/>
        </w:rPr>
        <w:t>日，公司召开第四届董事会第三次会议</w:t>
      </w:r>
      <w:r>
        <w:rPr>
          <w:rFonts w:ascii="宋体" w:hAnsi="宋体" w:cs="宋体" w:eastAsia="宋体" w:hint="default"/>
          <w:spacing w:val="-2"/>
        </w:rPr>
        <w:t>,</w:t>
      </w:r>
      <w:r>
        <w:rPr>
          <w:spacing w:val="-2"/>
        </w:rPr>
        <w:t>审议通过了</w:t>
      </w:r>
      <w:r>
        <w:rPr>
          <w:rFonts w:ascii="宋体" w:hAnsi="宋体" w:cs="宋体" w:eastAsia="宋体" w:hint="default"/>
          <w:spacing w:val="-2"/>
        </w:rPr>
        <w:t>2018</w:t>
      </w:r>
      <w:r>
        <w:rPr>
          <w:spacing w:val="-2"/>
        </w:rPr>
        <w:t>年度利润分配方</w:t>
      </w:r>
      <w:r>
        <w:rPr/>
        <w:t> </w:t>
      </w:r>
      <w:r>
        <w:rPr>
          <w:spacing w:val="-2"/>
        </w:rPr>
        <w:t>案：以公司现有总股本</w:t>
      </w:r>
      <w:r>
        <w:rPr>
          <w:rFonts w:ascii="宋体" w:hAnsi="宋体" w:cs="宋体" w:eastAsia="宋体" w:hint="default"/>
          <w:spacing w:val="-2"/>
        </w:rPr>
        <w:t>426,552,605</w:t>
      </w:r>
      <w:r>
        <w:rPr>
          <w:spacing w:val="-2"/>
        </w:rPr>
        <w:t>股为基数，每</w:t>
      </w:r>
      <w:r>
        <w:rPr>
          <w:rFonts w:ascii="宋体" w:hAnsi="宋体" w:cs="宋体" w:eastAsia="宋体" w:hint="default"/>
          <w:spacing w:val="-2"/>
        </w:rPr>
        <w:t>10</w:t>
      </w:r>
      <w:r>
        <w:rPr>
          <w:spacing w:val="-2"/>
        </w:rPr>
        <w:t>股派</w:t>
      </w:r>
      <w:r>
        <w:rPr>
          <w:rFonts w:ascii="宋体" w:hAnsi="宋体" w:cs="宋体" w:eastAsia="宋体" w:hint="default"/>
          <w:spacing w:val="-2"/>
        </w:rPr>
        <w:t>0.3</w:t>
      </w:r>
      <w:r>
        <w:rPr>
          <w:spacing w:val="-2"/>
        </w:rPr>
        <w:t>元人民币现金（含税</w:t>
      </w:r>
      <w:r>
        <w:rPr>
          <w:rFonts w:ascii="宋体" w:hAnsi="宋体" w:cs="宋体" w:eastAsia="宋体" w:hint="default"/>
          <w:spacing w:val="-2"/>
        </w:rPr>
        <w:t>)</w:t>
      </w:r>
      <w:r>
        <w:rPr>
          <w:spacing w:val="-2"/>
        </w:rPr>
        <w:t>，共计派发</w:t>
      </w:r>
      <w:r>
        <w:rPr>
          <w:spacing w:val="-104"/>
        </w:rPr>
        <w:t> </w:t>
      </w:r>
      <w:r>
        <w:rPr>
          <w:spacing w:val="-104"/>
        </w:rPr>
      </w:r>
      <w:r>
        <w:rPr/>
        <w:t>现金红利</w:t>
      </w:r>
      <w:r>
        <w:rPr>
          <w:rFonts w:ascii="宋体" w:hAnsi="宋体" w:cs="宋体" w:eastAsia="宋体" w:hint="default"/>
        </w:rPr>
        <w:t>12,796,578.15</w:t>
      </w:r>
      <w:r>
        <w:rPr/>
        <w:t>元（含税</w:t>
      </w:r>
      <w:r>
        <w:rPr>
          <w:rFonts w:ascii="宋体" w:hAnsi="宋体" w:cs="宋体" w:eastAsia="宋体" w:hint="default"/>
        </w:rPr>
        <w:t>)</w:t>
      </w:r>
      <w:r>
        <w:rPr/>
        <w:t>。</w:t>
      </w:r>
    </w:p>
    <w:p>
      <w:pPr>
        <w:spacing w:line="240" w:lineRule="auto" w:before="13"/>
        <w:rPr>
          <w:rFonts w:ascii="宋体" w:hAnsi="宋体" w:cs="宋体" w:eastAsia="宋体" w:hint="default"/>
          <w:sz w:val="23"/>
          <w:szCs w:val="23"/>
        </w:rPr>
      </w:pPr>
    </w:p>
    <w:p>
      <w:pPr>
        <w:spacing w:before="44"/>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公司近三年（包括本报告期）普通股现金分红情况表</w:t>
      </w:r>
    </w:p>
    <w:p>
      <w:pPr>
        <w:spacing w:before="115"/>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186"/>
        <w:gridCol w:w="1195"/>
        <w:gridCol w:w="1196"/>
        <w:gridCol w:w="1196"/>
        <w:gridCol w:w="1197"/>
        <w:gridCol w:w="1184"/>
        <w:gridCol w:w="1208"/>
        <w:gridCol w:w="1184"/>
      </w:tblGrid>
      <w:tr>
        <w:trPr>
          <w:trHeight w:val="161" w:hRule="exact"/>
        </w:trPr>
        <w:tc>
          <w:tcPr>
            <w:tcW w:w="1186" w:type="dxa"/>
            <w:vMerge w:val="restart"/>
            <w:tcBorders>
              <w:top w:val="single" w:sz="4" w:space="0" w:color="000000"/>
              <w:left w:val="single" w:sz="4" w:space="0" w:color="000000"/>
              <w:right w:val="single" w:sz="4" w:space="0" w:color="000000"/>
            </w:tcBorders>
            <w:shd w:val="clear" w:color="auto" w:fill="D2D2D2"/>
          </w:tcPr>
          <w:p>
            <w:pPr/>
          </w:p>
        </w:tc>
        <w:tc>
          <w:tcPr>
            <w:tcW w:w="1195" w:type="dxa"/>
            <w:vMerge w:val="restart"/>
            <w:tcBorders>
              <w:top w:val="single" w:sz="4" w:space="0" w:color="000000"/>
              <w:left w:val="single" w:sz="4" w:space="0" w:color="000000"/>
              <w:right w:val="single" w:sz="4" w:space="0" w:color="000000"/>
            </w:tcBorders>
            <w:shd w:val="clear" w:color="auto" w:fill="D2D2D2"/>
          </w:tcPr>
          <w:p>
            <w:pPr/>
          </w:p>
        </w:tc>
        <w:tc>
          <w:tcPr>
            <w:tcW w:w="1196" w:type="dxa"/>
            <w:vMerge w:val="restart"/>
            <w:tcBorders>
              <w:top w:val="single" w:sz="4" w:space="0" w:color="000000"/>
              <w:left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7" w:type="dxa"/>
            <w:vMerge w:val="restart"/>
            <w:tcBorders>
              <w:top w:val="single" w:sz="4" w:space="0" w:color="000000"/>
              <w:left w:val="single" w:sz="4" w:space="0" w:color="000000"/>
              <w:right w:val="single" w:sz="4" w:space="0" w:color="000000"/>
            </w:tcBorders>
            <w:shd w:val="clear" w:color="auto" w:fill="D2D2D2"/>
          </w:tcPr>
          <w:p>
            <w:pPr/>
          </w:p>
        </w:tc>
        <w:tc>
          <w:tcPr>
            <w:tcW w:w="11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8" w:type="dxa"/>
            <w:vMerge w:val="restart"/>
            <w:tcBorders>
              <w:top w:val="single" w:sz="4" w:space="0" w:color="000000"/>
              <w:left w:val="single" w:sz="4" w:space="0" w:color="000000"/>
              <w:right w:val="single" w:sz="4" w:space="0" w:color="000000"/>
            </w:tcBorders>
            <w:shd w:val="clear" w:color="auto" w:fill="D2D2D2"/>
          </w:tcPr>
          <w:p>
            <w:pPr/>
          </w:p>
        </w:tc>
        <w:tc>
          <w:tcPr>
            <w:tcW w:w="11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8" w:right="0"/>
              <w:jc w:val="center"/>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9" w:lineRule="auto" w:before="76"/>
              <w:ind w:left="51" w:right="41" w:firstLine="2"/>
              <w:jc w:val="center"/>
              <w:rPr>
                <w:rFonts w:ascii="宋体" w:hAnsi="宋体" w:cs="宋体" w:eastAsia="宋体" w:hint="default"/>
                <w:sz w:val="18"/>
                <w:szCs w:val="18"/>
              </w:rPr>
            </w:pPr>
            <w:r>
              <w:rPr>
                <w:rFonts w:ascii="宋体" w:hAnsi="宋体" w:cs="宋体" w:eastAsia="宋体" w:hint="default"/>
                <w:sz w:val="18"/>
                <w:szCs w:val="18"/>
              </w:rPr>
              <w:t>（含其他方 式）占合并报 表中归属于上 市公司普通股 股东的净利润 的比率</w:t>
            </w:r>
          </w:p>
        </w:tc>
      </w:tr>
      <w:tr>
        <w:trPr>
          <w:trHeight w:val="156" w:hRule="exact"/>
        </w:trPr>
        <w:tc>
          <w:tcPr>
            <w:tcW w:w="1186"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49"/>
              <w:ind w:left="52" w:right="53"/>
              <w:jc w:val="center"/>
              <w:rPr>
                <w:rFonts w:ascii="宋体" w:hAnsi="宋体" w:cs="宋体" w:eastAsia="宋体" w:hint="default"/>
                <w:sz w:val="18"/>
                <w:szCs w:val="18"/>
              </w:rPr>
            </w:pPr>
            <w:r>
              <w:rPr>
                <w:rFonts w:ascii="宋体" w:hAnsi="宋体" w:cs="宋体" w:eastAsia="宋体" w:hint="default"/>
                <w:sz w:val="18"/>
                <w:szCs w:val="18"/>
              </w:rPr>
              <w:t>现金分红金额 占合并报表中 归属于上市公 司普通股股东 的净利润的比 率</w:t>
            </w:r>
          </w:p>
        </w:tc>
        <w:tc>
          <w:tcPr>
            <w:tcW w:w="1197" w:type="dxa"/>
            <w:vMerge/>
            <w:tcBorders>
              <w:left w:val="single" w:sz="4" w:space="0" w:color="000000"/>
              <w:right w:val="single" w:sz="4" w:space="0" w:color="000000"/>
            </w:tcBorders>
            <w:shd w:val="clear" w:color="auto" w:fill="D2D2D2"/>
          </w:tcPr>
          <w:p>
            <w:pPr/>
          </w:p>
        </w:tc>
        <w:tc>
          <w:tcPr>
            <w:tcW w:w="1184"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49"/>
              <w:ind w:left="52" w:right="41"/>
              <w:jc w:val="both"/>
              <w:rPr>
                <w:rFonts w:ascii="宋体" w:hAnsi="宋体" w:cs="宋体" w:eastAsia="宋体" w:hint="default"/>
                <w:sz w:val="18"/>
                <w:szCs w:val="18"/>
              </w:rPr>
            </w:pPr>
            <w:r>
              <w:rPr>
                <w:rFonts w:ascii="宋体" w:hAnsi="宋体" w:cs="宋体" w:eastAsia="宋体" w:hint="default"/>
                <w:sz w:val="18"/>
                <w:szCs w:val="18"/>
              </w:rPr>
              <w:t>以其他方式现 金分红金额占 合并报表中归 属于上市公司 普通股股东的 净利润的比例</w:t>
            </w:r>
          </w:p>
        </w:tc>
        <w:tc>
          <w:tcPr>
            <w:tcW w:w="1208"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6"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49"/>
              <w:ind w:left="52" w:right="51"/>
              <w:jc w:val="center"/>
              <w:rPr>
                <w:rFonts w:ascii="宋体" w:hAnsi="宋体" w:cs="宋体" w:eastAsia="宋体" w:hint="default"/>
                <w:sz w:val="18"/>
                <w:szCs w:val="18"/>
              </w:rPr>
            </w:pPr>
            <w:r>
              <w:rPr>
                <w:rFonts w:ascii="宋体" w:hAnsi="宋体" w:cs="宋体" w:eastAsia="宋体" w:hint="default"/>
                <w:sz w:val="18"/>
                <w:szCs w:val="18"/>
              </w:rPr>
              <w:t>分红年度合并 报表中归属于 上市公司普通 股股东的净利 润</w:t>
            </w:r>
          </w:p>
        </w:tc>
        <w:tc>
          <w:tcPr>
            <w:tcW w:w="1196"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bottom w:val="nil" w:sz="6" w:space="0" w:color="auto"/>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6"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6" w:lineRule="auto" w:before="77"/>
              <w:ind w:left="51" w:right="53" w:firstLine="2"/>
              <w:jc w:val="center"/>
              <w:rPr>
                <w:rFonts w:ascii="宋体" w:hAnsi="宋体" w:cs="宋体" w:eastAsia="宋体" w:hint="default"/>
                <w:sz w:val="18"/>
                <w:szCs w:val="18"/>
              </w:rPr>
            </w:pPr>
            <w:r>
              <w:rPr>
                <w:rFonts w:ascii="宋体" w:hAnsi="宋体" w:cs="宋体" w:eastAsia="宋体" w:hint="default"/>
                <w:sz w:val="18"/>
                <w:szCs w:val="18"/>
              </w:rPr>
              <w:t>（如回购股 份）现金分红 的金额</w:t>
            </w:r>
          </w:p>
        </w:tc>
        <w:tc>
          <w:tcPr>
            <w:tcW w:w="1184"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bottom w:val="nil" w:sz="6" w:space="0" w:color="auto"/>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6"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bottom w:val="nil" w:sz="6" w:space="0" w:color="auto"/>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c>
          <w:tcPr>
            <w:tcW w:w="12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63" w:right="0"/>
              <w:jc w:val="left"/>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6" w:lineRule="auto" w:before="76"/>
              <w:ind w:left="423" w:right="141" w:hanging="269"/>
              <w:jc w:val="left"/>
              <w:rPr>
                <w:rFonts w:ascii="宋体" w:hAnsi="宋体" w:cs="宋体" w:eastAsia="宋体" w:hint="default"/>
                <w:sz w:val="18"/>
                <w:szCs w:val="18"/>
              </w:rPr>
            </w:pPr>
            <w:r>
              <w:rPr>
                <w:rFonts w:ascii="宋体" w:hAnsi="宋体" w:cs="宋体" w:eastAsia="宋体" w:hint="default"/>
                <w:sz w:val="18"/>
                <w:szCs w:val="18"/>
              </w:rPr>
              <w:t>（含其他方 式）</w:t>
            </w:r>
          </w:p>
        </w:tc>
        <w:tc>
          <w:tcPr>
            <w:tcW w:w="1184" w:type="dxa"/>
            <w:vMerge/>
            <w:tcBorders>
              <w:left w:val="single" w:sz="4" w:space="0" w:color="000000"/>
              <w:right w:val="single" w:sz="4" w:space="0" w:color="000000"/>
            </w:tcBorders>
            <w:shd w:val="clear" w:color="auto" w:fill="D2D2D2"/>
          </w:tcPr>
          <w:p>
            <w:pPr/>
          </w:p>
        </w:tc>
      </w:tr>
      <w:tr>
        <w:trPr>
          <w:trHeight w:val="157" w:hRule="exact"/>
        </w:trPr>
        <w:tc>
          <w:tcPr>
            <w:tcW w:w="1186" w:type="dxa"/>
            <w:vMerge/>
            <w:tcBorders>
              <w:left w:val="single" w:sz="4" w:space="0" w:color="000000"/>
              <w:bottom w:val="nil" w:sz="6" w:space="0" w:color="auto"/>
              <w:right w:val="single" w:sz="4" w:space="0" w:color="000000"/>
            </w:tcBorders>
            <w:shd w:val="clear" w:color="auto" w:fill="D2D2D2"/>
          </w:tcPr>
          <w:p>
            <w:pPr/>
          </w:p>
        </w:tc>
        <w:tc>
          <w:tcPr>
            <w:tcW w:w="119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现金分红金额</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（含税）</w:t>
            </w:r>
          </w:p>
        </w:tc>
        <w:tc>
          <w:tcPr>
            <w:tcW w:w="1196"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391" w:hRule="exact"/>
        </w:trPr>
        <w:tc>
          <w:tcPr>
            <w:tcW w:w="118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21"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195"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6" w:type="dxa"/>
            <w:vMerge w:val="restart"/>
            <w:tcBorders>
              <w:top w:val="nil" w:sz="6" w:space="0" w:color="auto"/>
              <w:left w:val="single" w:sz="4" w:space="0" w:color="000000"/>
              <w:right w:val="single" w:sz="4" w:space="0" w:color="000000"/>
            </w:tcBorders>
            <w:shd w:val="clear" w:color="auto" w:fill="D2D2D2"/>
          </w:tcPr>
          <w:p>
            <w:pPr/>
          </w:p>
        </w:tc>
        <w:tc>
          <w:tcPr>
            <w:tcW w:w="1195" w:type="dxa"/>
            <w:vMerge/>
            <w:tcBorders>
              <w:left w:val="single" w:sz="4" w:space="0" w:color="000000"/>
              <w:bottom w:val="nil" w:sz="6" w:space="0" w:color="auto"/>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6" w:type="dxa"/>
            <w:vMerge/>
            <w:tcBorders>
              <w:left w:val="single" w:sz="4" w:space="0" w:color="000000"/>
              <w:right w:val="single" w:sz="4" w:space="0" w:color="000000"/>
            </w:tcBorders>
            <w:shd w:val="clear" w:color="auto" w:fill="D2D2D2"/>
          </w:tcPr>
          <w:p>
            <w:pPr/>
          </w:p>
        </w:tc>
        <w:tc>
          <w:tcPr>
            <w:tcW w:w="1195" w:type="dxa"/>
            <w:vMerge w:val="restart"/>
            <w:tcBorders>
              <w:top w:val="nil" w:sz="6" w:space="0" w:color="auto"/>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bottom w:val="nil" w:sz="6" w:space="0" w:color="auto"/>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6"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bottom w:val="nil" w:sz="6" w:space="0" w:color="auto"/>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c>
          <w:tcPr>
            <w:tcW w:w="1208" w:type="dxa"/>
            <w:vMerge w:val="restart"/>
            <w:tcBorders>
              <w:top w:val="nil" w:sz="6" w:space="0" w:color="auto"/>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6"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7" w:type="dxa"/>
            <w:vMerge w:val="restart"/>
            <w:tcBorders>
              <w:top w:val="nil" w:sz="6" w:space="0" w:color="auto"/>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86" w:type="dxa"/>
            <w:vMerge/>
            <w:tcBorders>
              <w:left w:val="single" w:sz="4" w:space="0" w:color="000000"/>
              <w:right w:val="single" w:sz="4" w:space="0" w:color="000000"/>
            </w:tcBorders>
            <w:shd w:val="clear" w:color="auto" w:fill="D2D2D2"/>
          </w:tcPr>
          <w:p>
            <w:pPr/>
          </w:p>
        </w:tc>
        <w:tc>
          <w:tcPr>
            <w:tcW w:w="1195" w:type="dxa"/>
            <w:vMerge/>
            <w:tcBorders>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bottom w:val="nil" w:sz="6" w:space="0" w:color="auto"/>
              <w:right w:val="single" w:sz="4" w:space="0" w:color="000000"/>
            </w:tcBorders>
            <w:shd w:val="clear" w:color="auto" w:fill="D2D2D2"/>
          </w:tcPr>
          <w:p>
            <w:pPr/>
          </w:p>
        </w:tc>
        <w:tc>
          <w:tcPr>
            <w:tcW w:w="1208"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61" w:hRule="exact"/>
        </w:trPr>
        <w:tc>
          <w:tcPr>
            <w:tcW w:w="1186"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8" w:type="dxa"/>
            <w:vMerge/>
            <w:tcBorders>
              <w:left w:val="single" w:sz="4" w:space="0" w:color="000000"/>
              <w:bottom w:val="single" w:sz="4" w:space="0" w:color="000000"/>
              <w:right w:val="single" w:sz="4" w:space="0" w:color="000000"/>
            </w:tcBorders>
            <w:shd w:val="clear" w:color="auto" w:fill="D2D2D2"/>
          </w:tcPr>
          <w:p>
            <w:pPr/>
          </w:p>
        </w:tc>
        <w:tc>
          <w:tcPr>
            <w:tcW w:w="1184"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9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12,796,578.15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117,186,570.99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10.92%</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8"/>
              <w:jc w:val="right"/>
              <w:rPr>
                <w:rFonts w:ascii="Times New Roman" w:hAnsi="Times New Roman" w:cs="Times New Roman" w:eastAsia="Times New Roman" w:hint="default"/>
                <w:sz w:val="18"/>
                <w:szCs w:val="18"/>
              </w:rPr>
            </w:pPr>
            <w:r>
              <w:rPr>
                <w:rFonts w:ascii="Times New Roman"/>
                <w:sz w:val="18"/>
              </w:rPr>
              <w:t>0.00%</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12,796,578.15</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6"/>
              <w:jc w:val="right"/>
              <w:rPr>
                <w:rFonts w:ascii="Times New Roman" w:hAnsi="Times New Roman" w:cs="Times New Roman" w:eastAsia="Times New Roman" w:hint="default"/>
                <w:sz w:val="18"/>
                <w:szCs w:val="18"/>
              </w:rPr>
            </w:pPr>
            <w:r>
              <w:rPr>
                <w:rFonts w:ascii="Times New Roman"/>
                <w:sz w:val="18"/>
              </w:rPr>
              <w:t>10.92%</w:t>
            </w:r>
          </w:p>
        </w:tc>
      </w:tr>
      <w:tr>
        <w:trPr>
          <w:trHeight w:val="401" w:hRule="exact"/>
        </w:trPr>
        <w:tc>
          <w:tcPr>
            <w:tcW w:w="1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9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12,738,807.15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169,594,871.96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7.51%</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0.00%</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12,738,807.15</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z w:val="18"/>
              </w:rPr>
              <w:t>7.51%</w:t>
            </w:r>
          </w:p>
        </w:tc>
      </w:tr>
      <w:tr>
        <w:trPr>
          <w:trHeight w:val="403" w:hRule="exact"/>
        </w:trPr>
        <w:tc>
          <w:tcPr>
            <w:tcW w:w="1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95"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11,868,651.30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131,364,945.12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9.03%</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8"/>
              <w:jc w:val="right"/>
              <w:rPr>
                <w:rFonts w:ascii="Times New Roman" w:hAnsi="Times New Roman" w:cs="Times New Roman" w:eastAsia="Times New Roman" w:hint="default"/>
                <w:sz w:val="18"/>
                <w:szCs w:val="18"/>
              </w:rPr>
            </w:pPr>
            <w:r>
              <w:rPr>
                <w:rFonts w:ascii="Times New Roman"/>
                <w:sz w:val="18"/>
              </w:rPr>
              <w:t>0.00%</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11,868,651.30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
              <w:jc w:val="right"/>
              <w:rPr>
                <w:rFonts w:ascii="Times New Roman" w:hAnsi="Times New Roman" w:cs="Times New Roman" w:eastAsia="Times New Roman" w:hint="default"/>
                <w:sz w:val="18"/>
                <w:szCs w:val="18"/>
              </w:rPr>
            </w:pPr>
            <w:r>
              <w:rPr>
                <w:rFonts w:ascii="Times New Roman"/>
                <w:sz w:val="18"/>
              </w:rPr>
              <w:t>9.03%</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公司报告期内盈利且母公司可供普通股股东分配利润为正但未提出普通股现金红利分配预案</w:t>
      </w:r>
    </w:p>
    <w:p>
      <w:pPr>
        <w:spacing w:before="115"/>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二、承诺事项履行情况</w:t>
      </w:r>
      <w:r>
        <w:rPr>
          <w:b w:val="0"/>
          <w:bCs w:val="0"/>
        </w:rPr>
      </w:r>
    </w:p>
    <w:p>
      <w:pPr>
        <w:spacing w:line="240" w:lineRule="auto" w:before="12"/>
        <w:rPr>
          <w:rFonts w:ascii="宋体" w:hAnsi="宋体" w:cs="宋体" w:eastAsia="宋体" w:hint="default"/>
          <w:b/>
          <w:bCs/>
          <w:sz w:val="24"/>
          <w:szCs w:val="24"/>
        </w:rPr>
      </w:pPr>
    </w:p>
    <w:p>
      <w:pPr>
        <w:spacing w:line="256" w:lineRule="auto"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、公司实际控制人、股东、关联方、收购人以及公司等承诺相关方在报告期内履行完毕及截至报告期末</w:t>
      </w:r>
      <w:r>
        <w:rPr>
          <w:rFonts w:ascii="宋体" w:hAnsi="宋体" w:cs="宋体" w:eastAsia="宋体" w:hint="default"/>
          <w:b/>
          <w:bCs/>
          <w:spacing w:val="-65"/>
          <w:sz w:val="21"/>
          <w:szCs w:val="21"/>
        </w:rPr>
        <w:t> </w:t>
      </w:r>
      <w:r>
        <w:rPr>
          <w:rFonts w:ascii="宋体" w:hAnsi="宋体" w:cs="宋体" w:eastAsia="宋体" w:hint="default"/>
          <w:b/>
          <w:bCs/>
          <w:spacing w:val="-65"/>
          <w:sz w:val="21"/>
          <w:szCs w:val="21"/>
        </w:rPr>
      </w:r>
      <w:r>
        <w:rPr>
          <w:rFonts w:ascii="宋体" w:hAnsi="宋体" w:cs="宋体" w:eastAsia="宋体" w:hint="default"/>
          <w:b/>
          <w:bCs/>
          <w:sz w:val="21"/>
          <w:szCs w:val="21"/>
        </w:rPr>
        <w:t>尚未履行完毕的承诺事项</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1"/>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838"/>
        <w:gridCol w:w="1123"/>
        <w:gridCol w:w="1128"/>
        <w:gridCol w:w="1126"/>
        <w:gridCol w:w="1126"/>
        <w:gridCol w:w="1121"/>
        <w:gridCol w:w="1106"/>
      </w:tblGrid>
      <w:tr>
        <w:trPr>
          <w:trHeight w:val="403" w:hRule="exact"/>
        </w:trPr>
        <w:tc>
          <w:tcPr>
            <w:tcW w:w="2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承诺来源</w:t>
            </w:r>
          </w:p>
        </w:tc>
        <w:tc>
          <w:tcPr>
            <w:tcW w:w="1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7"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11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1"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9" w:right="0"/>
              <w:jc w:val="left"/>
              <w:rPr>
                <w:rFonts w:ascii="宋体" w:hAnsi="宋体" w:cs="宋体" w:eastAsia="宋体" w:hint="default"/>
                <w:sz w:val="18"/>
                <w:szCs w:val="18"/>
              </w:rPr>
            </w:pPr>
            <w:r>
              <w:rPr>
                <w:rFonts w:ascii="宋体" w:hAnsi="宋体" w:cs="宋体" w:eastAsia="宋体" w:hint="default"/>
                <w:sz w:val="18"/>
                <w:szCs w:val="18"/>
              </w:rPr>
              <w:t>承诺内容</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9"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11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6"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11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89"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1721" w:hRule="exact"/>
        </w:trPr>
        <w:tc>
          <w:tcPr>
            <w:tcW w:w="2838" w:type="dxa"/>
            <w:tcBorders>
              <w:top w:val="single" w:sz="4" w:space="0" w:color="000000"/>
              <w:left w:val="single" w:sz="4" w:space="0" w:color="000000"/>
              <w:bottom w:val="nil" w:sz="6" w:space="0" w:color="auto"/>
              <w:right w:val="single" w:sz="4" w:space="0" w:color="000000"/>
            </w:tcBorders>
            <w:shd w:val="clear" w:color="auto" w:fill="D2D2D2"/>
          </w:tcPr>
          <w:p>
            <w:pPr/>
          </w:p>
        </w:tc>
        <w:tc>
          <w:tcPr>
            <w:tcW w:w="1123"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316" w:lineRule="auto"/>
              <w:ind w:left="16" w:right="19"/>
              <w:jc w:val="both"/>
              <w:rPr>
                <w:rFonts w:ascii="宋体" w:hAnsi="宋体" w:cs="宋体" w:eastAsia="宋体" w:hint="default"/>
                <w:sz w:val="18"/>
                <w:szCs w:val="18"/>
              </w:rPr>
            </w:pPr>
            <w:r>
              <w:rPr>
                <w:rFonts w:ascii="宋体" w:hAnsi="宋体" w:cs="宋体" w:eastAsia="宋体" w:hint="default"/>
                <w:spacing w:val="-3"/>
                <w:sz w:val="18"/>
                <w:szCs w:val="18"/>
              </w:rPr>
              <w:t>金迪管线、金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迪科技、金迪</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科仪</w:t>
            </w:r>
          </w:p>
        </w:tc>
        <w:tc>
          <w:tcPr>
            <w:tcW w:w="112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业绩承诺</w:t>
            </w:r>
          </w:p>
        </w:tc>
        <w:tc>
          <w:tcPr>
            <w:tcW w:w="1126" w:type="dxa"/>
            <w:vMerge w:val="restart"/>
            <w:tcBorders>
              <w:top w:val="single" w:sz="4" w:space="0" w:color="000000"/>
              <w:left w:val="single" w:sz="4" w:space="0" w:color="000000"/>
              <w:right w:val="single" w:sz="10" w:space="0" w:color="FFFFFF"/>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pacing w:val="-14"/>
                <w:sz w:val="18"/>
                <w:szCs w:val="18"/>
              </w:rPr>
              <w:t>年，承诺</w:t>
            </w:r>
          </w:p>
          <w:p>
            <w:pPr>
              <w:pStyle w:val="TableParagraph"/>
              <w:spacing w:line="307" w:lineRule="auto" w:before="63"/>
              <w:ind w:left="23" w:right="12"/>
              <w:jc w:val="left"/>
              <w:rPr>
                <w:rFonts w:ascii="宋体" w:hAnsi="宋体" w:cs="宋体" w:eastAsia="宋体" w:hint="default"/>
                <w:sz w:val="18"/>
                <w:szCs w:val="18"/>
              </w:rPr>
            </w:pPr>
            <w:r>
              <w:rPr>
                <w:rFonts w:ascii="宋体" w:hAnsi="宋体" w:cs="宋体" w:eastAsia="宋体" w:hint="default"/>
                <w:sz w:val="18"/>
                <w:szCs w:val="18"/>
              </w:rPr>
              <w:t>净利润</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4,000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年，承诺净利 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 </w:t>
            </w:r>
            <w:r>
              <w:rPr>
                <w:rFonts w:ascii="宋体" w:hAnsi="宋体" w:cs="宋体" w:eastAsia="宋体" w:hint="default"/>
                <w:sz w:val="18"/>
                <w:szCs w:val="18"/>
              </w:rPr>
              <w:t>万</w:t>
            </w:r>
          </w:p>
          <w:p>
            <w:pPr>
              <w:pStyle w:val="TableParagraph"/>
              <w:spacing w:line="309" w:lineRule="auto" w:before="7"/>
              <w:ind w:left="23" w:right="-44"/>
              <w:jc w:val="left"/>
              <w:rPr>
                <w:rFonts w:ascii="Times New Roman" w:hAnsi="Times New Roman" w:cs="Times New Roman" w:eastAsia="Times New Roman"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 承诺净利润 </w:t>
            </w:r>
            <w:r>
              <w:rPr>
                <w:rFonts w:ascii="Times New Roman" w:hAnsi="Times New Roman" w:cs="Times New Roman" w:eastAsia="Times New Roman" w:hint="default"/>
                <w:sz w:val="18"/>
                <w:szCs w:val="18"/>
              </w:rPr>
              <w:t>6,000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pacing w:val="-14"/>
                <w:sz w:val="18"/>
                <w:szCs w:val="18"/>
              </w:rPr>
              <w:t>年，承诺</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净利润</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7,000</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万元</w:t>
            </w:r>
            <w:r>
              <w:rPr>
                <w:rFonts w:ascii="Times New Roman" w:hAnsi="Times New Roman" w:cs="Times New Roman" w:eastAsia="Times New Roman" w:hint="default"/>
                <w:sz w:val="18"/>
                <w:szCs w:val="18"/>
              </w:rPr>
              <w:t>, 2020</w:t>
            </w:r>
          </w:p>
          <w:p>
            <w:pPr>
              <w:pStyle w:val="TableParagraph"/>
              <w:spacing w:line="316" w:lineRule="auto" w:before="63"/>
              <w:ind w:left="23" w:right="12"/>
              <w:jc w:val="left"/>
              <w:rPr>
                <w:rFonts w:ascii="宋体" w:hAnsi="宋体" w:cs="宋体" w:eastAsia="宋体" w:hint="default"/>
                <w:sz w:val="18"/>
                <w:szCs w:val="18"/>
              </w:rPr>
            </w:pPr>
            <w:r>
              <w:rPr>
                <w:rFonts w:ascii="宋体" w:hAnsi="宋体" w:cs="宋体" w:eastAsia="宋体" w:hint="default"/>
                <w:sz w:val="18"/>
                <w:szCs w:val="18"/>
              </w:rPr>
              <w:t>年，承诺净利 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8,000 </w:t>
            </w:r>
            <w:r>
              <w:rPr>
                <w:rFonts w:ascii="宋体" w:hAnsi="宋体" w:cs="宋体" w:eastAsia="宋体" w:hint="default"/>
                <w:sz w:val="18"/>
                <w:szCs w:val="18"/>
              </w:rPr>
              <w:t>万元</w:t>
            </w:r>
          </w:p>
        </w:tc>
        <w:tc>
          <w:tcPr>
            <w:tcW w:w="1126" w:type="dxa"/>
            <w:vMerge w:val="restart"/>
            <w:tcBorders>
              <w:top w:val="single" w:sz="4" w:space="0" w:color="000000"/>
              <w:left w:val="single" w:sz="10" w:space="0" w:color="FFFFFF"/>
              <w:right w:val="single" w:sz="4" w:space="0" w:color="000000"/>
            </w:tcBorders>
          </w:tcPr>
          <w:p>
            <w:pPr>
              <w:pStyle w:val="TableParagraph"/>
              <w:spacing w:line="1716" w:lineRule="exact"/>
              <w:ind w:left="-8" w:right="-50"/>
              <w:jc w:val="left"/>
              <w:rPr>
                <w:rFonts w:ascii="宋体" w:hAnsi="宋体" w:cs="宋体" w:eastAsia="宋体" w:hint="default"/>
                <w:sz w:val="20"/>
                <w:szCs w:val="20"/>
              </w:rPr>
            </w:pPr>
            <w:r>
              <w:rPr>
                <w:rFonts w:ascii="宋体" w:hAnsi="宋体" w:cs="宋体" w:eastAsia="宋体" w:hint="default"/>
                <w:position w:val="-33"/>
                <w:sz w:val="20"/>
                <w:szCs w:val="20"/>
              </w:rPr>
              <w:pict>
                <v:group style="width:55.8pt;height:85.85pt;mso-position-horizontal-relative:char;mso-position-vertical-relative:line" coordorigin="0,0" coordsize="1116,1717">
                  <v:group style="position:absolute;left:0;top:0;width:1116;height:1717" coordorigin="0,0" coordsize="1116,1717">
                    <v:shape style="position:absolute;left:0;top:0;width:1116;height:1717" coordorigin="0,0" coordsize="1116,1717" path="m0,1716l1116,1716,1116,0,0,0,0,1716xe" filled="true" fillcolor="#ffffff" stroked="false">
                      <v:path arrowok="t"/>
                      <v:fill type="solid"/>
                    </v:shape>
                  </v:group>
                </v:group>
              </w:pict>
            </w:r>
            <w:r>
              <w:rPr>
                <w:rFonts w:ascii="宋体" w:hAnsi="宋体" w:cs="宋体" w:eastAsia="宋体" w:hint="default"/>
                <w:position w:val="-33"/>
                <w:sz w:val="20"/>
                <w:szCs w:val="20"/>
              </w:rPr>
            </w:r>
          </w:p>
          <w:p>
            <w:pPr>
              <w:pStyle w:val="TableParagraph"/>
              <w:spacing w:line="240" w:lineRule="auto" w:before="49"/>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p>
          <w:p>
            <w:pPr>
              <w:pStyle w:val="TableParagraph"/>
              <w:spacing w:line="240" w:lineRule="auto" w:before="63"/>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年至</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0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316" w:lineRule="auto"/>
              <w:ind w:left="23" w:right="19"/>
              <w:jc w:val="left"/>
              <w:rPr>
                <w:rFonts w:ascii="宋体" w:hAnsi="宋体" w:cs="宋体" w:eastAsia="宋体" w:hint="default"/>
                <w:sz w:val="18"/>
                <w:szCs w:val="18"/>
              </w:rPr>
            </w:pPr>
            <w:r>
              <w:rPr>
                <w:rFonts w:ascii="宋体" w:hAnsi="宋体" w:cs="宋体" w:eastAsia="宋体" w:hint="default"/>
                <w:sz w:val="18"/>
                <w:szCs w:val="18"/>
              </w:rPr>
              <w:t>截至报告期 </w:t>
            </w:r>
            <w:r>
              <w:rPr>
                <w:rFonts w:ascii="宋体" w:hAnsi="宋体" w:cs="宋体" w:eastAsia="宋体" w:hint="default"/>
                <w:spacing w:val="-5"/>
                <w:sz w:val="18"/>
                <w:szCs w:val="18"/>
              </w:rPr>
              <w:t>末，公司遵守</w:t>
            </w:r>
            <w:r>
              <w:rPr>
                <w:rFonts w:ascii="宋体" w:hAnsi="宋体" w:cs="宋体" w:eastAsia="宋体" w:hint="default"/>
                <w:sz w:val="18"/>
                <w:szCs w:val="18"/>
              </w:rPr>
              <w:t> 了所做的承 诺</w:t>
            </w:r>
          </w:p>
        </w:tc>
      </w:tr>
      <w:tr>
        <w:trPr>
          <w:trHeight w:val="703" w:hRule="exact"/>
        </w:trPr>
        <w:tc>
          <w:tcPr>
            <w:tcW w:w="283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24" w:right="102"/>
              <w:jc w:val="left"/>
              <w:rPr>
                <w:rFonts w:ascii="宋体" w:hAnsi="宋体" w:cs="宋体" w:eastAsia="宋体" w:hint="default"/>
                <w:sz w:val="18"/>
                <w:szCs w:val="18"/>
              </w:rPr>
            </w:pPr>
            <w:r>
              <w:rPr>
                <w:rFonts w:ascii="宋体" w:hAnsi="宋体" w:cs="宋体" w:eastAsia="宋体" w:hint="default"/>
                <w:sz w:val="18"/>
                <w:szCs w:val="18"/>
              </w:rPr>
              <w:t>收购报告书或权益变动报告书中所 作承诺</w:t>
            </w:r>
          </w:p>
        </w:tc>
        <w:tc>
          <w:tcPr>
            <w:tcW w:w="1123" w:type="dxa"/>
            <w:vMerge/>
            <w:tcBorders>
              <w:left w:val="single" w:sz="10" w:space="0" w:color="D2D2D2"/>
              <w:right w:val="single" w:sz="4" w:space="0" w:color="000000"/>
            </w:tcBorders>
          </w:tcPr>
          <w:p>
            <w:pPr/>
          </w:p>
        </w:tc>
        <w:tc>
          <w:tcPr>
            <w:tcW w:w="1128" w:type="dxa"/>
            <w:vMerge/>
            <w:tcBorders>
              <w:left w:val="single" w:sz="4" w:space="0" w:color="000000"/>
              <w:right w:val="single" w:sz="4" w:space="0" w:color="000000"/>
            </w:tcBorders>
          </w:tcPr>
          <w:p>
            <w:pPr/>
          </w:p>
        </w:tc>
        <w:tc>
          <w:tcPr>
            <w:tcW w:w="1126" w:type="dxa"/>
            <w:vMerge/>
            <w:tcBorders>
              <w:left w:val="single" w:sz="4" w:space="0" w:color="000000"/>
              <w:right w:val="single" w:sz="10" w:space="0" w:color="FFFFFF"/>
            </w:tcBorders>
          </w:tcPr>
          <w:p>
            <w:pPr/>
          </w:p>
        </w:tc>
        <w:tc>
          <w:tcPr>
            <w:tcW w:w="1126" w:type="dxa"/>
            <w:vMerge/>
            <w:tcBorders>
              <w:left w:val="single" w:sz="10" w:space="0" w:color="FFFFFF"/>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1721" w:hRule="exact"/>
        </w:trPr>
        <w:tc>
          <w:tcPr>
            <w:tcW w:w="2838" w:type="dxa"/>
            <w:tcBorders>
              <w:top w:val="nil" w:sz="6" w:space="0" w:color="auto"/>
              <w:left w:val="single" w:sz="4" w:space="0" w:color="000000"/>
              <w:bottom w:val="single" w:sz="4" w:space="0" w:color="000000"/>
              <w:right w:val="single" w:sz="4" w:space="0" w:color="000000"/>
            </w:tcBorders>
            <w:shd w:val="clear" w:color="auto" w:fill="D2D2D2"/>
          </w:tcPr>
          <w:p>
            <w:pPr/>
          </w:p>
        </w:tc>
        <w:tc>
          <w:tcPr>
            <w:tcW w:w="1123" w:type="dxa"/>
            <w:vMerge/>
            <w:tcBorders>
              <w:left w:val="single" w:sz="10" w:space="0" w:color="D2D2D2"/>
              <w:bottom w:val="single" w:sz="4" w:space="0" w:color="000000"/>
              <w:right w:val="single" w:sz="4" w:space="0" w:color="000000"/>
            </w:tcBorders>
          </w:tcPr>
          <w:p>
            <w:pPr/>
          </w:p>
        </w:tc>
        <w:tc>
          <w:tcPr>
            <w:tcW w:w="1128"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10" w:space="0" w:color="FFFFFF"/>
            </w:tcBorders>
          </w:tcPr>
          <w:p>
            <w:pPr/>
          </w:p>
        </w:tc>
        <w:tc>
          <w:tcPr>
            <w:tcW w:w="1126" w:type="dxa"/>
            <w:vMerge/>
            <w:tcBorders>
              <w:left w:val="single" w:sz="10" w:space="0" w:color="FFFFFF"/>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6" w:type="dxa"/>
            <w:vMerge/>
            <w:tcBorders>
              <w:left w:val="single" w:sz="4" w:space="0" w:color="000000"/>
              <w:bottom w:val="single" w:sz="4" w:space="0" w:color="000000"/>
              <w:right w:val="single" w:sz="4" w:space="0" w:color="000000"/>
            </w:tcBorders>
          </w:tcPr>
          <w:p>
            <w:pPr/>
          </w:p>
        </w:tc>
      </w:tr>
      <w:tr>
        <w:trPr>
          <w:trHeight w:val="404" w:hRule="exact"/>
        </w:trPr>
        <w:tc>
          <w:tcPr>
            <w:tcW w:w="2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1123" w:type="dxa"/>
            <w:tcBorders>
              <w:top w:val="single" w:sz="4" w:space="0" w:color="000000"/>
              <w:left w:val="single" w:sz="13" w:space="0" w:color="D2D2D2"/>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r>
      <w:tr>
        <w:trPr>
          <w:trHeight w:val="3262" w:hRule="exact"/>
        </w:trPr>
        <w:tc>
          <w:tcPr>
            <w:tcW w:w="2838" w:type="dxa"/>
            <w:tcBorders>
              <w:top w:val="single" w:sz="4" w:space="0" w:color="000000"/>
              <w:left w:val="single" w:sz="4" w:space="0" w:color="000000"/>
              <w:bottom w:val="nil" w:sz="6" w:space="0" w:color="auto"/>
              <w:right w:val="single" w:sz="4" w:space="0" w:color="000000"/>
            </w:tcBorders>
            <w:shd w:val="clear" w:color="auto" w:fill="D2D2D2"/>
          </w:tcPr>
          <w:p>
            <w:pPr/>
          </w:p>
        </w:tc>
        <w:tc>
          <w:tcPr>
            <w:tcW w:w="1123"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16" w:right="187"/>
              <w:jc w:val="both"/>
              <w:rPr>
                <w:rFonts w:ascii="宋体" w:hAnsi="宋体" w:cs="宋体" w:eastAsia="宋体" w:hint="default"/>
                <w:sz w:val="18"/>
                <w:szCs w:val="18"/>
              </w:rPr>
            </w:pPr>
            <w:r>
              <w:rPr>
                <w:rFonts w:ascii="宋体" w:hAnsi="宋体" w:cs="宋体" w:eastAsia="宋体" w:hint="default"/>
                <w:sz w:val="18"/>
                <w:szCs w:val="18"/>
              </w:rPr>
              <w:t>本公司董事 长及实际控 制人吴强华</w:t>
            </w:r>
          </w:p>
        </w:tc>
        <w:tc>
          <w:tcPr>
            <w:tcW w:w="112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316" w:lineRule="auto"/>
              <w:ind w:left="26" w:right="19"/>
              <w:jc w:val="left"/>
              <w:rPr>
                <w:rFonts w:ascii="宋体" w:hAnsi="宋体" w:cs="宋体" w:eastAsia="宋体" w:hint="default"/>
                <w:sz w:val="18"/>
                <w:szCs w:val="18"/>
              </w:rPr>
            </w:pPr>
            <w:r>
              <w:rPr>
                <w:rFonts w:ascii="宋体" w:hAnsi="宋体" w:cs="宋体" w:eastAsia="宋体" w:hint="default"/>
                <w:sz w:val="18"/>
                <w:szCs w:val="18"/>
              </w:rPr>
              <w:t>关于同业竞 争、关联交 </w:t>
            </w:r>
            <w:r>
              <w:rPr>
                <w:rFonts w:ascii="宋体" w:hAnsi="宋体" w:cs="宋体" w:eastAsia="宋体" w:hint="default"/>
                <w:spacing w:val="-2"/>
                <w:sz w:val="18"/>
                <w:szCs w:val="18"/>
              </w:rPr>
              <w:t>易、资金占用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方面的承诺</w:t>
            </w:r>
          </w:p>
        </w:tc>
        <w:tc>
          <w:tcPr>
            <w:tcW w:w="1126" w:type="dxa"/>
            <w:vMerge w:val="restart"/>
            <w:tcBorders>
              <w:top w:val="single" w:sz="4" w:space="0" w:color="000000"/>
              <w:left w:val="single" w:sz="4" w:space="0" w:color="000000"/>
              <w:right w:val="single" w:sz="4" w:space="0" w:color="000000"/>
            </w:tcBorders>
          </w:tcPr>
          <w:p>
            <w:pPr>
              <w:pStyle w:val="TableParagraph"/>
              <w:spacing w:line="316" w:lineRule="auto" w:before="49"/>
              <w:ind w:left="23" w:right="10"/>
              <w:jc w:val="left"/>
              <w:rPr>
                <w:rFonts w:ascii="宋体" w:hAnsi="宋体" w:cs="宋体" w:eastAsia="宋体" w:hint="default"/>
                <w:sz w:val="18"/>
                <w:szCs w:val="18"/>
              </w:rPr>
            </w:pPr>
            <w:r>
              <w:rPr>
                <w:rFonts w:ascii="宋体" w:hAnsi="宋体" w:cs="宋体" w:eastAsia="宋体" w:hint="default"/>
                <w:sz w:val="18"/>
                <w:szCs w:val="18"/>
              </w:rPr>
              <w:t>自公司股票 上市之日起 三十六个月 内，不转让、 抵押、质押或 在该股份上 设定任何其 他形式的限 制或他项权 利，不委托他 人管理本人 本次发行前 已持有的公 司股份，也不 由公司回购 该部分股份； 本人在任职 期间每年转 让的股份不 得超过本人 所持有公司 股份总数的</w:t>
            </w:r>
          </w:p>
        </w:tc>
        <w:tc>
          <w:tcPr>
            <w:tcW w:w="112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p>
          <w:p>
            <w:pPr>
              <w:pStyle w:val="TableParagraph"/>
              <w:spacing w:line="240" w:lineRule="auto" w:before="6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持续</w:t>
            </w:r>
          </w:p>
        </w:tc>
        <w:tc>
          <w:tcPr>
            <w:tcW w:w="110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316" w:lineRule="auto"/>
              <w:ind w:left="23" w:right="19"/>
              <w:jc w:val="left"/>
              <w:rPr>
                <w:rFonts w:ascii="宋体" w:hAnsi="宋体" w:cs="宋体" w:eastAsia="宋体" w:hint="default"/>
                <w:sz w:val="18"/>
                <w:szCs w:val="18"/>
              </w:rPr>
            </w:pPr>
            <w:r>
              <w:rPr>
                <w:rFonts w:ascii="宋体" w:hAnsi="宋体" w:cs="宋体" w:eastAsia="宋体" w:hint="default"/>
                <w:spacing w:val="-5"/>
                <w:sz w:val="18"/>
                <w:szCs w:val="18"/>
              </w:rPr>
              <w:t>正常履行，未</w:t>
            </w:r>
            <w:r>
              <w:rPr>
                <w:rFonts w:ascii="宋体" w:hAnsi="宋体" w:cs="宋体" w:eastAsia="宋体" w:hint="default"/>
                <w:sz w:val="18"/>
                <w:szCs w:val="18"/>
              </w:rPr>
              <w:t> 出现任何违 反该承诺的 情况</w:t>
            </w:r>
          </w:p>
        </w:tc>
      </w:tr>
      <w:tr>
        <w:trPr>
          <w:trHeight w:val="391" w:hRule="exact"/>
        </w:trPr>
        <w:tc>
          <w:tcPr>
            <w:tcW w:w="283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首次公开发行或再融资时所作承诺</w:t>
            </w:r>
          </w:p>
        </w:tc>
        <w:tc>
          <w:tcPr>
            <w:tcW w:w="1123" w:type="dxa"/>
            <w:vMerge/>
            <w:tcBorders>
              <w:left w:val="single" w:sz="10" w:space="0" w:color="D2D2D2"/>
              <w:right w:val="single" w:sz="4" w:space="0" w:color="000000"/>
            </w:tcBorders>
          </w:tcPr>
          <w:p>
            <w:pPr/>
          </w:p>
        </w:tc>
        <w:tc>
          <w:tcPr>
            <w:tcW w:w="1128"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262" w:hRule="exact"/>
        </w:trPr>
        <w:tc>
          <w:tcPr>
            <w:tcW w:w="2838" w:type="dxa"/>
            <w:tcBorders>
              <w:top w:val="nil" w:sz="6" w:space="0" w:color="auto"/>
              <w:left w:val="single" w:sz="4" w:space="0" w:color="000000"/>
              <w:bottom w:val="single" w:sz="4" w:space="0" w:color="000000"/>
              <w:right w:val="single" w:sz="4" w:space="0" w:color="000000"/>
            </w:tcBorders>
            <w:shd w:val="clear" w:color="auto" w:fill="D2D2D2"/>
          </w:tcPr>
          <w:p>
            <w:pPr/>
          </w:p>
        </w:tc>
        <w:tc>
          <w:tcPr>
            <w:tcW w:w="1123" w:type="dxa"/>
            <w:vMerge/>
            <w:tcBorders>
              <w:left w:val="single" w:sz="10" w:space="0" w:color="D2D2D2"/>
              <w:bottom w:val="single" w:sz="4" w:space="0" w:color="000000"/>
              <w:right w:val="single" w:sz="4" w:space="0" w:color="000000"/>
            </w:tcBorders>
          </w:tcPr>
          <w:p>
            <w:pPr/>
          </w:p>
        </w:tc>
        <w:tc>
          <w:tcPr>
            <w:tcW w:w="1128"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6"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61.48999pt;margin-top:72.47998pt;width:61.95pt;height:673pt;mso-position-horizontal-relative:page;mso-position-vertical-relative:page;z-index:-88088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6"/>
                    <w:rPr>
                      <w:rFonts w:ascii="Times New Roman" w:hAnsi="Times New Roman" w:cs="Times New Roman" w:eastAsia="Times New Roman" w:hint="default"/>
                      <w:sz w:val="19"/>
                      <w:szCs w:val="19"/>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7"/>
        <w:gridCol w:w="1123"/>
        <w:gridCol w:w="1128"/>
        <w:gridCol w:w="1126"/>
        <w:gridCol w:w="1126"/>
        <w:gridCol w:w="1121"/>
        <w:gridCol w:w="1106"/>
      </w:tblGrid>
      <w:tr>
        <w:trPr>
          <w:trHeight w:val="315" w:hRule="exact"/>
        </w:trPr>
        <w:tc>
          <w:tcPr>
            <w:tcW w:w="2837" w:type="dxa"/>
            <w:vMerge w:val="restart"/>
            <w:tcBorders>
              <w:top w:val="single" w:sz="4" w:space="0" w:color="000000"/>
              <w:left w:val="single" w:sz="4" w:space="0" w:color="000000"/>
              <w:right w:val="single" w:sz="4" w:space="0" w:color="000000"/>
            </w:tcBorders>
            <w:shd w:val="clear" w:color="auto" w:fill="D2D2D2"/>
          </w:tcPr>
          <w:p>
            <w:pPr/>
          </w:p>
        </w:tc>
        <w:tc>
          <w:tcPr>
            <w:tcW w:w="1123" w:type="dxa"/>
            <w:vMerge w:val="restart"/>
            <w:tcBorders>
              <w:top w:val="single" w:sz="4" w:space="0" w:color="000000"/>
              <w:left w:val="single" w:sz="4" w:space="0" w:color="000000"/>
              <w:right w:val="single" w:sz="4" w:space="0" w:color="000000"/>
            </w:tcBorders>
          </w:tcPr>
          <w:p>
            <w:pPr/>
          </w:p>
        </w:tc>
        <w:tc>
          <w:tcPr>
            <w:tcW w:w="1128" w:type="dxa"/>
            <w:vMerge w:val="restart"/>
            <w:tcBorders>
              <w:top w:val="single" w:sz="4" w:space="0" w:color="000000"/>
              <w:left w:val="single" w:sz="4" w:space="0" w:color="000000"/>
              <w:right w:val="single" w:sz="4" w:space="0" w:color="000000"/>
            </w:tcBorders>
          </w:tcPr>
          <w:p>
            <w:pPr/>
          </w:p>
        </w:tc>
        <w:tc>
          <w:tcPr>
            <w:tcW w:w="112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百分之二十</w:t>
            </w:r>
          </w:p>
        </w:tc>
        <w:tc>
          <w:tcPr>
            <w:tcW w:w="1126" w:type="dxa"/>
            <w:vMerge w:val="restart"/>
            <w:tcBorders>
              <w:top w:val="single" w:sz="4" w:space="0" w:color="000000"/>
              <w:left w:val="single" w:sz="4" w:space="0" w:color="000000"/>
              <w:right w:val="single" w:sz="4" w:space="0" w:color="000000"/>
            </w:tcBorders>
          </w:tcPr>
          <w:p>
            <w:pPr>
              <w:pStyle w:val="TableParagraph"/>
              <w:spacing w:line="13459" w:lineRule="exact"/>
              <w:ind w:right="-5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68"/>
                <w:sz w:val="20"/>
                <w:szCs w:val="20"/>
              </w:rPr>
              <w:pict>
                <v:group style="width:55.8pt;height:673pt;mso-position-horizontal-relative:char;mso-position-vertical-relative:line" coordorigin="0,0" coordsize="1116,13460">
                  <v:group style="position:absolute;left:0;top:0;width:1116;height:13460" coordorigin="0,0" coordsize="1116,13460">
                    <v:shape style="position:absolute;left:0;top:0;width:1116;height:13460" coordorigin="0,0" coordsize="1116,13460" path="m0,13459l1116,13459,1116,0,0,0,0,13459xe" filled="true" fillcolor="#ffffff" stroked="false">
                      <v:path arrowok="t"/>
                      <v:fill type="solid"/>
                    </v:shape>
                  </v:group>
                </v:group>
              </w:pict>
            </w:r>
            <w:r>
              <w:rPr>
                <w:rFonts w:ascii="Times New Roman" w:hAnsi="Times New Roman" w:cs="Times New Roman" w:eastAsia="Times New Roman" w:hint="default"/>
                <w:position w:val="-268"/>
                <w:sz w:val="20"/>
                <w:szCs w:val="20"/>
              </w:rPr>
            </w:r>
          </w:p>
        </w:tc>
        <w:tc>
          <w:tcPr>
            <w:tcW w:w="1121" w:type="dxa"/>
            <w:vMerge w:val="restart"/>
            <w:tcBorders>
              <w:top w:val="single" w:sz="4" w:space="0" w:color="000000"/>
              <w:left w:val="single" w:sz="4" w:space="0" w:color="000000"/>
              <w:right w:val="single" w:sz="4" w:space="0" w:color="000000"/>
            </w:tcBorders>
          </w:tcPr>
          <w:p>
            <w:pPr/>
          </w:p>
        </w:tc>
        <w:tc>
          <w:tcPr>
            <w:tcW w:w="1106" w:type="dxa"/>
            <w:vMerge w:val="restart"/>
            <w:tcBorders>
              <w:top w:val="single" w:sz="4" w:space="0" w:color="000000"/>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五；本人离职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后半年内，不</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转让本人所</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持有的公司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股份。严格遵</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守《公司法》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《公司章</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程</w:t>
            </w:r>
            <w:r>
              <w:rPr>
                <w:rFonts w:ascii="宋体" w:hAnsi="宋体" w:cs="宋体" w:eastAsia="宋体" w:hint="default"/>
                <w:spacing w:val="-92"/>
                <w:sz w:val="18"/>
                <w:szCs w:val="18"/>
              </w:rPr>
              <w:t>》</w:t>
            </w:r>
            <w:r>
              <w:rPr>
                <w:rFonts w:ascii="宋体" w:hAnsi="宋体" w:cs="宋体" w:eastAsia="宋体" w:hint="default"/>
                <w:spacing w:val="-101"/>
                <w:sz w:val="18"/>
                <w:szCs w:val="18"/>
              </w:rPr>
              <w:t>、</w:t>
            </w:r>
            <w:r>
              <w:rPr>
                <w:rFonts w:ascii="宋体" w:hAnsi="宋体" w:cs="宋体" w:eastAsia="宋体" w:hint="default"/>
                <w:sz w:val="18"/>
                <w:szCs w:val="18"/>
              </w:rPr>
              <w:t>《关联交</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易制度</w:t>
            </w:r>
            <w:r>
              <w:rPr>
                <w:rFonts w:ascii="宋体" w:hAnsi="宋体" w:cs="宋体" w:eastAsia="宋体" w:hint="default"/>
                <w:spacing w:val="-92"/>
                <w:sz w:val="18"/>
                <w:szCs w:val="18"/>
              </w:rPr>
              <w:t>》</w:t>
            </w:r>
            <w:r>
              <w:rPr>
                <w:rFonts w:ascii="宋体" w:hAnsi="宋体" w:cs="宋体" w:eastAsia="宋体" w:hint="default"/>
                <w:spacing w:val="-101"/>
                <w:sz w:val="18"/>
                <w:szCs w:val="18"/>
              </w:rPr>
              <w:t>、</w:t>
            </w:r>
            <w:r>
              <w:rPr>
                <w:rFonts w:ascii="宋体" w:hAnsi="宋体" w:cs="宋体" w:eastAsia="宋体" w:hint="default"/>
                <w:sz w:val="18"/>
                <w:szCs w:val="18"/>
              </w:rPr>
              <w:t>《股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东大会议事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规则</w:t>
            </w:r>
            <w:r>
              <w:rPr>
                <w:rFonts w:ascii="宋体" w:hAnsi="宋体" w:cs="宋体" w:eastAsia="宋体" w:hint="default"/>
                <w:spacing w:val="-92"/>
                <w:sz w:val="18"/>
                <w:szCs w:val="18"/>
              </w:rPr>
              <w:t>》</w:t>
            </w:r>
            <w:r>
              <w:rPr>
                <w:rFonts w:ascii="宋体" w:hAnsi="宋体" w:cs="宋体" w:eastAsia="宋体" w:hint="default"/>
                <w:spacing w:val="-101"/>
                <w:sz w:val="18"/>
                <w:szCs w:val="18"/>
              </w:rPr>
              <w:t>、</w:t>
            </w:r>
            <w:r>
              <w:rPr>
                <w:rFonts w:ascii="宋体" w:hAnsi="宋体" w:cs="宋体" w:eastAsia="宋体" w:hint="default"/>
                <w:sz w:val="18"/>
                <w:szCs w:val="18"/>
              </w:rPr>
              <w:t>《董事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会议事规则》</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等规定，避免</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和减少关联</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交易，自觉维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护发行人及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全体股东的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利益，将不利</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用本人在发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行人中的股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东地位在关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联交易中谋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取不正当利</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益。如发行人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必须与本人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控制的企业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进行关联交</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易，均严格履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行相关法律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程序，遵照市</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场公平交易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的原则进行，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将促使交易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的价格、相关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协议条款和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交易条件公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平合理，不会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要求发行人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给予与第三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人的条件相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12" w:hRule="exact"/>
        </w:trPr>
        <w:tc>
          <w:tcPr>
            <w:tcW w:w="2837" w:type="dxa"/>
            <w:vMerge/>
            <w:tcBorders>
              <w:left w:val="single" w:sz="4" w:space="0" w:color="000000"/>
              <w:right w:val="single" w:sz="4" w:space="0" w:color="000000"/>
            </w:tcBorders>
            <w:shd w:val="clear" w:color="auto" w:fill="D2D2D2"/>
          </w:tcPr>
          <w:p>
            <w:pPr/>
          </w:p>
        </w:tc>
        <w:tc>
          <w:tcPr>
            <w:tcW w:w="1123" w:type="dxa"/>
            <w:vMerge/>
            <w:tcBorders>
              <w:left w:val="single" w:sz="4" w:space="0" w:color="000000"/>
              <w:right w:val="single" w:sz="4" w:space="0" w:color="000000"/>
            </w:tcBorders>
          </w:tcPr>
          <w:p>
            <w:pPr/>
          </w:p>
        </w:tc>
        <w:tc>
          <w:tcPr>
            <w:tcW w:w="1128" w:type="dxa"/>
            <w:vMerge/>
            <w:tcBorders>
              <w:left w:val="single" w:sz="4" w:space="0" w:color="000000"/>
              <w:right w:val="single" w:sz="4" w:space="0" w:color="000000"/>
            </w:tcBorders>
          </w:tcPr>
          <w:p>
            <w:pP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比更优惠的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6" w:type="dxa"/>
            <w:vMerge/>
            <w:tcBorders>
              <w:left w:val="single" w:sz="4" w:space="0" w:color="000000"/>
              <w:right w:val="single" w:sz="4" w:space="0" w:color="000000"/>
            </w:tcBorders>
          </w:tcPr>
          <w:p>
            <w:pPr/>
          </w:p>
        </w:tc>
      </w:tr>
      <w:tr>
        <w:trPr>
          <w:trHeight w:val="360" w:hRule="exact"/>
        </w:trPr>
        <w:tc>
          <w:tcPr>
            <w:tcW w:w="2837" w:type="dxa"/>
            <w:vMerge/>
            <w:tcBorders>
              <w:left w:val="single" w:sz="4" w:space="0" w:color="000000"/>
              <w:bottom w:val="single" w:sz="4" w:space="0" w:color="000000"/>
              <w:right w:val="single" w:sz="4" w:space="0" w:color="000000"/>
            </w:tcBorders>
            <w:shd w:val="clear" w:color="auto" w:fill="D2D2D2"/>
          </w:tcPr>
          <w:p>
            <w:pPr/>
          </w:p>
        </w:tc>
        <w:tc>
          <w:tcPr>
            <w:tcW w:w="1123" w:type="dxa"/>
            <w:vMerge/>
            <w:tcBorders>
              <w:left w:val="single" w:sz="4" w:space="0" w:color="000000"/>
              <w:bottom w:val="single" w:sz="4" w:space="0" w:color="000000"/>
              <w:right w:val="single" w:sz="4" w:space="0" w:color="000000"/>
            </w:tcBorders>
          </w:tcPr>
          <w:p>
            <w:pPr/>
          </w:p>
        </w:tc>
        <w:tc>
          <w:tcPr>
            <w:tcW w:w="1128" w:type="dxa"/>
            <w:vMerge/>
            <w:tcBorders>
              <w:left w:val="single" w:sz="4" w:space="0" w:color="000000"/>
              <w:bottom w:val="single" w:sz="4" w:space="0" w:color="000000"/>
              <w:right w:val="single" w:sz="4" w:space="0" w:color="000000"/>
            </w:tcBorders>
          </w:tcPr>
          <w:p>
            <w:pPr/>
          </w:p>
        </w:tc>
        <w:tc>
          <w:tcPr>
            <w:tcW w:w="11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条件。</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6" w:type="dxa"/>
            <w:vMerge/>
            <w:tcBorders>
              <w:left w:val="single" w:sz="4" w:space="0" w:color="000000"/>
              <w:bottom w:val="single" w:sz="4" w:space="0" w:color="000000"/>
              <w:right w:val="single" w:sz="4" w:space="0" w:color="000000"/>
            </w:tcBorders>
          </w:tcPr>
          <w:p>
            <w:pPr/>
          </w:p>
        </w:tc>
      </w:tr>
      <w:tr>
        <w:trPr>
          <w:trHeight w:val="401" w:hRule="exact"/>
        </w:trPr>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数字政通</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其他承诺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3" w:right="0"/>
              <w:jc w:val="left"/>
              <w:rPr>
                <w:rFonts w:ascii="宋体" w:hAnsi="宋体" w:cs="宋体" w:eastAsia="宋体" w:hint="default"/>
                <w:sz w:val="18"/>
                <w:szCs w:val="18"/>
              </w:rPr>
            </w:pPr>
            <w:r>
              <w:rPr>
                <w:rFonts w:ascii="宋体" w:hAnsi="宋体" w:cs="宋体" w:eastAsia="宋体" w:hint="default"/>
                <w:sz w:val="18"/>
                <w:szCs w:val="18"/>
              </w:rPr>
              <w:t>数字政通承</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年股票</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3" w:right="0"/>
              <w:jc w:val="left"/>
              <w:rPr>
                <w:rFonts w:ascii="宋体" w:hAnsi="宋体" w:cs="宋体" w:eastAsia="宋体" w:hint="default"/>
                <w:sz w:val="18"/>
                <w:szCs w:val="18"/>
              </w:rPr>
            </w:pPr>
            <w:r>
              <w:rPr>
                <w:rFonts w:ascii="宋体" w:hAnsi="宋体" w:cs="宋体" w:eastAsia="宋体" w:hint="default"/>
                <w:spacing w:val="-5"/>
                <w:sz w:val="18"/>
                <w:szCs w:val="18"/>
              </w:rPr>
              <w:t>正常履行，未</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837"/>
        <w:gridCol w:w="1123"/>
        <w:gridCol w:w="1128"/>
        <w:gridCol w:w="1126"/>
        <w:gridCol w:w="1126"/>
        <w:gridCol w:w="1121"/>
        <w:gridCol w:w="1106"/>
      </w:tblGrid>
      <w:tr>
        <w:trPr>
          <w:trHeight w:val="5667" w:hRule="exact"/>
        </w:trPr>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0"/>
              <w:jc w:val="left"/>
              <w:rPr>
                <w:rFonts w:ascii="宋体" w:hAnsi="宋体" w:cs="宋体" w:eastAsia="宋体" w:hint="default"/>
                <w:sz w:val="18"/>
                <w:szCs w:val="18"/>
              </w:rPr>
            </w:pPr>
            <w:r>
              <w:rPr>
                <w:rFonts w:ascii="宋体" w:hAnsi="宋体" w:cs="宋体" w:eastAsia="宋体" w:hint="default"/>
                <w:sz w:val="18"/>
                <w:szCs w:val="18"/>
              </w:rPr>
              <w:t>诺不为激励 对象依股票 期权激励计 划获取有关 权益提供贷 款以及其他 任何形式的 财务资助，包 括为其贷款 提供担保。数 字政通承诺 持股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 的主要股东 或实际控制 人及其配偶、 直系亲属均 未参与本激 励计划。</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85"/>
              <w:jc w:val="both"/>
              <w:rPr>
                <w:rFonts w:ascii="宋体" w:hAnsi="宋体" w:cs="宋体" w:eastAsia="宋体" w:hint="default"/>
                <w:sz w:val="18"/>
                <w:szCs w:val="18"/>
              </w:rPr>
            </w:pPr>
            <w:r>
              <w:rPr>
                <w:rFonts w:ascii="宋体" w:hAnsi="宋体" w:cs="宋体" w:eastAsia="宋体" w:hint="default"/>
                <w:sz w:val="18"/>
                <w:szCs w:val="18"/>
              </w:rPr>
              <w:t>期权与限制 性股票激励 计划实施期 间</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170"/>
              <w:jc w:val="both"/>
              <w:rPr>
                <w:rFonts w:ascii="宋体" w:hAnsi="宋体" w:cs="宋体" w:eastAsia="宋体" w:hint="default"/>
                <w:sz w:val="18"/>
                <w:szCs w:val="18"/>
              </w:rPr>
            </w:pPr>
            <w:r>
              <w:rPr>
                <w:rFonts w:ascii="宋体" w:hAnsi="宋体" w:cs="宋体" w:eastAsia="宋体" w:hint="default"/>
                <w:sz w:val="18"/>
                <w:szCs w:val="18"/>
              </w:rPr>
              <w:t>出现任何违 反该承诺的 情况</w:t>
            </w:r>
          </w:p>
        </w:tc>
      </w:tr>
      <w:tr>
        <w:trPr>
          <w:trHeight w:val="401" w:hRule="exact"/>
        </w:trPr>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其他对公司中小股东所作承诺</w:t>
            </w:r>
          </w:p>
        </w:tc>
        <w:tc>
          <w:tcPr>
            <w:tcW w:w="1123" w:type="dxa"/>
            <w:tcBorders>
              <w:top w:val="single" w:sz="4" w:space="0" w:color="000000"/>
              <w:left w:val="single" w:sz="13" w:space="0" w:color="D2D2D2"/>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1123" w:type="dxa"/>
            <w:tcBorders>
              <w:top w:val="single" w:sz="4" w:space="0" w:color="000000"/>
              <w:left w:val="single" w:sz="13" w:space="0" w:color="D2D2D2"/>
              <w:bottom w:val="single" w:sz="4" w:space="0" w:color="000000"/>
              <w:right w:val="single" w:sz="14" w:space="0" w:color="D2D2D2"/>
            </w:tcBorders>
          </w:tcPr>
          <w:p>
            <w:pPr>
              <w:pStyle w:val="TableParagraph"/>
              <w:spacing w:line="240" w:lineRule="auto" w:before="49"/>
              <w:ind w:left="1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2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0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5" w:hRule="exact"/>
        </w:trPr>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02"/>
              <w:jc w:val="both"/>
              <w:rPr>
                <w:rFonts w:ascii="宋体" w:hAnsi="宋体" w:cs="宋体" w:eastAsia="宋体" w:hint="default"/>
                <w:sz w:val="18"/>
                <w:szCs w:val="18"/>
              </w:rPr>
            </w:pPr>
            <w:r>
              <w:rPr>
                <w:rFonts w:ascii="宋体" w:hAnsi="宋体" w:cs="宋体" w:eastAsia="宋体" w:hint="default"/>
                <w:sz w:val="18"/>
                <w:szCs w:val="18"/>
              </w:rPr>
              <w:t>如承诺超期未履行完毕的，应当详 细说明未完成履行的具体原因及下 一步的工作计划</w:t>
            </w:r>
          </w:p>
        </w:tc>
        <w:tc>
          <w:tcPr>
            <w:tcW w:w="6731" w:type="dxa"/>
            <w:gridSpan w:val="6"/>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731" w:type="dxa"/>
            <w:gridSpan w:val="6"/>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line="240" w:lineRule="auto" w:before="10"/>
        <w:rPr>
          <w:rFonts w:ascii="Times New Roman" w:hAnsi="Times New Roman" w:cs="Times New Roman" w:eastAsia="Times New Roman" w:hint="default"/>
          <w:sz w:val="21"/>
          <w:szCs w:val="21"/>
        </w:rPr>
      </w:pPr>
    </w:p>
    <w:p>
      <w:pPr>
        <w:spacing w:line="259" w:lineRule="auto"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、公司资产或项目存在盈利预测，且报告期仍处在盈利预测期间，公司就资产或项目达到原盈利预测及</w:t>
      </w:r>
      <w:r>
        <w:rPr>
          <w:rFonts w:ascii="宋体" w:hAnsi="宋体" w:cs="宋体" w:eastAsia="宋体" w:hint="default"/>
          <w:b/>
          <w:bCs/>
          <w:spacing w:val="-65"/>
          <w:sz w:val="21"/>
          <w:szCs w:val="21"/>
        </w:rPr>
        <w:t> </w:t>
      </w:r>
      <w:r>
        <w:rPr>
          <w:rFonts w:ascii="宋体" w:hAnsi="宋体" w:cs="宋体" w:eastAsia="宋体" w:hint="default"/>
          <w:b/>
          <w:bCs/>
          <w:spacing w:val="-65"/>
          <w:sz w:val="21"/>
          <w:szCs w:val="21"/>
        </w:rPr>
      </w:r>
      <w:r>
        <w:rPr>
          <w:rFonts w:ascii="宋体" w:hAnsi="宋体" w:cs="宋体" w:eastAsia="宋体" w:hint="default"/>
          <w:b/>
          <w:bCs/>
          <w:sz w:val="21"/>
          <w:szCs w:val="21"/>
        </w:rPr>
        <w:t>其原因做出说明</w:t>
      </w:r>
      <w:r>
        <w:rPr>
          <w:rFonts w:ascii="宋体" w:hAnsi="宋体" w:cs="宋体" w:eastAsia="宋体" w:hint="default"/>
          <w:sz w:val="21"/>
          <w:szCs w:val="21"/>
        </w:rPr>
      </w:r>
    </w:p>
    <w:p>
      <w:pPr>
        <w:spacing w:line="240" w:lineRule="auto" w:before="1"/>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196"/>
        <w:gridCol w:w="1195"/>
        <w:gridCol w:w="1196"/>
        <w:gridCol w:w="1198"/>
        <w:gridCol w:w="1196"/>
        <w:gridCol w:w="1195"/>
        <w:gridCol w:w="1198"/>
        <w:gridCol w:w="1198"/>
      </w:tblGrid>
      <w:tr>
        <w:trPr>
          <w:trHeight w:val="713"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42" w:right="51" w:hanging="90"/>
              <w:jc w:val="left"/>
              <w:rPr>
                <w:rFonts w:ascii="宋体" w:hAnsi="宋体" w:cs="宋体" w:eastAsia="宋体" w:hint="default"/>
                <w:sz w:val="18"/>
                <w:szCs w:val="18"/>
              </w:rPr>
            </w:pPr>
            <w:r>
              <w:rPr>
                <w:rFonts w:ascii="宋体" w:hAnsi="宋体" w:cs="宋体" w:eastAsia="宋体" w:hint="default"/>
                <w:sz w:val="18"/>
                <w:szCs w:val="18"/>
              </w:rPr>
              <w:t>盈利预测资产 或项目名称</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2" w:right="0"/>
              <w:jc w:val="left"/>
              <w:rPr>
                <w:rFonts w:ascii="宋体" w:hAnsi="宋体" w:cs="宋体" w:eastAsia="宋体" w:hint="default"/>
                <w:sz w:val="18"/>
                <w:szCs w:val="18"/>
              </w:rPr>
            </w:pPr>
            <w:r>
              <w:rPr>
                <w:rFonts w:ascii="宋体" w:hAnsi="宋体" w:cs="宋体" w:eastAsia="宋体" w:hint="default"/>
                <w:sz w:val="18"/>
                <w:szCs w:val="18"/>
              </w:rPr>
              <w:t>预测起始时间</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2" w:right="0"/>
              <w:jc w:val="left"/>
              <w:rPr>
                <w:rFonts w:ascii="宋体" w:hAnsi="宋体" w:cs="宋体" w:eastAsia="宋体" w:hint="default"/>
                <w:sz w:val="18"/>
                <w:szCs w:val="18"/>
              </w:rPr>
            </w:pPr>
            <w:r>
              <w:rPr>
                <w:rFonts w:ascii="宋体" w:hAnsi="宋体" w:cs="宋体" w:eastAsia="宋体" w:hint="default"/>
                <w:sz w:val="18"/>
                <w:szCs w:val="18"/>
              </w:rPr>
              <w:t>预测终止时间</w:t>
            </w: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当期预测业绩</w:t>
            </w:r>
          </w:p>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当期实际业绩</w:t>
            </w:r>
          </w:p>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（万元）</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52" w:right="50"/>
              <w:jc w:val="left"/>
              <w:rPr>
                <w:rFonts w:ascii="宋体" w:hAnsi="宋体" w:cs="宋体" w:eastAsia="宋体" w:hint="default"/>
                <w:sz w:val="18"/>
                <w:szCs w:val="18"/>
              </w:rPr>
            </w:pPr>
            <w:r>
              <w:rPr>
                <w:rFonts w:ascii="宋体" w:hAnsi="宋体" w:cs="宋体" w:eastAsia="宋体" w:hint="default"/>
                <w:sz w:val="18"/>
                <w:szCs w:val="18"/>
              </w:rPr>
              <w:t>未达预测的原 因（如适用）</w:t>
            </w: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504" w:right="51" w:hanging="449"/>
              <w:jc w:val="left"/>
              <w:rPr>
                <w:rFonts w:ascii="宋体" w:hAnsi="宋体" w:cs="宋体" w:eastAsia="宋体" w:hint="default"/>
                <w:sz w:val="18"/>
                <w:szCs w:val="18"/>
              </w:rPr>
            </w:pPr>
            <w:r>
              <w:rPr>
                <w:rFonts w:ascii="宋体" w:hAnsi="宋体" w:cs="宋体" w:eastAsia="宋体" w:hint="default"/>
                <w:sz w:val="18"/>
                <w:szCs w:val="18"/>
              </w:rPr>
              <w:t>原预测披露日 期</w:t>
            </w: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503" w:right="53" w:hanging="452"/>
              <w:jc w:val="left"/>
              <w:rPr>
                <w:rFonts w:ascii="宋体" w:hAnsi="宋体" w:cs="宋体" w:eastAsia="宋体" w:hint="default"/>
                <w:sz w:val="18"/>
                <w:szCs w:val="18"/>
              </w:rPr>
            </w:pPr>
            <w:r>
              <w:rPr>
                <w:rFonts w:ascii="宋体" w:hAnsi="宋体" w:cs="宋体" w:eastAsia="宋体" w:hint="default"/>
                <w:sz w:val="18"/>
                <w:szCs w:val="18"/>
              </w:rPr>
              <w:t>原预测披露索 引</w:t>
            </w:r>
          </w:p>
        </w:tc>
      </w:tr>
      <w:tr>
        <w:trPr>
          <w:trHeight w:val="2587" w:hRule="exact"/>
        </w:trPr>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1"/>
              <w:jc w:val="both"/>
              <w:rPr>
                <w:rFonts w:ascii="宋体" w:hAnsi="宋体" w:cs="宋体" w:eastAsia="宋体" w:hint="default"/>
                <w:sz w:val="18"/>
                <w:szCs w:val="18"/>
              </w:rPr>
            </w:pPr>
            <w:r>
              <w:rPr>
                <w:rFonts w:ascii="宋体" w:hAnsi="宋体" w:cs="宋体" w:eastAsia="宋体" w:hint="default"/>
                <w:sz w:val="18"/>
                <w:szCs w:val="18"/>
              </w:rPr>
              <w:t>保定金迪地下 管线探测工程 有限公司、保 定市金迪科技 开发有限公司 及保定金迪科 学仪器有限公 司</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758" w:right="0"/>
              <w:jc w:val="left"/>
              <w:rPr>
                <w:rFonts w:ascii="Times New Roman" w:hAnsi="Times New Roman" w:cs="Times New Roman" w:eastAsia="Times New Roman" w:hint="default"/>
                <w:sz w:val="18"/>
                <w:szCs w:val="18"/>
              </w:rPr>
            </w:pPr>
            <w:r>
              <w:rPr>
                <w:rFonts w:ascii="Times New Roman"/>
                <w:sz w:val="18"/>
              </w:rPr>
              <w:t>6,000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533" w:right="0"/>
              <w:jc w:val="left"/>
              <w:rPr>
                <w:rFonts w:ascii="Times New Roman" w:hAnsi="Times New Roman" w:cs="Times New Roman" w:eastAsia="Times New Roman" w:hint="default"/>
                <w:sz w:val="18"/>
                <w:szCs w:val="18"/>
              </w:rPr>
            </w:pPr>
            <w:r>
              <w:rPr>
                <w:rFonts w:ascii="Times New Roman"/>
                <w:sz w:val="18"/>
              </w:rPr>
              <w:t>6,533.60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362" w:lineRule="auto"/>
              <w:ind w:left="23" w:right="90"/>
              <w:jc w:val="left"/>
              <w:rPr>
                <w:rFonts w:ascii="Times New Roman" w:hAnsi="Times New Roman" w:cs="Times New Roman" w:eastAsia="Times New Roman" w:hint="default"/>
                <w:sz w:val="18"/>
                <w:szCs w:val="18"/>
              </w:rPr>
            </w:pPr>
            <w:r>
              <w:rPr>
                <w:rFonts w:ascii="Times New Roman"/>
                <w:spacing w:val="-2"/>
                <w:sz w:val="18"/>
              </w:rPr>
              <w:t>http://www.cni</w:t>
            </w:r>
            <w:r>
              <w:rPr>
                <w:rFonts w:ascii="Times New Roman"/>
                <w:spacing w:val="-34"/>
                <w:sz w:val="18"/>
              </w:rPr>
              <w:t> </w:t>
            </w:r>
            <w:r>
              <w:rPr>
                <w:rFonts w:ascii="Times New Roman"/>
                <w:spacing w:val="-34"/>
                <w:sz w:val="18"/>
              </w:rPr>
            </w:r>
            <w:r>
              <w:rPr>
                <w:rFonts w:ascii="Times New Roman"/>
                <w:sz w:val="18"/>
              </w:rPr>
              <w:t>nfo.co</w:t>
            </w:r>
            <w:r>
              <w:rPr>
                <w:rFonts w:ascii="Times New Roman"/>
                <w:spacing w:val="-5"/>
                <w:sz w:val="18"/>
              </w:rPr>
              <w:t> </w:t>
            </w:r>
            <w:r>
              <w:rPr>
                <w:rFonts w:ascii="Times New Roman"/>
                <w:sz w:val="18"/>
              </w:rPr>
              <w:t>m.cn/</w:t>
            </w:r>
          </w:p>
          <w:p>
            <w:pPr>
              <w:pStyle w:val="TableParagraph"/>
              <w:spacing w:line="210" w:lineRule="exact"/>
              <w:ind w:left="2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2017-076</w:t>
            </w:r>
            <w:r>
              <w:rPr>
                <w:rFonts w:ascii="宋体" w:hAnsi="宋体" w:cs="宋体" w:eastAsia="宋体" w:hint="default"/>
                <w:sz w:val="18"/>
                <w:szCs w:val="18"/>
              </w:rPr>
              <w:t>）</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公司股东、交易对手方对公司或相关资产年度经营业绩作出的承诺情况</w:t>
      </w:r>
    </w:p>
    <w:p>
      <w:pPr>
        <w:spacing w:line="340" w:lineRule="auto" w:before="115"/>
        <w:ind w:left="152" w:right="69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业绩承诺的完成情况及其对商誉减值测试的影响</w:t>
      </w:r>
    </w:p>
    <w:p>
      <w:pPr>
        <w:spacing w:after="0" w:line="3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三、控股股东及其关联方对上市公司的非经营性占用资金情况</w:t>
      </w:r>
      <w:r>
        <w:rPr>
          <w:b w:val="0"/>
          <w:bCs w:val="0"/>
        </w:rPr>
      </w:r>
    </w:p>
    <w:p>
      <w:pPr>
        <w:spacing w:line="240" w:lineRule="auto" w:before="6"/>
        <w:rPr>
          <w:rFonts w:ascii="宋体" w:hAnsi="宋体" w:cs="宋体" w:eastAsia="宋体" w:hint="default"/>
          <w:b/>
          <w:bCs/>
          <w:sz w:val="26"/>
          <w:szCs w:val="26"/>
        </w:rPr>
      </w:pPr>
    </w:p>
    <w:p>
      <w:pPr>
        <w:spacing w:line="338" w:lineRule="auto" w:before="0"/>
        <w:ind w:left="152" w:right="49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公司报告期不存在控股股东及其关联方对上市公司的非经营性占用资金。</w:t>
      </w:r>
    </w:p>
    <w:p>
      <w:pPr>
        <w:spacing w:line="240" w:lineRule="auto" w:before="8"/>
        <w:rPr>
          <w:rFonts w:ascii="宋体" w:hAnsi="宋体" w:cs="宋体" w:eastAsia="宋体" w:hint="default"/>
          <w:sz w:val="19"/>
          <w:szCs w:val="19"/>
        </w:rPr>
      </w:pPr>
    </w:p>
    <w:p>
      <w:pPr>
        <w:pStyle w:val="Heading2"/>
        <w:spacing w:line="240" w:lineRule="auto"/>
        <w:ind w:right="982"/>
        <w:jc w:val="left"/>
        <w:rPr>
          <w:b w:val="0"/>
          <w:bCs w:val="0"/>
        </w:rPr>
      </w:pPr>
      <w:r>
        <w:rPr/>
        <w:t>四、董事会对最近一期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相关情况的说明</w:t>
      </w:r>
      <w:r>
        <w:rPr>
          <w:b w:val="0"/>
          <w:bCs w:val="0"/>
        </w:rPr>
      </w:r>
    </w:p>
    <w:p>
      <w:pPr>
        <w:spacing w:line="240" w:lineRule="auto" w:before="1"/>
        <w:rPr>
          <w:rFonts w:ascii="宋体" w:hAnsi="宋体" w:cs="宋体" w:eastAsia="宋体" w:hint="default"/>
          <w:b/>
          <w:bCs/>
          <w:sz w:val="25"/>
          <w:szCs w:val="25"/>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982"/>
        <w:jc w:val="left"/>
        <w:rPr>
          <w:b w:val="0"/>
          <w:bCs w:val="0"/>
        </w:rPr>
      </w:pP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2"/>
        <w:rPr>
          <w:rFonts w:ascii="宋体" w:hAnsi="宋体" w:cs="宋体" w:eastAsia="宋体" w:hint="default"/>
          <w:b/>
          <w:bCs/>
          <w:sz w:val="25"/>
          <w:szCs w:val="25"/>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982"/>
        <w:jc w:val="left"/>
        <w:rPr>
          <w:b w:val="0"/>
          <w:bCs w:val="0"/>
        </w:rPr>
      </w:pPr>
      <w:r>
        <w:rPr/>
        <w:t>六、董事会关于报告期会计政策、会计估计变更或重大会计差错更正的说明</w:t>
      </w:r>
      <w:r>
        <w:rPr>
          <w:b w:val="0"/>
          <w:bCs w:val="0"/>
        </w:rPr>
      </w:r>
    </w:p>
    <w:p>
      <w:pPr>
        <w:spacing w:line="240" w:lineRule="auto" w:before="6"/>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982"/>
        <w:jc w:val="left"/>
        <w:rPr>
          <w:b w:val="0"/>
          <w:bCs w:val="0"/>
        </w:rPr>
      </w:pPr>
      <w:r>
        <w:rPr/>
        <w:t>七、与上年度财务报告相比，合并报表范围发生变化的情况说明</w:t>
      </w:r>
      <w:r>
        <w:rPr>
          <w:b w:val="0"/>
          <w:bCs w:val="0"/>
        </w:rPr>
      </w:r>
    </w:p>
    <w:p>
      <w:pPr>
        <w:spacing w:line="240" w:lineRule="auto" w:before="6"/>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4"/>
        <w:ind w:right="982" w:firstLine="482"/>
        <w:jc w:val="left"/>
      </w:pPr>
      <w:r>
        <w:rPr>
          <w:spacing w:val="6"/>
        </w:rPr>
        <w:t>公司新设子公司福建政通城运信息科技有限公司，注册资本</w:t>
      </w:r>
      <w:r>
        <w:rPr>
          <w:rFonts w:ascii="宋体" w:hAnsi="宋体" w:cs="宋体" w:eastAsia="宋体" w:hint="default"/>
          <w:spacing w:val="6"/>
        </w:rPr>
        <w:t>2,000.00</w:t>
      </w:r>
      <w:r>
        <w:rPr>
          <w:spacing w:val="6"/>
        </w:rPr>
        <w:t>万元，持股比例</w:t>
      </w:r>
      <w:r>
        <w:rPr/>
        <w:t> </w:t>
      </w:r>
      <w:r>
        <w:rPr>
          <w:rFonts w:ascii="宋体" w:hAnsi="宋体" w:cs="宋体" w:eastAsia="宋体" w:hint="default"/>
        </w:rPr>
        <w:t>100%</w:t>
      </w:r>
      <w:r>
        <w:rPr/>
        <w:t>，已认缴出资额</w:t>
      </w:r>
      <w:r>
        <w:rPr>
          <w:rFonts w:ascii="宋体" w:hAnsi="宋体" w:cs="宋体" w:eastAsia="宋体" w:hint="default"/>
        </w:rPr>
        <w:t>2,000.00</w:t>
      </w:r>
      <w:r>
        <w:rPr/>
        <w:t>万元。统一社会信用代码：</w:t>
      </w:r>
      <w:r>
        <w:rPr>
          <w:rFonts w:ascii="宋体" w:hAnsi="宋体" w:cs="宋体" w:eastAsia="宋体" w:hint="default"/>
        </w:rPr>
        <w:t>91350901MA31FBUKXU</w:t>
      </w:r>
      <w:r>
        <w:rPr/>
        <w:t>，注册地：宁</w:t>
      </w:r>
      <w:r>
        <w:rPr>
          <w:spacing w:val="-82"/>
        </w:rPr>
        <w:t> </w:t>
      </w:r>
      <w:r>
        <w:rPr>
          <w:spacing w:val="-82"/>
        </w:rPr>
      </w:r>
      <w:r>
        <w:rPr/>
        <w:t>德市；业务范围：计算机软件开发；计算机信息领域内的技术咨询服务、技术开发、技术转</w:t>
      </w:r>
      <w:r>
        <w:rPr>
          <w:spacing w:val="-91"/>
        </w:rPr>
        <w:t> </w:t>
      </w:r>
      <w:r>
        <w:rPr>
          <w:spacing w:val="-91"/>
        </w:rPr>
      </w:r>
      <w:r>
        <w:rPr/>
        <w:t>让；计算机网络系统工程设计、维护；品牌设计、策划；组织文化艺术交流活动；娱乐演出</w:t>
      </w:r>
      <w:r>
        <w:rPr>
          <w:spacing w:val="-91"/>
        </w:rPr>
        <w:t> </w:t>
      </w:r>
      <w:r>
        <w:rPr>
          <w:spacing w:val="-91"/>
        </w:rPr>
      </w:r>
      <w:r>
        <w:rPr>
          <w:spacing w:val="-3"/>
        </w:rPr>
        <w:t>活动策划；礼仪庆典活动策划；公关策划；企业形象策划、推广；展览展示服务；礼仪服务；</w:t>
      </w:r>
      <w:r>
        <w:rPr>
          <w:spacing w:val="-83"/>
        </w:rPr>
        <w:t> </w:t>
      </w:r>
      <w:r>
        <w:rPr>
          <w:spacing w:val="-83"/>
        </w:rPr>
      </w:r>
      <w:r>
        <w:rPr/>
        <w:t>会务服务；旅游信息咨询服务；企业管理信息咨询服务（以上经营范围不含金融、证券、期</w:t>
      </w:r>
      <w:r>
        <w:rPr>
          <w:spacing w:val="-91"/>
        </w:rPr>
        <w:t> </w:t>
      </w:r>
      <w:r>
        <w:rPr>
          <w:spacing w:val="-91"/>
        </w:rPr>
      </w:r>
      <w:r>
        <w:rPr/>
        <w:t>货、保险）。（依法须经批准的项目，经相关部门批准后方可开展经营活动）。</w:t>
      </w:r>
    </w:p>
    <w:p>
      <w:pPr>
        <w:pStyle w:val="BodyText"/>
        <w:spacing w:line="357" w:lineRule="auto"/>
        <w:ind w:right="982" w:firstLine="482"/>
        <w:jc w:val="left"/>
      </w:pPr>
      <w:r>
        <w:rPr>
          <w:rFonts w:ascii="宋体" w:hAnsi="宋体" w:cs="宋体" w:eastAsia="宋体" w:hint="default"/>
          <w:spacing w:val="-3"/>
        </w:rPr>
        <w:t>2018</w:t>
      </w:r>
      <w:r>
        <w:rPr>
          <w:spacing w:val="-3"/>
        </w:rPr>
        <w:t>年</w:t>
      </w:r>
      <w:r>
        <w:rPr>
          <w:rFonts w:ascii="宋体" w:hAnsi="宋体" w:cs="宋体" w:eastAsia="宋体" w:hint="default"/>
          <w:spacing w:val="-3"/>
        </w:rPr>
        <w:t>7</w:t>
      </w:r>
      <w:r>
        <w:rPr>
          <w:spacing w:val="-3"/>
        </w:rPr>
        <w:t>月，本公司注销子公司北京数聚联盟科技有限公司，自清算之日起，北京数聚联</w:t>
      </w:r>
      <w:r>
        <w:rPr/>
        <w:t> 盟科技有限公司不再纳入本公司合并财务报表范围。</w:t>
      </w:r>
    </w:p>
    <w:p>
      <w:pPr>
        <w:spacing w:line="240" w:lineRule="auto" w:before="11"/>
        <w:rPr>
          <w:rFonts w:ascii="宋体" w:hAnsi="宋体" w:cs="宋体" w:eastAsia="宋体" w:hint="default"/>
          <w:sz w:val="19"/>
          <w:szCs w:val="19"/>
        </w:rPr>
      </w:pPr>
    </w:p>
    <w:p>
      <w:pPr>
        <w:pStyle w:val="Heading2"/>
        <w:spacing w:line="240" w:lineRule="auto"/>
        <w:ind w:right="982"/>
        <w:jc w:val="left"/>
        <w:rPr>
          <w:b w:val="0"/>
          <w:bCs w:val="0"/>
        </w:rPr>
      </w:pPr>
      <w:r>
        <w:rPr/>
        <w:t>八、聘任、解聘会计师事务所情况</w:t>
      </w:r>
      <w:r>
        <w:rPr>
          <w:b w:val="0"/>
          <w:bCs w:val="0"/>
        </w:rPr>
      </w:r>
    </w:p>
    <w:p>
      <w:pPr>
        <w:spacing w:line="240" w:lineRule="auto" w:before="6"/>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宋体" w:hAnsi="宋体" w:cs="宋体" w:eastAsia="宋体" w:hint="default"/>
          <w:sz w:val="18"/>
          <w:szCs w:val="18"/>
        </w:rPr>
        <w:t>现聘任的会计事务所</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90"/>
        <w:gridCol w:w="4779"/>
      </w:tblGrid>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上会会计师事务所（特殊普通合伙）</w:t>
            </w:r>
          </w:p>
        </w:tc>
      </w:tr>
      <w:tr>
        <w:trPr>
          <w:trHeight w:val="401"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80</w:t>
            </w:r>
          </w:p>
        </w:tc>
      </w:tr>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1"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王芳山，邓战涛</w:t>
            </w:r>
          </w:p>
        </w:tc>
      </w:tr>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5"/>
          <w:szCs w:val="25"/>
        </w:rPr>
      </w:pPr>
    </w:p>
    <w:p>
      <w:pPr>
        <w:spacing w:before="44"/>
        <w:ind w:left="152" w:right="982" w:firstLine="0"/>
        <w:jc w:val="left"/>
        <w:rPr>
          <w:rFonts w:ascii="宋体" w:hAnsi="宋体" w:cs="宋体" w:eastAsia="宋体" w:hint="default"/>
          <w:sz w:val="18"/>
          <w:szCs w:val="18"/>
        </w:rPr>
      </w:pPr>
      <w:r>
        <w:rPr>
          <w:rFonts w:ascii="宋体" w:hAnsi="宋体" w:cs="宋体" w:eastAsia="宋体" w:hint="default"/>
          <w:sz w:val="18"/>
          <w:szCs w:val="18"/>
        </w:rPr>
        <w:t>是否改聘会计师事务所</w:t>
      </w:r>
    </w:p>
    <w:p>
      <w:pPr>
        <w:spacing w:line="338" w:lineRule="auto" w:before="117"/>
        <w:ind w:left="152" w:right="80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否 是否在审计期间改聘会计师事务所</w:t>
      </w:r>
    </w:p>
    <w:p>
      <w:pPr>
        <w:spacing w:line="340" w:lineRule="auto" w:before="43"/>
        <w:ind w:left="152" w:right="78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 更换会计师事务所是否履行审批程序</w:t>
      </w:r>
    </w:p>
    <w:p>
      <w:pPr>
        <w:spacing w:line="340" w:lineRule="auto" w:before="39"/>
        <w:ind w:left="152" w:right="80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否 聘任、解聘会计师事务所情况说明</w:t>
      </w:r>
    </w:p>
    <w:p>
      <w:pPr>
        <w:pStyle w:val="BodyText"/>
        <w:spacing w:line="357" w:lineRule="auto" w:before="72"/>
        <w:ind w:right="1131" w:firstLine="480"/>
        <w:jc w:val="both"/>
      </w:pPr>
      <w:r>
        <w:rPr/>
        <w:t>公司第三届董事会第四十次会议审议通过《关于拟改聘会计师事务所的议案》，鉴于公 司与瑞华会计师事务所（特殊普通合伙）的聘期已满，且相关负责人发生工作变动，为了确</w:t>
      </w:r>
      <w:r>
        <w:rPr>
          <w:spacing w:val="-91"/>
        </w:rPr>
        <w:t> </w:t>
      </w:r>
      <w:r>
        <w:rPr>
          <w:spacing w:val="-91"/>
        </w:rPr>
      </w:r>
      <w:r>
        <w:rPr>
          <w:spacing w:val="-2"/>
        </w:rPr>
        <w:t>保审计工作的独立性和客观性，并结合公司实际业务需求</w:t>
      </w:r>
      <w:r>
        <w:rPr>
          <w:rFonts w:ascii="宋体" w:hAnsi="宋体" w:cs="宋体" w:eastAsia="宋体" w:hint="default"/>
          <w:spacing w:val="-2"/>
        </w:rPr>
        <w:t>,</w:t>
      </w:r>
      <w:r>
        <w:rPr>
          <w:spacing w:val="-2"/>
        </w:rPr>
        <w:t>拟不再续聘瑞华会计师事务所（特</w:t>
      </w:r>
      <w:r>
        <w:rPr/>
        <w:t> 殊普通合伙）为公司 </w:t>
      </w:r>
      <w:r>
        <w:rPr>
          <w:rFonts w:ascii="宋体" w:hAnsi="宋体" w:cs="宋体" w:eastAsia="宋体" w:hint="default"/>
        </w:rPr>
        <w:t>2018</w:t>
      </w:r>
      <w:r>
        <w:rPr>
          <w:rFonts w:ascii="宋体" w:hAnsi="宋体" w:cs="宋体" w:eastAsia="宋体" w:hint="default"/>
          <w:spacing w:val="30"/>
        </w:rPr>
        <w:t> </w:t>
      </w:r>
      <w:r>
        <w:rPr/>
        <w:t>年度审计机构。经公司董事会审计委员会审核并提议，聘请上会</w:t>
      </w:r>
    </w:p>
    <w:p>
      <w:pPr>
        <w:pStyle w:val="BodyText"/>
        <w:spacing w:line="357" w:lineRule="auto"/>
        <w:ind w:right="1117"/>
        <w:jc w:val="left"/>
      </w:pPr>
      <w:r>
        <w:rPr>
          <w:spacing w:val="-6"/>
        </w:rPr>
        <w:t>会计师事务所（特殊普通合伙）为公司 </w:t>
      </w:r>
      <w:r>
        <w:rPr>
          <w:rFonts w:ascii="宋体" w:hAnsi="宋体" w:cs="宋体" w:eastAsia="宋体" w:hint="default"/>
        </w:rPr>
        <w:t>2018</w:t>
      </w:r>
      <w:r>
        <w:rPr>
          <w:rFonts w:ascii="宋体" w:hAnsi="宋体" w:cs="宋体" w:eastAsia="宋体" w:hint="default"/>
          <w:spacing w:val="20"/>
        </w:rPr>
        <w:t> </w:t>
      </w:r>
      <w:r>
        <w:rPr>
          <w:spacing w:val="-5"/>
        </w:rPr>
        <w:t>年年度审计机构，聘任期为一年。议案已经</w:t>
      </w:r>
      <w:r>
        <w:rPr>
          <w:rFonts w:ascii="宋体" w:hAnsi="宋体" w:cs="宋体" w:eastAsia="宋体" w:hint="default"/>
          <w:spacing w:val="-5"/>
        </w:rPr>
        <w:t>2018</w:t>
      </w:r>
      <w:r>
        <w:rPr>
          <w:rFonts w:ascii="宋体" w:hAnsi="宋体" w:cs="宋体" w:eastAsia="宋体" w:hint="default"/>
        </w:rPr>
        <w:t> </w:t>
      </w:r>
      <w:r>
        <w:rPr/>
        <w:t>年第三次临时股东大会审议通过。</w:t>
      </w:r>
    </w:p>
    <w:p>
      <w:pPr>
        <w:spacing w:before="46"/>
        <w:ind w:left="152" w:right="982" w:firstLine="0"/>
        <w:jc w:val="left"/>
        <w:rPr>
          <w:rFonts w:ascii="宋体" w:hAnsi="宋体" w:cs="宋体" w:eastAsia="宋体" w:hint="default"/>
          <w:sz w:val="18"/>
          <w:szCs w:val="18"/>
        </w:rPr>
      </w:pPr>
      <w:r>
        <w:rPr>
          <w:rFonts w:ascii="宋体" w:hAnsi="宋体" w:cs="宋体" w:eastAsia="宋体" w:hint="default"/>
          <w:sz w:val="18"/>
          <w:szCs w:val="18"/>
        </w:rPr>
        <w:t>聘请内部控制审计会计师事务所、财务顾问或保荐人情况</w:t>
      </w:r>
    </w:p>
    <w:p>
      <w:pPr>
        <w:spacing w:before="115"/>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982"/>
        <w:jc w:val="left"/>
        <w:rPr>
          <w:b w:val="0"/>
          <w:bCs w:val="0"/>
        </w:rPr>
      </w:pPr>
      <w:r>
        <w:rPr/>
        <w:t>九、年度报告披露后面临暂停上市和终止上市情况</w:t>
      </w:r>
      <w:r>
        <w:rPr>
          <w:b w:val="0"/>
          <w:bCs w:val="0"/>
        </w:rPr>
      </w:r>
    </w:p>
    <w:p>
      <w:pPr>
        <w:spacing w:line="240" w:lineRule="auto" w:before="7"/>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982"/>
        <w:jc w:val="left"/>
        <w:rPr>
          <w:b w:val="0"/>
          <w:bCs w:val="0"/>
        </w:rPr>
      </w:pPr>
      <w:r>
        <w:rPr/>
        <w:t>十、破产重整相关事项</w:t>
      </w:r>
      <w:r>
        <w:rPr>
          <w:b w:val="0"/>
          <w:bCs w:val="0"/>
        </w:rPr>
      </w:r>
    </w:p>
    <w:p>
      <w:pPr>
        <w:spacing w:line="240" w:lineRule="auto" w:before="6"/>
        <w:rPr>
          <w:rFonts w:ascii="宋体" w:hAnsi="宋体" w:cs="宋体" w:eastAsia="宋体" w:hint="default"/>
          <w:b/>
          <w:bCs/>
          <w:sz w:val="26"/>
          <w:szCs w:val="26"/>
        </w:rPr>
      </w:pPr>
    </w:p>
    <w:p>
      <w:pPr>
        <w:spacing w:line="340" w:lineRule="auto" w:before="0"/>
        <w:ind w:left="152" w:right="76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公司报告期未发生破产重整相关事项。</w:t>
      </w:r>
    </w:p>
    <w:p>
      <w:pPr>
        <w:spacing w:line="240" w:lineRule="auto" w:before="4"/>
        <w:rPr>
          <w:rFonts w:ascii="宋体" w:hAnsi="宋体" w:cs="宋体" w:eastAsia="宋体" w:hint="default"/>
          <w:sz w:val="19"/>
          <w:szCs w:val="19"/>
        </w:rPr>
      </w:pPr>
    </w:p>
    <w:p>
      <w:pPr>
        <w:pStyle w:val="Heading2"/>
        <w:spacing w:line="240" w:lineRule="auto"/>
        <w:ind w:right="982"/>
        <w:jc w:val="left"/>
        <w:rPr>
          <w:b w:val="0"/>
          <w:bCs w:val="0"/>
        </w:rPr>
      </w:pPr>
      <w:r>
        <w:rPr/>
        <w:t>十一、重大诉讼、仲裁事项</w:t>
      </w:r>
      <w:r>
        <w:rPr>
          <w:b w:val="0"/>
          <w:bCs w:val="0"/>
        </w:rPr>
      </w:r>
    </w:p>
    <w:p>
      <w:pPr>
        <w:spacing w:line="240" w:lineRule="auto" w:before="6"/>
        <w:rPr>
          <w:rFonts w:ascii="宋体" w:hAnsi="宋体" w:cs="宋体" w:eastAsia="宋体" w:hint="default"/>
          <w:b/>
          <w:bCs/>
          <w:sz w:val="26"/>
          <w:szCs w:val="26"/>
        </w:rPr>
      </w:pPr>
    </w:p>
    <w:p>
      <w:pPr>
        <w:spacing w:line="340" w:lineRule="auto" w:before="0"/>
        <w:ind w:left="152" w:right="78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本年度公司无重大诉讼、仲裁事项。</w:t>
      </w:r>
    </w:p>
    <w:p>
      <w:pPr>
        <w:spacing w:line="240" w:lineRule="auto" w:before="6"/>
        <w:rPr>
          <w:rFonts w:ascii="宋体" w:hAnsi="宋体" w:cs="宋体" w:eastAsia="宋体" w:hint="default"/>
          <w:sz w:val="19"/>
          <w:szCs w:val="19"/>
        </w:rPr>
      </w:pPr>
    </w:p>
    <w:p>
      <w:pPr>
        <w:pStyle w:val="Heading2"/>
        <w:spacing w:line="240" w:lineRule="auto"/>
        <w:ind w:right="982"/>
        <w:jc w:val="left"/>
        <w:rPr>
          <w:b w:val="0"/>
          <w:bCs w:val="0"/>
        </w:rPr>
      </w:pPr>
      <w:r>
        <w:rPr/>
        <w:t>十二、处罚及整改情况</w:t>
      </w:r>
      <w:r>
        <w:rPr>
          <w:b w:val="0"/>
          <w:bCs w:val="0"/>
        </w:rPr>
      </w:r>
    </w:p>
    <w:p>
      <w:pPr>
        <w:spacing w:line="240" w:lineRule="auto" w:before="4"/>
        <w:rPr>
          <w:rFonts w:ascii="宋体" w:hAnsi="宋体" w:cs="宋体" w:eastAsia="宋体" w:hint="default"/>
          <w:b/>
          <w:bCs/>
          <w:sz w:val="26"/>
          <w:szCs w:val="26"/>
        </w:rPr>
      </w:pPr>
    </w:p>
    <w:p>
      <w:pPr>
        <w:spacing w:line="340" w:lineRule="auto" w:before="0"/>
        <w:ind w:left="152" w:right="78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公司报告期不存在处罚及整改情况。</w:t>
      </w:r>
    </w:p>
    <w:p>
      <w:pPr>
        <w:spacing w:line="240" w:lineRule="auto" w:before="6"/>
        <w:rPr>
          <w:rFonts w:ascii="宋体" w:hAnsi="宋体" w:cs="宋体" w:eastAsia="宋体" w:hint="default"/>
          <w:sz w:val="19"/>
          <w:szCs w:val="19"/>
        </w:rPr>
      </w:pPr>
    </w:p>
    <w:p>
      <w:pPr>
        <w:pStyle w:val="Heading2"/>
        <w:spacing w:line="240" w:lineRule="auto"/>
        <w:ind w:right="982"/>
        <w:jc w:val="left"/>
        <w:rPr>
          <w:b w:val="0"/>
          <w:bCs w:val="0"/>
        </w:rPr>
      </w:pPr>
      <w:r>
        <w:rPr/>
        <w:t>十三、公司及其控股股东、实际控制人的诚信状况</w:t>
      </w:r>
      <w:r>
        <w:rPr>
          <w:b w:val="0"/>
          <w:bCs w:val="0"/>
        </w:rPr>
      </w:r>
    </w:p>
    <w:p>
      <w:pPr>
        <w:spacing w:line="240" w:lineRule="auto" w:before="6"/>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十四、公司股权激励计划、员工持股计划或其他员工激励措施的实施情况</w:t>
      </w:r>
      <w:r>
        <w:rPr>
          <w:b w:val="0"/>
          <w:bCs w:val="0"/>
        </w:rPr>
      </w:r>
    </w:p>
    <w:p>
      <w:pPr>
        <w:spacing w:line="240" w:lineRule="auto" w:before="6"/>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240" w:lineRule="auto" w:before="132"/>
        <w:ind w:left="635" w:right="982"/>
        <w:jc w:val="left"/>
      </w:pPr>
      <w:r>
        <w:rPr>
          <w:rFonts w:ascii="宋体" w:hAnsi="宋体" w:cs="宋体" w:eastAsia="宋体" w:hint="default"/>
        </w:rPr>
        <w:t>2016</w:t>
      </w:r>
      <w:r>
        <w:rPr/>
        <w:t>年限制性股票激励计划</w:t>
      </w:r>
    </w:p>
    <w:p>
      <w:pPr>
        <w:pStyle w:val="BodyText"/>
        <w:spacing w:line="357" w:lineRule="auto" w:before="154"/>
        <w:ind w:right="1129" w:firstLine="482"/>
        <w:jc w:val="both"/>
      </w:pPr>
      <w:r>
        <w:rPr>
          <w:rFonts w:ascii="宋体" w:hAnsi="宋体" w:cs="宋体" w:eastAsia="宋体" w:hint="default"/>
        </w:rPr>
        <w:t>2018</w:t>
      </w:r>
      <w:r>
        <w:rPr/>
        <w:t>年</w:t>
      </w:r>
      <w:r>
        <w:rPr>
          <w:rFonts w:ascii="宋体" w:hAnsi="宋体" w:cs="宋体" w:eastAsia="宋体" w:hint="default"/>
        </w:rPr>
        <w:t>1</w:t>
      </w:r>
      <w:r>
        <w:rPr/>
        <w:t>月</w:t>
      </w:r>
      <w:r>
        <w:rPr>
          <w:rFonts w:ascii="宋体" w:hAnsi="宋体" w:cs="宋体" w:eastAsia="宋体" w:hint="default"/>
        </w:rPr>
        <w:t>9</w:t>
      </w:r>
      <w:r>
        <w:rPr/>
        <w:t>日，公司召开了第三届董事会第三十三次会议和第三届监事会第二十七次会 议，审议通过了《关于回购注销部分限制性股票的议案》，同意对已离职的</w:t>
      </w:r>
      <w:r>
        <w:rPr>
          <w:rFonts w:ascii="宋体" w:hAnsi="宋体" w:cs="宋体" w:eastAsia="宋体" w:hint="default"/>
        </w:rPr>
        <w:t>13</w:t>
      </w:r>
      <w:r>
        <w:rPr/>
        <w:t>名激励对象，</w:t>
      </w:r>
      <w:r>
        <w:rPr>
          <w:spacing w:val="-87"/>
        </w:rPr>
        <w:t> </w:t>
      </w:r>
      <w:r>
        <w:rPr>
          <w:spacing w:val="-87"/>
        </w:rPr>
      </w:r>
      <w:r>
        <w:rPr>
          <w:spacing w:val="5"/>
        </w:rPr>
        <w:t>注销其已获授但尚未解锁的限制性股票合计</w:t>
      </w:r>
      <w:r>
        <w:rPr>
          <w:rFonts w:ascii="宋体" w:hAnsi="宋体" w:cs="宋体" w:eastAsia="宋体" w:hint="default"/>
          <w:spacing w:val="5"/>
        </w:rPr>
        <w:t>28.60</w:t>
      </w:r>
      <w:r>
        <w:rPr>
          <w:spacing w:val="5"/>
        </w:rPr>
        <w:t>万股，回购总金额</w:t>
      </w:r>
      <w:r>
        <w:rPr>
          <w:rFonts w:ascii="宋体" w:hAnsi="宋体" w:cs="宋体" w:eastAsia="宋体" w:hint="default"/>
          <w:spacing w:val="5"/>
        </w:rPr>
        <w:t>2,981,840</w:t>
      </w:r>
      <w:r>
        <w:rPr>
          <w:spacing w:val="5"/>
        </w:rPr>
        <w:t>元，公司于</w:t>
      </w:r>
      <w:r>
        <w:rPr>
          <w:spacing w:val="-90"/>
        </w:rPr>
        <w:t> </w:t>
      </w:r>
      <w:r>
        <w:rPr>
          <w:spacing w:val="-90"/>
        </w:rPr>
      </w:r>
      <w:r>
        <w:rPr>
          <w:rFonts w:ascii="宋体" w:hAnsi="宋体" w:cs="宋体" w:eastAsia="宋体" w:hint="default"/>
        </w:rPr>
        <w:t>2018 </w:t>
      </w:r>
      <w:r>
        <w:rPr/>
        <w:t>年 </w:t>
      </w:r>
      <w:r>
        <w:rPr>
          <w:rFonts w:ascii="宋体" w:hAnsi="宋体" w:cs="宋体" w:eastAsia="宋体" w:hint="default"/>
        </w:rPr>
        <w:t>5 </w:t>
      </w:r>
      <w:r>
        <w:rPr/>
        <w:t>月 </w:t>
      </w:r>
      <w:r>
        <w:rPr>
          <w:rFonts w:ascii="宋体" w:hAnsi="宋体" w:cs="宋体" w:eastAsia="宋体" w:hint="default"/>
        </w:rPr>
        <w:t>25</w:t>
      </w:r>
      <w:r>
        <w:rPr>
          <w:rFonts w:ascii="宋体" w:hAnsi="宋体" w:cs="宋体" w:eastAsia="宋体" w:hint="default"/>
          <w:spacing w:val="28"/>
        </w:rPr>
        <w:t> </w:t>
      </w:r>
      <w:r>
        <w:rPr/>
        <w:t>日在中国登记结算有限责任公司深圳分公司完成回购注销登记；审议通过 了《关于公司</w:t>
      </w:r>
      <w:r>
        <w:rPr>
          <w:rFonts w:ascii="宋体" w:hAnsi="宋体" w:cs="宋体" w:eastAsia="宋体" w:hint="default"/>
        </w:rPr>
        <w:t>2016</w:t>
      </w:r>
      <w:r>
        <w:rPr/>
        <w:t>年限制性股票激励计划预留部分第一个解锁期解锁条件成就的议案》，同</w:t>
      </w:r>
      <w:r>
        <w:rPr>
          <w:spacing w:val="-91"/>
        </w:rPr>
        <w:t> </w:t>
      </w:r>
      <w:r>
        <w:rPr>
          <w:spacing w:val="-91"/>
        </w:rPr>
      </w:r>
      <w:r>
        <w:rPr/>
        <w:t>意公司向符合解锁条件的</w:t>
      </w:r>
      <w:r>
        <w:rPr>
          <w:rFonts w:ascii="宋体" w:hAnsi="宋体" w:cs="宋体" w:eastAsia="宋体" w:hint="default"/>
        </w:rPr>
        <w:t>61</w:t>
      </w:r>
      <w:r>
        <w:rPr/>
        <w:t>名激励对象解锁限制性股票</w:t>
      </w:r>
      <w:r>
        <w:rPr>
          <w:rFonts w:ascii="宋体" w:hAnsi="宋体" w:cs="宋体" w:eastAsia="宋体" w:hint="default"/>
        </w:rPr>
        <w:t>303,600</w:t>
      </w:r>
      <w:r>
        <w:rPr/>
        <w:t>股，</w:t>
      </w:r>
      <w:r>
        <w:rPr>
          <w:rFonts w:ascii="宋体" w:hAnsi="宋体" w:cs="宋体" w:eastAsia="宋体" w:hint="default"/>
        </w:rPr>
        <w:t>2018</w:t>
      </w:r>
      <w:r>
        <w:rPr/>
        <w:t>年</w:t>
      </w:r>
      <w:r>
        <w:rPr>
          <w:rFonts w:ascii="宋体" w:hAnsi="宋体" w:cs="宋体" w:eastAsia="宋体" w:hint="default"/>
        </w:rPr>
        <w:t>1</w:t>
      </w:r>
      <w:r>
        <w:rPr/>
        <w:t>月</w:t>
      </w:r>
      <w:r>
        <w:rPr>
          <w:rFonts w:ascii="宋体" w:hAnsi="宋体" w:cs="宋体" w:eastAsia="宋体" w:hint="default"/>
        </w:rPr>
        <w:t>23</w:t>
      </w:r>
      <w:r>
        <w:rPr/>
        <w:t>日，本次解</w:t>
      </w:r>
      <w:r>
        <w:rPr>
          <w:spacing w:val="-91"/>
        </w:rPr>
        <w:t> </w:t>
      </w:r>
      <w:r>
        <w:rPr>
          <w:spacing w:val="-91"/>
        </w:rPr>
      </w:r>
      <w:r>
        <w:rPr/>
        <w:t>锁的限制性股票上市流通。</w:t>
      </w:r>
    </w:p>
    <w:p>
      <w:pPr>
        <w:pStyle w:val="BodyText"/>
        <w:spacing w:line="357" w:lineRule="auto"/>
        <w:ind w:right="1000" w:firstLine="482"/>
        <w:jc w:val="left"/>
      </w:pPr>
      <w:r>
        <w:rPr>
          <w:rFonts w:ascii="宋体" w:hAnsi="宋体" w:cs="宋体" w:eastAsia="宋体" w:hint="default"/>
          <w:spacing w:val="3"/>
        </w:rPr>
        <w:t>2018</w:t>
      </w:r>
      <w:r>
        <w:rPr>
          <w:spacing w:val="3"/>
        </w:rPr>
        <w:t>年</w:t>
      </w:r>
      <w:r>
        <w:rPr>
          <w:rFonts w:ascii="宋体" w:hAnsi="宋体" w:cs="宋体" w:eastAsia="宋体" w:hint="default"/>
          <w:spacing w:val="3"/>
        </w:rPr>
        <w:t>5</w:t>
      </w:r>
      <w:r>
        <w:rPr>
          <w:spacing w:val="3"/>
        </w:rPr>
        <w:t>月</w:t>
      </w:r>
      <w:r>
        <w:rPr>
          <w:rFonts w:ascii="宋体" w:hAnsi="宋体" w:cs="宋体" w:eastAsia="宋体" w:hint="default"/>
          <w:spacing w:val="3"/>
        </w:rPr>
        <w:t>22</w:t>
      </w:r>
      <w:r>
        <w:rPr>
          <w:spacing w:val="3"/>
        </w:rPr>
        <w:t>日，公司召开了第三届董事会第三十六次会议和第三届监事会第三十次会</w:t>
      </w:r>
      <w:r>
        <w:rPr/>
        <w:t> </w:t>
      </w:r>
      <w:r>
        <w:rPr>
          <w:spacing w:val="-2"/>
        </w:rPr>
        <w:t>议，审议通过了《关于公司</w:t>
      </w:r>
      <w:r>
        <w:rPr>
          <w:rFonts w:ascii="宋体" w:hAnsi="宋体" w:cs="宋体" w:eastAsia="宋体" w:hint="default"/>
          <w:spacing w:val="-2"/>
        </w:rPr>
        <w:t>2016</w:t>
      </w:r>
      <w:r>
        <w:rPr>
          <w:spacing w:val="-2"/>
        </w:rPr>
        <w:t>年限制性股票激励计划第二个解锁期解锁条件成就的议案》，</w:t>
      </w:r>
      <w:r>
        <w:rPr>
          <w:spacing w:val="-117"/>
        </w:rPr>
        <w:t> </w:t>
      </w:r>
      <w:r>
        <w:rPr>
          <w:spacing w:val="-117"/>
        </w:rPr>
      </w:r>
      <w:r>
        <w:rPr/>
        <w:t>同意公司向符合解锁条件的</w:t>
      </w:r>
      <w:r>
        <w:rPr>
          <w:rFonts w:ascii="宋体" w:hAnsi="宋体" w:cs="宋体" w:eastAsia="宋体" w:hint="default"/>
        </w:rPr>
        <w:t>150</w:t>
      </w:r>
      <w:r>
        <w:rPr/>
        <w:t>名激励对象解锁限制性股票</w:t>
      </w:r>
      <w:r>
        <w:rPr>
          <w:rFonts w:ascii="宋体" w:hAnsi="宋体" w:cs="宋体" w:eastAsia="宋体" w:hint="default"/>
        </w:rPr>
        <w:t>2,530,500</w:t>
      </w:r>
      <w:r>
        <w:rPr/>
        <w:t>股。</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5</w:t>
      </w:r>
      <w:r>
        <w:rPr/>
        <w:t>日，本</w:t>
      </w:r>
      <w:r>
        <w:rPr>
          <w:spacing w:val="-82"/>
        </w:rPr>
        <w:t> </w:t>
      </w:r>
      <w:r>
        <w:rPr/>
        <w:t>次解锁的限制性股票上市流通。</w:t>
      </w:r>
    </w:p>
    <w:p>
      <w:pPr>
        <w:pStyle w:val="BodyText"/>
        <w:spacing w:line="357" w:lineRule="auto"/>
        <w:ind w:right="1132" w:firstLine="482"/>
        <w:jc w:val="both"/>
      </w:pPr>
      <w:r>
        <w:rPr>
          <w:rFonts w:ascii="宋体" w:hAnsi="宋体" w:cs="宋体" w:eastAsia="宋体" w:hint="default"/>
        </w:rPr>
        <w:t>2018</w:t>
      </w:r>
      <w:r>
        <w:rPr/>
        <w:t>年</w:t>
      </w:r>
      <w:r>
        <w:rPr>
          <w:rFonts w:ascii="宋体" w:hAnsi="宋体" w:cs="宋体" w:eastAsia="宋体" w:hint="default"/>
        </w:rPr>
        <w:t>11</w:t>
      </w:r>
      <w:r>
        <w:rPr/>
        <w:t>月</w:t>
      </w:r>
      <w:r>
        <w:rPr>
          <w:rFonts w:ascii="宋体" w:hAnsi="宋体" w:cs="宋体" w:eastAsia="宋体" w:hint="default"/>
        </w:rPr>
        <w:t>30</w:t>
      </w:r>
      <w:r>
        <w:rPr/>
        <w:t>日，公司召开第三届董事会第四十次会议审议通过了《关于限制性股票激 励计划预留部分第二个解锁期解锁条件成就的议案》。公司董事会同意为</w:t>
      </w:r>
      <w:r>
        <w:rPr>
          <w:rFonts w:ascii="宋体" w:hAnsi="宋体" w:cs="宋体" w:eastAsia="宋体" w:hint="default"/>
        </w:rPr>
        <w:t>52</w:t>
      </w:r>
      <w:r>
        <w:rPr/>
        <w:t>名符合解锁条件</w:t>
      </w:r>
      <w:r>
        <w:rPr>
          <w:spacing w:val="-86"/>
        </w:rPr>
        <w:t> </w:t>
      </w:r>
      <w:r>
        <w:rPr>
          <w:spacing w:val="-86"/>
        </w:rPr>
      </w:r>
      <w:r>
        <w:rPr>
          <w:spacing w:val="-2"/>
        </w:rPr>
        <w:t>的激励对象解除限售股</w:t>
      </w:r>
      <w:r>
        <w:rPr>
          <w:rFonts w:ascii="宋体" w:hAnsi="宋体" w:cs="宋体" w:eastAsia="宋体" w:hint="default"/>
          <w:spacing w:val="-2"/>
        </w:rPr>
        <w:t>254,100</w:t>
      </w:r>
      <w:r>
        <w:rPr>
          <w:spacing w:val="-2"/>
        </w:rPr>
        <w:t>股，公司独立董事就前述解锁事项发表了同意的独立意见，律</w:t>
      </w:r>
      <w:r>
        <w:rPr>
          <w:spacing w:val="-114"/>
        </w:rPr>
        <w:t> </w:t>
      </w:r>
      <w:r>
        <w:rPr>
          <w:spacing w:val="-114"/>
        </w:rPr>
      </w:r>
      <w:r>
        <w:rPr/>
        <w:t>师事务所就前述解锁事项出具了法律意见书。</w:t>
      </w:r>
    </w:p>
    <w:p>
      <w:pPr>
        <w:pStyle w:val="BodyText"/>
        <w:spacing w:line="357" w:lineRule="auto"/>
        <w:ind w:right="1035" w:firstLine="482"/>
        <w:jc w:val="left"/>
      </w:pPr>
      <w:r>
        <w:rPr>
          <w:rFonts w:ascii="宋体" w:hAnsi="宋体" w:cs="宋体" w:eastAsia="宋体" w:hint="default"/>
          <w:spacing w:val="-3"/>
        </w:rPr>
        <w:t>2019</w:t>
      </w:r>
      <w:r>
        <w:rPr>
          <w:spacing w:val="-3"/>
        </w:rPr>
        <w:t>年</w:t>
      </w:r>
      <w:r>
        <w:rPr>
          <w:rFonts w:ascii="宋体" w:hAnsi="宋体" w:cs="宋体" w:eastAsia="宋体" w:hint="default"/>
          <w:spacing w:val="-3"/>
        </w:rPr>
        <w:t>1</w:t>
      </w:r>
      <w:r>
        <w:rPr>
          <w:spacing w:val="-3"/>
        </w:rPr>
        <w:t>月</w:t>
      </w:r>
      <w:r>
        <w:rPr>
          <w:rFonts w:ascii="宋体" w:hAnsi="宋体" w:cs="宋体" w:eastAsia="宋体" w:hint="default"/>
          <w:spacing w:val="-3"/>
        </w:rPr>
        <w:t>22</w:t>
      </w:r>
      <w:r>
        <w:rPr>
          <w:spacing w:val="-3"/>
        </w:rPr>
        <w:t>日召开的第四届董事会第二次会议审议通过了《关于回购注销部分限制性股</w:t>
      </w:r>
      <w:r>
        <w:rPr/>
        <w:t> 票的议案》，根据公司《</w:t>
      </w:r>
      <w:r>
        <w:rPr>
          <w:rFonts w:ascii="宋体" w:hAnsi="宋体" w:cs="宋体" w:eastAsia="宋体" w:hint="default"/>
        </w:rPr>
        <w:t>2016</w:t>
      </w:r>
      <w:r>
        <w:rPr/>
        <w:t>年限制性股票激励计划（草案）》规定，第三个解锁期的解锁</w:t>
      </w:r>
      <w:r>
        <w:rPr>
          <w:spacing w:val="-90"/>
        </w:rPr>
        <w:t> </w:t>
      </w:r>
      <w:r>
        <w:rPr>
          <w:spacing w:val="-90"/>
        </w:rPr>
      </w:r>
      <w:r>
        <w:rPr>
          <w:spacing w:val="-2"/>
        </w:rPr>
        <w:t>条件是以</w:t>
      </w:r>
      <w:r>
        <w:rPr>
          <w:rFonts w:ascii="宋体" w:hAnsi="宋体" w:cs="宋体" w:eastAsia="宋体" w:hint="default"/>
          <w:spacing w:val="-2"/>
        </w:rPr>
        <w:t>2015</w:t>
      </w:r>
      <w:r>
        <w:rPr>
          <w:spacing w:val="-2"/>
        </w:rPr>
        <w:t>年净利润为基数，</w:t>
      </w:r>
      <w:r>
        <w:rPr>
          <w:rFonts w:ascii="宋体" w:hAnsi="宋体" w:cs="宋体" w:eastAsia="宋体" w:hint="default"/>
          <w:spacing w:val="-2"/>
        </w:rPr>
        <w:t>2018</w:t>
      </w:r>
      <w:r>
        <w:rPr>
          <w:spacing w:val="-2"/>
        </w:rPr>
        <w:t>年实现的净利润不低于基数的</w:t>
      </w:r>
      <w:r>
        <w:rPr>
          <w:rFonts w:ascii="宋体" w:hAnsi="宋体" w:cs="宋体" w:eastAsia="宋体" w:hint="default"/>
          <w:spacing w:val="-2"/>
        </w:rPr>
        <w:t>72%</w:t>
      </w:r>
      <w:r>
        <w:rPr>
          <w:spacing w:val="-2"/>
        </w:rPr>
        <w:t>。公司</w:t>
      </w:r>
      <w:r>
        <w:rPr>
          <w:rFonts w:ascii="宋体" w:hAnsi="宋体" w:cs="宋体" w:eastAsia="宋体" w:hint="default"/>
          <w:spacing w:val="-2"/>
        </w:rPr>
        <w:t>2015</w:t>
      </w:r>
      <w:r>
        <w:rPr>
          <w:spacing w:val="-2"/>
        </w:rPr>
        <w:t>年扣除非经</w:t>
      </w:r>
      <w:r>
        <w:rPr>
          <w:spacing w:val="-106"/>
        </w:rPr>
        <w:t> </w:t>
      </w:r>
      <w:r>
        <w:rPr>
          <w:spacing w:val="-2"/>
        </w:rPr>
        <w:t>常性损益后的净利润为</w:t>
      </w:r>
      <w:r>
        <w:rPr>
          <w:rFonts w:ascii="宋体" w:hAnsi="宋体" w:cs="宋体" w:eastAsia="宋体" w:hint="default"/>
          <w:spacing w:val="-2"/>
        </w:rPr>
        <w:t>10,596.17</w:t>
      </w:r>
      <w:r>
        <w:rPr>
          <w:spacing w:val="-2"/>
        </w:rPr>
        <w:t>万元，</w:t>
      </w:r>
      <w:r>
        <w:rPr>
          <w:rFonts w:ascii="宋体" w:hAnsi="宋体" w:cs="宋体" w:eastAsia="宋体" w:hint="default"/>
          <w:spacing w:val="-2"/>
        </w:rPr>
        <w:t>2018</w:t>
      </w:r>
      <w:r>
        <w:rPr>
          <w:spacing w:val="-2"/>
        </w:rPr>
        <w:t>年实现业绩解锁条件需要当年扣除非经常性损益</w:t>
      </w:r>
      <w:r>
        <w:rPr>
          <w:spacing w:val="-108"/>
        </w:rPr>
        <w:t> </w:t>
      </w:r>
      <w:r>
        <w:rPr/>
        <w:t>后的净利润不低于</w:t>
      </w:r>
      <w:r>
        <w:rPr>
          <w:spacing w:val="-1"/>
        </w:rPr>
        <w:t> </w:t>
      </w:r>
      <w:r>
        <w:rPr>
          <w:rFonts w:ascii="宋体" w:hAnsi="宋体" w:cs="宋体" w:eastAsia="宋体" w:hint="default"/>
        </w:rPr>
        <w:t>18,225.41</w:t>
      </w:r>
      <w:r>
        <w:rPr/>
        <w:t>万元。根据公司于</w:t>
      </w:r>
      <w:r>
        <w:rPr>
          <w:rFonts w:ascii="宋体" w:hAnsi="宋体" w:cs="宋体" w:eastAsia="宋体" w:hint="default"/>
        </w:rPr>
        <w:t>2019</w:t>
      </w:r>
      <w:r>
        <w:rPr/>
        <w:t>年</w:t>
      </w:r>
      <w:r>
        <w:rPr>
          <w:rFonts w:ascii="宋体" w:hAnsi="宋体" w:cs="宋体" w:eastAsia="宋体" w:hint="default"/>
        </w:rPr>
        <w:t>1</w:t>
      </w:r>
      <w:r>
        <w:rPr/>
        <w:t>月</w:t>
      </w:r>
      <w:r>
        <w:rPr>
          <w:rFonts w:ascii="宋体" w:hAnsi="宋体" w:cs="宋体" w:eastAsia="宋体" w:hint="default"/>
        </w:rPr>
        <w:t>18</w:t>
      </w:r>
      <w:r>
        <w:rPr/>
        <w:t>日发布的《</w:t>
      </w:r>
      <w:r>
        <w:rPr>
          <w:rFonts w:ascii="宋体" w:hAnsi="宋体" w:cs="宋体" w:eastAsia="宋体" w:hint="default"/>
        </w:rPr>
        <w:t>2018</w:t>
      </w:r>
      <w:r>
        <w:rPr/>
        <w:t>年度业绩预告》 的数据，预计</w:t>
      </w:r>
      <w:r>
        <w:rPr>
          <w:rFonts w:ascii="宋体" w:hAnsi="宋体" w:cs="宋体" w:eastAsia="宋体" w:hint="default"/>
        </w:rPr>
        <w:t>2018</w:t>
      </w:r>
      <w:r>
        <w:rPr/>
        <w:t>年归属上市公司股东的净利润为</w:t>
      </w:r>
      <w:r>
        <w:rPr>
          <w:rFonts w:ascii="宋体" w:hAnsi="宋体" w:cs="宋体" w:eastAsia="宋体" w:hint="default"/>
        </w:rPr>
        <w:t>11,023.67</w:t>
      </w:r>
      <w:r>
        <w:rPr/>
        <w:t>万元至</w:t>
      </w:r>
      <w:r>
        <w:rPr>
          <w:spacing w:val="15"/>
        </w:rPr>
        <w:t> </w:t>
      </w:r>
      <w:r>
        <w:rPr>
          <w:rFonts w:ascii="宋体" w:hAnsi="宋体" w:cs="宋体" w:eastAsia="宋体" w:hint="default"/>
        </w:rPr>
        <w:t>14,415.57</w:t>
      </w:r>
      <w:r>
        <w:rPr>
          <w:rFonts w:ascii="宋体" w:hAnsi="宋体" w:cs="宋体" w:eastAsia="宋体" w:hint="default"/>
          <w:spacing w:val="16"/>
        </w:rPr>
        <w:t> </w:t>
      </w:r>
      <w:r>
        <w:rPr/>
        <w:t>万元区间，</w:t>
      </w:r>
      <w:r>
        <w:rPr>
          <w:spacing w:val="-111"/>
        </w:rPr>
        <w:t> </w:t>
      </w:r>
      <w:r>
        <w:rPr>
          <w:spacing w:val="-111"/>
        </w:rPr>
      </w:r>
      <w:r>
        <w:rPr/>
        <w:t>预计</w:t>
      </w:r>
      <w:r>
        <w:rPr>
          <w:spacing w:val="-47"/>
        </w:rPr>
        <w:t> </w:t>
      </w:r>
      <w:r>
        <w:rPr>
          <w:rFonts w:ascii="宋体" w:hAnsi="宋体" w:cs="宋体" w:eastAsia="宋体" w:hint="default"/>
        </w:rPr>
        <w:t>2018</w:t>
      </w:r>
      <w:r>
        <w:rPr/>
        <w:t>年非经常性损益对公司净利润的影响约为</w:t>
      </w:r>
      <w:r>
        <w:rPr>
          <w:rFonts w:ascii="宋体" w:hAnsi="宋体" w:cs="宋体" w:eastAsia="宋体" w:hint="default"/>
        </w:rPr>
        <w:t>50</w:t>
      </w:r>
      <w:r>
        <w:rPr/>
        <w:t>万元，故公司</w:t>
      </w:r>
      <w:r>
        <w:rPr>
          <w:rFonts w:ascii="宋体" w:hAnsi="宋体" w:cs="宋体" w:eastAsia="宋体" w:hint="default"/>
        </w:rPr>
        <w:t>2018</w:t>
      </w:r>
      <w:r>
        <w:rPr/>
        <w:t>年经营业绩未能达到 </w:t>
      </w:r>
      <w:r>
        <w:rPr>
          <w:spacing w:val="-3"/>
        </w:rPr>
        <w:t>限制性股票第三个解锁期的解锁条件；同时</w:t>
      </w:r>
      <w:r>
        <w:rPr>
          <w:spacing w:val="13"/>
        </w:rPr>
        <w:t> </w:t>
      </w:r>
      <w:r>
        <w:rPr>
          <w:rFonts w:ascii="宋体" w:hAnsi="宋体" w:cs="宋体" w:eastAsia="宋体" w:hint="default"/>
        </w:rPr>
        <w:t>9</w:t>
      </w:r>
      <w:r>
        <w:rPr>
          <w:rFonts w:ascii="宋体" w:hAnsi="宋体" w:cs="宋体" w:eastAsia="宋体" w:hint="default"/>
          <w:spacing w:val="12"/>
        </w:rPr>
        <w:t> </w:t>
      </w:r>
      <w:r>
        <w:rPr>
          <w:spacing w:val="-3"/>
        </w:rPr>
        <w:t>名激励对象因个人原因离职，已不符合激励对</w:t>
      </w:r>
      <w:r>
        <w:rPr>
          <w:spacing w:val="-111"/>
        </w:rPr>
        <w:t> </w:t>
      </w:r>
      <w:r>
        <w:rPr>
          <w:spacing w:val="-111"/>
        </w:rPr>
      </w:r>
      <w:r>
        <w:rPr/>
        <w:t>象条件。因此，公司将回购注销第三期的全部限制性股票</w:t>
      </w:r>
      <w:r>
        <w:rPr>
          <w:rFonts w:ascii="宋体" w:hAnsi="宋体" w:cs="宋体" w:eastAsia="宋体" w:hint="default"/>
        </w:rPr>
        <w:t>371.28</w:t>
      </w:r>
      <w:r>
        <w:rPr/>
        <w:t>万股和已离职激励对象尚未</w:t>
      </w:r>
      <w:r>
        <w:rPr>
          <w:spacing w:val="-90"/>
        </w:rPr>
        <w:t> </w:t>
      </w:r>
      <w:r>
        <w:rPr>
          <w:spacing w:val="-90"/>
        </w:rPr>
      </w:r>
      <w:r>
        <w:rPr>
          <w:spacing w:val="-2"/>
        </w:rPr>
        <w:t>解锁的限制性股票</w:t>
      </w:r>
      <w:r>
        <w:rPr>
          <w:rFonts w:ascii="宋体" w:hAnsi="宋体" w:cs="宋体" w:eastAsia="宋体" w:hint="default"/>
          <w:spacing w:val="-2"/>
        </w:rPr>
        <w:t>11.55</w:t>
      </w:r>
      <w:r>
        <w:rPr>
          <w:spacing w:val="-2"/>
        </w:rPr>
        <w:t>万股，回购注销股票共计</w:t>
      </w:r>
      <w:r>
        <w:rPr>
          <w:rFonts w:ascii="宋体" w:hAnsi="宋体" w:cs="宋体" w:eastAsia="宋体" w:hint="default"/>
          <w:spacing w:val="-2"/>
        </w:rPr>
        <w:t>382.83</w:t>
      </w:r>
      <w:r>
        <w:rPr>
          <w:spacing w:val="-2"/>
        </w:rPr>
        <w:t>万股，本次激励计划首批授予的限制</w:t>
      </w:r>
      <w:r>
        <w:rPr>
          <w:spacing w:val="-110"/>
        </w:rPr>
        <w:t> </w:t>
      </w:r>
      <w:r>
        <w:rPr>
          <w:spacing w:val="-110"/>
        </w:rPr>
      </w:r>
      <w:r>
        <w:rPr/>
        <w:t>性股票回购价格为</w:t>
      </w:r>
      <w:r>
        <w:rPr>
          <w:rFonts w:ascii="宋体" w:hAnsi="宋体" w:cs="宋体" w:eastAsia="宋体" w:hint="default"/>
        </w:rPr>
        <w:t>10.37</w:t>
      </w:r>
      <w:r>
        <w:rPr/>
        <w:t>元</w:t>
      </w:r>
      <w:r>
        <w:rPr>
          <w:rFonts w:ascii="宋体" w:hAnsi="宋体" w:cs="宋体" w:eastAsia="宋体" w:hint="default"/>
        </w:rPr>
        <w:t>/</w:t>
      </w:r>
      <w:r>
        <w:rPr/>
        <w:t>股，预留部分的限制性股票回购价格为</w:t>
      </w:r>
      <w:r>
        <w:rPr>
          <w:rFonts w:ascii="宋体" w:hAnsi="宋体" w:cs="宋体" w:eastAsia="宋体" w:hint="default"/>
        </w:rPr>
        <w:t>11.26</w:t>
      </w:r>
      <w:r>
        <w:rPr/>
        <w:t>元</w:t>
      </w:r>
      <w:r>
        <w:rPr>
          <w:rFonts w:ascii="宋体" w:hAnsi="宋体" w:cs="宋体" w:eastAsia="宋体" w:hint="default"/>
        </w:rPr>
        <w:t>/</w:t>
      </w:r>
      <w:r>
        <w:rPr/>
        <w:t>股，回购总金额</w:t>
      </w:r>
    </w:p>
    <w:p>
      <w:pPr>
        <w:spacing w:after="0" w:line="357"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240" w:lineRule="auto" w:before="26"/>
        <w:ind w:right="982"/>
        <w:jc w:val="left"/>
      </w:pPr>
      <w:r>
        <w:rPr/>
        <w:t>为</w:t>
      </w:r>
      <w:r>
        <w:rPr>
          <w:rFonts w:ascii="宋体" w:hAnsi="宋体" w:cs="宋体" w:eastAsia="宋体" w:hint="default"/>
        </w:rPr>
        <w:t>40,103,798</w:t>
      </w:r>
      <w:r>
        <w:rPr/>
        <w:t>元。</w:t>
      </w:r>
    </w:p>
    <w:p>
      <w:pPr>
        <w:pStyle w:val="BodyText"/>
        <w:spacing w:line="240" w:lineRule="auto" w:before="154"/>
        <w:ind w:left="635" w:right="982"/>
        <w:jc w:val="left"/>
      </w:pPr>
      <w:r>
        <w:rPr>
          <w:rFonts w:ascii="宋体" w:hAnsi="宋体" w:cs="宋体" w:eastAsia="宋体" w:hint="default"/>
        </w:rPr>
        <w:t>2018</w:t>
      </w:r>
      <w:r>
        <w:rPr/>
        <w:t>年股票期权与限制性股票激励计划</w:t>
      </w:r>
    </w:p>
    <w:p>
      <w:pPr>
        <w:pStyle w:val="BodyText"/>
        <w:spacing w:line="357" w:lineRule="auto" w:before="154"/>
        <w:ind w:right="1128" w:firstLine="482"/>
        <w:jc w:val="both"/>
      </w:pPr>
      <w:r>
        <w:rPr>
          <w:rFonts w:ascii="宋体" w:hAnsi="宋体" w:cs="宋体" w:eastAsia="宋体" w:hint="default"/>
          <w:spacing w:val="-2"/>
        </w:rPr>
        <w:t>2018</w:t>
      </w:r>
      <w:r>
        <w:rPr>
          <w:spacing w:val="-2"/>
        </w:rPr>
        <w:t>年</w:t>
      </w:r>
      <w:r>
        <w:rPr>
          <w:rFonts w:ascii="宋体" w:hAnsi="宋体" w:cs="宋体" w:eastAsia="宋体" w:hint="default"/>
          <w:spacing w:val="-2"/>
        </w:rPr>
        <w:t>11</w:t>
      </w:r>
      <w:r>
        <w:rPr>
          <w:spacing w:val="-2"/>
        </w:rPr>
        <w:t>月</w:t>
      </w:r>
      <w:r>
        <w:rPr>
          <w:rFonts w:ascii="宋体" w:hAnsi="宋体" w:cs="宋体" w:eastAsia="宋体" w:hint="default"/>
          <w:spacing w:val="-2"/>
        </w:rPr>
        <w:t>30</w:t>
      </w:r>
      <w:r>
        <w:rPr>
          <w:spacing w:val="-2"/>
        </w:rPr>
        <w:t>日，公司第三届董事会第四十次会议审议通过了《关于公司</w:t>
      </w:r>
      <w:r>
        <w:rPr>
          <w:rFonts w:ascii="宋体" w:hAnsi="宋体" w:cs="宋体" w:eastAsia="宋体" w:hint="default"/>
          <w:spacing w:val="-2"/>
        </w:rPr>
        <w:t>&lt;2018</w:t>
      </w:r>
      <w:r>
        <w:rPr>
          <w:spacing w:val="-2"/>
        </w:rPr>
        <w:t>年股票期</w:t>
      </w:r>
      <w:r>
        <w:rPr/>
        <w:t> 权与限制性股票激励计划（草案）</w:t>
      </w:r>
      <w:r>
        <w:rPr>
          <w:rFonts w:ascii="宋体" w:hAnsi="宋体" w:cs="宋体" w:eastAsia="宋体" w:hint="default"/>
        </w:rPr>
        <w:t>&gt;</w:t>
      </w:r>
      <w:r>
        <w:rPr/>
        <w:t>及其摘要的议案》、《关于公司</w:t>
      </w:r>
      <w:r>
        <w:rPr>
          <w:rFonts w:ascii="宋体" w:hAnsi="宋体" w:cs="宋体" w:eastAsia="宋体" w:hint="default"/>
        </w:rPr>
        <w:t>&lt;2018</w:t>
      </w:r>
      <w:r>
        <w:rPr/>
        <w:t>年股票期权与限制</w:t>
      </w:r>
      <w:r>
        <w:rPr>
          <w:spacing w:val="-87"/>
        </w:rPr>
        <w:t> </w:t>
      </w:r>
      <w:r>
        <w:rPr>
          <w:spacing w:val="-87"/>
        </w:rPr>
      </w:r>
      <w:r>
        <w:rPr>
          <w:spacing w:val="-2"/>
        </w:rPr>
        <w:t>性股票激励计划实施考核管理办法</w:t>
      </w:r>
      <w:r>
        <w:rPr>
          <w:rFonts w:ascii="宋体" w:hAnsi="宋体" w:cs="宋体" w:eastAsia="宋体" w:hint="default"/>
          <w:spacing w:val="-2"/>
        </w:rPr>
        <w:t>&gt;</w:t>
      </w:r>
      <w:r>
        <w:rPr>
          <w:spacing w:val="-2"/>
        </w:rPr>
        <w:t>的议案》、《关于提请股东大会授权董事会办理股权激励</w:t>
      </w:r>
      <w:r>
        <w:rPr/>
        <w:t> 相关事宜的议案》、《关于召开</w:t>
      </w:r>
      <w:r>
        <w:rPr>
          <w:rFonts w:ascii="宋体" w:hAnsi="宋体" w:cs="宋体" w:eastAsia="宋体" w:hint="default"/>
        </w:rPr>
        <w:t>2018</w:t>
      </w:r>
      <w:r>
        <w:rPr/>
        <w:t>年第三次临时股东大会的议案》，公司第三届监事会第</w:t>
      </w:r>
      <w:r>
        <w:rPr>
          <w:spacing w:val="-89"/>
        </w:rPr>
        <w:t> </w:t>
      </w:r>
      <w:r>
        <w:rPr>
          <w:spacing w:val="-89"/>
        </w:rPr>
      </w:r>
      <w:r>
        <w:rPr/>
        <w:t>三十四次会议审议通过了相关议案。公司已对激励对象名单在公司内部进行了公示，公示期</w:t>
      </w:r>
      <w:r>
        <w:rPr>
          <w:spacing w:val="-91"/>
        </w:rPr>
        <w:t> </w:t>
      </w:r>
      <w:r>
        <w:rPr>
          <w:spacing w:val="-91"/>
        </w:rPr>
      </w:r>
      <w:r>
        <w:rPr/>
        <w:t>满后，监事会对本次股权激励计划授予激励对象名单进行了核查并对公示情况进行了说明，</w:t>
      </w:r>
      <w:r>
        <w:rPr>
          <w:spacing w:val="-91"/>
        </w:rPr>
        <w:t> </w:t>
      </w:r>
      <w:r>
        <w:rPr>
          <w:spacing w:val="-91"/>
        </w:rPr>
      </w:r>
      <w:r>
        <w:rPr/>
        <w:t>公司独立董事就本次股权激励计划是否有利于公司的持续发展及是否存在损害公司及全体股</w:t>
      </w:r>
      <w:r>
        <w:rPr>
          <w:spacing w:val="-91"/>
        </w:rPr>
        <w:t> </w:t>
      </w:r>
      <w:r>
        <w:rPr>
          <w:spacing w:val="-91"/>
        </w:rPr>
      </w:r>
      <w:r>
        <w:rPr/>
        <w:t>东利益的情形发表了独立意见。</w:t>
      </w:r>
    </w:p>
    <w:p>
      <w:pPr>
        <w:pStyle w:val="BodyText"/>
        <w:spacing w:line="357" w:lineRule="auto"/>
        <w:ind w:right="1128" w:firstLine="482"/>
        <w:jc w:val="both"/>
      </w:pPr>
      <w:r>
        <w:rPr>
          <w:rFonts w:ascii="宋体" w:hAnsi="宋体" w:cs="宋体" w:eastAsia="宋体" w:hint="default"/>
          <w:spacing w:val="-2"/>
        </w:rPr>
        <w:t>2018</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18</w:t>
      </w:r>
      <w:r>
        <w:rPr>
          <w:spacing w:val="-2"/>
        </w:rPr>
        <w:t>日，公司</w:t>
      </w:r>
      <w:r>
        <w:rPr>
          <w:rFonts w:ascii="宋体" w:hAnsi="宋体" w:cs="宋体" w:eastAsia="宋体" w:hint="default"/>
          <w:spacing w:val="-2"/>
        </w:rPr>
        <w:t>2018</w:t>
      </w:r>
      <w:r>
        <w:rPr>
          <w:spacing w:val="-2"/>
        </w:rPr>
        <w:t>年第三次临时股东大会审议并通过了《关于公司</w:t>
      </w:r>
      <w:r>
        <w:rPr>
          <w:rFonts w:ascii="宋体" w:hAnsi="宋体" w:cs="宋体" w:eastAsia="宋体" w:hint="default"/>
          <w:spacing w:val="-2"/>
        </w:rPr>
        <w:t>&lt;2018</w:t>
      </w:r>
      <w:r>
        <w:rPr>
          <w:spacing w:val="-2"/>
        </w:rPr>
        <w:t>年股票</w:t>
      </w:r>
      <w:r>
        <w:rPr/>
        <w:t> 期权与限制性股票激励计划（草案）</w:t>
      </w:r>
      <w:r>
        <w:rPr>
          <w:rFonts w:ascii="宋体" w:hAnsi="宋体" w:cs="宋体" w:eastAsia="宋体" w:hint="default"/>
        </w:rPr>
        <w:t>&gt;</w:t>
      </w:r>
      <w:r>
        <w:rPr/>
        <w:t>及其摘要的议案》、《关于公司</w:t>
      </w:r>
      <w:r>
        <w:rPr>
          <w:rFonts w:ascii="宋体" w:hAnsi="宋体" w:cs="宋体" w:eastAsia="宋体" w:hint="default"/>
        </w:rPr>
        <w:t>&lt;2018</w:t>
      </w:r>
      <w:r>
        <w:rPr/>
        <w:t>年股票期权与限</w:t>
      </w:r>
      <w:r>
        <w:rPr>
          <w:spacing w:val="-88"/>
        </w:rPr>
        <w:t> </w:t>
      </w:r>
      <w:r>
        <w:rPr>
          <w:spacing w:val="-88"/>
        </w:rPr>
      </w:r>
      <w:r>
        <w:rPr>
          <w:spacing w:val="-3"/>
        </w:rPr>
        <w:t>制性股票激励计划实施考核管理办法</w:t>
      </w:r>
      <w:r>
        <w:rPr>
          <w:rFonts w:ascii="宋体" w:hAnsi="宋体" w:cs="宋体" w:eastAsia="宋体" w:hint="default"/>
          <w:spacing w:val="-3"/>
        </w:rPr>
        <w:t>&gt;</w:t>
      </w:r>
      <w:r>
        <w:rPr>
          <w:spacing w:val="-3"/>
        </w:rPr>
        <w:t>的议案》、《关于提请股东大会授权董事会办理股权激</w:t>
      </w:r>
      <w:r>
        <w:rPr>
          <w:spacing w:val="-80"/>
        </w:rPr>
        <w:t> </w:t>
      </w:r>
      <w:r>
        <w:rPr>
          <w:spacing w:val="-80"/>
        </w:rPr>
      </w:r>
      <w:r>
        <w:rPr/>
        <w:t>励相关事宜的议案》。公司实施</w:t>
      </w:r>
      <w:r>
        <w:rPr>
          <w:rFonts w:ascii="宋体" w:hAnsi="宋体" w:cs="宋体" w:eastAsia="宋体" w:hint="default"/>
        </w:rPr>
        <w:t>2018</w:t>
      </w:r>
      <w:r>
        <w:rPr/>
        <w:t>年股票期权与限制性股票激励计划获得批准，董事会被</w:t>
      </w:r>
      <w:r>
        <w:rPr>
          <w:spacing w:val="-89"/>
        </w:rPr>
        <w:t> </w:t>
      </w:r>
      <w:r>
        <w:rPr>
          <w:spacing w:val="-89"/>
        </w:rPr>
      </w:r>
      <w:r>
        <w:rPr/>
        <w:t>授权确定授予日、在激励对象符合条件时向激励对象授予股票期权与限制性股票，并办理授</w:t>
      </w:r>
      <w:r>
        <w:rPr>
          <w:spacing w:val="-91"/>
        </w:rPr>
        <w:t> </w:t>
      </w:r>
      <w:r>
        <w:rPr>
          <w:spacing w:val="-91"/>
        </w:rPr>
      </w:r>
      <w:r>
        <w:rPr/>
        <w:t>予所必需的全部事宜。</w:t>
      </w:r>
    </w:p>
    <w:p>
      <w:pPr>
        <w:pStyle w:val="BodyText"/>
        <w:spacing w:line="240" w:lineRule="auto"/>
        <w:ind w:left="635" w:right="982"/>
        <w:jc w:val="left"/>
      </w:pPr>
      <w:r>
        <w:rPr>
          <w:rFonts w:ascii="宋体" w:hAnsi="宋体" w:cs="宋体" w:eastAsia="宋体" w:hint="default"/>
          <w:spacing w:val="-3"/>
        </w:rPr>
        <w:t>2018</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18</w:t>
      </w:r>
      <w:r>
        <w:rPr>
          <w:spacing w:val="-3"/>
        </w:rPr>
        <w:t>日，公司第四届董事会第一次会议和第四届监事会</w:t>
      </w:r>
      <w:r>
        <w:rPr>
          <w:spacing w:val="12"/>
        </w:rPr>
        <w:t> </w:t>
      </w:r>
      <w:r>
        <w:rPr/>
        <w:t>第一次会议审议通过了</w:t>
      </w:r>
    </w:p>
    <w:p>
      <w:pPr>
        <w:pStyle w:val="BodyText"/>
        <w:spacing w:line="357" w:lineRule="auto" w:before="154"/>
        <w:ind w:right="1002"/>
        <w:jc w:val="left"/>
      </w:pPr>
      <w:r>
        <w:rPr>
          <w:spacing w:val="-5"/>
        </w:rPr>
        <w:t>《关于向激励对象授予股票期权与限制性股票的议案》。</w:t>
      </w:r>
      <w:r>
        <w:rPr>
          <w:spacing w:val="-83"/>
        </w:rPr>
        <w:t> </w:t>
      </w:r>
      <w:r>
        <w:rPr/>
        <w:t>公司独立董事对此发表了独立意见，</w:t>
      </w:r>
      <w:r>
        <w:rPr>
          <w:spacing w:val="-114"/>
        </w:rPr>
        <w:t> </w:t>
      </w:r>
      <w:r>
        <w:rPr>
          <w:spacing w:val="-114"/>
        </w:rPr>
      </w:r>
      <w:r>
        <w:rPr/>
        <w:t>认为激励对象主体资格合法、有效，确定的授予日符合相关规定。</w:t>
      </w:r>
    </w:p>
    <w:p>
      <w:pPr>
        <w:pStyle w:val="BodyText"/>
        <w:spacing w:line="357" w:lineRule="auto"/>
        <w:ind w:right="982" w:firstLine="482"/>
        <w:jc w:val="left"/>
      </w:pPr>
      <w:r>
        <w:rPr>
          <w:rFonts w:ascii="宋体" w:hAnsi="宋体" w:cs="宋体" w:eastAsia="宋体" w:hint="default"/>
        </w:rPr>
        <w:t>2019</w:t>
      </w:r>
      <w:r>
        <w:rPr/>
        <w:t>年</w:t>
      </w:r>
      <w:r>
        <w:rPr>
          <w:rFonts w:ascii="宋体" w:hAnsi="宋体" w:cs="宋体" w:eastAsia="宋体" w:hint="default"/>
        </w:rPr>
        <w:t>1</w:t>
      </w:r>
      <w:r>
        <w:rPr/>
        <w:t>月</w:t>
      </w:r>
      <w:r>
        <w:rPr>
          <w:rFonts w:ascii="宋体" w:hAnsi="宋体" w:cs="宋体" w:eastAsia="宋体" w:hint="default"/>
        </w:rPr>
        <w:t>12</w:t>
      </w:r>
      <w:r>
        <w:rPr/>
        <w:t>日，公司完成了《公司</w:t>
      </w:r>
      <w:r>
        <w:rPr>
          <w:rFonts w:ascii="宋体" w:hAnsi="宋体" w:cs="宋体" w:eastAsia="宋体" w:hint="default"/>
        </w:rPr>
        <w:t>2018</w:t>
      </w:r>
      <w:r>
        <w:rPr/>
        <w:t>年股票期权与限制性股票激励计划》中股票期权 </w:t>
      </w:r>
      <w:r>
        <w:rPr>
          <w:spacing w:val="-5"/>
        </w:rPr>
        <w:t>的授予登记工作，</w:t>
      </w:r>
      <w:r>
        <w:rPr>
          <w:rFonts w:ascii="宋体" w:hAnsi="宋体" w:cs="宋体" w:eastAsia="宋体" w:hint="default"/>
          <w:spacing w:val="-5"/>
        </w:rPr>
        <w:t>2019</w:t>
      </w:r>
      <w:r>
        <w:rPr>
          <w:spacing w:val="-5"/>
        </w:rPr>
        <w:t>年</w:t>
      </w:r>
      <w:r>
        <w:rPr>
          <w:rFonts w:ascii="宋体" w:hAnsi="宋体" w:cs="宋体" w:eastAsia="宋体" w:hint="default"/>
          <w:spacing w:val="-5"/>
        </w:rPr>
        <w:t>2</w:t>
      </w:r>
      <w:r>
        <w:rPr>
          <w:spacing w:val="-5"/>
        </w:rPr>
        <w:t>月</w:t>
      </w:r>
      <w:r>
        <w:rPr>
          <w:rFonts w:ascii="宋体" w:hAnsi="宋体" w:cs="宋体" w:eastAsia="宋体" w:hint="default"/>
          <w:spacing w:val="-5"/>
        </w:rPr>
        <w:t>13</w:t>
      </w:r>
      <w:r>
        <w:rPr>
          <w:spacing w:val="-5"/>
        </w:rPr>
        <w:t>日，公司完成了《公司</w:t>
      </w:r>
      <w:r>
        <w:rPr>
          <w:rFonts w:ascii="宋体" w:hAnsi="宋体" w:cs="宋体" w:eastAsia="宋体" w:hint="default"/>
          <w:spacing w:val="-5"/>
        </w:rPr>
        <w:t>2018</w:t>
      </w:r>
      <w:r>
        <w:rPr>
          <w:spacing w:val="-5"/>
        </w:rPr>
        <w:t>年股票期权与限制性股票激励计划》</w:t>
      </w:r>
      <w:r>
        <w:rPr>
          <w:spacing w:val="-88"/>
        </w:rPr>
        <w:t> </w:t>
      </w:r>
      <w:r>
        <w:rPr/>
        <w:t>中限制性股票的授予登记工作。</w:t>
      </w:r>
    </w:p>
    <w:p>
      <w:pPr>
        <w:pStyle w:val="BodyText"/>
        <w:spacing w:line="357" w:lineRule="auto"/>
        <w:ind w:right="982" w:firstLine="482"/>
        <w:jc w:val="left"/>
      </w:pPr>
      <w:r>
        <w:rPr/>
        <w:t>公司需遵守《深圳证券交易所行业信息披露指引第</w:t>
      </w:r>
      <w:r>
        <w:rPr>
          <w:rFonts w:ascii="宋体" w:hAnsi="宋体" w:cs="宋体" w:eastAsia="宋体" w:hint="default"/>
        </w:rPr>
        <w:t>12</w:t>
      </w:r>
      <w:r>
        <w:rPr/>
        <w:t>号——上市公司从事软件与信息技 术服务业务》的披露要求</w:t>
      </w:r>
    </w:p>
    <w:p>
      <w:pPr>
        <w:pStyle w:val="BodyText"/>
        <w:spacing w:line="528" w:lineRule="auto"/>
        <w:ind w:right="3552" w:firstLine="482"/>
        <w:jc w:val="left"/>
        <w:rPr>
          <w:rFonts w:ascii="宋体" w:hAnsi="宋体" w:cs="宋体" w:eastAsia="宋体" w:hint="default"/>
        </w:rPr>
      </w:pPr>
      <w:r>
        <w:rPr/>
        <w:t>报告期内，</w:t>
      </w:r>
      <w:r>
        <w:rPr>
          <w:rFonts w:ascii="宋体" w:hAnsi="宋体" w:cs="宋体" w:eastAsia="宋体" w:hint="default"/>
        </w:rPr>
        <w:t>2018</w:t>
      </w:r>
      <w:r>
        <w:rPr/>
        <w:t>年度所需计提的股权激励费用为</w:t>
      </w:r>
      <w:r>
        <w:rPr>
          <w:rFonts w:ascii="宋体" w:hAnsi="宋体" w:cs="宋体" w:eastAsia="宋体" w:hint="default"/>
        </w:rPr>
        <w:t>-6,983,263</w:t>
      </w:r>
      <w:r>
        <w:rPr/>
        <w:t>元。 </w:t>
      </w:r>
      <w:r>
        <w:rPr>
          <w:rFonts w:ascii="宋体" w:hAnsi="宋体" w:cs="宋体" w:eastAsia="宋体" w:hint="default"/>
          <w:b/>
          <w:bCs/>
        </w:rPr>
        <w:t>十五、重大关联交易</w:t>
      </w:r>
      <w:r>
        <w:rPr>
          <w:rFonts w:ascii="宋体" w:hAnsi="宋体" w:cs="宋体" w:eastAsia="宋体" w:hint="default"/>
        </w:rPr>
      </w:r>
    </w:p>
    <w:p>
      <w:pPr>
        <w:spacing w:before="35"/>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、与日常经营相关的关联交易</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line="340" w:lineRule="auto" w:before="0"/>
        <w:ind w:left="152" w:right="69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公司报告期未发生与日常经营相关的关联交易。</w:t>
      </w:r>
    </w:p>
    <w:p>
      <w:pPr>
        <w:spacing w:after="0" w:line="3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、资产或股权收购、出售发生的关联交易</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38" w:lineRule="auto" w:before="0"/>
        <w:ind w:left="152" w:right="64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公司报告期未发生资产或股权收购、出售的关联交易。</w:t>
      </w:r>
    </w:p>
    <w:p>
      <w:pPr>
        <w:spacing w:line="240" w:lineRule="auto" w:before="7"/>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、共同对外投资的关联交易</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38" w:lineRule="auto" w:before="0"/>
        <w:ind w:left="152" w:right="71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公司报告期未发生共同对外投资的关联交易。</w:t>
      </w:r>
    </w:p>
    <w:p>
      <w:pPr>
        <w:spacing w:line="240" w:lineRule="auto" w:before="7"/>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、关联债权债务往来</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line="340" w:lineRule="auto" w:before="0"/>
        <w:ind w:left="152" w:right="76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公司报告期不存在关联债权债务往来。</w:t>
      </w:r>
    </w:p>
    <w:p>
      <w:pPr>
        <w:spacing w:line="240" w:lineRule="auto" w:before="3"/>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、其他重大关联交易</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40" w:lineRule="auto" w:before="0"/>
        <w:ind w:left="152" w:right="80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公司报告期无其他重大关联交易。</w:t>
      </w:r>
    </w:p>
    <w:p>
      <w:pPr>
        <w:spacing w:line="240" w:lineRule="auto" w:before="4"/>
        <w:rPr>
          <w:rFonts w:ascii="宋体" w:hAnsi="宋体" w:cs="宋体" w:eastAsia="宋体" w:hint="default"/>
          <w:sz w:val="19"/>
          <w:szCs w:val="19"/>
        </w:rPr>
      </w:pPr>
    </w:p>
    <w:p>
      <w:pPr>
        <w:pStyle w:val="Heading2"/>
        <w:spacing w:line="240" w:lineRule="auto"/>
        <w:ind w:right="982"/>
        <w:jc w:val="left"/>
        <w:rPr>
          <w:b w:val="0"/>
          <w:bCs w:val="0"/>
        </w:rPr>
      </w:pPr>
      <w:r>
        <w:rPr/>
        <w:t>十六、重大合同及其履行情况</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、托管、承包、租赁事项情况</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）托管情况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40" w:lineRule="auto" w:before="0"/>
        <w:ind w:left="152" w:right="84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公司报告期不存在托管情况。</w:t>
      </w:r>
    </w:p>
    <w:p>
      <w:pPr>
        <w:spacing w:line="240" w:lineRule="auto" w:before="5"/>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）承包情况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38" w:lineRule="auto" w:before="0"/>
        <w:ind w:left="152" w:right="84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公司报告期不存在承包情况。</w:t>
      </w:r>
    </w:p>
    <w:p>
      <w:pPr>
        <w:spacing w:line="240" w:lineRule="auto" w:before="7"/>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）租赁情况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40" w:lineRule="auto" w:before="0"/>
        <w:ind w:left="152" w:right="84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公司报告期不存在租赁情况。</w:t>
      </w:r>
    </w:p>
    <w:p>
      <w:pPr>
        <w:spacing w:line="240" w:lineRule="auto" w:before="3"/>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、重大担保</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）担保情况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713"/>
        <w:gridCol w:w="917"/>
        <w:gridCol w:w="924"/>
        <w:gridCol w:w="1308"/>
        <w:gridCol w:w="1052"/>
        <w:gridCol w:w="1038"/>
        <w:gridCol w:w="1051"/>
        <w:gridCol w:w="790"/>
        <w:gridCol w:w="783"/>
      </w:tblGrid>
      <w:tr>
        <w:trPr>
          <w:trHeight w:val="403"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32"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1025" w:hRule="exact"/>
        </w:trPr>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96" w:right="88"/>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6"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3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8"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31" w:right="69" w:hanging="361"/>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1"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245"/>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4" w:right="25"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6" w:right="24"/>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403"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025" w:hRule="exact"/>
        </w:trPr>
        <w:tc>
          <w:tcPr>
            <w:tcW w:w="1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91" w:right="93"/>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1"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3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8"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431" w:right="69" w:hanging="361"/>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1"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249"/>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211" w:right="26"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26" w:right="24"/>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715" w:hRule="exact"/>
        </w:trPr>
        <w:tc>
          <w:tcPr>
            <w:tcW w:w="17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7"/>
              <w:jc w:val="left"/>
              <w:rPr>
                <w:rFonts w:ascii="宋体" w:hAnsi="宋体" w:cs="宋体" w:eastAsia="宋体" w:hint="default"/>
                <w:sz w:val="18"/>
                <w:szCs w:val="18"/>
              </w:rPr>
            </w:pPr>
            <w:r>
              <w:rPr>
                <w:rFonts w:ascii="宋体" w:hAnsi="宋体" w:cs="宋体" w:eastAsia="宋体" w:hint="default"/>
                <w:sz w:val="18"/>
                <w:szCs w:val="18"/>
              </w:rPr>
              <w:t>北京数字智通科技有 限公司</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19"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z w:val="18"/>
              </w:rPr>
              <w:t>5,000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9"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z w:val="18"/>
              </w:rPr>
              <w:t>1,479</w:t>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9" w:right="96"/>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一年</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3" w:hRule="exact"/>
        </w:trPr>
        <w:tc>
          <w:tcPr>
            <w:tcW w:w="17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7"/>
              <w:jc w:val="left"/>
              <w:rPr>
                <w:rFonts w:ascii="宋体" w:hAnsi="宋体" w:cs="宋体" w:eastAsia="宋体" w:hint="default"/>
                <w:sz w:val="18"/>
                <w:szCs w:val="18"/>
              </w:rPr>
            </w:pPr>
            <w:r>
              <w:rPr>
                <w:rFonts w:ascii="宋体" w:hAnsi="宋体" w:cs="宋体" w:eastAsia="宋体" w:hint="default"/>
                <w:sz w:val="18"/>
                <w:szCs w:val="18"/>
              </w:rPr>
              <w:t>北京数字智通科技有 限公司</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19"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z w:val="18"/>
              </w:rPr>
              <w:t>5,000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9"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z w:val="18"/>
              </w:rPr>
              <w:t>1,700</w:t>
            </w: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9" w:right="96"/>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一年</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7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7"/>
              <w:jc w:val="left"/>
              <w:rPr>
                <w:rFonts w:ascii="宋体" w:hAnsi="宋体" w:cs="宋体" w:eastAsia="宋体" w:hint="default"/>
                <w:sz w:val="18"/>
                <w:szCs w:val="18"/>
              </w:rPr>
            </w:pPr>
            <w:r>
              <w:rPr>
                <w:rFonts w:ascii="宋体" w:hAnsi="宋体" w:cs="宋体" w:eastAsia="宋体" w:hint="default"/>
                <w:sz w:val="18"/>
                <w:szCs w:val="18"/>
              </w:rPr>
              <w:t>北京数字智通科技有 限公司</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19"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z w:val="18"/>
              </w:rPr>
              <w:t>3,000</w:t>
            </w:r>
          </w:p>
        </w:tc>
        <w:tc>
          <w:tcPr>
            <w:tcW w:w="1308"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9" w:right="96"/>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一年</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3" w:hRule="exact"/>
        </w:trPr>
        <w:tc>
          <w:tcPr>
            <w:tcW w:w="17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7"/>
              <w:jc w:val="left"/>
              <w:rPr>
                <w:rFonts w:ascii="宋体" w:hAnsi="宋体" w:cs="宋体" w:eastAsia="宋体" w:hint="default"/>
                <w:sz w:val="18"/>
                <w:szCs w:val="18"/>
              </w:rPr>
            </w:pPr>
            <w:r>
              <w:rPr>
                <w:rFonts w:ascii="宋体" w:hAnsi="宋体" w:cs="宋体" w:eastAsia="宋体" w:hint="default"/>
                <w:sz w:val="18"/>
                <w:szCs w:val="18"/>
              </w:rPr>
              <w:t>北京数字智通科技有 限公司</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9"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z w:val="18"/>
              </w:rPr>
              <w:t>7,000</w:t>
            </w:r>
          </w:p>
        </w:tc>
        <w:tc>
          <w:tcPr>
            <w:tcW w:w="1308" w:type="dxa"/>
            <w:tcBorders>
              <w:top w:val="single" w:sz="4" w:space="0" w:color="000000"/>
              <w:left w:val="single" w:sz="4" w:space="0" w:color="000000"/>
              <w:bottom w:val="single" w:sz="4" w:space="0" w:color="000000"/>
              <w:right w:val="single" w:sz="4" w:space="0" w:color="000000"/>
            </w:tcBorders>
          </w:tcPr>
          <w:p>
            <w:pPr/>
          </w:p>
        </w:tc>
        <w:tc>
          <w:tcPr>
            <w:tcW w:w="1052" w:type="dxa"/>
            <w:tcBorders>
              <w:top w:val="single" w:sz="4" w:space="0" w:color="000000"/>
              <w:left w:val="single" w:sz="4" w:space="0" w:color="000000"/>
              <w:bottom w:val="single" w:sz="4" w:space="0" w:color="000000"/>
              <w:right w:val="single" w:sz="4" w:space="0" w:color="000000"/>
            </w:tcBorders>
          </w:tcPr>
          <w:p>
            <w:pPr/>
          </w:p>
        </w:tc>
        <w:tc>
          <w:tcPr>
            <w:tcW w:w="10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9" w:right="96"/>
              <w:jc w:val="left"/>
              <w:rPr>
                <w:rFonts w:ascii="宋体" w:hAnsi="宋体" w:cs="宋体" w:eastAsia="宋体" w:hint="default"/>
                <w:sz w:val="18"/>
                <w:szCs w:val="18"/>
              </w:rPr>
            </w:pPr>
            <w:r>
              <w:rPr>
                <w:rFonts w:ascii="宋体" w:hAnsi="宋体" w:cs="宋体" w:eastAsia="宋体" w:hint="default"/>
                <w:sz w:val="18"/>
                <w:szCs w:val="18"/>
              </w:rPr>
              <w:t>连带责任保 证</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一年</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6" w:hRule="exact"/>
        </w:trPr>
        <w:tc>
          <w:tcPr>
            <w:tcW w:w="26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4"/>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 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232"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0</w:t>
            </w:r>
          </w:p>
        </w:tc>
        <w:tc>
          <w:tcPr>
            <w:tcW w:w="20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8" w:right="79"/>
              <w:jc w:val="left"/>
              <w:rPr>
                <w:rFonts w:ascii="宋体" w:hAnsi="宋体" w:cs="宋体" w:eastAsia="宋体" w:hint="default"/>
                <w:sz w:val="18"/>
                <w:szCs w:val="18"/>
              </w:rPr>
            </w:pPr>
            <w:r>
              <w:rPr>
                <w:rFonts w:ascii="宋体" w:hAnsi="宋体" w:cs="宋体" w:eastAsia="宋体" w:hint="default"/>
                <w:sz w:val="18"/>
                <w:szCs w:val="18"/>
              </w:rPr>
              <w:t>报告期内对子公司担保实 际发生额合计（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24"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1,700</w:t>
            </w:r>
          </w:p>
        </w:tc>
      </w:tr>
      <w:tr>
        <w:trPr>
          <w:trHeight w:val="718" w:hRule="exact"/>
        </w:trPr>
        <w:tc>
          <w:tcPr>
            <w:tcW w:w="26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4"/>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 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32"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z w:val="18"/>
              </w:rPr>
              <w:t>5,000</w:t>
            </w:r>
          </w:p>
        </w:tc>
        <w:tc>
          <w:tcPr>
            <w:tcW w:w="20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8" w:right="79"/>
              <w:jc w:val="left"/>
              <w:rPr>
                <w:rFonts w:ascii="宋体" w:hAnsi="宋体" w:cs="宋体" w:eastAsia="宋体" w:hint="default"/>
                <w:sz w:val="18"/>
                <w:szCs w:val="18"/>
              </w:rPr>
            </w:pPr>
            <w:r>
              <w:rPr>
                <w:rFonts w:ascii="宋体" w:hAnsi="宋体" w:cs="宋体" w:eastAsia="宋体" w:hint="default"/>
                <w:sz w:val="18"/>
                <w:szCs w:val="18"/>
              </w:rPr>
              <w:t>报告期末对子公司实际担 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24"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1,700</w:t>
            </w:r>
          </w:p>
        </w:tc>
      </w:tr>
      <w:tr>
        <w:trPr>
          <w:trHeight w:val="394"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166" w:hRule="exact"/>
        </w:trPr>
        <w:tc>
          <w:tcPr>
            <w:tcW w:w="1713" w:type="dxa"/>
            <w:vMerge w:val="restart"/>
            <w:tcBorders>
              <w:top w:val="single" w:sz="4" w:space="0" w:color="000000"/>
              <w:left w:val="single" w:sz="4" w:space="0" w:color="000000"/>
              <w:right w:val="single" w:sz="4" w:space="0" w:color="000000"/>
            </w:tcBorders>
            <w:shd w:val="clear" w:color="auto" w:fill="D2D2D2"/>
          </w:tcPr>
          <w:p>
            <w:pPr/>
          </w:p>
        </w:tc>
        <w:tc>
          <w:tcPr>
            <w:tcW w:w="91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89" w:right="96"/>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4" w:type="dxa"/>
            <w:vMerge w:val="restart"/>
            <w:tcBorders>
              <w:top w:val="single" w:sz="4" w:space="0" w:color="000000"/>
              <w:left w:val="single" w:sz="4" w:space="0" w:color="000000"/>
              <w:right w:val="single" w:sz="4" w:space="0" w:color="000000"/>
            </w:tcBorders>
            <w:shd w:val="clear" w:color="auto" w:fill="D2D2D2"/>
          </w:tcPr>
          <w:p>
            <w:pPr/>
          </w:p>
        </w:tc>
        <w:tc>
          <w:tcPr>
            <w:tcW w:w="1308" w:type="dxa"/>
            <w:vMerge w:val="restart"/>
            <w:tcBorders>
              <w:top w:val="single" w:sz="4" w:space="0" w:color="000000"/>
              <w:left w:val="single" w:sz="4" w:space="0" w:color="000000"/>
              <w:right w:val="single" w:sz="4" w:space="0" w:color="000000"/>
            </w:tcBorders>
            <w:shd w:val="clear" w:color="auto" w:fill="D2D2D2"/>
          </w:tcPr>
          <w:p>
            <w:pPr/>
          </w:p>
        </w:tc>
        <w:tc>
          <w:tcPr>
            <w:tcW w:w="1052" w:type="dxa"/>
            <w:tcBorders>
              <w:top w:val="single" w:sz="4" w:space="0" w:color="000000"/>
              <w:left w:val="single" w:sz="4" w:space="0" w:color="000000"/>
              <w:bottom w:val="nil" w:sz="6" w:space="0" w:color="auto"/>
              <w:right w:val="single" w:sz="4" w:space="0" w:color="000000"/>
            </w:tcBorders>
            <w:shd w:val="clear" w:color="auto" w:fill="D2D2D2"/>
          </w:tcPr>
          <w:p>
            <w:pPr/>
          </w:p>
        </w:tc>
        <w:tc>
          <w:tcPr>
            <w:tcW w:w="1038" w:type="dxa"/>
            <w:vMerge w:val="restart"/>
            <w:tcBorders>
              <w:top w:val="single" w:sz="4" w:space="0" w:color="000000"/>
              <w:left w:val="single" w:sz="4" w:space="0" w:color="000000"/>
              <w:right w:val="single" w:sz="4" w:space="0" w:color="000000"/>
            </w:tcBorders>
            <w:shd w:val="clear" w:color="auto" w:fill="D2D2D2"/>
          </w:tcPr>
          <w:p>
            <w:pPr/>
          </w:p>
        </w:tc>
        <w:tc>
          <w:tcPr>
            <w:tcW w:w="1051" w:type="dxa"/>
            <w:vMerge w:val="restart"/>
            <w:tcBorders>
              <w:top w:val="single" w:sz="4" w:space="0" w:color="000000"/>
              <w:left w:val="single" w:sz="4" w:space="0" w:color="000000"/>
              <w:right w:val="single" w:sz="4" w:space="0" w:color="000000"/>
            </w:tcBorders>
            <w:shd w:val="clear" w:color="auto" w:fill="D2D2D2"/>
          </w:tcPr>
          <w:p>
            <w:pPr/>
          </w:p>
        </w:tc>
        <w:tc>
          <w:tcPr>
            <w:tcW w:w="790" w:type="dxa"/>
            <w:tcBorders>
              <w:top w:val="single" w:sz="4" w:space="0" w:color="000000"/>
              <w:left w:val="single" w:sz="4" w:space="0" w:color="000000"/>
              <w:bottom w:val="nil" w:sz="6" w:space="0" w:color="auto"/>
              <w:right w:val="single" w:sz="4" w:space="0" w:color="000000"/>
            </w:tcBorders>
            <w:shd w:val="clear" w:color="auto" w:fill="D2D2D2"/>
          </w:tcPr>
          <w:p>
            <w:pPr/>
          </w:p>
        </w:tc>
        <w:tc>
          <w:tcPr>
            <w:tcW w:w="783"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6" w:hRule="exact"/>
        </w:trPr>
        <w:tc>
          <w:tcPr>
            <w:tcW w:w="1713" w:type="dxa"/>
            <w:vMerge/>
            <w:tcBorders>
              <w:left w:val="single" w:sz="4" w:space="0" w:color="000000"/>
              <w:bottom w:val="nil" w:sz="6" w:space="0" w:color="auto"/>
              <w:right w:val="single" w:sz="4" w:space="0" w:color="000000"/>
            </w:tcBorders>
            <w:shd w:val="clear" w:color="auto" w:fill="D2D2D2"/>
          </w:tcPr>
          <w:p>
            <w:pPr/>
          </w:p>
        </w:tc>
        <w:tc>
          <w:tcPr>
            <w:tcW w:w="917" w:type="dxa"/>
            <w:vMerge/>
            <w:tcBorders>
              <w:left w:val="single" w:sz="4" w:space="0" w:color="000000"/>
              <w:right w:val="single" w:sz="4" w:space="0" w:color="000000"/>
            </w:tcBorders>
            <w:shd w:val="clear" w:color="auto" w:fill="D2D2D2"/>
          </w:tcPr>
          <w:p>
            <w:pPr/>
          </w:p>
        </w:tc>
        <w:tc>
          <w:tcPr>
            <w:tcW w:w="924" w:type="dxa"/>
            <w:vMerge/>
            <w:tcBorders>
              <w:left w:val="single" w:sz="4" w:space="0" w:color="000000"/>
              <w:bottom w:val="nil" w:sz="6" w:space="0" w:color="auto"/>
              <w:right w:val="single" w:sz="4" w:space="0" w:color="000000"/>
            </w:tcBorders>
            <w:shd w:val="clear" w:color="auto" w:fill="D2D2D2"/>
          </w:tcPr>
          <w:p>
            <w:pPr/>
          </w:p>
        </w:tc>
        <w:tc>
          <w:tcPr>
            <w:tcW w:w="1308" w:type="dxa"/>
            <w:vMerge/>
            <w:tcBorders>
              <w:left w:val="single" w:sz="4" w:space="0" w:color="000000"/>
              <w:bottom w:val="nil" w:sz="6" w:space="0" w:color="auto"/>
              <w:right w:val="single" w:sz="4" w:space="0" w:color="000000"/>
            </w:tcBorders>
            <w:shd w:val="clear" w:color="auto" w:fill="D2D2D2"/>
          </w:tcPr>
          <w:p>
            <w:pPr/>
          </w:p>
        </w:tc>
        <w:tc>
          <w:tcPr>
            <w:tcW w:w="105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421" w:right="78" w:hanging="361"/>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38" w:type="dxa"/>
            <w:vMerge/>
            <w:tcBorders>
              <w:left w:val="single" w:sz="4" w:space="0" w:color="000000"/>
              <w:bottom w:val="nil" w:sz="6" w:space="0" w:color="auto"/>
              <w:right w:val="single" w:sz="4" w:space="0" w:color="000000"/>
            </w:tcBorders>
            <w:shd w:val="clear" w:color="auto" w:fill="D2D2D2"/>
          </w:tcPr>
          <w:p>
            <w:pPr/>
          </w:p>
        </w:tc>
        <w:tc>
          <w:tcPr>
            <w:tcW w:w="1051" w:type="dxa"/>
            <w:vMerge/>
            <w:tcBorders>
              <w:left w:val="single" w:sz="4" w:space="0" w:color="000000"/>
              <w:bottom w:val="nil" w:sz="6" w:space="0" w:color="auto"/>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207" w:right="31" w:hanging="180"/>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22" w:right="29"/>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91" w:hRule="exact"/>
        </w:trPr>
        <w:tc>
          <w:tcPr>
            <w:tcW w:w="171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17" w:type="dxa"/>
            <w:vMerge/>
            <w:tcBorders>
              <w:left w:val="single" w:sz="4" w:space="0" w:color="000000"/>
              <w:right w:val="single" w:sz="4" w:space="0" w:color="000000"/>
            </w:tcBorders>
            <w:shd w:val="clear" w:color="auto" w:fill="D2D2D2"/>
          </w:tcPr>
          <w:p>
            <w:pPr/>
          </w:p>
        </w:tc>
        <w:tc>
          <w:tcPr>
            <w:tcW w:w="92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89"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3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52" w:type="dxa"/>
            <w:vMerge/>
            <w:tcBorders>
              <w:left w:val="single" w:sz="4" w:space="0" w:color="000000"/>
              <w:right w:val="single" w:sz="4" w:space="0" w:color="000000"/>
            </w:tcBorders>
            <w:shd w:val="clear" w:color="auto" w:fill="D2D2D2"/>
          </w:tcPr>
          <w:p>
            <w:pPr/>
          </w:p>
        </w:tc>
        <w:tc>
          <w:tcPr>
            <w:tcW w:w="103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6"/>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5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249"/>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0" w:type="dxa"/>
            <w:vMerge/>
            <w:tcBorders>
              <w:left w:val="single" w:sz="4" w:space="0" w:color="000000"/>
              <w:right w:val="single" w:sz="4" w:space="0" w:color="000000"/>
            </w:tcBorders>
            <w:shd w:val="clear" w:color="auto" w:fill="D2D2D2"/>
          </w:tcPr>
          <w:p>
            <w:pPr/>
          </w:p>
        </w:tc>
        <w:tc>
          <w:tcPr>
            <w:tcW w:w="783" w:type="dxa"/>
            <w:vMerge/>
            <w:tcBorders>
              <w:left w:val="single" w:sz="4" w:space="0" w:color="000000"/>
              <w:right w:val="single" w:sz="4" w:space="0" w:color="000000"/>
            </w:tcBorders>
            <w:shd w:val="clear" w:color="auto" w:fill="D2D2D2"/>
          </w:tcPr>
          <w:p>
            <w:pPr/>
          </w:p>
        </w:tc>
      </w:tr>
      <w:tr>
        <w:trPr>
          <w:trHeight w:val="156" w:hRule="exact"/>
        </w:trPr>
        <w:tc>
          <w:tcPr>
            <w:tcW w:w="1713" w:type="dxa"/>
            <w:vMerge w:val="restart"/>
            <w:tcBorders>
              <w:top w:val="nil" w:sz="6" w:space="0" w:color="auto"/>
              <w:left w:val="single" w:sz="4" w:space="0" w:color="000000"/>
              <w:right w:val="single" w:sz="4" w:space="0" w:color="000000"/>
            </w:tcBorders>
            <w:shd w:val="clear" w:color="auto" w:fill="D2D2D2"/>
          </w:tcPr>
          <w:p>
            <w:pPr/>
          </w:p>
        </w:tc>
        <w:tc>
          <w:tcPr>
            <w:tcW w:w="917" w:type="dxa"/>
            <w:vMerge/>
            <w:tcBorders>
              <w:left w:val="single" w:sz="4" w:space="0" w:color="000000"/>
              <w:right w:val="single" w:sz="4" w:space="0" w:color="000000"/>
            </w:tcBorders>
            <w:shd w:val="clear" w:color="auto" w:fill="D2D2D2"/>
          </w:tcPr>
          <w:p>
            <w:pPr/>
          </w:p>
        </w:tc>
        <w:tc>
          <w:tcPr>
            <w:tcW w:w="924" w:type="dxa"/>
            <w:vMerge w:val="restart"/>
            <w:tcBorders>
              <w:top w:val="nil" w:sz="6" w:space="0" w:color="auto"/>
              <w:left w:val="single" w:sz="4" w:space="0" w:color="000000"/>
              <w:right w:val="single" w:sz="4" w:space="0" w:color="000000"/>
            </w:tcBorders>
            <w:shd w:val="clear" w:color="auto" w:fill="D2D2D2"/>
          </w:tcPr>
          <w:p>
            <w:pPr/>
          </w:p>
        </w:tc>
        <w:tc>
          <w:tcPr>
            <w:tcW w:w="1308" w:type="dxa"/>
            <w:vMerge w:val="restart"/>
            <w:tcBorders>
              <w:top w:val="nil" w:sz="6" w:space="0" w:color="auto"/>
              <w:left w:val="single" w:sz="4" w:space="0" w:color="000000"/>
              <w:right w:val="single" w:sz="4" w:space="0" w:color="000000"/>
            </w:tcBorders>
            <w:shd w:val="clear" w:color="auto" w:fill="D2D2D2"/>
          </w:tcPr>
          <w:p>
            <w:pPr/>
          </w:p>
        </w:tc>
        <w:tc>
          <w:tcPr>
            <w:tcW w:w="1052" w:type="dxa"/>
            <w:vMerge/>
            <w:tcBorders>
              <w:left w:val="single" w:sz="4" w:space="0" w:color="000000"/>
              <w:bottom w:val="nil" w:sz="6" w:space="0" w:color="auto"/>
              <w:right w:val="single" w:sz="4" w:space="0" w:color="000000"/>
            </w:tcBorders>
            <w:shd w:val="clear" w:color="auto" w:fill="D2D2D2"/>
          </w:tcPr>
          <w:p>
            <w:pPr/>
          </w:p>
        </w:tc>
        <w:tc>
          <w:tcPr>
            <w:tcW w:w="1038" w:type="dxa"/>
            <w:vMerge w:val="restart"/>
            <w:tcBorders>
              <w:top w:val="nil" w:sz="6" w:space="0" w:color="auto"/>
              <w:left w:val="single" w:sz="4" w:space="0" w:color="000000"/>
              <w:right w:val="single" w:sz="4" w:space="0" w:color="000000"/>
            </w:tcBorders>
            <w:shd w:val="clear" w:color="auto" w:fill="D2D2D2"/>
          </w:tcPr>
          <w:p>
            <w:pPr/>
          </w:p>
        </w:tc>
        <w:tc>
          <w:tcPr>
            <w:tcW w:w="1051" w:type="dxa"/>
            <w:vMerge w:val="restart"/>
            <w:tcBorders>
              <w:top w:val="nil" w:sz="6" w:space="0" w:color="auto"/>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783" w:type="dxa"/>
            <w:vMerge/>
            <w:tcBorders>
              <w:left w:val="single" w:sz="4" w:space="0" w:color="000000"/>
              <w:bottom w:val="nil" w:sz="6" w:space="0" w:color="auto"/>
              <w:right w:val="single" w:sz="4" w:space="0" w:color="000000"/>
            </w:tcBorders>
            <w:shd w:val="clear" w:color="auto" w:fill="D2D2D2"/>
          </w:tcPr>
          <w:p>
            <w:pPr/>
          </w:p>
        </w:tc>
      </w:tr>
      <w:tr>
        <w:trPr>
          <w:trHeight w:val="166" w:hRule="exact"/>
        </w:trPr>
        <w:tc>
          <w:tcPr>
            <w:tcW w:w="1713" w:type="dxa"/>
            <w:vMerge/>
            <w:tcBorders>
              <w:left w:val="single" w:sz="4" w:space="0" w:color="000000"/>
              <w:bottom w:val="single" w:sz="4" w:space="0" w:color="000000"/>
              <w:right w:val="single" w:sz="4" w:space="0" w:color="000000"/>
            </w:tcBorders>
            <w:shd w:val="clear" w:color="auto" w:fill="D2D2D2"/>
          </w:tcPr>
          <w:p>
            <w:pPr/>
          </w:p>
        </w:tc>
        <w:tc>
          <w:tcPr>
            <w:tcW w:w="917" w:type="dxa"/>
            <w:vMerge/>
            <w:tcBorders>
              <w:left w:val="single" w:sz="4" w:space="0" w:color="000000"/>
              <w:bottom w:val="single" w:sz="4" w:space="0" w:color="000000"/>
              <w:right w:val="single" w:sz="4" w:space="0" w:color="000000"/>
            </w:tcBorders>
            <w:shd w:val="clear" w:color="auto" w:fill="D2D2D2"/>
          </w:tcPr>
          <w:p>
            <w:pPr/>
          </w:p>
        </w:tc>
        <w:tc>
          <w:tcPr>
            <w:tcW w:w="924" w:type="dxa"/>
            <w:vMerge/>
            <w:tcBorders>
              <w:left w:val="single" w:sz="4" w:space="0" w:color="000000"/>
              <w:bottom w:val="single" w:sz="4" w:space="0" w:color="000000"/>
              <w:right w:val="single" w:sz="4" w:space="0" w:color="000000"/>
            </w:tcBorders>
            <w:shd w:val="clear" w:color="auto" w:fill="D2D2D2"/>
          </w:tcPr>
          <w:p>
            <w:pPr/>
          </w:p>
        </w:tc>
        <w:tc>
          <w:tcPr>
            <w:tcW w:w="1308" w:type="dxa"/>
            <w:vMerge/>
            <w:tcBorders>
              <w:left w:val="single" w:sz="4" w:space="0" w:color="000000"/>
              <w:bottom w:val="single" w:sz="4" w:space="0" w:color="000000"/>
              <w:right w:val="single" w:sz="4" w:space="0" w:color="000000"/>
            </w:tcBorders>
            <w:shd w:val="clear" w:color="auto" w:fill="D2D2D2"/>
          </w:tcPr>
          <w:p>
            <w:pPr/>
          </w:p>
        </w:tc>
        <w:tc>
          <w:tcPr>
            <w:tcW w:w="1052" w:type="dxa"/>
            <w:tcBorders>
              <w:top w:val="nil" w:sz="6" w:space="0" w:color="auto"/>
              <w:left w:val="single" w:sz="4" w:space="0" w:color="000000"/>
              <w:bottom w:val="single" w:sz="4" w:space="0" w:color="000000"/>
              <w:right w:val="single" w:sz="4" w:space="0" w:color="000000"/>
            </w:tcBorders>
            <w:shd w:val="clear" w:color="auto" w:fill="D2D2D2"/>
          </w:tcPr>
          <w:p>
            <w:pPr/>
          </w:p>
        </w:tc>
        <w:tc>
          <w:tcPr>
            <w:tcW w:w="1038" w:type="dxa"/>
            <w:vMerge/>
            <w:tcBorders>
              <w:left w:val="single" w:sz="4" w:space="0" w:color="000000"/>
              <w:bottom w:val="single" w:sz="4" w:space="0" w:color="000000"/>
              <w:right w:val="single" w:sz="4" w:space="0" w:color="000000"/>
            </w:tcBorders>
            <w:shd w:val="clear" w:color="auto" w:fill="D2D2D2"/>
          </w:tcPr>
          <w:p>
            <w:pPr/>
          </w:p>
        </w:tc>
        <w:tc>
          <w:tcPr>
            <w:tcW w:w="1051" w:type="dxa"/>
            <w:vMerge/>
            <w:tcBorders>
              <w:left w:val="single" w:sz="4" w:space="0" w:color="000000"/>
              <w:bottom w:val="single" w:sz="4" w:space="0" w:color="000000"/>
              <w:right w:val="single" w:sz="4" w:space="0" w:color="000000"/>
            </w:tcBorders>
            <w:shd w:val="clear" w:color="auto" w:fill="D2D2D2"/>
          </w:tcPr>
          <w:p>
            <w:pPr/>
          </w:p>
        </w:tc>
        <w:tc>
          <w:tcPr>
            <w:tcW w:w="790" w:type="dxa"/>
            <w:tcBorders>
              <w:top w:val="nil" w:sz="6" w:space="0" w:color="auto"/>
              <w:left w:val="single" w:sz="4" w:space="0" w:color="000000"/>
              <w:bottom w:val="single" w:sz="4" w:space="0" w:color="000000"/>
              <w:right w:val="single" w:sz="4" w:space="0" w:color="000000"/>
            </w:tcBorders>
            <w:shd w:val="clear" w:color="auto" w:fill="D2D2D2"/>
          </w:tcPr>
          <w:p>
            <w:pPr/>
          </w:p>
        </w:tc>
        <w:tc>
          <w:tcPr>
            <w:tcW w:w="783"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4"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18" w:hRule="exact"/>
        </w:trPr>
        <w:tc>
          <w:tcPr>
            <w:tcW w:w="26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232"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0</w:t>
            </w:r>
          </w:p>
        </w:tc>
        <w:tc>
          <w:tcPr>
            <w:tcW w:w="20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4"/>
              <w:ind w:left="18" w:right="79"/>
              <w:jc w:val="left"/>
              <w:rPr>
                <w:rFonts w:ascii="宋体" w:hAnsi="宋体" w:cs="宋体" w:eastAsia="宋体" w:hint="default"/>
                <w:sz w:val="18"/>
                <w:szCs w:val="18"/>
              </w:rPr>
            </w:pPr>
            <w:r>
              <w:rPr>
                <w:rFonts w:ascii="宋体" w:hAnsi="宋体" w:cs="宋体" w:eastAsia="宋体" w:hint="default"/>
                <w:sz w:val="18"/>
                <w:szCs w:val="18"/>
              </w:rPr>
              <w:t>报告期内担保实际发生额 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24"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1,700</w:t>
            </w:r>
          </w:p>
        </w:tc>
      </w:tr>
      <w:tr>
        <w:trPr>
          <w:trHeight w:val="715" w:hRule="exact"/>
        </w:trPr>
        <w:tc>
          <w:tcPr>
            <w:tcW w:w="26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32"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z w:val="18"/>
              </w:rPr>
              <w:t>5,000</w:t>
            </w:r>
          </w:p>
        </w:tc>
        <w:tc>
          <w:tcPr>
            <w:tcW w:w="20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8" w:right="79"/>
              <w:jc w:val="left"/>
              <w:rPr>
                <w:rFonts w:ascii="宋体" w:hAnsi="宋体" w:cs="宋体" w:eastAsia="宋体" w:hint="default"/>
                <w:sz w:val="18"/>
                <w:szCs w:val="18"/>
              </w:rPr>
            </w:pPr>
            <w:r>
              <w:rPr>
                <w:rFonts w:ascii="宋体" w:hAnsi="宋体" w:cs="宋体" w:eastAsia="宋体" w:hint="default"/>
                <w:sz w:val="18"/>
                <w:szCs w:val="18"/>
              </w:rPr>
              <w:t>报告期末实际担保余额合 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24" w:type="dxa"/>
            <w:gridSpan w:val="3"/>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1,700</w:t>
            </w:r>
          </w:p>
        </w:tc>
      </w:tr>
      <w:tr>
        <w:trPr>
          <w:trHeight w:val="406" w:hRule="exact"/>
        </w:trPr>
        <w:tc>
          <w:tcPr>
            <w:tcW w:w="4862"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713" w:type="dxa"/>
            <w:gridSpan w:val="5"/>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0.78%</w:t>
            </w:r>
          </w:p>
        </w:tc>
      </w:tr>
      <w:tr>
        <w:trPr>
          <w:trHeight w:val="398"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采用复合方式担保的具体情况说明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）违规对外担保情况</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5"/>
          <w:szCs w:val="25"/>
        </w:rPr>
      </w:pPr>
    </w:p>
    <w:p>
      <w:pPr>
        <w:spacing w:before="44"/>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公司报告期无违规对外担保情况。</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、委托他人进行现金资产管理情况</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）委托理财情况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40" w:lineRule="auto" w:before="0"/>
        <w:ind w:left="152" w:right="84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公司报告期不存在委托理财。</w:t>
      </w:r>
    </w:p>
    <w:p>
      <w:pPr>
        <w:spacing w:line="240" w:lineRule="auto" w:before="3"/>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）委托贷款情况</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line="340" w:lineRule="auto" w:before="0"/>
        <w:ind w:left="152" w:right="84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公司报告期不存在委托贷款。</w:t>
      </w:r>
    </w:p>
    <w:p>
      <w:pPr>
        <w:spacing w:line="240" w:lineRule="auto" w:before="5"/>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、其他重大合同</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40" w:lineRule="auto" w:before="0"/>
        <w:ind w:left="152" w:right="80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公司报告期不存在其他重大合同。</w:t>
      </w:r>
    </w:p>
    <w:p>
      <w:pPr>
        <w:spacing w:line="240" w:lineRule="auto" w:before="6"/>
        <w:rPr>
          <w:rFonts w:ascii="宋体" w:hAnsi="宋体" w:cs="宋体" w:eastAsia="宋体" w:hint="default"/>
          <w:sz w:val="19"/>
          <w:szCs w:val="19"/>
        </w:rPr>
      </w:pPr>
    </w:p>
    <w:p>
      <w:pPr>
        <w:pStyle w:val="Heading2"/>
        <w:spacing w:line="240" w:lineRule="auto"/>
        <w:ind w:right="982"/>
        <w:jc w:val="left"/>
        <w:rPr>
          <w:b w:val="0"/>
          <w:bCs w:val="0"/>
        </w:rPr>
      </w:pPr>
      <w:r>
        <w:rPr/>
        <w:t>十七、社会责任情况</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、履行社会责任情况</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left="635" w:right="982"/>
        <w:jc w:val="left"/>
      </w:pPr>
      <w:r>
        <w:rPr/>
        <w:t>（</w:t>
      </w:r>
      <w:r>
        <w:rPr>
          <w:rFonts w:ascii="宋体" w:hAnsi="宋体" w:cs="宋体" w:eastAsia="宋体" w:hint="default"/>
        </w:rPr>
        <w:t>1</w:t>
      </w:r>
      <w:r>
        <w:rPr/>
        <w:t>）职工权益保护 公司致力于保障员工合法权益，为员工提供健康、安全的工作环境，定期组织员工进行</w:t>
      </w:r>
    </w:p>
    <w:p>
      <w:pPr>
        <w:pStyle w:val="BodyText"/>
        <w:spacing w:line="357" w:lineRule="auto"/>
        <w:ind w:right="1139"/>
        <w:jc w:val="both"/>
      </w:pPr>
      <w:r>
        <w:rPr/>
        <w:t>体检，为员工提供补充医疗保险，关注员工的身心健康；尊重员工，积极采纳员工合理化建</w:t>
      </w:r>
      <w:r>
        <w:rPr>
          <w:spacing w:val="-91"/>
        </w:rPr>
        <w:t> </w:t>
      </w:r>
      <w:r>
        <w:rPr>
          <w:spacing w:val="-91"/>
        </w:rPr>
      </w:r>
      <w:r>
        <w:rPr/>
        <w:t>议，增强公司凝聚力；致力于培养出优秀的人才，帮助每一位员工实现自我价值，与企业共</w:t>
      </w:r>
      <w:r>
        <w:rPr>
          <w:spacing w:val="-91"/>
        </w:rPr>
        <w:t> </w:t>
      </w:r>
      <w:r>
        <w:rPr>
          <w:spacing w:val="-91"/>
        </w:rPr>
      </w:r>
      <w:r>
        <w:rPr/>
        <w:t>同成长。不断完善人力资源管理体系，努力为员工提供更大的发展空间及更多的人文关怀。</w:t>
      </w:r>
    </w:p>
    <w:p>
      <w:pPr>
        <w:pStyle w:val="BodyText"/>
        <w:spacing w:line="357" w:lineRule="auto"/>
        <w:ind w:left="635" w:right="982"/>
        <w:jc w:val="left"/>
      </w:pPr>
      <w:r>
        <w:rPr/>
        <w:t>（</w:t>
      </w:r>
      <w:r>
        <w:rPr>
          <w:rFonts w:ascii="宋体" w:hAnsi="宋体" w:cs="宋体" w:eastAsia="宋体" w:hint="default"/>
        </w:rPr>
        <w:t>2</w:t>
      </w:r>
      <w:r>
        <w:rPr/>
        <w:t>）股东及债权人权益保护 公司严格按照《公司法》、《证券法》、《公司章程》等法律、法规、规范性文件及制</w:t>
      </w:r>
    </w:p>
    <w:p>
      <w:pPr>
        <w:pStyle w:val="BodyText"/>
        <w:spacing w:line="357" w:lineRule="auto"/>
        <w:ind w:right="996"/>
        <w:jc w:val="left"/>
      </w:pPr>
      <w:r>
        <w:rPr/>
        <w:t>度的要求，规范股东大会召集、召开、表决程序，确保所有股东享有平等的股东地位、平等</w:t>
      </w:r>
      <w:r>
        <w:rPr>
          <w:spacing w:val="-91"/>
        </w:rPr>
        <w:t> </w:t>
      </w:r>
      <w:r>
        <w:rPr>
          <w:spacing w:val="-91"/>
        </w:rPr>
      </w:r>
      <w:r>
        <w:rPr>
          <w:spacing w:val="-2"/>
        </w:rPr>
        <w:t>的股东权利；充分保护股东的合法权益，让中小投资者充分行使自己的权利；明确分红政策，</w:t>
      </w:r>
      <w:r>
        <w:rPr/>
        <w:t> 积极实施现金分红政策，确保股东投资回报。同时，公司财务政策稳健，与供应商及其他债</w:t>
      </w:r>
      <w:r>
        <w:rPr>
          <w:spacing w:val="-91"/>
        </w:rPr>
        <w:t> </w:t>
      </w:r>
      <w:r>
        <w:rPr>
          <w:spacing w:val="-91"/>
        </w:rPr>
      </w:r>
      <w:r>
        <w:rPr/>
        <w:t>权人合作情况良好，公司在维护股东利益的同时兼顾债权人的利益。</w:t>
      </w:r>
    </w:p>
    <w:p>
      <w:pPr>
        <w:pStyle w:val="BodyText"/>
        <w:spacing w:line="357" w:lineRule="auto"/>
        <w:ind w:left="635" w:right="982"/>
        <w:jc w:val="left"/>
      </w:pPr>
      <w:r>
        <w:rPr/>
        <w:t>（</w:t>
      </w:r>
      <w:r>
        <w:rPr>
          <w:rFonts w:ascii="宋体" w:hAnsi="宋体" w:cs="宋体" w:eastAsia="宋体" w:hint="default"/>
        </w:rPr>
        <w:t>3</w:t>
      </w:r>
      <w:r>
        <w:rPr/>
        <w:t>）履行其他社会责任 公司诚信经营，遵纪守法，依法纳税，增加国家财政收入；公司根据自身需求，面向社</w:t>
      </w:r>
    </w:p>
    <w:p>
      <w:pPr>
        <w:pStyle w:val="BodyText"/>
        <w:spacing w:line="240" w:lineRule="auto"/>
        <w:ind w:right="982"/>
        <w:jc w:val="left"/>
      </w:pPr>
      <w:r>
        <w:rPr/>
        <w:t>会公开招聘员工，促进就业；公司响应国家环保政策，坚持不懈的为社会和行业的可持续发</w:t>
      </w:r>
    </w:p>
    <w:p>
      <w:pPr>
        <w:spacing w:after="0" w:line="240"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240" w:lineRule="auto" w:before="26"/>
        <w:ind w:right="982"/>
        <w:jc w:val="left"/>
      </w:pPr>
      <w:r>
        <w:rPr/>
        <w:t>展做出积极贡献。</w:t>
      </w:r>
    </w:p>
    <w:p>
      <w:pPr>
        <w:spacing w:line="240" w:lineRule="auto" w:before="10"/>
        <w:rPr>
          <w:rFonts w:ascii="宋体" w:hAnsi="宋体" w:cs="宋体" w:eastAsia="宋体" w:hint="default"/>
          <w:sz w:val="30"/>
          <w:szCs w:val="30"/>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、履行精准扶贫社会责任情况</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）精准扶贫规划</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公司报告暂未开展精准扶贫工作，也暂无后续精准扶贫计划。</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）年度精准扶贫概要</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）精准扶贫成效</w:t>
      </w:r>
      <w:r>
        <w:rPr>
          <w:rFonts w:ascii="宋体" w:hAnsi="宋体" w:cs="宋体" w:eastAsia="宋体" w:hint="default"/>
          <w:sz w:val="21"/>
          <w:szCs w:val="21"/>
        </w:rPr>
      </w:r>
    </w:p>
    <w:p>
      <w:pPr>
        <w:spacing w:line="240" w:lineRule="auto" w:before="7"/>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624"/>
        <w:gridCol w:w="1553"/>
        <w:gridCol w:w="4381"/>
      </w:tblGrid>
      <w:tr>
        <w:trPr>
          <w:trHeight w:val="403"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指标</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计量单位</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 w:right="0"/>
              <w:jc w:val="center"/>
              <w:rPr>
                <w:rFonts w:ascii="宋体" w:hAnsi="宋体" w:cs="宋体" w:eastAsia="宋体" w:hint="default"/>
                <w:sz w:val="18"/>
                <w:szCs w:val="18"/>
              </w:rPr>
            </w:pPr>
            <w:r>
              <w:rPr>
                <w:rFonts w:ascii="宋体" w:hAnsi="宋体" w:cs="宋体" w:eastAsia="宋体" w:hint="default"/>
                <w:sz w:val="18"/>
                <w:szCs w:val="18"/>
              </w:rPr>
              <w:t>数量</w:t>
            </w:r>
            <w:r>
              <w:rPr>
                <w:rFonts w:ascii="Times New Roman" w:hAnsi="Times New Roman" w:cs="Times New Roman" w:eastAsia="Times New Roman" w:hint="default"/>
                <w:sz w:val="18"/>
                <w:szCs w:val="18"/>
              </w:rPr>
              <w:t>/</w:t>
            </w:r>
            <w:r>
              <w:rPr>
                <w:rFonts w:ascii="宋体" w:hAnsi="宋体" w:cs="宋体" w:eastAsia="宋体" w:hint="default"/>
                <w:sz w:val="18"/>
                <w:szCs w:val="18"/>
              </w:rPr>
              <w:t>开展情况</w:t>
            </w:r>
          </w:p>
        </w:tc>
      </w:tr>
      <w:tr>
        <w:trPr>
          <w:trHeight w:val="401"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一、总体情况</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二、分项投入</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产业发展脱贫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转移就业脱贫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易地搬迁脱贫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教育扶贫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健康扶贫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生态保护扶贫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兜底保障</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社会扶贫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1"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其他项目</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3"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三、所获奖项（内容、级别）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line="240" w:lineRule="auto" w:before="3"/>
        <w:rPr>
          <w:rFonts w:ascii="宋体" w:hAnsi="宋体" w:cs="宋体" w:eastAsia="宋体" w:hint="default"/>
          <w:b/>
          <w:bCs/>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）后续精准扶贫计划</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、环境保护相关的情况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57" w:lineRule="auto" w:before="0"/>
        <w:ind w:left="152" w:right="5714" w:firstLine="0"/>
        <w:jc w:val="left"/>
        <w:rPr>
          <w:rFonts w:ascii="宋体" w:hAnsi="宋体" w:cs="宋体" w:eastAsia="宋体" w:hint="default"/>
          <w:sz w:val="18"/>
          <w:szCs w:val="18"/>
        </w:rPr>
      </w:pPr>
      <w:r>
        <w:rPr>
          <w:rFonts w:ascii="宋体" w:hAnsi="宋体" w:cs="宋体" w:eastAsia="宋体" w:hint="default"/>
          <w:sz w:val="18"/>
          <w:szCs w:val="18"/>
        </w:rPr>
        <w:t>上市公司及其子公司是否属于环境保护部门公布的重点排污单位 否 本公司及其子公司均不属于环境保护部门公布的重点排污单位。</w:t>
      </w:r>
    </w:p>
    <w:p>
      <w:pPr>
        <w:spacing w:line="240" w:lineRule="auto" w:before="7"/>
        <w:rPr>
          <w:rFonts w:ascii="宋体" w:hAnsi="宋体" w:cs="宋体" w:eastAsia="宋体" w:hint="default"/>
          <w:sz w:val="18"/>
          <w:szCs w:val="18"/>
        </w:rPr>
      </w:pPr>
    </w:p>
    <w:p>
      <w:pPr>
        <w:pStyle w:val="Heading2"/>
        <w:spacing w:line="240" w:lineRule="auto"/>
        <w:ind w:right="982"/>
        <w:jc w:val="left"/>
        <w:rPr>
          <w:b w:val="0"/>
          <w:bCs w:val="0"/>
        </w:rPr>
      </w:pPr>
      <w:r>
        <w:rPr/>
        <w:t>十八、其他重大事项的说明</w:t>
      </w:r>
      <w:r>
        <w:rPr>
          <w:b w:val="0"/>
          <w:bCs w:val="0"/>
        </w:rPr>
      </w:r>
    </w:p>
    <w:p>
      <w:pPr>
        <w:spacing w:line="240" w:lineRule="auto" w:before="6"/>
        <w:rPr>
          <w:rFonts w:ascii="宋体" w:hAnsi="宋体" w:cs="宋体" w:eastAsia="宋体" w:hint="default"/>
          <w:b/>
          <w:bCs/>
          <w:sz w:val="26"/>
          <w:szCs w:val="26"/>
        </w:rPr>
      </w:pPr>
    </w:p>
    <w:p>
      <w:pPr>
        <w:spacing w:line="338" w:lineRule="auto" w:before="0"/>
        <w:ind w:left="152" w:right="71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公司报告期不存在需要说明的其他重大事项。</w:t>
      </w:r>
    </w:p>
    <w:p>
      <w:pPr>
        <w:spacing w:after="0" w:line="338"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十九、公司子公司重大事项</w:t>
      </w:r>
      <w:r>
        <w:rPr>
          <w:b w:val="0"/>
          <w:bCs w:val="0"/>
        </w:rPr>
      </w:r>
    </w:p>
    <w:p>
      <w:pPr>
        <w:spacing w:line="240" w:lineRule="auto" w:before="6"/>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2964" w:right="982"/>
        <w:jc w:val="left"/>
        <w:rPr>
          <w:b w:val="0"/>
          <w:bCs w:val="0"/>
        </w:rPr>
      </w:pPr>
      <w:bookmarkStart w:name="_bookmark4" w:id="5"/>
      <w:bookmarkEnd w:id="5"/>
      <w:r>
        <w:rPr>
          <w:b w:val="0"/>
          <w:bCs w:val="0"/>
        </w:rPr>
      </w:r>
      <w:r>
        <w:rPr/>
        <w:t>第六节</w:t>
      </w:r>
      <w:r>
        <w:rPr>
          <w:spacing w:val="-6"/>
        </w:rPr>
        <w:t> </w:t>
      </w:r>
      <w:r>
        <w:rPr/>
        <w:t>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982"/>
        <w:jc w:val="left"/>
        <w:rPr>
          <w:b w:val="0"/>
          <w:bCs w:val="0"/>
        </w:rPr>
      </w:pPr>
      <w:r>
        <w:rPr/>
        <w:t>一、股份变动情况</w:t>
      </w:r>
      <w:r>
        <w:rPr>
          <w:b w:val="0"/>
          <w:bCs w:val="0"/>
        </w:rPr>
      </w:r>
    </w:p>
    <w:p>
      <w:pPr>
        <w:spacing w:line="240" w:lineRule="auto" w:before="9"/>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、股份变动情况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216"/>
        <w:gridCol w:w="824"/>
        <w:gridCol w:w="823"/>
        <w:gridCol w:w="823"/>
        <w:gridCol w:w="821"/>
        <w:gridCol w:w="823"/>
        <w:gridCol w:w="821"/>
        <w:gridCol w:w="824"/>
        <w:gridCol w:w="794"/>
        <w:gridCol w:w="792"/>
      </w:tblGrid>
      <w:tr>
        <w:trPr>
          <w:trHeight w:val="403"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164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69"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12"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60"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58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8"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1" w:hRule="exact"/>
        </w:trPr>
        <w:tc>
          <w:tcPr>
            <w:tcW w:w="2216" w:type="dxa"/>
            <w:vMerge w:val="restart"/>
            <w:tcBorders>
              <w:top w:val="nil" w:sz="6" w:space="0" w:color="auto"/>
              <w:left w:val="single" w:sz="4" w:space="0" w:color="000000"/>
              <w:right w:val="single" w:sz="4" w:space="0" w:color="000000"/>
            </w:tcBorders>
            <w:shd w:val="clear" w:color="auto" w:fill="D2D2D2"/>
          </w:tcPr>
          <w:p>
            <w:pPr/>
          </w:p>
        </w:tc>
        <w:tc>
          <w:tcPr>
            <w:tcW w:w="824"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tcBorders>
              <w:top w:val="single" w:sz="4" w:space="0" w:color="000000"/>
              <w:left w:val="single" w:sz="4" w:space="0" w:color="000000"/>
              <w:bottom w:val="nil" w:sz="6" w:space="0" w:color="auto"/>
              <w:right w:val="single" w:sz="4" w:space="0" w:color="000000"/>
            </w:tcBorders>
            <w:shd w:val="clear" w:color="auto" w:fill="D2D2D2"/>
          </w:tcPr>
          <w:p>
            <w:pPr/>
          </w:p>
        </w:tc>
        <w:tc>
          <w:tcPr>
            <w:tcW w:w="821" w:type="dxa"/>
            <w:tcBorders>
              <w:top w:val="single" w:sz="4" w:space="0" w:color="000000"/>
              <w:left w:val="single" w:sz="4" w:space="0" w:color="000000"/>
              <w:bottom w:val="nil" w:sz="6" w:space="0" w:color="auto"/>
              <w:right w:val="single" w:sz="4" w:space="0" w:color="000000"/>
            </w:tcBorders>
            <w:shd w:val="clear" w:color="auto" w:fill="D2D2D2"/>
          </w:tcPr>
          <w:p>
            <w:pPr/>
          </w:p>
        </w:tc>
        <w:tc>
          <w:tcPr>
            <w:tcW w:w="82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316" w:right="47" w:hanging="272"/>
              <w:jc w:val="left"/>
              <w:rPr>
                <w:rFonts w:ascii="宋体" w:hAnsi="宋体" w:cs="宋体" w:eastAsia="宋体" w:hint="default"/>
                <w:sz w:val="18"/>
                <w:szCs w:val="18"/>
              </w:rPr>
            </w:pPr>
            <w:r>
              <w:rPr>
                <w:rFonts w:ascii="宋体" w:hAnsi="宋体" w:cs="宋体" w:eastAsia="宋体" w:hint="default"/>
                <w:sz w:val="18"/>
                <w:szCs w:val="18"/>
              </w:rPr>
              <w:t>公积金转 股</w:t>
            </w:r>
          </w:p>
        </w:tc>
        <w:tc>
          <w:tcPr>
            <w:tcW w:w="821"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tcBorders>
              <w:top w:val="single" w:sz="4" w:space="0" w:color="000000"/>
              <w:left w:val="single" w:sz="4" w:space="0" w:color="000000"/>
              <w:bottom w:val="nil" w:sz="6" w:space="0" w:color="auto"/>
              <w:right w:val="single" w:sz="4" w:space="0" w:color="000000"/>
            </w:tcBorders>
            <w:shd w:val="clear" w:color="auto" w:fill="D2D2D2"/>
          </w:tcPr>
          <w:p>
            <w:pPr/>
          </w:p>
        </w:tc>
        <w:tc>
          <w:tcPr>
            <w:tcW w:w="794" w:type="dxa"/>
            <w:tcBorders>
              <w:top w:val="single" w:sz="4" w:space="0" w:color="000000"/>
              <w:left w:val="single" w:sz="4" w:space="0" w:color="000000"/>
              <w:bottom w:val="nil" w:sz="6" w:space="0" w:color="auto"/>
              <w:right w:val="single" w:sz="4" w:space="0" w:color="000000"/>
            </w:tcBorders>
            <w:shd w:val="clear" w:color="auto" w:fill="D2D2D2"/>
          </w:tcPr>
          <w:p>
            <w:pPr/>
          </w:p>
        </w:tc>
        <w:tc>
          <w:tcPr>
            <w:tcW w:w="792"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2" w:hRule="exact"/>
        </w:trPr>
        <w:tc>
          <w:tcPr>
            <w:tcW w:w="2216" w:type="dxa"/>
            <w:vMerge/>
            <w:tcBorders>
              <w:left w:val="single" w:sz="4" w:space="0" w:color="000000"/>
              <w:bottom w:val="nil" w:sz="6" w:space="0" w:color="auto"/>
              <w:right w:val="single" w:sz="4" w:space="0" w:color="000000"/>
            </w:tcBorders>
            <w:shd w:val="clear" w:color="auto" w:fill="D2D2D2"/>
          </w:tcPr>
          <w:p>
            <w:pPr/>
          </w:p>
        </w:tc>
        <w:tc>
          <w:tcPr>
            <w:tcW w:w="82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27"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28"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47"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82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25"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823" w:type="dxa"/>
            <w:vMerge/>
            <w:tcBorders>
              <w:left w:val="single" w:sz="4" w:space="0" w:color="000000"/>
              <w:right w:val="single" w:sz="4" w:space="0" w:color="000000"/>
            </w:tcBorders>
            <w:shd w:val="clear" w:color="auto" w:fill="D2D2D2"/>
          </w:tcPr>
          <w:p>
            <w:pPr/>
          </w:p>
        </w:tc>
        <w:tc>
          <w:tcPr>
            <w:tcW w:w="82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2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2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11"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11"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199" w:hRule="exact"/>
        </w:trPr>
        <w:tc>
          <w:tcPr>
            <w:tcW w:w="2216" w:type="dxa"/>
            <w:vMerge w:val="restart"/>
            <w:tcBorders>
              <w:top w:val="nil" w:sz="6" w:space="0" w:color="auto"/>
              <w:left w:val="single" w:sz="4" w:space="0" w:color="000000"/>
              <w:right w:val="single" w:sz="4" w:space="0" w:color="000000"/>
            </w:tcBorders>
            <w:shd w:val="clear" w:color="auto" w:fill="D2D2D2"/>
          </w:tcPr>
          <w:p>
            <w:pPr/>
          </w:p>
        </w:tc>
        <w:tc>
          <w:tcPr>
            <w:tcW w:w="824" w:type="dxa"/>
            <w:vMerge/>
            <w:tcBorders>
              <w:left w:val="single" w:sz="4" w:space="0" w:color="000000"/>
              <w:bottom w:val="nil" w:sz="6" w:space="0" w:color="auto"/>
              <w:right w:val="single" w:sz="4" w:space="0" w:color="000000"/>
            </w:tcBorders>
            <w:shd w:val="clear" w:color="auto" w:fill="D2D2D2"/>
          </w:tcPr>
          <w:p>
            <w:pPr/>
          </w:p>
        </w:tc>
        <w:tc>
          <w:tcPr>
            <w:tcW w:w="823" w:type="dxa"/>
            <w:vMerge/>
            <w:tcBorders>
              <w:left w:val="single" w:sz="4" w:space="0" w:color="000000"/>
              <w:bottom w:val="nil" w:sz="6" w:space="0" w:color="auto"/>
              <w:right w:val="single" w:sz="4" w:space="0" w:color="000000"/>
            </w:tcBorders>
            <w:shd w:val="clear" w:color="auto" w:fill="D2D2D2"/>
          </w:tcPr>
          <w:p>
            <w:pPr/>
          </w:p>
        </w:tc>
        <w:tc>
          <w:tcPr>
            <w:tcW w:w="823" w:type="dxa"/>
            <w:vMerge/>
            <w:tcBorders>
              <w:left w:val="single" w:sz="4" w:space="0" w:color="000000"/>
              <w:bottom w:val="nil" w:sz="6" w:space="0" w:color="auto"/>
              <w:right w:val="single" w:sz="4" w:space="0" w:color="000000"/>
            </w:tcBorders>
            <w:shd w:val="clear" w:color="auto" w:fill="D2D2D2"/>
          </w:tcPr>
          <w:p>
            <w:pPr/>
          </w:p>
        </w:tc>
        <w:tc>
          <w:tcPr>
            <w:tcW w:w="821" w:type="dxa"/>
            <w:vMerge/>
            <w:tcBorders>
              <w:left w:val="single" w:sz="4" w:space="0" w:color="000000"/>
              <w:bottom w:val="nil" w:sz="6" w:space="0" w:color="auto"/>
              <w:right w:val="single" w:sz="4" w:space="0" w:color="000000"/>
            </w:tcBorders>
            <w:shd w:val="clear" w:color="auto" w:fill="D2D2D2"/>
          </w:tcPr>
          <w:p>
            <w:pPr/>
          </w:p>
        </w:tc>
        <w:tc>
          <w:tcPr>
            <w:tcW w:w="823" w:type="dxa"/>
            <w:vMerge/>
            <w:tcBorders>
              <w:left w:val="single" w:sz="4" w:space="0" w:color="000000"/>
              <w:right w:val="single" w:sz="4" w:space="0" w:color="000000"/>
            </w:tcBorders>
            <w:shd w:val="clear" w:color="auto" w:fill="D2D2D2"/>
          </w:tcPr>
          <w:p>
            <w:pPr/>
          </w:p>
        </w:tc>
        <w:tc>
          <w:tcPr>
            <w:tcW w:w="821" w:type="dxa"/>
            <w:vMerge/>
            <w:tcBorders>
              <w:left w:val="single" w:sz="4" w:space="0" w:color="000000"/>
              <w:bottom w:val="nil" w:sz="6" w:space="0" w:color="auto"/>
              <w:right w:val="single" w:sz="4" w:space="0" w:color="000000"/>
            </w:tcBorders>
            <w:shd w:val="clear" w:color="auto" w:fill="D2D2D2"/>
          </w:tcPr>
          <w:p>
            <w:pPr/>
          </w:p>
        </w:tc>
        <w:tc>
          <w:tcPr>
            <w:tcW w:w="824" w:type="dxa"/>
            <w:vMerge/>
            <w:tcBorders>
              <w:left w:val="single" w:sz="4" w:space="0" w:color="000000"/>
              <w:bottom w:val="nil" w:sz="6" w:space="0" w:color="auto"/>
              <w:right w:val="single" w:sz="4" w:space="0" w:color="000000"/>
            </w:tcBorders>
            <w:shd w:val="clear" w:color="auto" w:fill="D2D2D2"/>
          </w:tcPr>
          <w:p>
            <w:pPr/>
          </w:p>
        </w:tc>
        <w:tc>
          <w:tcPr>
            <w:tcW w:w="794" w:type="dxa"/>
            <w:vMerge/>
            <w:tcBorders>
              <w:left w:val="single" w:sz="4" w:space="0" w:color="000000"/>
              <w:bottom w:val="nil" w:sz="6" w:space="0" w:color="auto"/>
              <w:right w:val="single" w:sz="4" w:space="0" w:color="000000"/>
            </w:tcBorders>
            <w:shd w:val="clear" w:color="auto" w:fill="D2D2D2"/>
          </w:tcPr>
          <w:p>
            <w:pPr/>
          </w:p>
        </w:tc>
        <w:tc>
          <w:tcPr>
            <w:tcW w:w="792"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2216" w:type="dxa"/>
            <w:vMerge/>
            <w:tcBorders>
              <w:left w:val="single" w:sz="4" w:space="0" w:color="000000"/>
              <w:bottom w:val="single" w:sz="4" w:space="0" w:color="000000"/>
              <w:right w:val="single" w:sz="4" w:space="0" w:color="000000"/>
            </w:tcBorders>
            <w:shd w:val="clear" w:color="auto" w:fill="D2D2D2"/>
          </w:tcPr>
          <w:p>
            <w:pPr/>
          </w:p>
        </w:tc>
        <w:tc>
          <w:tcPr>
            <w:tcW w:w="824"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tcBorders>
              <w:top w:val="nil" w:sz="6" w:space="0" w:color="auto"/>
              <w:left w:val="single" w:sz="4" w:space="0" w:color="000000"/>
              <w:bottom w:val="single" w:sz="4" w:space="0" w:color="000000"/>
              <w:right w:val="single" w:sz="4" w:space="0" w:color="000000"/>
            </w:tcBorders>
            <w:shd w:val="clear" w:color="auto" w:fill="D2D2D2"/>
          </w:tcPr>
          <w:p>
            <w:pPr/>
          </w:p>
        </w:tc>
        <w:tc>
          <w:tcPr>
            <w:tcW w:w="821" w:type="dxa"/>
            <w:tcBorders>
              <w:top w:val="nil" w:sz="6" w:space="0" w:color="auto"/>
              <w:left w:val="single" w:sz="4" w:space="0" w:color="000000"/>
              <w:bottom w:val="single" w:sz="4" w:space="0" w:color="000000"/>
              <w:right w:val="single" w:sz="4" w:space="0" w:color="000000"/>
            </w:tcBorders>
            <w:shd w:val="clear" w:color="auto" w:fill="D2D2D2"/>
          </w:tcPr>
          <w:p>
            <w:pPr/>
          </w:p>
        </w:tc>
        <w:tc>
          <w:tcPr>
            <w:tcW w:w="823" w:type="dxa"/>
            <w:vMerge/>
            <w:tcBorders>
              <w:left w:val="single" w:sz="4" w:space="0" w:color="000000"/>
              <w:bottom w:val="single" w:sz="4" w:space="0" w:color="000000"/>
              <w:right w:val="single" w:sz="4" w:space="0" w:color="000000"/>
            </w:tcBorders>
            <w:shd w:val="clear" w:color="auto" w:fill="D2D2D2"/>
          </w:tcPr>
          <w:p>
            <w:pPr/>
          </w:p>
        </w:tc>
        <w:tc>
          <w:tcPr>
            <w:tcW w:w="821"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tcBorders>
              <w:top w:val="nil" w:sz="6" w:space="0" w:color="auto"/>
              <w:left w:val="single" w:sz="4" w:space="0" w:color="000000"/>
              <w:bottom w:val="single" w:sz="4" w:space="0" w:color="000000"/>
              <w:right w:val="single" w:sz="4" w:space="0" w:color="000000"/>
            </w:tcBorders>
            <w:shd w:val="clear" w:color="auto" w:fill="D2D2D2"/>
          </w:tcPr>
          <w:p>
            <w:pPr/>
          </w:p>
        </w:tc>
        <w:tc>
          <w:tcPr>
            <w:tcW w:w="794" w:type="dxa"/>
            <w:tcBorders>
              <w:top w:val="nil" w:sz="6" w:space="0" w:color="auto"/>
              <w:left w:val="single" w:sz="4" w:space="0" w:color="000000"/>
              <w:bottom w:val="single" w:sz="4" w:space="0" w:color="000000"/>
              <w:right w:val="single" w:sz="4" w:space="0" w:color="000000"/>
            </w:tcBorders>
            <w:shd w:val="clear" w:color="auto" w:fill="D2D2D2"/>
          </w:tcPr>
          <w:p>
            <w:pPr/>
          </w:p>
        </w:tc>
        <w:tc>
          <w:tcPr>
            <w:tcW w:w="792"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152,415,3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82</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7" w:right="0"/>
              <w:jc w:val="left"/>
              <w:rPr>
                <w:rFonts w:ascii="Times New Roman" w:hAnsi="Times New Roman" w:cs="Times New Roman" w:eastAsia="Times New Roman" w:hint="default"/>
                <w:sz w:val="18"/>
                <w:szCs w:val="18"/>
              </w:rPr>
            </w:pPr>
            <w:r>
              <w:rPr>
                <w:rFonts w:ascii="Times New Roman"/>
                <w:sz w:val="18"/>
              </w:rPr>
              <w:t>35.89%</w:t>
            </w: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-27,878,9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93</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-27,878,9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93</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124,536,3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89</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29.35%</w:t>
            </w:r>
          </w:p>
        </w:tc>
      </w:tr>
      <w:tr>
        <w:trPr>
          <w:trHeight w:val="394"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824" w:type="dxa"/>
            <w:vMerge/>
            <w:tcBorders>
              <w:left w:val="single" w:sz="9" w:space="0" w:color="D2D2D2"/>
              <w:right w:val="single" w:sz="4" w:space="0" w:color="000000"/>
            </w:tcBorders>
          </w:tcPr>
          <w:p>
            <w:pPr/>
          </w:p>
        </w:tc>
        <w:tc>
          <w:tcPr>
            <w:tcW w:w="823"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vMerge/>
            <w:tcBorders>
              <w:left w:val="single" w:sz="9" w:space="0" w:color="D2D2D2"/>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5" w:right="0"/>
              <w:jc w:val="left"/>
              <w:rPr>
                <w:rFonts w:ascii="Times New Roman" w:hAnsi="Times New Roman" w:cs="Times New Roman" w:eastAsia="Times New Roman" w:hint="default"/>
                <w:sz w:val="18"/>
                <w:szCs w:val="18"/>
              </w:rPr>
            </w:pPr>
            <w:r>
              <w:rPr>
                <w:rFonts w:ascii="Times New Roman"/>
                <w:sz w:val="18"/>
              </w:rPr>
              <w:t>8,450,940</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6" w:right="0"/>
              <w:jc w:val="left"/>
              <w:rPr>
                <w:rFonts w:ascii="Times New Roman" w:hAnsi="Times New Roman" w:cs="Times New Roman" w:eastAsia="Times New Roman" w:hint="default"/>
                <w:sz w:val="18"/>
                <w:szCs w:val="18"/>
              </w:rPr>
            </w:pPr>
            <w:r>
              <w:rPr>
                <w:rFonts w:ascii="Times New Roman"/>
                <w:sz w:val="18"/>
              </w:rPr>
              <w:t>1.99%</w:t>
            </w: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-8,450,94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-8,450,94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94" w:type="dxa"/>
            <w:vMerge w:val="restart"/>
            <w:tcBorders>
              <w:top w:val="single" w:sz="4" w:space="0" w:color="000000"/>
              <w:left w:val="single" w:sz="4" w:space="0" w:color="000000"/>
              <w:right w:val="single" w:sz="4" w:space="0" w:color="000000"/>
            </w:tcBorders>
          </w:tcPr>
          <w:p>
            <w:pPr/>
          </w:p>
        </w:tc>
        <w:tc>
          <w:tcPr>
            <w:tcW w:w="792" w:type="dxa"/>
            <w:vMerge w:val="restart"/>
            <w:tcBorders>
              <w:top w:val="single" w:sz="4" w:space="0" w:color="000000"/>
              <w:left w:val="single" w:sz="4" w:space="0" w:color="000000"/>
              <w:right w:val="single" w:sz="4" w:space="0" w:color="000000"/>
            </w:tcBorders>
          </w:tcPr>
          <w:p>
            <w:pPr/>
          </w:p>
        </w:tc>
      </w:tr>
      <w:tr>
        <w:trPr>
          <w:trHeight w:val="391"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824" w:type="dxa"/>
            <w:vMerge/>
            <w:tcBorders>
              <w:left w:val="single" w:sz="9" w:space="0" w:color="D2D2D2"/>
              <w:right w:val="single" w:sz="4" w:space="0" w:color="000000"/>
            </w:tcBorders>
          </w:tcPr>
          <w:p>
            <w:pPr/>
          </w:p>
        </w:tc>
        <w:tc>
          <w:tcPr>
            <w:tcW w:w="823"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vMerge/>
            <w:tcBorders>
              <w:left w:val="single" w:sz="9" w:space="0" w:color="D2D2D2"/>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143,964,4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42</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7" w:right="0"/>
              <w:jc w:val="left"/>
              <w:rPr>
                <w:rFonts w:ascii="Times New Roman" w:hAnsi="Times New Roman" w:cs="Times New Roman" w:eastAsia="Times New Roman" w:hint="default"/>
                <w:sz w:val="18"/>
                <w:szCs w:val="18"/>
              </w:rPr>
            </w:pPr>
            <w:r>
              <w:rPr>
                <w:rFonts w:ascii="Times New Roman"/>
                <w:sz w:val="18"/>
              </w:rPr>
              <w:t>33.59%</w:t>
            </w: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-19,428,0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53</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-19,428,0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53</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124,536,3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89</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29.35%</w:t>
            </w:r>
          </w:p>
        </w:tc>
      </w:tr>
      <w:tr>
        <w:trPr>
          <w:trHeight w:val="394"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824" w:type="dxa"/>
            <w:vMerge/>
            <w:tcBorders>
              <w:left w:val="single" w:sz="9" w:space="0" w:color="D2D2D2"/>
              <w:right w:val="single" w:sz="4" w:space="0" w:color="000000"/>
            </w:tcBorders>
          </w:tcPr>
          <w:p>
            <w:pPr/>
          </w:p>
        </w:tc>
        <w:tc>
          <w:tcPr>
            <w:tcW w:w="823"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vMerge/>
            <w:tcBorders>
              <w:left w:val="single" w:sz="9" w:space="0" w:color="D2D2D2"/>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20,588,45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6" w:right="0"/>
              <w:jc w:val="left"/>
              <w:rPr>
                <w:rFonts w:ascii="Times New Roman" w:hAnsi="Times New Roman" w:cs="Times New Roman" w:eastAsia="Times New Roman" w:hint="default"/>
                <w:sz w:val="18"/>
                <w:szCs w:val="18"/>
              </w:rPr>
            </w:pPr>
            <w:r>
              <w:rPr>
                <w:rFonts w:ascii="Times New Roman"/>
                <w:sz w:val="18"/>
              </w:rPr>
              <w:t>4.85%</w:t>
            </w: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-20,588,4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55</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-20,588,4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55</w:t>
            </w:r>
          </w:p>
        </w:tc>
        <w:tc>
          <w:tcPr>
            <w:tcW w:w="794" w:type="dxa"/>
            <w:vMerge w:val="restart"/>
            <w:tcBorders>
              <w:top w:val="single" w:sz="4" w:space="0" w:color="000000"/>
              <w:left w:val="single" w:sz="4" w:space="0" w:color="000000"/>
              <w:right w:val="single" w:sz="4" w:space="0" w:color="000000"/>
            </w:tcBorders>
          </w:tcPr>
          <w:p>
            <w:pPr/>
          </w:p>
        </w:tc>
        <w:tc>
          <w:tcPr>
            <w:tcW w:w="792" w:type="dxa"/>
            <w:vMerge w:val="restart"/>
            <w:tcBorders>
              <w:top w:val="single" w:sz="4" w:space="0" w:color="000000"/>
              <w:left w:val="single" w:sz="4" w:space="0" w:color="000000"/>
              <w:right w:val="single" w:sz="4" w:space="0" w:color="000000"/>
            </w:tcBorders>
          </w:tcPr>
          <w:p>
            <w:pPr/>
          </w:p>
        </w:tc>
      </w:tr>
      <w:tr>
        <w:trPr>
          <w:trHeight w:val="392"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824" w:type="dxa"/>
            <w:vMerge/>
            <w:tcBorders>
              <w:left w:val="single" w:sz="9" w:space="0" w:color="D2D2D2"/>
              <w:right w:val="single" w:sz="4" w:space="0" w:color="000000"/>
            </w:tcBorders>
          </w:tcPr>
          <w:p>
            <w:pPr/>
          </w:p>
        </w:tc>
        <w:tc>
          <w:tcPr>
            <w:tcW w:w="823"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vMerge/>
            <w:tcBorders>
              <w:left w:val="single" w:sz="9" w:space="0" w:color="D2D2D2"/>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123,375,9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87</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7" w:right="0"/>
              <w:jc w:val="left"/>
              <w:rPr>
                <w:rFonts w:ascii="Times New Roman" w:hAnsi="Times New Roman" w:cs="Times New Roman" w:eastAsia="Times New Roman" w:hint="default"/>
                <w:sz w:val="18"/>
                <w:szCs w:val="18"/>
              </w:rPr>
            </w:pPr>
            <w:r>
              <w:rPr>
                <w:rFonts w:ascii="Times New Roman"/>
                <w:sz w:val="18"/>
              </w:rPr>
              <w:t>29.06%</w:t>
            </w: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1,160,402</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1,160,402</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124,536,3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89</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29.35%</w:t>
            </w:r>
          </w:p>
        </w:tc>
      </w:tr>
      <w:tr>
        <w:trPr>
          <w:trHeight w:val="394"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824" w:type="dxa"/>
            <w:vMerge/>
            <w:tcBorders>
              <w:left w:val="single" w:sz="9" w:space="0" w:color="D2D2D2"/>
              <w:right w:val="single" w:sz="4" w:space="0" w:color="000000"/>
            </w:tcBorders>
          </w:tcPr>
          <w:p>
            <w:pPr/>
          </w:p>
        </w:tc>
        <w:tc>
          <w:tcPr>
            <w:tcW w:w="823"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vMerge/>
            <w:tcBorders>
              <w:left w:val="single" w:sz="9" w:space="0" w:color="D2D2D2"/>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w w:val="95"/>
                <w:sz w:val="18"/>
              </w:rPr>
              <w:t>272,211,5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23</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64.11%</w:t>
            </w: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27,592,99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27,592,99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299,804,5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16</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70.65%</w:t>
            </w:r>
          </w:p>
        </w:tc>
      </w:tr>
      <w:tr>
        <w:trPr>
          <w:trHeight w:val="391"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824" w:type="dxa"/>
            <w:vMerge/>
            <w:tcBorders>
              <w:left w:val="single" w:sz="9" w:space="0" w:color="D2D2D2"/>
              <w:right w:val="single" w:sz="4" w:space="0" w:color="000000"/>
            </w:tcBorders>
          </w:tcPr>
          <w:p>
            <w:pPr/>
          </w:p>
        </w:tc>
        <w:tc>
          <w:tcPr>
            <w:tcW w:w="823"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vMerge/>
            <w:tcBorders>
              <w:left w:val="single" w:sz="9" w:space="0" w:color="D2D2D2"/>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w w:val="95"/>
                <w:sz w:val="18"/>
              </w:rPr>
              <w:t>272,211,5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23</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64.11%</w:t>
            </w: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27,592,99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27,592,99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299,804,5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16</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70.65%</w:t>
            </w:r>
          </w:p>
        </w:tc>
      </w:tr>
      <w:tr>
        <w:trPr>
          <w:trHeight w:val="394"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824" w:type="dxa"/>
            <w:vMerge/>
            <w:tcBorders>
              <w:left w:val="single" w:sz="9" w:space="0" w:color="D2D2D2"/>
              <w:right w:val="single" w:sz="4" w:space="0" w:color="000000"/>
            </w:tcBorders>
          </w:tcPr>
          <w:p>
            <w:pPr/>
          </w:p>
        </w:tc>
        <w:tc>
          <w:tcPr>
            <w:tcW w:w="823"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vMerge/>
            <w:tcBorders>
              <w:left w:val="single" w:sz="9" w:space="0" w:color="D2D2D2"/>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r>
        <w:trPr>
          <w:trHeight w:val="161" w:hRule="exact"/>
        </w:trPr>
        <w:tc>
          <w:tcPr>
            <w:tcW w:w="2216" w:type="dxa"/>
            <w:tcBorders>
              <w:top w:val="single" w:sz="4" w:space="0" w:color="000000"/>
              <w:left w:val="single" w:sz="4" w:space="0" w:color="000000"/>
              <w:bottom w:val="nil" w:sz="6" w:space="0" w:color="auto"/>
              <w:right w:val="single" w:sz="4" w:space="0" w:color="000000"/>
            </w:tcBorders>
            <w:shd w:val="clear" w:color="auto" w:fill="D2D2D2"/>
          </w:tcPr>
          <w:p>
            <w:pPr/>
          </w:p>
        </w:tc>
        <w:tc>
          <w:tcPr>
            <w:tcW w:w="824"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424,626,9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05</w:t>
            </w:r>
          </w:p>
        </w:tc>
        <w:tc>
          <w:tcPr>
            <w:tcW w:w="8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100.00%</w:t>
            </w: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
        </w:tc>
        <w:tc>
          <w:tcPr>
            <w:tcW w:w="823" w:type="dxa"/>
            <w:vMerge w:val="restart"/>
            <w:tcBorders>
              <w:top w:val="single" w:sz="4" w:space="0" w:color="000000"/>
              <w:left w:val="single" w:sz="4" w:space="0" w:color="000000"/>
              <w:right w:val="single" w:sz="4" w:space="0" w:color="000000"/>
            </w:tcBorders>
          </w:tcPr>
          <w:p>
            <w:pPr/>
          </w:p>
        </w:tc>
        <w:tc>
          <w:tcPr>
            <w:tcW w:w="82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-286,000</w:t>
            </w:r>
          </w:p>
        </w:tc>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-286,000</w:t>
            </w:r>
          </w:p>
        </w:tc>
        <w:tc>
          <w:tcPr>
            <w:tcW w:w="79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424,340,9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05</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100.00%</w:t>
            </w:r>
          </w:p>
        </w:tc>
      </w:tr>
      <w:tr>
        <w:trPr>
          <w:trHeight w:val="391" w:hRule="exact"/>
        </w:trPr>
        <w:tc>
          <w:tcPr>
            <w:tcW w:w="221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824" w:type="dxa"/>
            <w:vMerge/>
            <w:tcBorders>
              <w:left w:val="single" w:sz="9" w:space="0" w:color="D2D2D2"/>
              <w:right w:val="single" w:sz="4" w:space="0" w:color="000000"/>
            </w:tcBorders>
          </w:tcPr>
          <w:p>
            <w:pPr/>
          </w:p>
        </w:tc>
        <w:tc>
          <w:tcPr>
            <w:tcW w:w="823"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3" w:type="dxa"/>
            <w:vMerge/>
            <w:tcBorders>
              <w:left w:val="single" w:sz="4" w:space="0" w:color="000000"/>
              <w:right w:val="single" w:sz="4" w:space="0" w:color="000000"/>
            </w:tcBorders>
          </w:tcPr>
          <w:p>
            <w:pPr/>
          </w:p>
        </w:tc>
        <w:tc>
          <w:tcPr>
            <w:tcW w:w="821" w:type="dxa"/>
            <w:vMerge/>
            <w:tcBorders>
              <w:left w:val="single" w:sz="4" w:space="0" w:color="000000"/>
              <w:right w:val="single" w:sz="4" w:space="0" w:color="000000"/>
            </w:tcBorders>
          </w:tcPr>
          <w:p>
            <w:pPr/>
          </w:p>
        </w:tc>
        <w:tc>
          <w:tcPr>
            <w:tcW w:w="824" w:type="dxa"/>
            <w:vMerge/>
            <w:tcBorders>
              <w:left w:val="single" w:sz="4" w:space="0" w:color="000000"/>
              <w:right w:val="single" w:sz="4" w:space="0" w:color="000000"/>
            </w:tcBorders>
          </w:tcPr>
          <w:p>
            <w:pPr/>
          </w:p>
        </w:tc>
        <w:tc>
          <w:tcPr>
            <w:tcW w:w="794"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r>
      <w:tr>
        <w:trPr>
          <w:trHeight w:val="161" w:hRule="exact"/>
        </w:trPr>
        <w:tc>
          <w:tcPr>
            <w:tcW w:w="2216" w:type="dxa"/>
            <w:tcBorders>
              <w:top w:val="nil" w:sz="6" w:space="0" w:color="auto"/>
              <w:left w:val="single" w:sz="4" w:space="0" w:color="000000"/>
              <w:bottom w:val="single" w:sz="4" w:space="0" w:color="000000"/>
              <w:right w:val="single" w:sz="4" w:space="0" w:color="000000"/>
            </w:tcBorders>
            <w:shd w:val="clear" w:color="auto" w:fill="D2D2D2"/>
          </w:tcPr>
          <w:p>
            <w:pPr/>
          </w:p>
        </w:tc>
        <w:tc>
          <w:tcPr>
            <w:tcW w:w="824" w:type="dxa"/>
            <w:vMerge/>
            <w:tcBorders>
              <w:left w:val="single" w:sz="9" w:space="0" w:color="D2D2D2"/>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3" w:type="dxa"/>
            <w:vMerge/>
            <w:tcBorders>
              <w:left w:val="single" w:sz="4" w:space="0" w:color="000000"/>
              <w:bottom w:val="single" w:sz="4" w:space="0" w:color="000000"/>
              <w:right w:val="single" w:sz="4" w:space="0" w:color="000000"/>
            </w:tcBorders>
          </w:tcPr>
          <w:p>
            <w:pPr/>
          </w:p>
        </w:tc>
        <w:tc>
          <w:tcPr>
            <w:tcW w:w="821" w:type="dxa"/>
            <w:vMerge/>
            <w:tcBorders>
              <w:left w:val="single" w:sz="4" w:space="0" w:color="000000"/>
              <w:bottom w:val="single" w:sz="4" w:space="0" w:color="000000"/>
              <w:right w:val="single" w:sz="4" w:space="0" w:color="000000"/>
            </w:tcBorders>
          </w:tcPr>
          <w:p>
            <w:pPr/>
          </w:p>
        </w:tc>
        <w:tc>
          <w:tcPr>
            <w:tcW w:w="824" w:type="dxa"/>
            <w:vMerge/>
            <w:tcBorders>
              <w:left w:val="single" w:sz="4" w:space="0" w:color="000000"/>
              <w:bottom w:val="single" w:sz="4" w:space="0" w:color="000000"/>
              <w:right w:val="single" w:sz="4" w:space="0" w:color="000000"/>
            </w:tcBorders>
          </w:tcPr>
          <w:p>
            <w:pPr/>
          </w:p>
        </w:tc>
        <w:tc>
          <w:tcPr>
            <w:tcW w:w="794"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股份变动的原因</w:t>
      </w:r>
    </w:p>
    <w:p>
      <w:pPr>
        <w:spacing w:before="117"/>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240" w:lineRule="auto" w:before="132"/>
        <w:ind w:left="635" w:right="982"/>
        <w:jc w:val="left"/>
      </w:pPr>
      <w:r>
        <w:rPr>
          <w:rFonts w:ascii="宋体" w:hAnsi="宋体" w:cs="宋体" w:eastAsia="宋体" w:hint="default"/>
        </w:rPr>
        <w:t>1</w:t>
      </w:r>
      <w:r>
        <w:rPr/>
        <w:t>、报告期内，公司股权激励计划因被激励对象</w:t>
      </w:r>
      <w:r>
        <w:rPr>
          <w:rFonts w:ascii="宋体" w:hAnsi="宋体" w:cs="宋体" w:eastAsia="宋体" w:hint="default"/>
        </w:rPr>
        <w:t>13</w:t>
      </w:r>
      <w:r>
        <w:rPr/>
        <w:t>人离职，注销限制性股票</w:t>
      </w:r>
      <w:r>
        <w:rPr>
          <w:rFonts w:ascii="宋体" w:hAnsi="宋体" w:cs="宋体" w:eastAsia="宋体" w:hint="default"/>
        </w:rPr>
        <w:t>286,000</w:t>
      </w:r>
      <w:r>
        <w:rPr/>
        <w:t>股。</w:t>
      </w:r>
    </w:p>
    <w:p>
      <w:pPr>
        <w:pStyle w:val="BodyText"/>
        <w:spacing w:line="357" w:lineRule="auto" w:before="154"/>
        <w:ind w:right="1127" w:firstLine="482"/>
        <w:jc w:val="left"/>
      </w:pPr>
      <w:r>
        <w:rPr>
          <w:rFonts w:ascii="宋体" w:hAnsi="宋体" w:cs="宋体" w:eastAsia="宋体" w:hint="default"/>
        </w:rPr>
        <w:t>2</w:t>
      </w:r>
      <w:r>
        <w:rPr/>
        <w:t>、报告期内，公司</w:t>
      </w:r>
      <w:r>
        <w:rPr>
          <w:rFonts w:ascii="宋体" w:hAnsi="宋体" w:cs="宋体" w:eastAsia="宋体" w:hint="default"/>
        </w:rPr>
        <w:t>2016</w:t>
      </w:r>
      <w:r>
        <w:rPr>
          <w:rFonts w:ascii="宋体" w:hAnsi="宋体" w:cs="宋体" w:eastAsia="宋体" w:hint="default"/>
          <w:spacing w:val="25"/>
        </w:rPr>
        <w:t> </w:t>
      </w:r>
      <w:r>
        <w:rPr/>
        <w:t>年限制性股票激励计划预留部分第一个解锁期股份上市流通， 实际上市流通数量</w:t>
      </w:r>
      <w:r>
        <w:rPr>
          <w:rFonts w:ascii="宋体" w:hAnsi="宋体" w:cs="宋体" w:eastAsia="宋体" w:hint="default"/>
        </w:rPr>
        <w:t>303,600</w:t>
      </w:r>
      <w:r>
        <w:rPr/>
        <w:t>股，无限售股份数量相应增加</w:t>
      </w:r>
    </w:p>
    <w:p>
      <w:pPr>
        <w:pStyle w:val="BodyText"/>
        <w:spacing w:line="357" w:lineRule="auto"/>
        <w:ind w:right="982" w:firstLine="482"/>
        <w:jc w:val="left"/>
      </w:pPr>
      <w:r>
        <w:rPr>
          <w:rFonts w:ascii="宋体" w:hAnsi="宋体" w:cs="宋体" w:eastAsia="宋体" w:hint="default"/>
          <w:spacing w:val="-3"/>
        </w:rPr>
        <w:t>3</w:t>
      </w:r>
      <w:r>
        <w:rPr>
          <w:spacing w:val="-3"/>
        </w:rPr>
        <w:t>、报告期内，公司</w:t>
      </w:r>
      <w:r>
        <w:rPr>
          <w:rFonts w:ascii="宋体" w:hAnsi="宋体" w:cs="宋体" w:eastAsia="宋体" w:hint="default"/>
          <w:spacing w:val="-3"/>
        </w:rPr>
        <w:t>2016</w:t>
      </w:r>
      <w:r>
        <w:rPr>
          <w:spacing w:val="-3"/>
        </w:rPr>
        <w:t>年限制性股票激励计划第二个解锁期股份上市流通，实际上市流</w:t>
      </w:r>
      <w:r>
        <w:rPr/>
        <w:t> 通数量</w:t>
      </w:r>
      <w:r>
        <w:rPr>
          <w:rFonts w:ascii="宋体" w:hAnsi="宋体" w:cs="宋体" w:eastAsia="宋体" w:hint="default"/>
        </w:rPr>
        <w:t>2,530,500</w:t>
      </w:r>
      <w:r>
        <w:rPr/>
        <w:t>股，无限售股份数量相应增加。</w:t>
      </w:r>
    </w:p>
    <w:p>
      <w:pPr>
        <w:pStyle w:val="BodyText"/>
        <w:spacing w:line="240" w:lineRule="auto"/>
        <w:ind w:left="635" w:right="982"/>
        <w:jc w:val="left"/>
      </w:pPr>
      <w:r>
        <w:rPr>
          <w:rFonts w:ascii="宋体" w:hAnsi="宋体" w:cs="宋体" w:eastAsia="宋体" w:hint="default"/>
        </w:rPr>
        <w:t>4</w:t>
      </w:r>
      <w:r>
        <w:rPr/>
        <w:t>、</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21</w:t>
      </w:r>
      <w:r>
        <w:rPr/>
        <w:t>日，公司非公开发行股份解除限售，数量为</w:t>
      </w:r>
      <w:r>
        <w:rPr>
          <w:rFonts w:ascii="宋体" w:hAnsi="宋体" w:cs="宋体" w:eastAsia="宋体" w:hint="default"/>
        </w:rPr>
        <w:t>29,039,395</w:t>
      </w:r>
      <w:r>
        <w:rPr/>
        <w:t>股。</w:t>
      </w:r>
    </w:p>
    <w:p>
      <w:pPr>
        <w:pStyle w:val="BodyText"/>
        <w:spacing w:line="240" w:lineRule="auto" w:before="154"/>
        <w:ind w:left="635" w:right="982"/>
        <w:jc w:val="left"/>
      </w:pPr>
      <w:r>
        <w:rPr>
          <w:rFonts w:ascii="宋体" w:hAnsi="宋体" w:cs="宋体" w:eastAsia="宋体" w:hint="default"/>
        </w:rPr>
        <w:t>5</w:t>
      </w:r>
      <w:r>
        <w:rPr/>
        <w:t>、报告期内，公司 </w:t>
      </w:r>
      <w:r>
        <w:rPr>
          <w:rFonts w:ascii="宋体" w:hAnsi="宋体" w:cs="宋体" w:eastAsia="宋体" w:hint="default"/>
        </w:rPr>
        <w:t>2016 </w:t>
      </w:r>
      <w:r>
        <w:rPr/>
        <w:t>年股权激励限制性股票第二期解锁上市，股份为</w:t>
      </w:r>
      <w:r>
        <w:rPr>
          <w:rFonts w:ascii="宋体" w:hAnsi="宋体" w:cs="宋体" w:eastAsia="宋体" w:hint="default"/>
        </w:rPr>
        <w:t>254,100 </w:t>
      </w:r>
      <w:r>
        <w:rPr/>
        <w:t>股，</w:t>
      </w:r>
    </w:p>
    <w:p>
      <w:pPr>
        <w:spacing w:after="0" w:line="240"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left="635" w:right="982" w:hanging="483"/>
        <w:jc w:val="left"/>
      </w:pPr>
      <w:r>
        <w:rPr/>
        <w:t>无限售股份数量相应增加。 </w:t>
      </w:r>
      <w:r>
        <w:rPr>
          <w:rFonts w:ascii="宋体" w:hAnsi="宋体" w:cs="宋体" w:eastAsia="宋体" w:hint="default"/>
          <w:spacing w:val="-3"/>
        </w:rPr>
        <w:t>6</w:t>
      </w:r>
      <w:r>
        <w:rPr>
          <w:spacing w:val="-3"/>
        </w:rPr>
        <w:t>、报告期内，公司完成董事会换届工作，原董监高不再担任董监高职务，相关股份在离</w:t>
      </w:r>
    </w:p>
    <w:p>
      <w:pPr>
        <w:pStyle w:val="BodyText"/>
        <w:spacing w:line="240" w:lineRule="auto"/>
        <w:ind w:right="982"/>
        <w:jc w:val="left"/>
      </w:pPr>
      <w:r>
        <w:rPr/>
        <w:t>职后</w:t>
      </w:r>
      <w:r>
        <w:rPr>
          <w:rFonts w:ascii="宋体" w:hAnsi="宋体" w:cs="宋体" w:eastAsia="宋体" w:hint="default"/>
        </w:rPr>
        <w:t>6</w:t>
      </w:r>
      <w:r>
        <w:rPr/>
        <w:t>个月不得减持，转为限售股。</w:t>
      </w:r>
    </w:p>
    <w:p>
      <w:pPr>
        <w:spacing w:before="164"/>
        <w:ind w:left="152" w:right="982" w:firstLine="0"/>
        <w:jc w:val="left"/>
        <w:rPr>
          <w:rFonts w:ascii="宋体" w:hAnsi="宋体" w:cs="宋体" w:eastAsia="宋体" w:hint="default"/>
          <w:sz w:val="18"/>
          <w:szCs w:val="18"/>
        </w:rPr>
      </w:pPr>
      <w:r>
        <w:rPr>
          <w:rFonts w:ascii="宋体" w:hAnsi="宋体" w:cs="宋体" w:eastAsia="宋体" w:hint="default"/>
          <w:sz w:val="18"/>
          <w:szCs w:val="18"/>
        </w:rPr>
        <w:t>股份变动的批准情况</w:t>
      </w:r>
    </w:p>
    <w:p>
      <w:pPr>
        <w:spacing w:before="115"/>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4"/>
        <w:ind w:right="1134" w:firstLine="482"/>
        <w:jc w:val="both"/>
      </w:pPr>
      <w:r>
        <w:rPr>
          <w:rFonts w:ascii="宋体" w:hAnsi="宋体" w:cs="宋体" w:eastAsia="宋体" w:hint="default"/>
          <w:spacing w:val="-3"/>
        </w:rPr>
        <w:t>1</w:t>
      </w:r>
      <w:r>
        <w:rPr>
          <w:spacing w:val="-3"/>
        </w:rPr>
        <w:t>、公司于</w:t>
      </w:r>
      <w:r>
        <w:rPr>
          <w:rFonts w:ascii="宋体" w:hAnsi="宋体" w:cs="宋体" w:eastAsia="宋体" w:hint="default"/>
          <w:spacing w:val="-3"/>
        </w:rPr>
        <w:t>2018</w:t>
      </w:r>
      <w:r>
        <w:rPr>
          <w:spacing w:val="-3"/>
        </w:rPr>
        <w:t>年</w:t>
      </w:r>
      <w:r>
        <w:rPr>
          <w:rFonts w:ascii="宋体" w:hAnsi="宋体" w:cs="宋体" w:eastAsia="宋体" w:hint="default"/>
          <w:spacing w:val="-3"/>
        </w:rPr>
        <w:t>1</w:t>
      </w:r>
      <w:r>
        <w:rPr>
          <w:spacing w:val="-3"/>
        </w:rPr>
        <w:t>月</w:t>
      </w:r>
      <w:r>
        <w:rPr>
          <w:rFonts w:ascii="宋体" w:hAnsi="宋体" w:cs="宋体" w:eastAsia="宋体" w:hint="default"/>
          <w:spacing w:val="-3"/>
        </w:rPr>
        <w:t>9</w:t>
      </w:r>
      <w:r>
        <w:rPr>
          <w:spacing w:val="-3"/>
        </w:rPr>
        <w:t>日召开第三届董事会第三十三次会议，审议通过了《关于回购注销</w:t>
      </w:r>
      <w:r>
        <w:rPr/>
        <w:t> 离职激励对象已获授但尚未解锁的限制性股票的议案》，董事会同意按照限制性股票激励计</w:t>
      </w:r>
      <w:r>
        <w:rPr>
          <w:spacing w:val="-91"/>
        </w:rPr>
        <w:t> </w:t>
      </w:r>
      <w:r>
        <w:rPr>
          <w:spacing w:val="-91"/>
        </w:rPr>
      </w:r>
      <w:r>
        <w:rPr/>
        <w:t>划的规定回购注销</w:t>
      </w:r>
      <w:r>
        <w:rPr>
          <w:rFonts w:ascii="宋体" w:hAnsi="宋体" w:cs="宋体" w:eastAsia="宋体" w:hint="default"/>
        </w:rPr>
        <w:t>13</w:t>
      </w:r>
      <w:r>
        <w:rPr/>
        <w:t>名离职激励对象已获授但尚未解除锁定的限制性股票</w:t>
      </w:r>
      <w:r>
        <w:rPr>
          <w:rFonts w:ascii="宋体" w:hAnsi="宋体" w:cs="宋体" w:eastAsia="宋体" w:hint="default"/>
        </w:rPr>
        <w:t>28.60</w:t>
      </w:r>
      <w:r>
        <w:rPr/>
        <w:t>万股。</w:t>
      </w:r>
    </w:p>
    <w:p>
      <w:pPr>
        <w:pStyle w:val="BodyText"/>
        <w:spacing w:line="357" w:lineRule="auto" w:before="37"/>
        <w:ind w:right="1133" w:firstLine="482"/>
        <w:jc w:val="both"/>
      </w:pPr>
      <w:r>
        <w:rPr>
          <w:rFonts w:ascii="宋体" w:hAnsi="宋体" w:cs="宋体" w:eastAsia="宋体" w:hint="default"/>
          <w:spacing w:val="-2"/>
        </w:rPr>
        <w:t>2</w:t>
      </w:r>
      <w:r>
        <w:rPr>
          <w:spacing w:val="-2"/>
        </w:rPr>
        <w:t>、公司于</w:t>
      </w:r>
      <w:r>
        <w:rPr>
          <w:rFonts w:ascii="宋体" w:hAnsi="宋体" w:cs="宋体" w:eastAsia="宋体" w:hint="default"/>
          <w:spacing w:val="-2"/>
        </w:rPr>
        <w:t>2018</w:t>
      </w:r>
      <w:r>
        <w:rPr>
          <w:spacing w:val="-2"/>
        </w:rPr>
        <w:t>年</w:t>
      </w:r>
      <w:r>
        <w:rPr>
          <w:rFonts w:ascii="宋体" w:hAnsi="宋体" w:cs="宋体" w:eastAsia="宋体" w:hint="default"/>
          <w:spacing w:val="-2"/>
        </w:rPr>
        <w:t>1</w:t>
      </w:r>
      <w:r>
        <w:rPr>
          <w:spacing w:val="-2"/>
        </w:rPr>
        <w:t>月</w:t>
      </w:r>
      <w:r>
        <w:rPr>
          <w:rFonts w:ascii="宋体" w:hAnsi="宋体" w:cs="宋体" w:eastAsia="宋体" w:hint="default"/>
          <w:spacing w:val="-2"/>
        </w:rPr>
        <w:t>9</w:t>
      </w:r>
      <w:r>
        <w:rPr>
          <w:spacing w:val="-2"/>
        </w:rPr>
        <w:t>日召开第三届董事会第三十三次会议，审议通过了《关于公司</w:t>
      </w:r>
      <w:r>
        <w:rPr>
          <w:rFonts w:ascii="宋体" w:hAnsi="宋体" w:cs="宋体" w:eastAsia="宋体" w:hint="default"/>
          <w:spacing w:val="-2"/>
        </w:rPr>
        <w:t>2016</w:t>
      </w:r>
      <w:r>
        <w:rPr>
          <w:rFonts w:ascii="宋体" w:hAnsi="宋体" w:cs="宋体" w:eastAsia="宋体" w:hint="default"/>
        </w:rPr>
        <w:t> </w:t>
      </w:r>
      <w:r>
        <w:rPr/>
        <w:t>年限制性股票激励计划预留部分第一个解锁期解锁条件成就的的议案》。</w:t>
      </w:r>
    </w:p>
    <w:p>
      <w:pPr>
        <w:pStyle w:val="BodyText"/>
        <w:spacing w:line="240" w:lineRule="auto"/>
        <w:ind w:left="635" w:right="982"/>
        <w:jc w:val="left"/>
      </w:pPr>
      <w:r>
        <w:rPr>
          <w:rFonts w:ascii="宋体" w:hAnsi="宋体" w:cs="宋体" w:eastAsia="宋体" w:hint="default"/>
          <w:spacing w:val="-9"/>
        </w:rPr>
        <w:t>3</w:t>
      </w:r>
      <w:r>
        <w:rPr>
          <w:spacing w:val="-9"/>
        </w:rPr>
        <w:t>、公司于 </w:t>
      </w:r>
      <w:r>
        <w:rPr>
          <w:rFonts w:ascii="宋体" w:hAnsi="宋体" w:cs="宋体" w:eastAsia="宋体" w:hint="default"/>
        </w:rPr>
        <w:t>2018 </w:t>
      </w:r>
      <w:r>
        <w:rPr/>
        <w:t>年</w:t>
      </w:r>
      <w:r>
        <w:rPr>
          <w:rFonts w:ascii="宋体" w:hAnsi="宋体" w:cs="宋体" w:eastAsia="宋体" w:hint="default"/>
        </w:rPr>
        <w:t>5 </w:t>
      </w:r>
      <w:r>
        <w:rPr/>
        <w:t>月 </w:t>
      </w:r>
      <w:r>
        <w:rPr>
          <w:rFonts w:ascii="宋体" w:hAnsi="宋体" w:cs="宋体" w:eastAsia="宋体" w:hint="default"/>
        </w:rPr>
        <w:t>21</w:t>
      </w:r>
      <w:r>
        <w:rPr>
          <w:rFonts w:ascii="宋体" w:hAnsi="宋体" w:cs="宋体" w:eastAsia="宋体" w:hint="default"/>
          <w:spacing w:val="-32"/>
        </w:rPr>
        <w:t> </w:t>
      </w:r>
      <w:r>
        <w:rPr/>
        <w:t>日召开第三届董事会第三十六次会议审议通过了《关于公司</w:t>
      </w:r>
    </w:p>
    <w:p>
      <w:pPr>
        <w:pStyle w:val="BodyText"/>
        <w:spacing w:line="240" w:lineRule="auto" w:before="154"/>
        <w:ind w:right="982"/>
        <w:jc w:val="left"/>
      </w:pPr>
      <w:r>
        <w:rPr>
          <w:rFonts w:ascii="宋体" w:hAnsi="宋体" w:cs="宋体" w:eastAsia="宋体" w:hint="default"/>
        </w:rPr>
        <w:t>2016 </w:t>
      </w:r>
      <w:r>
        <w:rPr/>
        <w:t>年限制性股票激励计划第二个解锁期解锁条件成就的议案》。</w:t>
      </w:r>
    </w:p>
    <w:p>
      <w:pPr>
        <w:pStyle w:val="BodyText"/>
        <w:spacing w:line="240" w:lineRule="auto" w:before="154"/>
        <w:ind w:left="635" w:right="982"/>
        <w:jc w:val="left"/>
      </w:pPr>
      <w:r>
        <w:rPr>
          <w:rFonts w:ascii="宋体" w:hAnsi="宋体" w:cs="宋体" w:eastAsia="宋体" w:hint="default"/>
        </w:rPr>
        <w:t>4</w:t>
      </w:r>
      <w:r>
        <w:rPr/>
        <w:t>、非公开发行股份于</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21</w:t>
      </w:r>
      <w:r>
        <w:rPr/>
        <w:t>日上市流通。</w:t>
      </w:r>
    </w:p>
    <w:p>
      <w:pPr>
        <w:pStyle w:val="BodyText"/>
        <w:spacing w:line="357" w:lineRule="auto" w:before="154"/>
        <w:ind w:right="1132" w:firstLine="482"/>
        <w:jc w:val="both"/>
      </w:pPr>
      <w:r>
        <w:rPr>
          <w:rFonts w:ascii="宋体" w:hAnsi="宋体" w:cs="宋体" w:eastAsia="宋体" w:hint="default"/>
          <w:spacing w:val="-3"/>
        </w:rPr>
        <w:t>5</w:t>
      </w:r>
      <w:r>
        <w:rPr>
          <w:spacing w:val="-3"/>
        </w:rPr>
        <w:t>、公司于</w:t>
      </w:r>
      <w:r>
        <w:rPr>
          <w:rFonts w:ascii="宋体" w:hAnsi="宋体" w:cs="宋体" w:eastAsia="宋体" w:hint="default"/>
          <w:spacing w:val="-3"/>
        </w:rPr>
        <w:t>2018</w:t>
      </w:r>
      <w:r>
        <w:rPr>
          <w:spacing w:val="-3"/>
        </w:rPr>
        <w:t>年</w:t>
      </w:r>
      <w:r>
        <w:rPr>
          <w:rFonts w:ascii="宋体" w:hAnsi="宋体" w:cs="宋体" w:eastAsia="宋体" w:hint="default"/>
          <w:spacing w:val="-3"/>
        </w:rPr>
        <w:t>11</w:t>
      </w:r>
      <w:r>
        <w:rPr>
          <w:spacing w:val="-3"/>
        </w:rPr>
        <w:t>月</w:t>
      </w:r>
      <w:r>
        <w:rPr>
          <w:rFonts w:ascii="宋体" w:hAnsi="宋体" w:cs="宋体" w:eastAsia="宋体" w:hint="default"/>
          <w:spacing w:val="-3"/>
        </w:rPr>
        <w:t>30</w:t>
      </w:r>
      <w:r>
        <w:rPr>
          <w:spacing w:val="-3"/>
        </w:rPr>
        <w:t>日召开第三届董事会第四十次会议审议通过了《关于限制性股票</w:t>
      </w:r>
      <w:r>
        <w:rPr/>
        <w:t> 激励计划预留部分第二个解锁期解锁条件成就的议案》。</w:t>
      </w:r>
    </w:p>
    <w:p>
      <w:pPr>
        <w:spacing w:before="47"/>
        <w:ind w:left="152" w:right="982" w:firstLine="0"/>
        <w:jc w:val="left"/>
        <w:rPr>
          <w:rFonts w:ascii="宋体" w:hAnsi="宋体" w:cs="宋体" w:eastAsia="宋体" w:hint="default"/>
          <w:sz w:val="18"/>
          <w:szCs w:val="18"/>
        </w:rPr>
      </w:pPr>
      <w:r>
        <w:rPr>
          <w:rFonts w:ascii="宋体" w:hAnsi="宋体" w:cs="宋体" w:eastAsia="宋体" w:hint="default"/>
          <w:sz w:val="18"/>
          <w:szCs w:val="18"/>
        </w:rPr>
        <w:t>股份变动的过户情况</w:t>
      </w:r>
    </w:p>
    <w:p>
      <w:pPr>
        <w:spacing w:before="115"/>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240" w:lineRule="auto" w:before="55"/>
        <w:ind w:left="633" w:right="982"/>
        <w:jc w:val="left"/>
      </w:pPr>
      <w:r>
        <w:rPr/>
        <w:t>以上股份均已办理完成登记过户。</w:t>
      </w:r>
    </w:p>
    <w:p>
      <w:pPr>
        <w:spacing w:before="87"/>
        <w:ind w:left="152" w:right="982" w:firstLine="0"/>
        <w:jc w:val="left"/>
        <w:rPr>
          <w:rFonts w:ascii="宋体" w:hAnsi="宋体" w:cs="宋体" w:eastAsia="宋体" w:hint="default"/>
          <w:sz w:val="18"/>
          <w:szCs w:val="18"/>
        </w:rPr>
      </w:pPr>
      <w:r>
        <w:rPr>
          <w:rFonts w:ascii="宋体" w:hAnsi="宋体" w:cs="宋体" w:eastAsia="宋体" w:hint="default"/>
          <w:sz w:val="18"/>
          <w:szCs w:val="18"/>
        </w:rPr>
        <w:t>股份回购的实施进展情况</w:t>
      </w:r>
    </w:p>
    <w:p>
      <w:pPr>
        <w:spacing w:before="115"/>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4"/>
        <w:ind w:right="1124" w:firstLine="482"/>
        <w:jc w:val="both"/>
      </w:pPr>
      <w:r>
        <w:rPr>
          <w:spacing w:val="3"/>
        </w:rPr>
        <w:t>公司于</w:t>
      </w:r>
      <w:r>
        <w:rPr>
          <w:rFonts w:ascii="宋体" w:hAnsi="宋体" w:cs="宋体" w:eastAsia="宋体" w:hint="default"/>
          <w:spacing w:val="3"/>
        </w:rPr>
        <w:t>2018</w:t>
      </w:r>
      <w:r>
        <w:rPr>
          <w:spacing w:val="3"/>
        </w:rPr>
        <w:t>年</w:t>
      </w:r>
      <w:r>
        <w:rPr>
          <w:rFonts w:ascii="宋体" w:hAnsi="宋体" w:cs="宋体" w:eastAsia="宋体" w:hint="default"/>
          <w:spacing w:val="3"/>
        </w:rPr>
        <w:t>5</w:t>
      </w:r>
      <w:r>
        <w:rPr>
          <w:spacing w:val="3"/>
        </w:rPr>
        <w:t>月</w:t>
      </w:r>
      <w:r>
        <w:rPr>
          <w:rFonts w:ascii="宋体" w:hAnsi="宋体" w:cs="宋体" w:eastAsia="宋体" w:hint="default"/>
          <w:spacing w:val="3"/>
        </w:rPr>
        <w:t>25</w:t>
      </w:r>
      <w:r>
        <w:rPr>
          <w:spacing w:val="3"/>
        </w:rPr>
        <w:t>日在中国登记结算有限责任公司深圳分公司完成</w:t>
      </w:r>
      <w:r>
        <w:rPr>
          <w:rFonts w:ascii="宋体" w:hAnsi="宋体" w:cs="宋体" w:eastAsia="宋体" w:hint="default"/>
          <w:spacing w:val="3"/>
        </w:rPr>
        <w:t>13</w:t>
      </w:r>
      <w:r>
        <w:rPr>
          <w:spacing w:val="3"/>
        </w:rPr>
        <w:t>名离职激励对象</w:t>
      </w:r>
      <w:r>
        <w:rPr>
          <w:spacing w:val="4"/>
        </w:rPr>
        <w:t> </w:t>
      </w:r>
      <w:r>
        <w:rPr/>
        <w:t>已获授但尚未解锁的限制性股票</w:t>
      </w:r>
      <w:r>
        <w:rPr>
          <w:rFonts w:ascii="宋体" w:hAnsi="宋体" w:cs="宋体" w:eastAsia="宋体" w:hint="default"/>
        </w:rPr>
        <w:t>286,000</w:t>
      </w:r>
      <w:r>
        <w:rPr/>
        <w:t>股的回购注销登记。</w:t>
      </w:r>
    </w:p>
    <w:p>
      <w:pPr>
        <w:spacing w:before="46"/>
        <w:ind w:left="152" w:right="982" w:firstLine="0"/>
        <w:jc w:val="left"/>
        <w:rPr>
          <w:rFonts w:ascii="宋体" w:hAnsi="宋体" w:cs="宋体" w:eastAsia="宋体" w:hint="default"/>
          <w:sz w:val="18"/>
          <w:szCs w:val="18"/>
        </w:rPr>
      </w:pPr>
      <w:r>
        <w:rPr>
          <w:rFonts w:ascii="宋体" w:hAnsi="宋体" w:cs="宋体" w:eastAsia="宋体" w:hint="default"/>
          <w:sz w:val="18"/>
          <w:szCs w:val="18"/>
        </w:rPr>
        <w:t>采用集中竞价方式减持回购股份的实施进展情况</w:t>
      </w:r>
    </w:p>
    <w:p>
      <w:pPr>
        <w:spacing w:line="340" w:lineRule="auto" w:before="115"/>
        <w:ind w:left="152" w:right="13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股份变动对最近一年和最近一期基本每股收益和稀释每股收益、归属于公司普通股股东的每股净资产等财务指标的影响</w:t>
      </w:r>
    </w:p>
    <w:p>
      <w:pPr>
        <w:spacing w:before="41"/>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2"/>
        <w:ind w:right="1133" w:firstLine="482"/>
        <w:jc w:val="both"/>
      </w:pPr>
      <w:r>
        <w:rPr>
          <w:spacing w:val="-3"/>
        </w:rPr>
        <w:t>报告期内，公司股权激励计划因被激励对象离职，注销限制性股票</w:t>
      </w:r>
      <w:r>
        <w:rPr>
          <w:rFonts w:ascii="宋体" w:hAnsi="宋体" w:cs="宋体" w:eastAsia="宋体" w:hint="default"/>
          <w:spacing w:val="-3"/>
        </w:rPr>
        <w:t>286,000</w:t>
      </w:r>
      <w:r>
        <w:rPr>
          <w:spacing w:val="-3"/>
        </w:rPr>
        <w:t>股。公司股份</w:t>
      </w:r>
      <w:r>
        <w:rPr/>
        <w:t> 总数由</w:t>
      </w:r>
      <w:r>
        <w:rPr>
          <w:rFonts w:ascii="宋体" w:hAnsi="宋体" w:cs="宋体" w:eastAsia="宋体" w:hint="default"/>
        </w:rPr>
        <w:t>424,626,905</w:t>
      </w:r>
      <w:r>
        <w:rPr/>
        <w:t>股变为</w:t>
      </w:r>
      <w:r>
        <w:rPr>
          <w:rFonts w:ascii="宋体" w:hAnsi="宋体" w:cs="宋体" w:eastAsia="宋体" w:hint="default"/>
        </w:rPr>
        <w:t>424,340,905</w:t>
      </w:r>
      <w:r>
        <w:rPr/>
        <w:t>股。基本每股收益、稀释每股收益、归属于公司普通</w:t>
      </w:r>
      <w:r>
        <w:rPr>
          <w:spacing w:val="-88"/>
        </w:rPr>
        <w:t> </w:t>
      </w:r>
      <w:r>
        <w:rPr>
          <w:spacing w:val="-88"/>
        </w:rPr>
      </w:r>
      <w:r>
        <w:rPr/>
        <w:t>股股东的每股净资产等各项数据按新股本</w:t>
      </w:r>
      <w:r>
        <w:rPr>
          <w:rFonts w:ascii="宋体" w:hAnsi="宋体" w:cs="宋体" w:eastAsia="宋体" w:hint="default"/>
        </w:rPr>
        <w:t>424,340,905</w:t>
      </w:r>
      <w:r>
        <w:rPr/>
        <w:t>股计算。</w:t>
      </w:r>
    </w:p>
    <w:p>
      <w:pPr>
        <w:spacing w:before="46"/>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公司认为必要或证券监管机构要求披露的其他内容</w:t>
      </w:r>
    </w:p>
    <w:p>
      <w:pPr>
        <w:spacing w:before="117"/>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、限售股份变动情况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1"/>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4"/>
        <w:gridCol w:w="1369"/>
        <w:gridCol w:w="1368"/>
        <w:gridCol w:w="1371"/>
        <w:gridCol w:w="1368"/>
        <w:gridCol w:w="1371"/>
        <w:gridCol w:w="1361"/>
      </w:tblGrid>
      <w:tr>
        <w:trPr>
          <w:trHeight w:val="713" w:hRule="exact"/>
        </w:trPr>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39" w:right="0"/>
              <w:jc w:val="left"/>
              <w:rPr>
                <w:rFonts w:ascii="宋体" w:hAnsi="宋体" w:cs="宋体" w:eastAsia="宋体" w:hint="default"/>
                <w:sz w:val="18"/>
                <w:szCs w:val="18"/>
              </w:rPr>
            </w:pPr>
            <w:r>
              <w:rPr>
                <w:rFonts w:ascii="宋体" w:hAnsi="宋体" w:cs="宋体" w:eastAsia="宋体" w:hint="default"/>
                <w:sz w:val="18"/>
                <w:szCs w:val="18"/>
              </w:rPr>
              <w:t>期初限售股数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0" w:right="47" w:hanging="540"/>
              <w:jc w:val="left"/>
              <w:rPr>
                <w:rFonts w:ascii="宋体" w:hAnsi="宋体" w:cs="宋体" w:eastAsia="宋体" w:hint="default"/>
                <w:sz w:val="18"/>
                <w:szCs w:val="18"/>
              </w:rPr>
            </w:pPr>
            <w:r>
              <w:rPr>
                <w:rFonts w:ascii="宋体" w:hAnsi="宋体" w:cs="宋体" w:eastAsia="宋体" w:hint="default"/>
                <w:sz w:val="18"/>
                <w:szCs w:val="18"/>
              </w:rPr>
              <w:t>本期解除限售股 数</w:t>
            </w:r>
          </w:p>
        </w:tc>
        <w:tc>
          <w:tcPr>
            <w:tcW w:w="13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0" w:right="48" w:hanging="540"/>
              <w:jc w:val="left"/>
              <w:rPr>
                <w:rFonts w:ascii="宋体" w:hAnsi="宋体" w:cs="宋体" w:eastAsia="宋体" w:hint="default"/>
                <w:sz w:val="18"/>
                <w:szCs w:val="18"/>
              </w:rPr>
            </w:pPr>
            <w:r>
              <w:rPr>
                <w:rFonts w:ascii="宋体" w:hAnsi="宋体" w:cs="宋体" w:eastAsia="宋体" w:hint="default"/>
                <w:sz w:val="18"/>
                <w:szCs w:val="18"/>
              </w:rPr>
              <w:t>本期增加限售股 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39" w:right="0"/>
              <w:jc w:val="left"/>
              <w:rPr>
                <w:rFonts w:ascii="宋体" w:hAnsi="宋体" w:cs="宋体" w:eastAsia="宋体" w:hint="default"/>
                <w:sz w:val="18"/>
                <w:szCs w:val="18"/>
              </w:rPr>
            </w:pPr>
            <w:r>
              <w:rPr>
                <w:rFonts w:ascii="宋体" w:hAnsi="宋体" w:cs="宋体" w:eastAsia="宋体" w:hint="default"/>
                <w:sz w:val="18"/>
                <w:szCs w:val="18"/>
              </w:rPr>
              <w:t>期末限售股数</w:t>
            </w:r>
          </w:p>
        </w:tc>
        <w:tc>
          <w:tcPr>
            <w:tcW w:w="13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1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拟解除限售日期</w:t>
            </w:r>
          </w:p>
        </w:tc>
      </w:tr>
      <w:tr>
        <w:trPr>
          <w:trHeight w:val="1339"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吴强华</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90,308,110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90,308,110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高管锁定股每年 第一个交易日解 锁其拥有公司份 的</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25%</w:t>
            </w:r>
          </w:p>
        </w:tc>
      </w:tr>
      <w:tr>
        <w:trPr>
          <w:trHeight w:val="1337"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许欣</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15,544,347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5,181,449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20,725,796</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高管锁定股每年 第一个交易日解 锁其拥有公司股 份的</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25%</w:t>
            </w:r>
          </w:p>
        </w:tc>
      </w:tr>
      <w:tr>
        <w:trPr>
          <w:trHeight w:val="1339"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朱华</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6,809,093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540,800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6,268,293</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高管锁定股每年 第一个交易日解 锁其拥有公司份 的</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25%</w:t>
            </w:r>
          </w:p>
        </w:tc>
      </w:tr>
      <w:tr>
        <w:trPr>
          <w:trHeight w:val="1337"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胡环宇</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1,544,850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195,000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1,739,850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高管锁定股每年 第一个交易日解 锁其拥有公司份 的</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25%</w:t>
            </w:r>
          </w:p>
        </w:tc>
      </w:tr>
      <w:tr>
        <w:trPr>
          <w:trHeight w:val="1339"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王洪深</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1,358,150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1,488,150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高管锁定股每年 第一个交易日解 锁其拥有公司份 的</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25%</w:t>
            </w:r>
          </w:p>
        </w:tc>
      </w:tr>
      <w:tr>
        <w:trPr>
          <w:trHeight w:val="1337"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邱鲁闽</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高管锁定股每年 第一个交易日解 锁其拥有公司份 的</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25%</w:t>
            </w:r>
          </w:p>
        </w:tc>
      </w:tr>
      <w:tr>
        <w:trPr>
          <w:trHeight w:val="1339"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殷小敏</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256,750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98,000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354,750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高管锁定股每年 第一个交易日解 锁其拥有公司份 的</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25%</w:t>
            </w:r>
          </w:p>
        </w:tc>
      </w:tr>
      <w:tr>
        <w:trPr>
          <w:trHeight w:val="1337"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王东</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332,187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126,953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459,140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65"/>
              <w:jc w:val="both"/>
              <w:rPr>
                <w:rFonts w:ascii="Times New Roman" w:hAnsi="Times New Roman" w:cs="Times New Roman" w:eastAsia="Times New Roman" w:hint="default"/>
                <w:sz w:val="18"/>
                <w:szCs w:val="18"/>
              </w:rPr>
            </w:pPr>
            <w:r>
              <w:rPr>
                <w:rFonts w:ascii="宋体" w:hAnsi="宋体" w:cs="宋体" w:eastAsia="宋体" w:hint="default"/>
                <w:sz w:val="18"/>
                <w:szCs w:val="18"/>
              </w:rPr>
              <w:t>高管锁定股每年 第一个交易日解 锁其拥有公司份 的</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25%</w:t>
            </w:r>
          </w:p>
        </w:tc>
      </w:tr>
      <w:tr>
        <w:trPr>
          <w:trHeight w:val="716"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非公开发行股票</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29,039,395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29,039,395</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非公开发行</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日解锁</w:t>
            </w:r>
          </w:p>
        </w:tc>
      </w:tr>
      <w:tr>
        <w:trPr>
          <w:trHeight w:val="401"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年限制性股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7,202,500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2,892,300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2,892,300</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限制性股票</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3" w:right="0"/>
              <w:jc w:val="left"/>
              <w:rPr>
                <w:rFonts w:ascii="宋体" w:hAnsi="宋体" w:cs="宋体" w:eastAsia="宋体" w:hint="default"/>
                <w:sz w:val="18"/>
                <w:szCs w:val="18"/>
              </w:rPr>
            </w:pPr>
            <w:r>
              <w:rPr>
                <w:rFonts w:ascii="宋体" w:hAnsi="宋体" w:cs="宋体" w:eastAsia="宋体" w:hint="default"/>
                <w:sz w:val="18"/>
                <w:szCs w:val="18"/>
              </w:rPr>
              <w:t>根据股权激励计</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4"/>
        <w:gridCol w:w="1369"/>
        <w:gridCol w:w="1368"/>
        <w:gridCol w:w="1371"/>
        <w:gridCol w:w="1368"/>
        <w:gridCol w:w="1371"/>
        <w:gridCol w:w="1361"/>
      </w:tblGrid>
      <w:tr>
        <w:trPr>
          <w:trHeight w:val="675" w:hRule="exact"/>
        </w:trPr>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4" w:right="69"/>
              <w:jc w:val="left"/>
              <w:rPr>
                <w:rFonts w:ascii="宋体" w:hAnsi="宋体" w:cs="宋体" w:eastAsia="宋体" w:hint="default"/>
                <w:sz w:val="18"/>
                <w:szCs w:val="18"/>
              </w:rPr>
            </w:pPr>
            <w:r>
              <w:rPr>
                <w:rFonts w:ascii="宋体" w:hAnsi="宋体" w:cs="宋体" w:eastAsia="宋体" w:hint="default"/>
                <w:sz w:val="18"/>
                <w:szCs w:val="18"/>
              </w:rPr>
              <w:t>票激励计划（除 高管外）</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71" w:type="dxa"/>
            <w:tcBorders>
              <w:top w:val="single" w:sz="4" w:space="0" w:color="000000"/>
              <w:left w:val="single" w:sz="4" w:space="0" w:color="000000"/>
              <w:bottom w:val="single" w:sz="4" w:space="0" w:color="000000"/>
              <w:right w:val="single" w:sz="4" w:space="0" w:color="000000"/>
            </w:tcBorders>
          </w:tcPr>
          <w:p>
            <w:pP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划解除限售</w:t>
            </w:r>
          </w:p>
        </w:tc>
      </w:tr>
      <w:tr>
        <w:trPr>
          <w:trHeight w:val="401" w:hRule="exact"/>
        </w:trPr>
        <w:tc>
          <w:tcPr>
            <w:tcW w:w="13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6" w:right="0"/>
              <w:jc w:val="left"/>
              <w:rPr>
                <w:rFonts w:ascii="Times New Roman" w:hAnsi="Times New Roman" w:cs="Times New Roman" w:eastAsia="Times New Roman" w:hint="default"/>
                <w:sz w:val="18"/>
                <w:szCs w:val="18"/>
              </w:rPr>
            </w:pPr>
            <w:r>
              <w:rPr>
                <w:rFonts w:ascii="Times New Roman"/>
                <w:sz w:val="18"/>
              </w:rPr>
              <w:t>152,415,382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5" w:right="0"/>
              <w:jc w:val="left"/>
              <w:rPr>
                <w:rFonts w:ascii="Times New Roman" w:hAnsi="Times New Roman" w:cs="Times New Roman" w:eastAsia="Times New Roman" w:hint="default"/>
                <w:sz w:val="18"/>
                <w:szCs w:val="18"/>
              </w:rPr>
            </w:pPr>
            <w:r>
              <w:rPr>
                <w:rFonts w:ascii="Times New Roman"/>
                <w:sz w:val="18"/>
              </w:rPr>
              <w:t>32,472,495</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23" w:right="0"/>
              <w:jc w:val="left"/>
              <w:rPr>
                <w:rFonts w:ascii="Times New Roman" w:hAnsi="Times New Roman" w:cs="Times New Roman" w:eastAsia="Times New Roman" w:hint="default"/>
                <w:sz w:val="18"/>
                <w:szCs w:val="18"/>
              </w:rPr>
            </w:pPr>
            <w:r>
              <w:rPr>
                <w:rFonts w:ascii="Times New Roman"/>
                <w:sz w:val="18"/>
              </w:rPr>
              <w:t>6,011,402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6" w:right="0"/>
              <w:jc w:val="left"/>
              <w:rPr>
                <w:rFonts w:ascii="Times New Roman" w:hAnsi="Times New Roman" w:cs="Times New Roman" w:eastAsia="Times New Roman" w:hint="default"/>
                <w:sz w:val="18"/>
                <w:szCs w:val="18"/>
              </w:rPr>
            </w:pPr>
            <w:r>
              <w:rPr>
                <w:rFonts w:ascii="Times New Roman"/>
                <w:sz w:val="18"/>
              </w:rPr>
              <w:t>124,536,389</w:t>
            </w:r>
          </w:p>
        </w:tc>
        <w:tc>
          <w:tcPr>
            <w:tcW w:w="13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1"/>
        <w:rPr>
          <w:rFonts w:ascii="宋体" w:hAnsi="宋体" w:cs="宋体" w:eastAsia="宋体" w:hint="default"/>
          <w:sz w:val="18"/>
          <w:szCs w:val="18"/>
        </w:rPr>
      </w:pPr>
    </w:p>
    <w:p>
      <w:pPr>
        <w:pStyle w:val="Heading2"/>
        <w:spacing w:line="240" w:lineRule="auto" w:before="26"/>
        <w:ind w:right="982"/>
        <w:jc w:val="left"/>
        <w:rPr>
          <w:b w:val="0"/>
          <w:bCs w:val="0"/>
        </w:rPr>
      </w:pPr>
      <w:r>
        <w:rPr/>
        <w:t>二、证券发行与上市情况</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、报告期内证券发行（不含优先股）情况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6"/>
          <w:szCs w:val="26"/>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、公司股份总数及股东结构的变动、公司资产和负债结构的变动情况说明</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、现存的内部职工股情况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982"/>
        <w:jc w:val="left"/>
        <w:rPr>
          <w:b w:val="0"/>
          <w:bCs w:val="0"/>
        </w:rPr>
      </w:pPr>
      <w:r>
        <w:rPr/>
        <w:t>三、股东和实际控制人情况</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、公司股东数量及持股情况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pict>
          <v:shape style="position:absolute;margin-left:449.22699pt;margin-top:70.671715pt;width:85.75pt;height:31.2pt;mso-position-horizontal-relative:page;mso-position-vertical-relative:paragraph;z-index:-880864" type="#_x0000_t202" filled="false" stroked="false">
            <v:textbox inset="0,0,0,0">
              <w:txbxContent>
                <w:p>
                  <w:pPr>
                    <w:spacing w:line="203"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（如有）</w:t>
                  </w:r>
                </w:p>
              </w:txbxContent>
            </v:textbox>
            <w10:wrap type="none"/>
          </v:shape>
        </w:pict>
      </w:r>
      <w:r>
        <w:rPr/>
        <w:pict>
          <v:group style="position:absolute;margin-left:482.5pt;margin-top:70.671715pt;width:52.45pt;height:31.2pt;mso-position-horizontal-relative:page;mso-position-vertical-relative:paragraph;z-index:-880840" coordorigin="9650,1413" coordsize="1049,624">
            <v:shape style="position:absolute;left:9650;top:1413;width:1049;height:624" coordorigin="9650,1413" coordsize="1049,624" path="m9650,2037l10699,2037,10699,1413,9650,1413,9650,2037xe" filled="true" fillcolor="#ffffff" stroked="false">
              <v:path arrowok="t"/>
              <v:fill type="solid"/>
            </v:shape>
            <w10:wrap type="none"/>
          </v:group>
        </w:pict>
      </w:r>
      <w:r>
        <w:rPr>
          <w:rFonts w:ascii="宋体" w:hAnsi="宋体" w:cs="宋体" w:eastAsia="宋体" w:hint="default"/>
          <w:sz w:val="18"/>
          <w:szCs w:val="18"/>
        </w:rPr>
        <w:t>单位：股</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24"/>
        <w:gridCol w:w="145"/>
        <w:gridCol w:w="674"/>
        <w:gridCol w:w="737"/>
        <w:gridCol w:w="744"/>
        <w:gridCol w:w="830"/>
        <w:gridCol w:w="346"/>
        <w:gridCol w:w="444"/>
        <w:gridCol w:w="823"/>
        <w:gridCol w:w="802"/>
        <w:gridCol w:w="322"/>
        <w:gridCol w:w="1028"/>
        <w:gridCol w:w="280"/>
        <w:gridCol w:w="512"/>
        <w:gridCol w:w="557"/>
      </w:tblGrid>
      <w:tr>
        <w:trPr>
          <w:trHeight w:val="163" w:hRule="exact"/>
        </w:trPr>
        <w:tc>
          <w:tcPr>
            <w:tcW w:w="1324" w:type="dxa"/>
            <w:vMerge w:val="restart"/>
            <w:tcBorders>
              <w:top w:val="single" w:sz="4" w:space="0" w:color="000000"/>
              <w:left w:val="single" w:sz="4" w:space="0" w:color="000000"/>
              <w:right w:val="single" w:sz="4" w:space="0" w:color="000000"/>
            </w:tcBorders>
            <w:shd w:val="clear" w:color="auto" w:fill="D2D2D2"/>
          </w:tcPr>
          <w:p>
            <w:pPr/>
          </w:p>
        </w:tc>
        <w:tc>
          <w:tcPr>
            <w:tcW w:w="820" w:type="dxa"/>
            <w:gridSpan w:val="2"/>
            <w:vMerge w:val="restart"/>
            <w:tcBorders>
              <w:top w:val="single" w:sz="4" w:space="0" w:color="000000"/>
              <w:left w:val="single" w:sz="9" w:space="0" w:color="D2D2D2"/>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73" w:right="0"/>
              <w:jc w:val="left"/>
              <w:rPr>
                <w:rFonts w:ascii="Times New Roman" w:hAnsi="Times New Roman" w:cs="Times New Roman" w:eastAsia="Times New Roman" w:hint="default"/>
                <w:sz w:val="18"/>
                <w:szCs w:val="18"/>
              </w:rPr>
            </w:pPr>
            <w:r>
              <w:rPr>
                <w:rFonts w:ascii="Times New Roman"/>
                <w:sz w:val="18"/>
              </w:rPr>
              <w:t>45,448</w:t>
            </w:r>
          </w:p>
        </w:tc>
        <w:tc>
          <w:tcPr>
            <w:tcW w:w="1481" w:type="dxa"/>
            <w:gridSpan w:val="2"/>
            <w:vMerge w:val="restart"/>
            <w:tcBorders>
              <w:top w:val="single" w:sz="4" w:space="0" w:color="000000"/>
              <w:left w:val="single" w:sz="4" w:space="0" w:color="000000"/>
              <w:right w:val="single" w:sz="4" w:space="0" w:color="000000"/>
            </w:tcBorders>
            <w:shd w:val="clear" w:color="auto" w:fill="D2D2D2"/>
          </w:tcPr>
          <w:p>
            <w:pPr/>
          </w:p>
        </w:tc>
        <w:tc>
          <w:tcPr>
            <w:tcW w:w="1176" w:type="dxa"/>
            <w:gridSpan w:val="2"/>
            <w:vMerge w:val="restart"/>
            <w:tcBorders>
              <w:top w:val="single" w:sz="4" w:space="0" w:color="000000"/>
              <w:left w:val="single" w:sz="10" w:space="0" w:color="D2D2D2"/>
              <w:right w:val="single" w:sz="10"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631" w:right="0"/>
              <w:jc w:val="left"/>
              <w:rPr>
                <w:rFonts w:ascii="Times New Roman" w:hAnsi="Times New Roman" w:cs="Times New Roman" w:eastAsia="Times New Roman" w:hint="default"/>
                <w:sz w:val="18"/>
                <w:szCs w:val="18"/>
              </w:rPr>
            </w:pPr>
            <w:r>
              <w:rPr>
                <w:rFonts w:ascii="Times New Roman"/>
                <w:sz w:val="18"/>
              </w:rPr>
              <w:t>44,565</w:t>
            </w:r>
          </w:p>
        </w:tc>
        <w:tc>
          <w:tcPr>
            <w:tcW w:w="1267"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124" w:type="dxa"/>
            <w:gridSpan w:val="2"/>
            <w:vMerge w:val="restart"/>
            <w:tcBorders>
              <w:top w:val="single" w:sz="4" w:space="0" w:color="000000"/>
              <w:left w:val="single" w:sz="10" w:space="0" w:color="D2D2D2"/>
              <w:right w:val="single" w:sz="13"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0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1" w:right="23"/>
              <w:jc w:val="both"/>
              <w:rPr>
                <w:rFonts w:ascii="宋体" w:hAnsi="宋体" w:cs="宋体" w:eastAsia="宋体" w:hint="default"/>
                <w:sz w:val="18"/>
                <w:szCs w:val="18"/>
              </w:rPr>
            </w:pPr>
            <w:r>
              <w:rPr>
                <w:rFonts w:ascii="宋体" w:hAnsi="宋体" w:cs="宋体" w:eastAsia="宋体" w:hint="default"/>
                <w:sz w:val="18"/>
                <w:szCs w:val="18"/>
              </w:rPr>
              <w:t>年度报告披露日 前上一月末表决 权恢复的优先股 股东总数</w:t>
            </w:r>
          </w:p>
          <w:p>
            <w:pPr>
              <w:pStyle w:val="TableParagraph"/>
              <w:spacing w:line="240" w:lineRule="auto" w:before="19"/>
              <w:ind w:left="11" w:right="0"/>
              <w:jc w:val="both"/>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512" w:type="dxa"/>
            <w:vMerge w:val="restart"/>
            <w:tcBorders>
              <w:top w:val="single" w:sz="4" w:space="0" w:color="000000"/>
              <w:left w:val="single" w:sz="12" w:space="0" w:color="D2D2D2"/>
              <w:right w:val="nil" w:sz="6" w:space="0" w:color="auto"/>
            </w:tcBorders>
          </w:tcPr>
          <w:p>
            <w:pPr/>
          </w:p>
        </w:tc>
        <w:tc>
          <w:tcPr>
            <w:tcW w:w="557" w:type="dxa"/>
            <w:tcBorders>
              <w:top w:val="single" w:sz="4" w:space="0" w:color="000000"/>
              <w:left w:val="nil" w:sz="6" w:space="0" w:color="auto"/>
              <w:bottom w:val="nil" w:sz="6" w:space="0" w:color="auto"/>
              <w:right w:val="single" w:sz="4" w:space="0" w:color="000000"/>
            </w:tcBorders>
          </w:tcPr>
          <w:p>
            <w:pPr/>
          </w:p>
        </w:tc>
      </w:tr>
      <w:tr>
        <w:trPr>
          <w:trHeight w:val="156" w:hRule="exact"/>
        </w:trPr>
        <w:tc>
          <w:tcPr>
            <w:tcW w:w="1324" w:type="dxa"/>
            <w:vMerge/>
            <w:tcBorders>
              <w:left w:val="single" w:sz="4" w:space="0" w:color="000000"/>
              <w:right w:val="single" w:sz="4" w:space="0" w:color="000000"/>
            </w:tcBorders>
            <w:shd w:val="clear" w:color="auto" w:fill="D2D2D2"/>
          </w:tcPr>
          <w:p>
            <w:pPr/>
          </w:p>
        </w:tc>
        <w:tc>
          <w:tcPr>
            <w:tcW w:w="820" w:type="dxa"/>
            <w:gridSpan w:val="2"/>
            <w:vMerge/>
            <w:tcBorders>
              <w:left w:val="single" w:sz="9" w:space="0" w:color="D2D2D2"/>
              <w:right w:val="single" w:sz="10" w:space="0" w:color="D2D2D2"/>
            </w:tcBorders>
          </w:tcPr>
          <w:p>
            <w:pPr/>
          </w:p>
        </w:tc>
        <w:tc>
          <w:tcPr>
            <w:tcW w:w="1481" w:type="dxa"/>
            <w:gridSpan w:val="2"/>
            <w:vMerge/>
            <w:tcBorders>
              <w:left w:val="single" w:sz="4" w:space="0" w:color="000000"/>
              <w:bottom w:val="nil" w:sz="6" w:space="0" w:color="auto"/>
              <w:right w:val="single" w:sz="4" w:space="0" w:color="000000"/>
            </w:tcBorders>
            <w:shd w:val="clear" w:color="auto" w:fill="D2D2D2"/>
          </w:tcPr>
          <w:p>
            <w:pPr/>
          </w:p>
        </w:tc>
        <w:tc>
          <w:tcPr>
            <w:tcW w:w="1176" w:type="dxa"/>
            <w:gridSpan w:val="2"/>
            <w:vMerge/>
            <w:tcBorders>
              <w:left w:val="single" w:sz="10" w:space="0" w:color="D2D2D2"/>
              <w:right w:val="single" w:sz="10" w:space="0" w:color="D2D2D2"/>
            </w:tcBorders>
          </w:tcPr>
          <w:p>
            <w:pPr/>
          </w:p>
        </w:tc>
        <w:tc>
          <w:tcPr>
            <w:tcW w:w="1267"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1" w:right="-15"/>
              <w:jc w:val="both"/>
              <w:rPr>
                <w:rFonts w:ascii="宋体" w:hAnsi="宋体" w:cs="宋体" w:eastAsia="宋体" w:hint="default"/>
                <w:sz w:val="18"/>
                <w:szCs w:val="18"/>
              </w:rPr>
            </w:pPr>
            <w:r>
              <w:rPr>
                <w:rFonts w:ascii="宋体" w:hAnsi="宋体" w:cs="宋体" w:eastAsia="宋体" w:hint="default"/>
                <w:sz w:val="18"/>
                <w:szCs w:val="18"/>
              </w:rPr>
              <w:t>报告期末表决权 恢复的优先股股 东总数（如有）</w:t>
            </w:r>
          </w:p>
          <w:p>
            <w:pPr>
              <w:pStyle w:val="TableParagraph"/>
              <w:spacing w:line="240" w:lineRule="auto" w:before="19"/>
              <w:ind w:left="11" w:right="0"/>
              <w:jc w:val="both"/>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1124" w:type="dxa"/>
            <w:gridSpan w:val="2"/>
            <w:vMerge/>
            <w:tcBorders>
              <w:left w:val="single" w:sz="10" w:space="0" w:color="D2D2D2"/>
              <w:right w:val="single" w:sz="13" w:space="0" w:color="D2D2D2"/>
            </w:tcBorders>
          </w:tcPr>
          <w:p>
            <w:pPr/>
          </w:p>
        </w:tc>
        <w:tc>
          <w:tcPr>
            <w:tcW w:w="1307" w:type="dxa"/>
            <w:gridSpan w:val="2"/>
            <w:vMerge/>
            <w:tcBorders>
              <w:left w:val="single" w:sz="4" w:space="0" w:color="000000"/>
              <w:right w:val="single" w:sz="4" w:space="0" w:color="000000"/>
            </w:tcBorders>
            <w:shd w:val="clear" w:color="auto" w:fill="D2D2D2"/>
          </w:tcPr>
          <w:p>
            <w:pPr/>
          </w:p>
        </w:tc>
        <w:tc>
          <w:tcPr>
            <w:tcW w:w="512" w:type="dxa"/>
            <w:vMerge/>
            <w:tcBorders>
              <w:left w:val="single" w:sz="12" w:space="0" w:color="D2D2D2"/>
              <w:right w:val="nil" w:sz="6" w:space="0" w:color="auto"/>
            </w:tcBorders>
          </w:tcPr>
          <w:p>
            <w:pPr/>
          </w:p>
        </w:tc>
        <w:tc>
          <w:tcPr>
            <w:tcW w:w="557" w:type="dxa"/>
            <w:tcBorders>
              <w:top w:val="nil" w:sz="6" w:space="0" w:color="auto"/>
              <w:left w:val="nil" w:sz="6" w:space="0" w:color="auto"/>
              <w:bottom w:val="nil" w:sz="6" w:space="0" w:color="auto"/>
              <w:right w:val="single" w:sz="4" w:space="0" w:color="000000"/>
            </w:tcBorders>
          </w:tcPr>
          <w:p>
            <w:pPr/>
          </w:p>
        </w:tc>
      </w:tr>
      <w:tr>
        <w:trPr>
          <w:trHeight w:val="156" w:hRule="exact"/>
        </w:trPr>
        <w:tc>
          <w:tcPr>
            <w:tcW w:w="1324" w:type="dxa"/>
            <w:vMerge/>
            <w:tcBorders>
              <w:left w:val="single" w:sz="4" w:space="0" w:color="000000"/>
              <w:bottom w:val="nil" w:sz="6" w:space="0" w:color="auto"/>
              <w:right w:val="single" w:sz="4" w:space="0" w:color="000000"/>
            </w:tcBorders>
            <w:shd w:val="clear" w:color="auto" w:fill="D2D2D2"/>
          </w:tcPr>
          <w:p>
            <w:pPr/>
          </w:p>
        </w:tc>
        <w:tc>
          <w:tcPr>
            <w:tcW w:w="820" w:type="dxa"/>
            <w:gridSpan w:val="2"/>
            <w:vMerge/>
            <w:tcBorders>
              <w:left w:val="single" w:sz="9" w:space="0" w:color="D2D2D2"/>
              <w:right w:val="single" w:sz="10" w:space="0" w:color="D2D2D2"/>
            </w:tcBorders>
          </w:tcPr>
          <w:p>
            <w:pPr/>
          </w:p>
        </w:tc>
        <w:tc>
          <w:tcPr>
            <w:tcW w:w="1481"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1" w:right="197"/>
              <w:jc w:val="both"/>
              <w:rPr>
                <w:rFonts w:ascii="宋体" w:hAnsi="宋体" w:cs="宋体" w:eastAsia="宋体" w:hint="default"/>
                <w:sz w:val="18"/>
                <w:szCs w:val="18"/>
              </w:rPr>
            </w:pPr>
            <w:r>
              <w:rPr>
                <w:rFonts w:ascii="宋体" w:hAnsi="宋体" w:cs="宋体" w:eastAsia="宋体" w:hint="default"/>
                <w:sz w:val="18"/>
                <w:szCs w:val="18"/>
              </w:rPr>
              <w:t>年度报告披露日 前上一月末普通 股股东总数</w:t>
            </w:r>
          </w:p>
        </w:tc>
        <w:tc>
          <w:tcPr>
            <w:tcW w:w="1176" w:type="dxa"/>
            <w:gridSpan w:val="2"/>
            <w:vMerge/>
            <w:tcBorders>
              <w:left w:val="single" w:sz="10" w:space="0" w:color="D2D2D2"/>
              <w:right w:val="single" w:sz="10" w:space="0" w:color="D2D2D2"/>
            </w:tcBorders>
          </w:tcPr>
          <w:p>
            <w:pPr/>
          </w:p>
        </w:tc>
        <w:tc>
          <w:tcPr>
            <w:tcW w:w="1267" w:type="dxa"/>
            <w:gridSpan w:val="2"/>
            <w:vMerge/>
            <w:tcBorders>
              <w:left w:val="single" w:sz="4" w:space="0" w:color="000000"/>
              <w:right w:val="single" w:sz="4" w:space="0" w:color="000000"/>
            </w:tcBorders>
            <w:shd w:val="clear" w:color="auto" w:fill="D2D2D2"/>
          </w:tcPr>
          <w:p>
            <w:pPr/>
          </w:p>
        </w:tc>
        <w:tc>
          <w:tcPr>
            <w:tcW w:w="1124" w:type="dxa"/>
            <w:gridSpan w:val="2"/>
            <w:vMerge/>
            <w:tcBorders>
              <w:left w:val="single" w:sz="10" w:space="0" w:color="D2D2D2"/>
              <w:right w:val="single" w:sz="13" w:space="0" w:color="D2D2D2"/>
            </w:tcBorders>
          </w:tcPr>
          <w:p>
            <w:pPr/>
          </w:p>
        </w:tc>
        <w:tc>
          <w:tcPr>
            <w:tcW w:w="1307" w:type="dxa"/>
            <w:gridSpan w:val="2"/>
            <w:vMerge/>
            <w:tcBorders>
              <w:left w:val="single" w:sz="4" w:space="0" w:color="000000"/>
              <w:right w:val="single" w:sz="4" w:space="0" w:color="000000"/>
            </w:tcBorders>
            <w:shd w:val="clear" w:color="auto" w:fill="D2D2D2"/>
          </w:tcPr>
          <w:p>
            <w:pPr/>
          </w:p>
        </w:tc>
        <w:tc>
          <w:tcPr>
            <w:tcW w:w="512" w:type="dxa"/>
            <w:vMerge/>
            <w:tcBorders>
              <w:left w:val="single" w:sz="12" w:space="0" w:color="D2D2D2"/>
              <w:right w:val="nil" w:sz="6" w:space="0" w:color="auto"/>
            </w:tcBorders>
          </w:tcPr>
          <w:p>
            <w:pPr/>
          </w:p>
        </w:tc>
        <w:tc>
          <w:tcPr>
            <w:tcW w:w="557" w:type="dxa"/>
            <w:tcBorders>
              <w:top w:val="nil" w:sz="6" w:space="0" w:color="auto"/>
              <w:left w:val="nil" w:sz="6" w:space="0" w:color="auto"/>
              <w:bottom w:val="nil" w:sz="6" w:space="0" w:color="auto"/>
              <w:right w:val="single" w:sz="4" w:space="0" w:color="000000"/>
            </w:tcBorders>
          </w:tcPr>
          <w:p>
            <w:pPr/>
          </w:p>
        </w:tc>
      </w:tr>
      <w:tr>
        <w:trPr>
          <w:trHeight w:val="703" w:hRule="exact"/>
        </w:trPr>
        <w:tc>
          <w:tcPr>
            <w:tcW w:w="132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24" w:right="28"/>
              <w:jc w:val="left"/>
              <w:rPr>
                <w:rFonts w:ascii="宋体" w:hAnsi="宋体" w:cs="宋体" w:eastAsia="宋体" w:hint="default"/>
                <w:sz w:val="18"/>
                <w:szCs w:val="18"/>
              </w:rPr>
            </w:pPr>
            <w:r>
              <w:rPr>
                <w:rFonts w:ascii="宋体" w:hAnsi="宋体" w:cs="宋体" w:eastAsia="宋体" w:hint="default"/>
                <w:sz w:val="18"/>
                <w:szCs w:val="18"/>
              </w:rPr>
              <w:t>报告期末普通股 股东总数</w:t>
            </w:r>
          </w:p>
        </w:tc>
        <w:tc>
          <w:tcPr>
            <w:tcW w:w="820" w:type="dxa"/>
            <w:gridSpan w:val="2"/>
            <w:vMerge/>
            <w:tcBorders>
              <w:left w:val="single" w:sz="9" w:space="0" w:color="D2D2D2"/>
              <w:right w:val="single" w:sz="10" w:space="0" w:color="D2D2D2"/>
            </w:tcBorders>
          </w:tcPr>
          <w:p>
            <w:pPr/>
          </w:p>
        </w:tc>
        <w:tc>
          <w:tcPr>
            <w:tcW w:w="1481" w:type="dxa"/>
            <w:gridSpan w:val="2"/>
            <w:vMerge/>
            <w:tcBorders>
              <w:left w:val="single" w:sz="4" w:space="0" w:color="000000"/>
              <w:right w:val="single" w:sz="4" w:space="0" w:color="000000"/>
            </w:tcBorders>
            <w:shd w:val="clear" w:color="auto" w:fill="D2D2D2"/>
          </w:tcPr>
          <w:p>
            <w:pPr/>
          </w:p>
        </w:tc>
        <w:tc>
          <w:tcPr>
            <w:tcW w:w="1176" w:type="dxa"/>
            <w:gridSpan w:val="2"/>
            <w:vMerge/>
            <w:tcBorders>
              <w:left w:val="single" w:sz="10" w:space="0" w:color="D2D2D2"/>
              <w:right w:val="single" w:sz="10" w:space="0" w:color="D2D2D2"/>
            </w:tcBorders>
          </w:tcPr>
          <w:p>
            <w:pPr/>
          </w:p>
        </w:tc>
        <w:tc>
          <w:tcPr>
            <w:tcW w:w="1267" w:type="dxa"/>
            <w:gridSpan w:val="2"/>
            <w:vMerge/>
            <w:tcBorders>
              <w:left w:val="single" w:sz="4" w:space="0" w:color="000000"/>
              <w:right w:val="single" w:sz="4" w:space="0" w:color="000000"/>
            </w:tcBorders>
            <w:shd w:val="clear" w:color="auto" w:fill="D2D2D2"/>
          </w:tcPr>
          <w:p>
            <w:pPr/>
          </w:p>
        </w:tc>
        <w:tc>
          <w:tcPr>
            <w:tcW w:w="1124" w:type="dxa"/>
            <w:gridSpan w:val="2"/>
            <w:vMerge/>
            <w:tcBorders>
              <w:left w:val="single" w:sz="10" w:space="0" w:color="D2D2D2"/>
              <w:right w:val="single" w:sz="13" w:space="0" w:color="D2D2D2"/>
            </w:tcBorders>
          </w:tcPr>
          <w:p>
            <w:pPr/>
          </w:p>
        </w:tc>
        <w:tc>
          <w:tcPr>
            <w:tcW w:w="1307" w:type="dxa"/>
            <w:gridSpan w:val="2"/>
            <w:vMerge/>
            <w:tcBorders>
              <w:left w:val="single" w:sz="4" w:space="0" w:color="000000"/>
              <w:right w:val="single" w:sz="4" w:space="0" w:color="000000"/>
            </w:tcBorders>
            <w:shd w:val="clear" w:color="auto" w:fill="D2D2D2"/>
          </w:tcPr>
          <w:p>
            <w:pPr/>
          </w:p>
        </w:tc>
        <w:tc>
          <w:tcPr>
            <w:tcW w:w="512" w:type="dxa"/>
            <w:vMerge/>
            <w:tcBorders>
              <w:left w:val="single" w:sz="12" w:space="0" w:color="D2D2D2"/>
              <w:right w:val="nil" w:sz="6" w:space="0" w:color="auto"/>
            </w:tcBorders>
          </w:tcPr>
          <w:p>
            <w:pPr/>
          </w:p>
        </w:tc>
        <w:tc>
          <w:tcPr>
            <w:tcW w:w="557"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56" w:hRule="exact"/>
        </w:trPr>
        <w:tc>
          <w:tcPr>
            <w:tcW w:w="1324" w:type="dxa"/>
            <w:vMerge w:val="restart"/>
            <w:tcBorders>
              <w:top w:val="nil" w:sz="6" w:space="0" w:color="auto"/>
              <w:left w:val="single" w:sz="4" w:space="0" w:color="000000"/>
              <w:right w:val="single" w:sz="4" w:space="0" w:color="000000"/>
            </w:tcBorders>
            <w:shd w:val="clear" w:color="auto" w:fill="D2D2D2"/>
          </w:tcPr>
          <w:p>
            <w:pPr/>
          </w:p>
        </w:tc>
        <w:tc>
          <w:tcPr>
            <w:tcW w:w="820" w:type="dxa"/>
            <w:gridSpan w:val="2"/>
            <w:vMerge/>
            <w:tcBorders>
              <w:left w:val="single" w:sz="9" w:space="0" w:color="D2D2D2"/>
              <w:right w:val="single" w:sz="10" w:space="0" w:color="D2D2D2"/>
            </w:tcBorders>
          </w:tcPr>
          <w:p>
            <w:pPr/>
          </w:p>
        </w:tc>
        <w:tc>
          <w:tcPr>
            <w:tcW w:w="1481" w:type="dxa"/>
            <w:gridSpan w:val="2"/>
            <w:vMerge/>
            <w:tcBorders>
              <w:left w:val="single" w:sz="4" w:space="0" w:color="000000"/>
              <w:bottom w:val="nil" w:sz="6" w:space="0" w:color="auto"/>
              <w:right w:val="single" w:sz="4" w:space="0" w:color="000000"/>
            </w:tcBorders>
            <w:shd w:val="clear" w:color="auto" w:fill="D2D2D2"/>
          </w:tcPr>
          <w:p>
            <w:pPr/>
          </w:p>
        </w:tc>
        <w:tc>
          <w:tcPr>
            <w:tcW w:w="1176" w:type="dxa"/>
            <w:gridSpan w:val="2"/>
            <w:vMerge/>
            <w:tcBorders>
              <w:left w:val="single" w:sz="10" w:space="0" w:color="D2D2D2"/>
              <w:right w:val="single" w:sz="10" w:space="0" w:color="D2D2D2"/>
            </w:tcBorders>
          </w:tcPr>
          <w:p>
            <w:pPr/>
          </w:p>
        </w:tc>
        <w:tc>
          <w:tcPr>
            <w:tcW w:w="1267" w:type="dxa"/>
            <w:gridSpan w:val="2"/>
            <w:vMerge/>
            <w:tcBorders>
              <w:left w:val="single" w:sz="4" w:space="0" w:color="000000"/>
              <w:right w:val="single" w:sz="4" w:space="0" w:color="000000"/>
            </w:tcBorders>
            <w:shd w:val="clear" w:color="auto" w:fill="D2D2D2"/>
          </w:tcPr>
          <w:p>
            <w:pPr/>
          </w:p>
        </w:tc>
        <w:tc>
          <w:tcPr>
            <w:tcW w:w="1124" w:type="dxa"/>
            <w:gridSpan w:val="2"/>
            <w:vMerge/>
            <w:tcBorders>
              <w:left w:val="single" w:sz="10" w:space="0" w:color="D2D2D2"/>
              <w:right w:val="single" w:sz="13" w:space="0" w:color="D2D2D2"/>
            </w:tcBorders>
          </w:tcPr>
          <w:p>
            <w:pPr/>
          </w:p>
        </w:tc>
        <w:tc>
          <w:tcPr>
            <w:tcW w:w="1307" w:type="dxa"/>
            <w:gridSpan w:val="2"/>
            <w:vMerge/>
            <w:tcBorders>
              <w:left w:val="single" w:sz="4" w:space="0" w:color="000000"/>
              <w:right w:val="single" w:sz="4" w:space="0" w:color="000000"/>
            </w:tcBorders>
            <w:shd w:val="clear" w:color="auto" w:fill="D2D2D2"/>
          </w:tcPr>
          <w:p>
            <w:pPr/>
          </w:p>
        </w:tc>
        <w:tc>
          <w:tcPr>
            <w:tcW w:w="512" w:type="dxa"/>
            <w:vMerge/>
            <w:tcBorders>
              <w:left w:val="single" w:sz="12" w:space="0" w:color="D2D2D2"/>
              <w:right w:val="nil" w:sz="6" w:space="0" w:color="auto"/>
            </w:tcBorders>
          </w:tcPr>
          <w:p>
            <w:pPr/>
          </w:p>
        </w:tc>
        <w:tc>
          <w:tcPr>
            <w:tcW w:w="557" w:type="dxa"/>
            <w:tcBorders>
              <w:top w:val="nil" w:sz="6" w:space="0" w:color="auto"/>
              <w:left w:val="nil" w:sz="6" w:space="0" w:color="auto"/>
              <w:bottom w:val="nil" w:sz="6" w:space="0" w:color="auto"/>
              <w:right w:val="single" w:sz="4" w:space="0" w:color="000000"/>
            </w:tcBorders>
          </w:tcPr>
          <w:p>
            <w:pPr/>
          </w:p>
        </w:tc>
      </w:tr>
      <w:tr>
        <w:trPr>
          <w:trHeight w:val="156" w:hRule="exact"/>
        </w:trPr>
        <w:tc>
          <w:tcPr>
            <w:tcW w:w="1324" w:type="dxa"/>
            <w:vMerge/>
            <w:tcBorders>
              <w:left w:val="single" w:sz="4" w:space="0" w:color="000000"/>
              <w:right w:val="single" w:sz="4" w:space="0" w:color="000000"/>
            </w:tcBorders>
            <w:shd w:val="clear" w:color="auto" w:fill="D2D2D2"/>
          </w:tcPr>
          <w:p>
            <w:pPr/>
          </w:p>
        </w:tc>
        <w:tc>
          <w:tcPr>
            <w:tcW w:w="820" w:type="dxa"/>
            <w:gridSpan w:val="2"/>
            <w:vMerge/>
            <w:tcBorders>
              <w:left w:val="single" w:sz="9" w:space="0" w:color="D2D2D2"/>
              <w:right w:val="single" w:sz="10" w:space="0" w:color="D2D2D2"/>
            </w:tcBorders>
          </w:tcPr>
          <w:p>
            <w:pPr/>
          </w:p>
        </w:tc>
        <w:tc>
          <w:tcPr>
            <w:tcW w:w="1481" w:type="dxa"/>
            <w:gridSpan w:val="2"/>
            <w:vMerge w:val="restart"/>
            <w:tcBorders>
              <w:top w:val="nil" w:sz="6" w:space="0" w:color="auto"/>
              <w:left w:val="single" w:sz="4" w:space="0" w:color="000000"/>
              <w:right w:val="single" w:sz="4" w:space="0" w:color="000000"/>
            </w:tcBorders>
            <w:shd w:val="clear" w:color="auto" w:fill="D2D2D2"/>
          </w:tcPr>
          <w:p>
            <w:pPr/>
          </w:p>
        </w:tc>
        <w:tc>
          <w:tcPr>
            <w:tcW w:w="1176" w:type="dxa"/>
            <w:gridSpan w:val="2"/>
            <w:vMerge/>
            <w:tcBorders>
              <w:left w:val="single" w:sz="10" w:space="0" w:color="D2D2D2"/>
              <w:right w:val="single" w:sz="10" w:space="0" w:color="D2D2D2"/>
            </w:tcBorders>
          </w:tcPr>
          <w:p>
            <w:pPr/>
          </w:p>
        </w:tc>
        <w:tc>
          <w:tcPr>
            <w:tcW w:w="1267" w:type="dxa"/>
            <w:gridSpan w:val="2"/>
            <w:vMerge/>
            <w:tcBorders>
              <w:left w:val="single" w:sz="4" w:space="0" w:color="000000"/>
              <w:bottom w:val="nil" w:sz="6" w:space="0" w:color="auto"/>
              <w:right w:val="single" w:sz="4" w:space="0" w:color="000000"/>
            </w:tcBorders>
            <w:shd w:val="clear" w:color="auto" w:fill="D2D2D2"/>
          </w:tcPr>
          <w:p>
            <w:pPr/>
          </w:p>
        </w:tc>
        <w:tc>
          <w:tcPr>
            <w:tcW w:w="1124" w:type="dxa"/>
            <w:gridSpan w:val="2"/>
            <w:vMerge/>
            <w:tcBorders>
              <w:left w:val="single" w:sz="10" w:space="0" w:color="D2D2D2"/>
              <w:right w:val="single" w:sz="13" w:space="0" w:color="D2D2D2"/>
            </w:tcBorders>
          </w:tcPr>
          <w:p>
            <w:pPr/>
          </w:p>
        </w:tc>
        <w:tc>
          <w:tcPr>
            <w:tcW w:w="1307" w:type="dxa"/>
            <w:gridSpan w:val="2"/>
            <w:vMerge/>
            <w:tcBorders>
              <w:left w:val="single" w:sz="4" w:space="0" w:color="000000"/>
              <w:right w:val="single" w:sz="4" w:space="0" w:color="000000"/>
            </w:tcBorders>
            <w:shd w:val="clear" w:color="auto" w:fill="D2D2D2"/>
          </w:tcPr>
          <w:p>
            <w:pPr/>
          </w:p>
        </w:tc>
        <w:tc>
          <w:tcPr>
            <w:tcW w:w="512" w:type="dxa"/>
            <w:vMerge/>
            <w:tcBorders>
              <w:left w:val="single" w:sz="12" w:space="0" w:color="D2D2D2"/>
              <w:right w:val="nil" w:sz="6" w:space="0" w:color="auto"/>
            </w:tcBorders>
          </w:tcPr>
          <w:p>
            <w:pPr/>
          </w:p>
        </w:tc>
        <w:tc>
          <w:tcPr>
            <w:tcW w:w="557" w:type="dxa"/>
            <w:tcBorders>
              <w:top w:val="nil" w:sz="6" w:space="0" w:color="auto"/>
              <w:left w:val="nil" w:sz="6" w:space="0" w:color="auto"/>
              <w:bottom w:val="nil" w:sz="6" w:space="0" w:color="auto"/>
              <w:right w:val="single" w:sz="4" w:space="0" w:color="000000"/>
            </w:tcBorders>
          </w:tcPr>
          <w:p>
            <w:pPr/>
          </w:p>
        </w:tc>
      </w:tr>
      <w:tr>
        <w:trPr>
          <w:trHeight w:val="166" w:hRule="exact"/>
        </w:trPr>
        <w:tc>
          <w:tcPr>
            <w:tcW w:w="1324" w:type="dxa"/>
            <w:vMerge/>
            <w:tcBorders>
              <w:left w:val="single" w:sz="4" w:space="0" w:color="000000"/>
              <w:bottom w:val="single" w:sz="4" w:space="0" w:color="000000"/>
              <w:right w:val="single" w:sz="4" w:space="0" w:color="000000"/>
            </w:tcBorders>
            <w:shd w:val="clear" w:color="auto" w:fill="D2D2D2"/>
          </w:tcPr>
          <w:p>
            <w:pPr/>
          </w:p>
        </w:tc>
        <w:tc>
          <w:tcPr>
            <w:tcW w:w="820" w:type="dxa"/>
            <w:gridSpan w:val="2"/>
            <w:vMerge/>
            <w:tcBorders>
              <w:left w:val="single" w:sz="9" w:space="0" w:color="D2D2D2"/>
              <w:bottom w:val="single" w:sz="4" w:space="0" w:color="000000"/>
              <w:right w:val="single" w:sz="10" w:space="0" w:color="D2D2D2"/>
            </w:tcBorders>
          </w:tcPr>
          <w:p>
            <w:pPr/>
          </w:p>
        </w:tc>
        <w:tc>
          <w:tcPr>
            <w:tcW w:w="1481" w:type="dxa"/>
            <w:gridSpan w:val="2"/>
            <w:vMerge/>
            <w:tcBorders>
              <w:left w:val="single" w:sz="4" w:space="0" w:color="000000"/>
              <w:bottom w:val="single" w:sz="4" w:space="0" w:color="000000"/>
              <w:right w:val="single" w:sz="4" w:space="0" w:color="000000"/>
            </w:tcBorders>
            <w:shd w:val="clear" w:color="auto" w:fill="D2D2D2"/>
          </w:tcPr>
          <w:p>
            <w:pPr/>
          </w:p>
        </w:tc>
        <w:tc>
          <w:tcPr>
            <w:tcW w:w="1176" w:type="dxa"/>
            <w:gridSpan w:val="2"/>
            <w:vMerge/>
            <w:tcBorders>
              <w:left w:val="single" w:sz="10" w:space="0" w:color="D2D2D2"/>
              <w:bottom w:val="single" w:sz="4" w:space="0" w:color="000000"/>
              <w:right w:val="single" w:sz="10" w:space="0" w:color="D2D2D2"/>
            </w:tcBorders>
          </w:tcPr>
          <w:p>
            <w:pPr/>
          </w:p>
        </w:tc>
        <w:tc>
          <w:tcPr>
            <w:tcW w:w="1267"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124" w:type="dxa"/>
            <w:gridSpan w:val="2"/>
            <w:vMerge/>
            <w:tcBorders>
              <w:left w:val="single" w:sz="10" w:space="0" w:color="D2D2D2"/>
              <w:bottom w:val="single" w:sz="4" w:space="0" w:color="000000"/>
              <w:right w:val="single" w:sz="13" w:space="0" w:color="D2D2D2"/>
            </w:tcBorders>
          </w:tcPr>
          <w:p>
            <w:pPr/>
          </w:p>
        </w:tc>
        <w:tc>
          <w:tcPr>
            <w:tcW w:w="1307" w:type="dxa"/>
            <w:gridSpan w:val="2"/>
            <w:vMerge/>
            <w:tcBorders>
              <w:left w:val="single" w:sz="4" w:space="0" w:color="000000"/>
              <w:bottom w:val="single" w:sz="4" w:space="0" w:color="000000"/>
              <w:right w:val="single" w:sz="4" w:space="0" w:color="000000"/>
            </w:tcBorders>
            <w:shd w:val="clear" w:color="auto" w:fill="D2D2D2"/>
          </w:tcPr>
          <w:p>
            <w:pPr/>
          </w:p>
        </w:tc>
        <w:tc>
          <w:tcPr>
            <w:tcW w:w="512" w:type="dxa"/>
            <w:vMerge/>
            <w:tcBorders>
              <w:left w:val="single" w:sz="12" w:space="0" w:color="D2D2D2"/>
              <w:bottom w:val="single" w:sz="4" w:space="0" w:color="000000"/>
              <w:right w:val="nil" w:sz="6" w:space="0" w:color="auto"/>
            </w:tcBorders>
          </w:tcPr>
          <w:p>
            <w:pPr/>
          </w:p>
        </w:tc>
        <w:tc>
          <w:tcPr>
            <w:tcW w:w="557" w:type="dxa"/>
            <w:tcBorders>
              <w:top w:val="nil" w:sz="6" w:space="0" w:color="auto"/>
              <w:left w:val="nil" w:sz="6" w:space="0" w:color="auto"/>
              <w:bottom w:val="single" w:sz="4" w:space="0" w:color="000000"/>
              <w:right w:val="single" w:sz="4" w:space="0" w:color="000000"/>
            </w:tcBorders>
          </w:tcPr>
          <w:p>
            <w:pPr/>
          </w:p>
        </w:tc>
      </w:tr>
      <w:tr>
        <w:trPr>
          <w:trHeight w:val="391" w:hRule="exact"/>
        </w:trPr>
        <w:tc>
          <w:tcPr>
            <w:tcW w:w="9568" w:type="dxa"/>
            <w:gridSpan w:val="1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3063"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168" w:hRule="exact"/>
        </w:trPr>
        <w:tc>
          <w:tcPr>
            <w:tcW w:w="1469" w:type="dxa"/>
            <w:gridSpan w:val="2"/>
            <w:vMerge w:val="restart"/>
            <w:tcBorders>
              <w:top w:val="single" w:sz="4" w:space="0" w:color="000000"/>
              <w:left w:val="single" w:sz="4" w:space="0" w:color="000000"/>
              <w:right w:val="single" w:sz="4" w:space="0" w:color="000000"/>
            </w:tcBorders>
            <w:shd w:val="clear" w:color="auto" w:fill="D2D2D2"/>
          </w:tcPr>
          <w:p>
            <w:pPr/>
          </w:p>
        </w:tc>
        <w:tc>
          <w:tcPr>
            <w:tcW w:w="1412" w:type="dxa"/>
            <w:gridSpan w:val="2"/>
            <w:vMerge w:val="restart"/>
            <w:tcBorders>
              <w:top w:val="single" w:sz="4" w:space="0" w:color="000000"/>
              <w:left w:val="single" w:sz="4" w:space="0" w:color="000000"/>
              <w:right w:val="single" w:sz="4" w:space="0" w:color="000000"/>
            </w:tcBorders>
            <w:shd w:val="clear" w:color="auto" w:fill="D2D2D2"/>
          </w:tcPr>
          <w:p>
            <w:pPr/>
          </w:p>
        </w:tc>
        <w:tc>
          <w:tcPr>
            <w:tcW w:w="744" w:type="dxa"/>
            <w:vMerge w:val="restart"/>
            <w:tcBorders>
              <w:top w:val="single" w:sz="4" w:space="0" w:color="000000"/>
              <w:left w:val="single" w:sz="4" w:space="0" w:color="000000"/>
              <w:right w:val="single" w:sz="4" w:space="0" w:color="000000"/>
            </w:tcBorders>
            <w:shd w:val="clear" w:color="auto" w:fill="D2D2D2"/>
          </w:tcPr>
          <w:p>
            <w:pPr/>
          </w:p>
        </w:tc>
        <w:tc>
          <w:tcPr>
            <w:tcW w:w="830" w:type="dxa"/>
            <w:tcBorders>
              <w:top w:val="single" w:sz="4" w:space="0" w:color="000000"/>
              <w:left w:val="single" w:sz="4" w:space="0" w:color="000000"/>
              <w:bottom w:val="nil" w:sz="6" w:space="0" w:color="auto"/>
              <w:right w:val="single" w:sz="4" w:space="0" w:color="000000"/>
            </w:tcBorders>
            <w:shd w:val="clear" w:color="auto" w:fill="D2D2D2"/>
          </w:tcPr>
          <w:p>
            <w:pPr/>
          </w:p>
        </w:tc>
        <w:tc>
          <w:tcPr>
            <w:tcW w:w="79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28" w:right="29"/>
              <w:jc w:val="center"/>
              <w:rPr>
                <w:rFonts w:ascii="宋体" w:hAnsi="宋体" w:cs="宋体" w:eastAsia="宋体" w:hint="default"/>
                <w:sz w:val="18"/>
                <w:szCs w:val="18"/>
              </w:rPr>
            </w:pPr>
            <w:r>
              <w:rPr>
                <w:rFonts w:ascii="宋体" w:hAnsi="宋体" w:cs="宋体" w:eastAsia="宋体" w:hint="default"/>
                <w:sz w:val="18"/>
                <w:szCs w:val="18"/>
              </w:rPr>
              <w:t>报告期内 增减变动 情况</w:t>
            </w:r>
          </w:p>
        </w:tc>
        <w:tc>
          <w:tcPr>
            <w:tcW w:w="82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28" w:right="62"/>
              <w:jc w:val="both"/>
              <w:rPr>
                <w:rFonts w:ascii="宋体" w:hAnsi="宋体" w:cs="宋体" w:eastAsia="宋体" w:hint="default"/>
                <w:sz w:val="18"/>
                <w:szCs w:val="18"/>
              </w:rPr>
            </w:pPr>
            <w:r>
              <w:rPr>
                <w:rFonts w:ascii="宋体" w:hAnsi="宋体" w:cs="宋体" w:eastAsia="宋体" w:hint="default"/>
                <w:sz w:val="18"/>
                <w:szCs w:val="18"/>
              </w:rPr>
              <w:t>持有有限 售条件的 股份数量</w:t>
            </w:r>
          </w:p>
        </w:tc>
        <w:tc>
          <w:tcPr>
            <w:tcW w:w="80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17" w:right="53"/>
              <w:jc w:val="both"/>
              <w:rPr>
                <w:rFonts w:ascii="宋体" w:hAnsi="宋体" w:cs="宋体" w:eastAsia="宋体" w:hint="default"/>
                <w:sz w:val="18"/>
                <w:szCs w:val="18"/>
              </w:rPr>
            </w:pPr>
            <w:r>
              <w:rPr>
                <w:rFonts w:ascii="宋体" w:hAnsi="宋体" w:cs="宋体" w:eastAsia="宋体" w:hint="default"/>
                <w:sz w:val="18"/>
                <w:szCs w:val="18"/>
              </w:rPr>
              <w:t>持有无限 售条件的 股份数量</w:t>
            </w:r>
          </w:p>
        </w:tc>
        <w:tc>
          <w:tcPr>
            <w:tcW w:w="2698"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715"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156" w:hRule="exact"/>
        </w:trPr>
        <w:tc>
          <w:tcPr>
            <w:tcW w:w="1469" w:type="dxa"/>
            <w:gridSpan w:val="2"/>
            <w:vMerge/>
            <w:tcBorders>
              <w:left w:val="single" w:sz="4" w:space="0" w:color="000000"/>
              <w:bottom w:val="nil" w:sz="6" w:space="0" w:color="auto"/>
              <w:right w:val="single" w:sz="4" w:space="0" w:color="000000"/>
            </w:tcBorders>
            <w:shd w:val="clear" w:color="auto" w:fill="D2D2D2"/>
          </w:tcPr>
          <w:p>
            <w:pPr/>
          </w:p>
        </w:tc>
        <w:tc>
          <w:tcPr>
            <w:tcW w:w="1412" w:type="dxa"/>
            <w:gridSpan w:val="2"/>
            <w:vMerge/>
            <w:tcBorders>
              <w:left w:val="single" w:sz="4" w:space="0" w:color="000000"/>
              <w:bottom w:val="nil" w:sz="6" w:space="0" w:color="auto"/>
              <w:right w:val="single" w:sz="4" w:space="0" w:color="000000"/>
            </w:tcBorders>
            <w:shd w:val="clear" w:color="auto" w:fill="D2D2D2"/>
          </w:tcPr>
          <w:p>
            <w:pPr/>
          </w:p>
        </w:tc>
        <w:tc>
          <w:tcPr>
            <w:tcW w:w="744" w:type="dxa"/>
            <w:vMerge/>
            <w:tcBorders>
              <w:left w:val="single" w:sz="4" w:space="0" w:color="000000"/>
              <w:bottom w:val="nil" w:sz="6" w:space="0" w:color="auto"/>
              <w:right w:val="single" w:sz="4" w:space="0" w:color="000000"/>
            </w:tcBorders>
            <w:shd w:val="clear" w:color="auto" w:fill="D2D2D2"/>
          </w:tcPr>
          <w:p>
            <w:pPr/>
          </w:p>
        </w:tc>
        <w:tc>
          <w:tcPr>
            <w:tcW w:w="830"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72" w:right="26"/>
              <w:jc w:val="left"/>
              <w:rPr>
                <w:rFonts w:ascii="宋体" w:hAnsi="宋体" w:cs="宋体" w:eastAsia="宋体" w:hint="default"/>
                <w:sz w:val="18"/>
                <w:szCs w:val="18"/>
              </w:rPr>
            </w:pPr>
            <w:r>
              <w:rPr>
                <w:rFonts w:ascii="宋体" w:hAnsi="宋体" w:cs="宋体" w:eastAsia="宋体" w:hint="default"/>
                <w:sz w:val="18"/>
                <w:szCs w:val="18"/>
              </w:rPr>
              <w:t>报告期末 持股数量</w:t>
            </w:r>
          </w:p>
        </w:tc>
        <w:tc>
          <w:tcPr>
            <w:tcW w:w="790" w:type="dxa"/>
            <w:gridSpan w:val="2"/>
            <w:vMerge/>
            <w:tcBorders>
              <w:left w:val="single" w:sz="4" w:space="0" w:color="000000"/>
              <w:right w:val="single" w:sz="4" w:space="0" w:color="000000"/>
            </w:tcBorders>
            <w:shd w:val="clear" w:color="auto" w:fill="D2D2D2"/>
          </w:tcPr>
          <w:p>
            <w:pPr/>
          </w:p>
        </w:tc>
        <w:tc>
          <w:tcPr>
            <w:tcW w:w="823" w:type="dxa"/>
            <w:vMerge/>
            <w:tcBorders>
              <w:left w:val="single" w:sz="4" w:space="0" w:color="000000"/>
              <w:right w:val="single" w:sz="4" w:space="0" w:color="000000"/>
            </w:tcBorders>
            <w:shd w:val="clear" w:color="auto" w:fill="D2D2D2"/>
          </w:tcPr>
          <w:p>
            <w:pPr/>
          </w:p>
        </w:tc>
        <w:tc>
          <w:tcPr>
            <w:tcW w:w="802" w:type="dxa"/>
            <w:vMerge/>
            <w:tcBorders>
              <w:left w:val="single" w:sz="4" w:space="0" w:color="000000"/>
              <w:right w:val="single" w:sz="4" w:space="0" w:color="000000"/>
            </w:tcBorders>
            <w:shd w:val="clear" w:color="auto" w:fill="D2D2D2"/>
          </w:tcPr>
          <w:p>
            <w:pPr/>
          </w:p>
        </w:tc>
        <w:tc>
          <w:tcPr>
            <w:tcW w:w="2698" w:type="dxa"/>
            <w:gridSpan w:val="5"/>
            <w:vMerge/>
            <w:tcBorders>
              <w:left w:val="single" w:sz="4" w:space="0" w:color="000000"/>
              <w:right w:val="single" w:sz="4" w:space="0" w:color="000000"/>
            </w:tcBorders>
            <w:shd w:val="clear" w:color="auto" w:fill="D2D2D2"/>
          </w:tcPr>
          <w:p>
            <w:pPr/>
          </w:p>
        </w:tc>
      </w:tr>
      <w:tr>
        <w:trPr>
          <w:trHeight w:val="139" w:hRule="exact"/>
        </w:trPr>
        <w:tc>
          <w:tcPr>
            <w:tcW w:w="1469"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70"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12"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40"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4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8" w:right="-15"/>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830" w:type="dxa"/>
            <w:vMerge/>
            <w:tcBorders>
              <w:left w:val="single" w:sz="4" w:space="0" w:color="000000"/>
              <w:right w:val="single" w:sz="4" w:space="0" w:color="000000"/>
            </w:tcBorders>
            <w:shd w:val="clear" w:color="auto" w:fill="D2D2D2"/>
          </w:tcPr>
          <w:p>
            <w:pPr/>
          </w:p>
        </w:tc>
        <w:tc>
          <w:tcPr>
            <w:tcW w:w="790" w:type="dxa"/>
            <w:gridSpan w:val="2"/>
            <w:vMerge/>
            <w:tcBorders>
              <w:left w:val="single" w:sz="4" w:space="0" w:color="000000"/>
              <w:right w:val="single" w:sz="4" w:space="0" w:color="000000"/>
            </w:tcBorders>
            <w:shd w:val="clear" w:color="auto" w:fill="D2D2D2"/>
          </w:tcPr>
          <w:p>
            <w:pPr/>
          </w:p>
        </w:tc>
        <w:tc>
          <w:tcPr>
            <w:tcW w:w="823" w:type="dxa"/>
            <w:vMerge/>
            <w:tcBorders>
              <w:left w:val="single" w:sz="4" w:space="0" w:color="000000"/>
              <w:right w:val="single" w:sz="4" w:space="0" w:color="000000"/>
            </w:tcBorders>
            <w:shd w:val="clear" w:color="auto" w:fill="D2D2D2"/>
          </w:tcPr>
          <w:p>
            <w:pPr/>
          </w:p>
        </w:tc>
        <w:tc>
          <w:tcPr>
            <w:tcW w:w="802" w:type="dxa"/>
            <w:vMerge/>
            <w:tcBorders>
              <w:left w:val="single" w:sz="4" w:space="0" w:color="000000"/>
              <w:right w:val="single" w:sz="4" w:space="0" w:color="000000"/>
            </w:tcBorders>
            <w:shd w:val="clear" w:color="auto" w:fill="D2D2D2"/>
          </w:tcPr>
          <w:p>
            <w:pPr/>
          </w:p>
        </w:tc>
        <w:tc>
          <w:tcPr>
            <w:tcW w:w="2698" w:type="dxa"/>
            <w:gridSpan w:val="5"/>
            <w:vMerge/>
            <w:tcBorders>
              <w:left w:val="single" w:sz="4" w:space="0" w:color="000000"/>
              <w:bottom w:val="single" w:sz="4" w:space="0" w:color="000000"/>
              <w:right w:val="single" w:sz="4" w:space="0" w:color="000000"/>
            </w:tcBorders>
            <w:shd w:val="clear" w:color="auto" w:fill="D2D2D2"/>
          </w:tcPr>
          <w:p>
            <w:pPr/>
          </w:p>
        </w:tc>
      </w:tr>
      <w:tr>
        <w:trPr>
          <w:trHeight w:val="253" w:hRule="exact"/>
        </w:trPr>
        <w:tc>
          <w:tcPr>
            <w:tcW w:w="1469" w:type="dxa"/>
            <w:gridSpan w:val="2"/>
            <w:vMerge/>
            <w:tcBorders>
              <w:left w:val="single" w:sz="4" w:space="0" w:color="000000"/>
              <w:bottom w:val="nil" w:sz="6" w:space="0" w:color="auto"/>
              <w:right w:val="single" w:sz="4" w:space="0" w:color="000000"/>
            </w:tcBorders>
            <w:shd w:val="clear" w:color="auto" w:fill="D2D2D2"/>
          </w:tcPr>
          <w:p>
            <w:pPr/>
          </w:p>
        </w:tc>
        <w:tc>
          <w:tcPr>
            <w:tcW w:w="1412" w:type="dxa"/>
            <w:gridSpan w:val="2"/>
            <w:vMerge/>
            <w:tcBorders>
              <w:left w:val="single" w:sz="4" w:space="0" w:color="000000"/>
              <w:bottom w:val="nil" w:sz="6" w:space="0" w:color="auto"/>
              <w:right w:val="single" w:sz="4" w:space="0" w:color="000000"/>
            </w:tcBorders>
            <w:shd w:val="clear" w:color="auto" w:fill="D2D2D2"/>
          </w:tcPr>
          <w:p>
            <w:pPr/>
          </w:p>
        </w:tc>
        <w:tc>
          <w:tcPr>
            <w:tcW w:w="744" w:type="dxa"/>
            <w:vMerge/>
            <w:tcBorders>
              <w:left w:val="single" w:sz="4" w:space="0" w:color="000000"/>
              <w:bottom w:val="nil" w:sz="6" w:space="0" w:color="auto"/>
              <w:right w:val="single" w:sz="4" w:space="0" w:color="000000"/>
            </w:tcBorders>
            <w:shd w:val="clear" w:color="auto" w:fill="D2D2D2"/>
          </w:tcPr>
          <w:p>
            <w:pPr/>
          </w:p>
        </w:tc>
        <w:tc>
          <w:tcPr>
            <w:tcW w:w="830" w:type="dxa"/>
            <w:vMerge/>
            <w:tcBorders>
              <w:left w:val="single" w:sz="4" w:space="0" w:color="000000"/>
              <w:right w:val="single" w:sz="4" w:space="0" w:color="000000"/>
            </w:tcBorders>
            <w:shd w:val="clear" w:color="auto" w:fill="D2D2D2"/>
          </w:tcPr>
          <w:p>
            <w:pPr/>
          </w:p>
        </w:tc>
        <w:tc>
          <w:tcPr>
            <w:tcW w:w="790" w:type="dxa"/>
            <w:gridSpan w:val="2"/>
            <w:vMerge/>
            <w:tcBorders>
              <w:left w:val="single" w:sz="4" w:space="0" w:color="000000"/>
              <w:right w:val="single" w:sz="4" w:space="0" w:color="000000"/>
            </w:tcBorders>
            <w:shd w:val="clear" w:color="auto" w:fill="D2D2D2"/>
          </w:tcPr>
          <w:p>
            <w:pPr/>
          </w:p>
        </w:tc>
        <w:tc>
          <w:tcPr>
            <w:tcW w:w="823" w:type="dxa"/>
            <w:vMerge/>
            <w:tcBorders>
              <w:left w:val="single" w:sz="4" w:space="0" w:color="000000"/>
              <w:right w:val="single" w:sz="4" w:space="0" w:color="000000"/>
            </w:tcBorders>
            <w:shd w:val="clear" w:color="auto" w:fill="D2D2D2"/>
          </w:tcPr>
          <w:p>
            <w:pPr/>
          </w:p>
        </w:tc>
        <w:tc>
          <w:tcPr>
            <w:tcW w:w="802" w:type="dxa"/>
            <w:vMerge/>
            <w:tcBorders>
              <w:left w:val="single" w:sz="4" w:space="0" w:color="000000"/>
              <w:right w:val="single" w:sz="4" w:space="0" w:color="000000"/>
            </w:tcBorders>
            <w:shd w:val="clear" w:color="auto" w:fill="D2D2D2"/>
          </w:tcPr>
          <w:p>
            <w:pPr/>
          </w:p>
        </w:tc>
        <w:tc>
          <w:tcPr>
            <w:tcW w:w="134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4"/>
              <w:ind w:left="309"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349"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4"/>
              <w:ind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156" w:hRule="exact"/>
        </w:trPr>
        <w:tc>
          <w:tcPr>
            <w:tcW w:w="1469" w:type="dxa"/>
            <w:gridSpan w:val="2"/>
            <w:vMerge w:val="restart"/>
            <w:tcBorders>
              <w:top w:val="nil" w:sz="6" w:space="0" w:color="auto"/>
              <w:left w:val="single" w:sz="4" w:space="0" w:color="000000"/>
              <w:right w:val="single" w:sz="4" w:space="0" w:color="000000"/>
            </w:tcBorders>
            <w:shd w:val="clear" w:color="auto" w:fill="D2D2D2"/>
          </w:tcPr>
          <w:p>
            <w:pPr/>
          </w:p>
        </w:tc>
        <w:tc>
          <w:tcPr>
            <w:tcW w:w="1412" w:type="dxa"/>
            <w:gridSpan w:val="2"/>
            <w:vMerge w:val="restart"/>
            <w:tcBorders>
              <w:top w:val="nil" w:sz="6" w:space="0" w:color="auto"/>
              <w:left w:val="single" w:sz="4" w:space="0" w:color="000000"/>
              <w:right w:val="single" w:sz="4" w:space="0" w:color="000000"/>
            </w:tcBorders>
            <w:shd w:val="clear" w:color="auto" w:fill="D2D2D2"/>
          </w:tcPr>
          <w:p>
            <w:pPr/>
          </w:p>
        </w:tc>
        <w:tc>
          <w:tcPr>
            <w:tcW w:w="744" w:type="dxa"/>
            <w:vMerge w:val="restart"/>
            <w:tcBorders>
              <w:top w:val="nil" w:sz="6" w:space="0" w:color="auto"/>
              <w:left w:val="single" w:sz="4" w:space="0" w:color="000000"/>
              <w:right w:val="single" w:sz="4" w:space="0" w:color="000000"/>
            </w:tcBorders>
            <w:shd w:val="clear" w:color="auto" w:fill="D2D2D2"/>
          </w:tcPr>
          <w:p>
            <w:pPr/>
          </w:p>
        </w:tc>
        <w:tc>
          <w:tcPr>
            <w:tcW w:w="830" w:type="dxa"/>
            <w:vMerge/>
            <w:tcBorders>
              <w:left w:val="single" w:sz="4" w:space="0" w:color="000000"/>
              <w:bottom w:val="nil" w:sz="6" w:space="0" w:color="auto"/>
              <w:right w:val="single" w:sz="4" w:space="0" w:color="000000"/>
            </w:tcBorders>
            <w:shd w:val="clear" w:color="auto" w:fill="D2D2D2"/>
          </w:tcPr>
          <w:p>
            <w:pPr/>
          </w:p>
        </w:tc>
        <w:tc>
          <w:tcPr>
            <w:tcW w:w="790" w:type="dxa"/>
            <w:gridSpan w:val="2"/>
            <w:vMerge/>
            <w:tcBorders>
              <w:left w:val="single" w:sz="4" w:space="0" w:color="000000"/>
              <w:right w:val="single" w:sz="4" w:space="0" w:color="000000"/>
            </w:tcBorders>
            <w:shd w:val="clear" w:color="auto" w:fill="D2D2D2"/>
          </w:tcPr>
          <w:p>
            <w:pPr/>
          </w:p>
        </w:tc>
        <w:tc>
          <w:tcPr>
            <w:tcW w:w="823" w:type="dxa"/>
            <w:vMerge/>
            <w:tcBorders>
              <w:left w:val="single" w:sz="4" w:space="0" w:color="000000"/>
              <w:right w:val="single" w:sz="4" w:space="0" w:color="000000"/>
            </w:tcBorders>
            <w:shd w:val="clear" w:color="auto" w:fill="D2D2D2"/>
          </w:tcPr>
          <w:p>
            <w:pPr/>
          </w:p>
        </w:tc>
        <w:tc>
          <w:tcPr>
            <w:tcW w:w="802" w:type="dxa"/>
            <w:vMerge/>
            <w:tcBorders>
              <w:left w:val="single" w:sz="4" w:space="0" w:color="000000"/>
              <w:right w:val="single" w:sz="4" w:space="0" w:color="000000"/>
            </w:tcBorders>
            <w:shd w:val="clear" w:color="auto" w:fill="D2D2D2"/>
          </w:tcPr>
          <w:p>
            <w:pPr/>
          </w:p>
        </w:tc>
        <w:tc>
          <w:tcPr>
            <w:tcW w:w="1349" w:type="dxa"/>
            <w:gridSpan w:val="2"/>
            <w:vMerge/>
            <w:tcBorders>
              <w:left w:val="single" w:sz="4" w:space="0" w:color="000000"/>
              <w:right w:val="single" w:sz="4" w:space="0" w:color="000000"/>
            </w:tcBorders>
            <w:shd w:val="clear" w:color="auto" w:fill="D2D2D2"/>
          </w:tcPr>
          <w:p>
            <w:pPr/>
          </w:p>
        </w:tc>
        <w:tc>
          <w:tcPr>
            <w:tcW w:w="1349" w:type="dxa"/>
            <w:gridSpan w:val="3"/>
            <w:vMerge/>
            <w:tcBorders>
              <w:left w:val="single" w:sz="4" w:space="0" w:color="000000"/>
              <w:right w:val="single" w:sz="4" w:space="0" w:color="000000"/>
            </w:tcBorders>
            <w:shd w:val="clear" w:color="auto" w:fill="D2D2D2"/>
          </w:tcPr>
          <w:p>
            <w:pPr/>
          </w:p>
        </w:tc>
      </w:tr>
      <w:tr>
        <w:trPr>
          <w:trHeight w:val="161" w:hRule="exact"/>
        </w:trPr>
        <w:tc>
          <w:tcPr>
            <w:tcW w:w="1469" w:type="dxa"/>
            <w:gridSpan w:val="2"/>
            <w:vMerge/>
            <w:tcBorders>
              <w:left w:val="single" w:sz="4" w:space="0" w:color="000000"/>
              <w:bottom w:val="single" w:sz="4" w:space="0" w:color="000000"/>
              <w:right w:val="single" w:sz="4" w:space="0" w:color="000000"/>
            </w:tcBorders>
            <w:shd w:val="clear" w:color="auto" w:fill="D2D2D2"/>
          </w:tcPr>
          <w:p>
            <w:pPr/>
          </w:p>
        </w:tc>
        <w:tc>
          <w:tcPr>
            <w:tcW w:w="1412" w:type="dxa"/>
            <w:gridSpan w:val="2"/>
            <w:vMerge/>
            <w:tcBorders>
              <w:left w:val="single" w:sz="4" w:space="0" w:color="000000"/>
              <w:bottom w:val="single" w:sz="4" w:space="0" w:color="000000"/>
              <w:right w:val="single" w:sz="4" w:space="0" w:color="000000"/>
            </w:tcBorders>
            <w:shd w:val="clear" w:color="auto" w:fill="D2D2D2"/>
          </w:tcPr>
          <w:p>
            <w:pPr/>
          </w:p>
        </w:tc>
        <w:tc>
          <w:tcPr>
            <w:tcW w:w="744" w:type="dxa"/>
            <w:vMerge/>
            <w:tcBorders>
              <w:left w:val="single" w:sz="4" w:space="0" w:color="000000"/>
              <w:bottom w:val="single" w:sz="4" w:space="0" w:color="000000"/>
              <w:right w:val="single" w:sz="4" w:space="0" w:color="000000"/>
            </w:tcBorders>
            <w:shd w:val="clear" w:color="auto" w:fill="D2D2D2"/>
          </w:tcPr>
          <w:p>
            <w:pPr/>
          </w:p>
        </w:tc>
        <w:tc>
          <w:tcPr>
            <w:tcW w:w="830" w:type="dxa"/>
            <w:tcBorders>
              <w:top w:val="nil" w:sz="6" w:space="0" w:color="auto"/>
              <w:left w:val="single" w:sz="4" w:space="0" w:color="000000"/>
              <w:bottom w:val="single" w:sz="4" w:space="0" w:color="000000"/>
              <w:right w:val="single" w:sz="4" w:space="0" w:color="000000"/>
            </w:tcBorders>
            <w:shd w:val="clear" w:color="auto" w:fill="D2D2D2"/>
          </w:tcPr>
          <w:p>
            <w:pPr/>
          </w:p>
        </w:tc>
        <w:tc>
          <w:tcPr>
            <w:tcW w:w="790" w:type="dxa"/>
            <w:gridSpan w:val="2"/>
            <w:vMerge/>
            <w:tcBorders>
              <w:left w:val="single" w:sz="4" w:space="0" w:color="000000"/>
              <w:bottom w:val="single" w:sz="4" w:space="0" w:color="000000"/>
              <w:right w:val="single" w:sz="4" w:space="0" w:color="000000"/>
            </w:tcBorders>
            <w:shd w:val="clear" w:color="auto" w:fill="D2D2D2"/>
          </w:tcPr>
          <w:p>
            <w:pPr/>
          </w:p>
        </w:tc>
        <w:tc>
          <w:tcPr>
            <w:tcW w:w="823" w:type="dxa"/>
            <w:vMerge/>
            <w:tcBorders>
              <w:left w:val="single" w:sz="4" w:space="0" w:color="000000"/>
              <w:bottom w:val="single" w:sz="4" w:space="0" w:color="000000"/>
              <w:right w:val="single" w:sz="4" w:space="0" w:color="000000"/>
            </w:tcBorders>
            <w:shd w:val="clear" w:color="auto" w:fill="D2D2D2"/>
          </w:tcPr>
          <w:p>
            <w:pPr/>
          </w:p>
        </w:tc>
        <w:tc>
          <w:tcPr>
            <w:tcW w:w="802" w:type="dxa"/>
            <w:vMerge/>
            <w:tcBorders>
              <w:left w:val="single" w:sz="4" w:space="0" w:color="000000"/>
              <w:bottom w:val="single" w:sz="4" w:space="0" w:color="000000"/>
              <w:right w:val="single" w:sz="4" w:space="0" w:color="000000"/>
            </w:tcBorders>
            <w:shd w:val="clear" w:color="auto" w:fill="D2D2D2"/>
          </w:tcPr>
          <w:p>
            <w:pPr/>
          </w:p>
        </w:tc>
        <w:tc>
          <w:tcPr>
            <w:tcW w:w="1349" w:type="dxa"/>
            <w:gridSpan w:val="2"/>
            <w:vMerge/>
            <w:tcBorders>
              <w:left w:val="single" w:sz="4" w:space="0" w:color="000000"/>
              <w:bottom w:val="single" w:sz="4" w:space="0" w:color="000000"/>
              <w:right w:val="single" w:sz="4" w:space="0" w:color="000000"/>
            </w:tcBorders>
            <w:shd w:val="clear" w:color="auto" w:fill="D2D2D2"/>
          </w:tcPr>
          <w:p>
            <w:pPr/>
          </w:p>
        </w:tc>
        <w:tc>
          <w:tcPr>
            <w:tcW w:w="1349" w:type="dxa"/>
            <w:gridSpan w:val="3"/>
            <w:vMerge/>
            <w:tcBorders>
              <w:left w:val="single" w:sz="4" w:space="0" w:color="000000"/>
              <w:bottom w:val="single" w:sz="4" w:space="0" w:color="000000"/>
              <w:right w:val="single" w:sz="4" w:space="0" w:color="000000"/>
            </w:tcBorders>
            <w:shd w:val="clear" w:color="auto" w:fill="D2D2D2"/>
          </w:tcPr>
          <w:p>
            <w:pPr/>
          </w:p>
        </w:tc>
      </w:tr>
      <w:tr>
        <w:trPr>
          <w:trHeight w:val="713"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吴强华</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28.38%</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120,410,8</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14</w:t>
            </w:r>
          </w:p>
        </w:tc>
        <w:tc>
          <w:tcPr>
            <w:tcW w:w="790" w:type="dxa"/>
            <w:gridSpan w:val="2"/>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7"/>
              <w:jc w:val="right"/>
              <w:rPr>
                <w:rFonts w:ascii="Times New Roman" w:hAnsi="Times New Roman" w:cs="Times New Roman" w:eastAsia="Times New Roman" w:hint="default"/>
                <w:sz w:val="18"/>
                <w:szCs w:val="18"/>
              </w:rPr>
            </w:pPr>
            <w:r>
              <w:rPr>
                <w:rFonts w:ascii="Times New Roman"/>
                <w:spacing w:val="-1"/>
                <w:w w:val="95"/>
                <w:sz w:val="18"/>
              </w:rPr>
              <w:t>90,308,11</w:t>
            </w:r>
          </w:p>
          <w:p>
            <w:pPr>
              <w:pStyle w:val="TableParagraph"/>
              <w:spacing w:line="240" w:lineRule="auto" w:before="105"/>
              <w:ind w:right="58"/>
              <w:jc w:val="right"/>
              <w:rPr>
                <w:rFonts w:ascii="Times New Roman" w:hAnsi="Times New Roman" w:cs="Times New Roman" w:eastAsia="Times New Roman" w:hint="default"/>
                <w:sz w:val="18"/>
                <w:szCs w:val="18"/>
              </w:rPr>
            </w:pPr>
            <w:r>
              <w:rPr>
                <w:rFonts w:ascii="Times New Roman"/>
                <w:sz w:val="18"/>
              </w:rPr>
              <w:t>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30,102,70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349" w:type="dxa"/>
            <w:gridSpan w:val="2"/>
            <w:tcBorders>
              <w:top w:val="single" w:sz="44" w:space="0" w:color="D2D2D2"/>
              <w:left w:val="single" w:sz="4" w:space="0" w:color="000000"/>
              <w:bottom w:val="single" w:sz="4" w:space="0" w:color="000000"/>
              <w:right w:val="single" w:sz="4" w:space="0" w:color="000000"/>
            </w:tcBorders>
          </w:tcPr>
          <w:p>
            <w:pPr/>
          </w:p>
        </w:tc>
        <w:tc>
          <w:tcPr>
            <w:tcW w:w="1349" w:type="dxa"/>
            <w:gridSpan w:val="3"/>
            <w:tcBorders>
              <w:top w:val="single" w:sz="44" w:space="0" w:color="D2D2D2"/>
              <w:left w:val="single" w:sz="4" w:space="0" w:color="000000"/>
              <w:bottom w:val="single" w:sz="4" w:space="0" w:color="000000"/>
              <w:right w:val="single" w:sz="4" w:space="0" w:color="000000"/>
            </w:tcBorders>
          </w:tcPr>
          <w:p>
            <w:pPr/>
          </w:p>
        </w:tc>
      </w:tr>
      <w:tr>
        <w:trPr>
          <w:trHeight w:val="715"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许欣</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4.88%</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20,725,79</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6</w:t>
            </w:r>
          </w:p>
        </w:tc>
        <w:tc>
          <w:tcPr>
            <w:tcW w:w="790" w:type="dxa"/>
            <w:gridSpan w:val="2"/>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57"/>
              <w:jc w:val="right"/>
              <w:rPr>
                <w:rFonts w:ascii="Times New Roman" w:hAnsi="Times New Roman" w:cs="Times New Roman" w:eastAsia="Times New Roman" w:hint="default"/>
                <w:sz w:val="18"/>
                <w:szCs w:val="18"/>
              </w:rPr>
            </w:pPr>
            <w:r>
              <w:rPr>
                <w:rFonts w:ascii="Times New Roman"/>
                <w:spacing w:val="-1"/>
                <w:sz w:val="18"/>
              </w:rPr>
              <w:t>20,725,79</w:t>
            </w:r>
          </w:p>
          <w:p>
            <w:pPr>
              <w:pStyle w:val="TableParagraph"/>
              <w:spacing w:line="240" w:lineRule="auto" w:before="102"/>
              <w:ind w:right="58"/>
              <w:jc w:val="right"/>
              <w:rPr>
                <w:rFonts w:ascii="Times New Roman" w:hAnsi="Times New Roman" w:cs="Times New Roman" w:eastAsia="Times New Roman" w:hint="default"/>
                <w:sz w:val="18"/>
                <w:szCs w:val="18"/>
              </w:rPr>
            </w:pPr>
            <w:r>
              <w:rPr>
                <w:rFonts w:ascii="Times New Roman"/>
                <w:sz w:val="18"/>
              </w:rPr>
              <w:t>6</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49" w:type="dxa"/>
            <w:gridSpan w:val="3"/>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73"/>
              <w:jc w:val="both"/>
              <w:rPr>
                <w:rFonts w:ascii="宋体" w:hAnsi="宋体" w:cs="宋体" w:eastAsia="宋体" w:hint="default"/>
                <w:sz w:val="18"/>
                <w:szCs w:val="18"/>
              </w:rPr>
            </w:pPr>
            <w:r>
              <w:rPr>
                <w:rFonts w:ascii="宋体" w:hAnsi="宋体" w:cs="宋体" w:eastAsia="宋体" w:hint="default"/>
                <w:sz w:val="18"/>
                <w:szCs w:val="18"/>
              </w:rPr>
              <w:t>安徽省铁路发展 基金股份有限公 司</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1.99%</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8,450,940</w:t>
            </w:r>
          </w:p>
        </w:tc>
        <w:tc>
          <w:tcPr>
            <w:tcW w:w="790" w:type="dxa"/>
            <w:gridSpan w:val="2"/>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58"/>
              <w:jc w:val="right"/>
              <w:rPr>
                <w:rFonts w:ascii="Times New Roman" w:hAnsi="Times New Roman" w:cs="Times New Roman" w:eastAsia="Times New Roman" w:hint="default"/>
                <w:sz w:val="18"/>
                <w:szCs w:val="18"/>
              </w:rPr>
            </w:pPr>
            <w:r>
              <w:rPr>
                <w:rFonts w:ascii="Times New Roman"/>
                <w:sz w:val="18"/>
              </w:rPr>
              <w:t>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8,450,940</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97" w:right="0"/>
              <w:jc w:val="left"/>
              <w:rPr>
                <w:rFonts w:ascii="Times New Roman" w:hAnsi="Times New Roman" w:cs="Times New Roman" w:eastAsia="Times New Roman" w:hint="default"/>
                <w:sz w:val="18"/>
                <w:szCs w:val="18"/>
              </w:rPr>
            </w:pPr>
            <w:r>
              <w:rPr>
                <w:rFonts w:ascii="Times New Roman"/>
                <w:sz w:val="18"/>
              </w:rPr>
              <w:t>4,225,000</w:t>
            </w:r>
          </w:p>
        </w:tc>
      </w:tr>
      <w:tr>
        <w:trPr>
          <w:trHeight w:val="716"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朱华</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1.59%</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6,757,724</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-1,600,00</w:t>
            </w:r>
          </w:p>
          <w:p>
            <w:pPr>
              <w:pStyle w:val="TableParagraph"/>
              <w:spacing w:line="240" w:lineRule="auto" w:before="103"/>
              <w:ind w:left="23" w:right="0"/>
              <w:jc w:val="left"/>
              <w:rPr>
                <w:rFonts w:ascii="Times New Roman" w:hAnsi="Times New Roman" w:cs="Times New Roman" w:eastAsia="Times New Roman" w:hint="default"/>
                <w:sz w:val="18"/>
                <w:szCs w:val="18"/>
              </w:rPr>
            </w:pPr>
            <w:r>
              <w:rPr>
                <w:rFonts w:ascii="Times New Roman"/>
                <w:sz w:val="18"/>
              </w:rPr>
              <w:t>0</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57"/>
              <w:jc w:val="right"/>
              <w:rPr>
                <w:rFonts w:ascii="Times New Roman" w:hAnsi="Times New Roman" w:cs="Times New Roman" w:eastAsia="Times New Roman" w:hint="default"/>
                <w:sz w:val="18"/>
                <w:szCs w:val="18"/>
              </w:rPr>
            </w:pPr>
            <w:r>
              <w:rPr>
                <w:rFonts w:ascii="Times New Roman"/>
                <w:spacing w:val="-1"/>
                <w:sz w:val="18"/>
              </w:rPr>
              <w:t>6,268,293</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489,431</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49" w:type="dxa"/>
            <w:gridSpan w:val="3"/>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张蕾</w:t>
            </w:r>
          </w:p>
        </w:tc>
        <w:tc>
          <w:tcPr>
            <w:tcW w:w="14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1.59%</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 w:right="0"/>
              <w:jc w:val="center"/>
              <w:rPr>
                <w:rFonts w:ascii="Times New Roman" w:hAnsi="Times New Roman" w:cs="Times New Roman" w:eastAsia="Times New Roman" w:hint="default"/>
                <w:sz w:val="18"/>
                <w:szCs w:val="18"/>
              </w:rPr>
            </w:pPr>
            <w:r>
              <w:rPr>
                <w:rFonts w:ascii="Times New Roman"/>
                <w:sz w:val="18"/>
              </w:rPr>
              <w:t>6,737,546</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-350,000</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8"/>
              <w:jc w:val="right"/>
              <w:rPr>
                <w:rFonts w:ascii="Times New Roman" w:hAnsi="Times New Roman" w:cs="Times New Roman" w:eastAsia="Times New Roman" w:hint="default"/>
                <w:sz w:val="18"/>
                <w:szCs w:val="18"/>
              </w:rPr>
            </w:pPr>
            <w:r>
              <w:rPr>
                <w:rFonts w:ascii="Times New Roman"/>
                <w:sz w:val="18"/>
              </w:rPr>
              <w:t>0</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4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7" w:right="0"/>
              <w:jc w:val="left"/>
              <w:rPr>
                <w:rFonts w:ascii="Times New Roman" w:hAnsi="Times New Roman" w:cs="Times New Roman" w:eastAsia="Times New Roman" w:hint="default"/>
                <w:sz w:val="18"/>
                <w:szCs w:val="18"/>
              </w:rPr>
            </w:pPr>
            <w:r>
              <w:rPr>
                <w:rFonts w:ascii="Times New Roman"/>
                <w:sz w:val="18"/>
              </w:rPr>
              <w:t>2,430,000</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469"/>
        <w:gridCol w:w="1412"/>
        <w:gridCol w:w="787"/>
        <w:gridCol w:w="787"/>
        <w:gridCol w:w="790"/>
        <w:gridCol w:w="785"/>
        <w:gridCol w:w="840"/>
        <w:gridCol w:w="1349"/>
        <w:gridCol w:w="1349"/>
      </w:tblGrid>
      <w:tr>
        <w:trPr>
          <w:trHeight w:val="401"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李国忠</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1.31%</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5,568,156</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1,310,400</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2275"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9"/>
              <w:jc w:val="left"/>
              <w:rPr>
                <w:rFonts w:ascii="宋体" w:hAnsi="宋体" w:cs="宋体" w:eastAsia="宋体" w:hint="default"/>
                <w:sz w:val="18"/>
                <w:szCs w:val="18"/>
              </w:rPr>
            </w:pPr>
            <w:r>
              <w:rPr>
                <w:rFonts w:ascii="宋体" w:hAnsi="宋体" w:cs="宋体" w:eastAsia="宋体" w:hint="default"/>
                <w:sz w:val="18"/>
                <w:szCs w:val="18"/>
              </w:rPr>
              <w:t>北信瑞丰基金－ 招商银行－中国 对外经济贸易信 托－外贸信托－ 银河投资智远</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号 私募证券投资基 金</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1.14%</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4,856,988</w:t>
            </w:r>
          </w:p>
        </w:tc>
        <w:tc>
          <w:tcPr>
            <w:tcW w:w="790"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乔鸿珍</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0.67%</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2,831,800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2,831,800</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邵献军</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0.66%</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2,783,794</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-4,802,00</w:t>
            </w:r>
          </w:p>
          <w:p>
            <w:pPr>
              <w:pStyle w:val="TableParagraph"/>
              <w:spacing w:line="240" w:lineRule="auto" w:before="103"/>
              <w:ind w:left="23" w:right="0"/>
              <w:jc w:val="left"/>
              <w:rPr>
                <w:rFonts w:ascii="Times New Roman" w:hAnsi="Times New Roman" w:cs="Times New Roman" w:eastAsia="Times New Roman" w:hint="default"/>
                <w:sz w:val="18"/>
                <w:szCs w:val="18"/>
              </w:rPr>
            </w:pPr>
            <w:r>
              <w:rPr>
                <w:rFonts w:ascii="Times New Roman"/>
                <w:sz w:val="18"/>
              </w:rPr>
              <w:t>0</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胡环宇</w:t>
            </w:r>
          </w:p>
        </w:tc>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0.55%</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2,319,800</w:t>
            </w:r>
          </w:p>
        </w:tc>
        <w:tc>
          <w:tcPr>
            <w:tcW w:w="790"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1,739,850</w:t>
            </w:r>
          </w:p>
        </w:tc>
        <w:tc>
          <w:tcPr>
            <w:tcW w:w="840"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288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24" w:right="22"/>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 成为前</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pacing w:val="-13"/>
                <w:sz w:val="18"/>
                <w:szCs w:val="18"/>
              </w:rPr>
              <w:t>名股东的情况（如有）（参</w:t>
            </w:r>
            <w:r>
              <w:rPr>
                <w:rFonts w:ascii="宋体" w:hAnsi="宋体" w:cs="宋体" w:eastAsia="宋体" w:hint="default"/>
                <w:sz w:val="18"/>
                <w:szCs w:val="18"/>
              </w:rPr>
              <w:t> 见注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6687" w:type="dxa"/>
            <w:gridSpan w:val="7"/>
            <w:tcBorders>
              <w:top w:val="single" w:sz="4" w:space="0" w:color="000000"/>
              <w:left w:val="single" w:sz="9" w:space="0" w:color="D2D2D2"/>
              <w:bottom w:val="single" w:sz="4" w:space="0" w:color="000000"/>
              <w:right w:val="single" w:sz="4" w:space="0" w:color="000000"/>
            </w:tcBorders>
          </w:tcPr>
          <w:p>
            <w:pPr>
              <w:pStyle w:val="TableParagraph"/>
              <w:spacing w:line="314" w:lineRule="auto" w:before="51"/>
              <w:ind w:left="17" w:right="20"/>
              <w:jc w:val="left"/>
              <w:rPr>
                <w:rFonts w:ascii="宋体" w:hAnsi="宋体" w:cs="宋体" w:eastAsia="宋体" w:hint="default"/>
                <w:sz w:val="18"/>
                <w:szCs w:val="18"/>
              </w:rPr>
            </w:pPr>
            <w:r>
              <w:rPr>
                <w:rFonts w:ascii="宋体" w:hAnsi="宋体" w:cs="宋体" w:eastAsia="宋体" w:hint="default"/>
                <w:spacing w:val="-1"/>
                <w:sz w:val="18"/>
                <w:szCs w:val="18"/>
              </w:rPr>
              <w:t>安徽省铁路发展基金股份有限公司、北信瑞丰基金－招商银行－中国对外经济贸易信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托－外贸信托－银河投资智远 </w:t>
            </w:r>
            <w:r>
              <w:rPr>
                <w:rFonts w:ascii="Times New Roman" w:hAnsi="Times New Roman" w:cs="Times New Roman" w:eastAsia="Times New Roman" w:hint="default"/>
                <w:sz w:val="18"/>
                <w:szCs w:val="18"/>
              </w:rPr>
              <w:t>1  </w:t>
            </w:r>
            <w:r>
              <w:rPr>
                <w:rFonts w:ascii="宋体" w:hAnsi="宋体" w:cs="宋体" w:eastAsia="宋体" w:hint="default"/>
                <w:sz w:val="18"/>
                <w:szCs w:val="18"/>
              </w:rPr>
              <w:t>号私募证券投资基金因公司非公开发行股票成为公</w:t>
            </w:r>
          </w:p>
          <w:p>
            <w:pPr>
              <w:pStyle w:val="TableParagraph"/>
              <w:spacing w:line="240" w:lineRule="auto" w:before="1"/>
              <w:ind w:left="17" w:right="0"/>
              <w:jc w:val="left"/>
              <w:rPr>
                <w:rFonts w:ascii="宋体" w:hAnsi="宋体" w:cs="宋体" w:eastAsia="宋体" w:hint="default"/>
                <w:sz w:val="18"/>
                <w:szCs w:val="18"/>
              </w:rPr>
            </w:pPr>
            <w:r>
              <w:rPr>
                <w:rFonts w:ascii="宋体" w:hAnsi="宋体" w:cs="宋体" w:eastAsia="宋体" w:hint="default"/>
                <w:sz w:val="18"/>
                <w:szCs w:val="18"/>
              </w:rPr>
              <w:t>司前 </w:t>
            </w:r>
            <w:r>
              <w:rPr>
                <w:rFonts w:ascii="Times New Roman" w:hAnsi="Times New Roman" w:cs="Times New Roman" w:eastAsia="Times New Roman" w:hint="default"/>
                <w:sz w:val="18"/>
                <w:szCs w:val="18"/>
              </w:rPr>
              <w:t>10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名股东</w:t>
            </w:r>
          </w:p>
        </w:tc>
      </w:tr>
      <w:tr>
        <w:trPr>
          <w:trHeight w:val="714" w:hRule="exact"/>
        </w:trPr>
        <w:tc>
          <w:tcPr>
            <w:tcW w:w="288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45"/>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 明</w:t>
            </w:r>
          </w:p>
        </w:tc>
        <w:tc>
          <w:tcPr>
            <w:tcW w:w="6687" w:type="dxa"/>
            <w:gridSpan w:val="7"/>
            <w:tcBorders>
              <w:top w:val="single" w:sz="4" w:space="0" w:color="000000"/>
              <w:left w:val="single" w:sz="9" w:space="0" w:color="D2D2D2"/>
              <w:bottom w:val="single" w:sz="4" w:space="0" w:color="000000"/>
              <w:right w:val="single" w:sz="4" w:space="0" w:color="000000"/>
            </w:tcBorders>
          </w:tcPr>
          <w:p>
            <w:pPr>
              <w:pStyle w:val="TableParagraph"/>
              <w:spacing w:line="316" w:lineRule="auto" w:before="49"/>
              <w:ind w:left="17" w:right="20"/>
              <w:jc w:val="left"/>
              <w:rPr>
                <w:rFonts w:ascii="宋体" w:hAnsi="宋体" w:cs="宋体" w:eastAsia="宋体" w:hint="default"/>
                <w:sz w:val="18"/>
                <w:szCs w:val="18"/>
              </w:rPr>
            </w:pPr>
            <w:r>
              <w:rPr>
                <w:rFonts w:ascii="宋体" w:hAnsi="宋体" w:cs="宋体" w:eastAsia="宋体" w:hint="default"/>
                <w:spacing w:val="-1"/>
                <w:sz w:val="18"/>
                <w:szCs w:val="18"/>
              </w:rPr>
              <w:t>上述股东之间，未知是否存在关联关系或属于《上市公司股东持股变动信息披露管理</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办法》规定的一致行动人。</w:t>
            </w:r>
          </w:p>
        </w:tc>
      </w:tr>
      <w:tr>
        <w:trPr>
          <w:trHeight w:val="402" w:hRule="exact"/>
        </w:trPr>
        <w:tc>
          <w:tcPr>
            <w:tcW w:w="9568"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名无限售条件股东持股情况</w:t>
            </w:r>
          </w:p>
        </w:tc>
      </w:tr>
      <w:tr>
        <w:trPr>
          <w:trHeight w:val="206" w:hRule="exact"/>
        </w:trPr>
        <w:tc>
          <w:tcPr>
            <w:tcW w:w="2881"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3989" w:type="dxa"/>
            <w:gridSpan w:val="5"/>
            <w:tcBorders>
              <w:top w:val="single" w:sz="4" w:space="0" w:color="000000"/>
              <w:left w:val="single" w:sz="4" w:space="0" w:color="000000"/>
              <w:bottom w:val="nil" w:sz="6" w:space="0" w:color="auto"/>
              <w:right w:val="single" w:sz="4" w:space="0" w:color="000000"/>
            </w:tcBorders>
            <w:shd w:val="clear" w:color="auto" w:fill="D2D2D2"/>
          </w:tcPr>
          <w:p>
            <w:pPr/>
          </w:p>
        </w:tc>
        <w:tc>
          <w:tcPr>
            <w:tcW w:w="269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0" w:hRule="exact"/>
        </w:trPr>
        <w:tc>
          <w:tcPr>
            <w:tcW w:w="2881"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989" w:type="dxa"/>
            <w:gridSpan w:val="5"/>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640"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698"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881" w:type="dxa"/>
            <w:gridSpan w:val="2"/>
            <w:vMerge/>
            <w:tcBorders>
              <w:left w:val="single" w:sz="4" w:space="0" w:color="000000"/>
              <w:bottom w:val="nil" w:sz="6" w:space="0" w:color="auto"/>
              <w:right w:val="single" w:sz="4" w:space="0" w:color="000000"/>
            </w:tcBorders>
            <w:shd w:val="clear" w:color="auto" w:fill="D2D2D2"/>
          </w:tcPr>
          <w:p>
            <w:pPr/>
          </w:p>
        </w:tc>
        <w:tc>
          <w:tcPr>
            <w:tcW w:w="3989" w:type="dxa"/>
            <w:gridSpan w:val="5"/>
            <w:vMerge/>
            <w:tcBorders>
              <w:left w:val="single" w:sz="4" w:space="0" w:color="000000"/>
              <w:bottom w:val="nil" w:sz="6" w:space="0" w:color="auto"/>
              <w:right w:val="single" w:sz="4" w:space="0" w:color="000000"/>
            </w:tcBorders>
            <w:shd w:val="clear" w:color="auto" w:fill="D2D2D2"/>
          </w:tcPr>
          <w:p>
            <w:pPr/>
          </w:p>
        </w:tc>
        <w:tc>
          <w:tcPr>
            <w:tcW w:w="134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09"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34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206" w:hRule="exact"/>
        </w:trPr>
        <w:tc>
          <w:tcPr>
            <w:tcW w:w="2881"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3989" w:type="dxa"/>
            <w:gridSpan w:val="5"/>
            <w:tcBorders>
              <w:top w:val="nil" w:sz="6" w:space="0" w:color="auto"/>
              <w:left w:val="single" w:sz="4" w:space="0" w:color="000000"/>
              <w:bottom w:val="single" w:sz="4" w:space="0" w:color="000000"/>
              <w:right w:val="single" w:sz="4" w:space="0" w:color="000000"/>
            </w:tcBorders>
            <w:shd w:val="clear" w:color="auto" w:fill="D2D2D2"/>
          </w:tcPr>
          <w:p>
            <w:pPr/>
          </w:p>
        </w:tc>
        <w:tc>
          <w:tcPr>
            <w:tcW w:w="1349" w:type="dxa"/>
            <w:vMerge/>
            <w:tcBorders>
              <w:left w:val="single" w:sz="4" w:space="0" w:color="000000"/>
              <w:bottom w:val="single" w:sz="4" w:space="0" w:color="000000"/>
              <w:right w:val="single" w:sz="4" w:space="0" w:color="000000"/>
            </w:tcBorders>
            <w:shd w:val="clear" w:color="auto" w:fill="D2D2D2"/>
          </w:tcPr>
          <w:p>
            <w:pPr/>
          </w:p>
        </w:tc>
        <w:tc>
          <w:tcPr>
            <w:tcW w:w="1349"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吴强华</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30,102,704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30,102,704</w:t>
            </w:r>
          </w:p>
        </w:tc>
      </w:tr>
      <w:tr>
        <w:trPr>
          <w:trHeight w:val="403"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安徽省铁路发展基金股份有限公司</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8,450,940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8,450,940</w:t>
            </w:r>
          </w:p>
        </w:tc>
      </w:tr>
      <w:tr>
        <w:trPr>
          <w:trHeight w:val="401"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张蕾</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6,737,546</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6,737,546</w:t>
            </w:r>
          </w:p>
        </w:tc>
      </w:tr>
      <w:tr>
        <w:trPr>
          <w:trHeight w:val="403"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李国忠</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5,568,156</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5,568,156</w:t>
            </w:r>
          </w:p>
        </w:tc>
      </w:tr>
      <w:tr>
        <w:trPr>
          <w:trHeight w:val="1025"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45"/>
              <w:jc w:val="both"/>
              <w:rPr>
                <w:rFonts w:ascii="宋体" w:hAnsi="宋体" w:cs="宋体" w:eastAsia="宋体" w:hint="default"/>
                <w:sz w:val="18"/>
                <w:szCs w:val="18"/>
              </w:rPr>
            </w:pPr>
            <w:r>
              <w:rPr>
                <w:rFonts w:ascii="宋体" w:hAnsi="宋体" w:cs="宋体" w:eastAsia="宋体" w:hint="default"/>
                <w:sz w:val="18"/>
                <w:szCs w:val="18"/>
              </w:rPr>
              <w:t>北信瑞丰基金－招商银行－中国对 外经济贸易信托－外贸信托－银河 投资智远</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号私募证券投资基金</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4,856,988</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4,856,988</w:t>
            </w:r>
          </w:p>
        </w:tc>
      </w:tr>
      <w:tr>
        <w:trPr>
          <w:trHeight w:val="404"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乔鸿珍</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2,831,800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2,831,800</w:t>
            </w:r>
          </w:p>
        </w:tc>
      </w:tr>
      <w:tr>
        <w:trPr>
          <w:trHeight w:val="401"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邵献军</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2,783,794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2,783,794</w:t>
            </w:r>
          </w:p>
        </w:tc>
      </w:tr>
      <w:tr>
        <w:trPr>
          <w:trHeight w:val="715"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中国人寿保险股份有限公司－万能</w:t>
            </w:r>
          </w:p>
          <w:p>
            <w:pPr>
              <w:pStyle w:val="TableParagraph"/>
              <w:spacing w:line="240" w:lineRule="auto" w:before="74"/>
              <w:ind w:left="24" w:right="0"/>
              <w:jc w:val="left"/>
              <w:rPr>
                <w:rFonts w:ascii="宋体" w:hAnsi="宋体" w:cs="宋体" w:eastAsia="宋体" w:hint="default"/>
                <w:sz w:val="18"/>
                <w:szCs w:val="18"/>
              </w:rPr>
            </w:pPr>
            <w:r>
              <w:rPr>
                <w:rFonts w:ascii="宋体" w:hAnsi="宋体" w:cs="宋体" w:eastAsia="宋体" w:hint="default"/>
                <w:sz w:val="18"/>
                <w:szCs w:val="18"/>
              </w:rPr>
              <w:t>－国寿瑞安</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2,100,000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2,100,000</w:t>
            </w:r>
          </w:p>
        </w:tc>
      </w:tr>
      <w:tr>
        <w:trPr>
          <w:trHeight w:val="713"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中国人寿保险股份有限公司－传统</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－普通保险产品</w:t>
            </w:r>
            <w:r>
              <w:rPr>
                <w:rFonts w:ascii="Times New Roman" w:hAnsi="Times New Roman" w:cs="Times New Roman" w:eastAsia="Times New Roman" w:hint="default"/>
                <w:sz w:val="18"/>
                <w:szCs w:val="18"/>
              </w:rPr>
              <w:t>-005L-CT001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深</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1,739,058</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1,739,058</w:t>
            </w:r>
          </w:p>
        </w:tc>
      </w:tr>
      <w:tr>
        <w:trPr>
          <w:trHeight w:val="403" w:hRule="exact"/>
        </w:trPr>
        <w:tc>
          <w:tcPr>
            <w:tcW w:w="2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全国社保基金五零一组合</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1,618,996</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1,618,996</w:t>
            </w:r>
          </w:p>
        </w:tc>
      </w:tr>
      <w:tr>
        <w:trPr>
          <w:trHeight w:val="1340" w:hRule="exact"/>
        </w:trPr>
        <w:tc>
          <w:tcPr>
            <w:tcW w:w="288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名无限售流通股股东之间，以</w:t>
            </w:r>
          </w:p>
          <w:p>
            <w:pPr>
              <w:pStyle w:val="TableParagraph"/>
              <w:spacing w:line="309" w:lineRule="auto" w:before="63"/>
              <w:ind w:left="24" w:right="17"/>
              <w:jc w:val="left"/>
              <w:rPr>
                <w:rFonts w:ascii="宋体" w:hAnsi="宋体" w:cs="宋体" w:eastAsia="宋体" w:hint="default"/>
                <w:sz w:val="18"/>
                <w:szCs w:val="18"/>
              </w:rPr>
            </w:pPr>
            <w:r>
              <w:rPr>
                <w:rFonts w:ascii="宋体" w:hAnsi="宋体" w:cs="宋体" w:eastAsia="宋体" w:hint="default"/>
                <w:sz w:val="18"/>
                <w:szCs w:val="18"/>
              </w:rPr>
              <w:t>及前</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名无限售流通股股东和前</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名股东之间关联关系或一致行动的 说明</w:t>
            </w:r>
          </w:p>
        </w:tc>
        <w:tc>
          <w:tcPr>
            <w:tcW w:w="6687"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4"/>
              <w:ind w:left="23" w:right="20"/>
              <w:jc w:val="left"/>
              <w:rPr>
                <w:rFonts w:ascii="宋体" w:hAnsi="宋体" w:cs="宋体" w:eastAsia="宋体" w:hint="default"/>
                <w:sz w:val="18"/>
                <w:szCs w:val="18"/>
              </w:rPr>
            </w:pPr>
            <w:r>
              <w:rPr>
                <w:rFonts w:ascii="宋体" w:hAnsi="宋体" w:cs="宋体" w:eastAsia="宋体" w:hint="default"/>
                <w:spacing w:val="-1"/>
                <w:sz w:val="18"/>
                <w:szCs w:val="18"/>
              </w:rPr>
              <w:t>上述股东之间，未知是否存在关联关系或属于《上市公司股东持股变动信息披露管理</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办法》规定的一致行动人。</w:t>
            </w:r>
          </w:p>
        </w:tc>
      </w:tr>
    </w:tbl>
    <w:p>
      <w:pPr>
        <w:spacing w:after="0" w:line="319"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10"/>
        <w:rPr>
          <w:rFonts w:ascii="Times New Roman" w:hAnsi="Times New Roman" w:cs="Times New Roman" w:eastAsia="Times New Roman"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2880"/>
        <w:gridCol w:w="6687"/>
      </w:tblGrid>
      <w:tr>
        <w:trPr>
          <w:trHeight w:val="334" w:hRule="exact"/>
        </w:trPr>
        <w:tc>
          <w:tcPr>
            <w:tcW w:w="2880" w:type="dxa"/>
            <w:tcBorders>
              <w:top w:val="nil" w:sz="6" w:space="0" w:color="auto"/>
              <w:left w:val="nil" w:sz="6" w:space="0" w:color="auto"/>
              <w:bottom w:val="single" w:sz="4" w:space="0" w:color="000000"/>
              <w:right w:val="nil" w:sz="6" w:space="0" w:color="auto"/>
            </w:tcBorders>
          </w:tcPr>
          <w:p>
            <w:pPr/>
          </w:p>
        </w:tc>
        <w:tc>
          <w:tcPr>
            <w:tcW w:w="6687" w:type="dxa"/>
            <w:tcBorders>
              <w:top w:val="nil" w:sz="6" w:space="0" w:color="auto"/>
              <w:left w:val="nil" w:sz="6" w:space="0" w:color="auto"/>
              <w:bottom w:val="single" w:sz="4" w:space="0" w:color="000000"/>
              <w:right w:val="nil" w:sz="6" w:space="0" w:color="auto"/>
            </w:tcBorders>
          </w:tcPr>
          <w:p>
            <w:pPr/>
          </w:p>
        </w:tc>
      </w:tr>
      <w:tr>
        <w:trPr>
          <w:trHeight w:val="716" w:hRule="exact"/>
        </w:trPr>
        <w:tc>
          <w:tcPr>
            <w:tcW w:w="28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0"/>
              <w:jc w:val="left"/>
              <w:rPr>
                <w:rFonts w:ascii="宋体" w:hAnsi="宋体" w:cs="宋体" w:eastAsia="宋体" w:hint="default"/>
                <w:sz w:val="18"/>
                <w:szCs w:val="18"/>
              </w:rPr>
            </w:pPr>
            <w:r>
              <w:rPr>
                <w:rFonts w:ascii="宋体" w:hAnsi="宋体" w:cs="宋体" w:eastAsia="宋体" w:hint="default"/>
                <w:spacing w:val="-4"/>
                <w:sz w:val="18"/>
                <w:szCs w:val="18"/>
              </w:rPr>
              <w:t>参与融资融券业务股东情况说明（如</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6"/>
                <w:sz w:val="18"/>
                <w:szCs w:val="18"/>
              </w:rPr>
              <w:t>有）（参见注</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6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before="49"/>
        <w:ind w:left="152" w:right="982" w:firstLine="0"/>
        <w:jc w:val="left"/>
        <w:rPr>
          <w:rFonts w:ascii="宋体" w:hAnsi="宋体" w:cs="宋体" w:eastAsia="宋体" w:hint="default"/>
          <w:sz w:val="18"/>
          <w:szCs w:val="18"/>
        </w:rPr>
      </w:pPr>
      <w:r>
        <w:rPr/>
        <w:pict>
          <v:group style="position:absolute;margin-left:55.200001pt;margin-top:-52.698269pt;width:484.9pt;height:.1pt;mso-position-horizontal-relative:page;mso-position-vertical-relative:paragraph;z-index:-880816" coordorigin="1104,-1054" coordsize="9698,2">
            <v:shape style="position:absolute;left:1104;top:-1054;width:9698;height:2" coordorigin="1104,-1054" coordsize="9698,0" path="m1104,-1054l10802,-1054e" filled="false" stroked="true" strokeweight=".72pt" strokecolor="#000000">
              <v:path arrowok="t"/>
            </v:shape>
            <w10:wrap type="none"/>
          </v:group>
        </w:pict>
      </w: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名无限售条件普通股股东在报告期内是否进行约定购回交易</w:t>
      </w:r>
    </w:p>
    <w:p>
      <w:pPr>
        <w:spacing w:before="101"/>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before="103"/>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名无限售条件普通股股东在报告期内未进行约定购回交易。</w:t>
      </w:r>
    </w:p>
    <w:p>
      <w:pPr>
        <w:spacing w:line="240" w:lineRule="auto" w:before="13"/>
        <w:rPr>
          <w:rFonts w:ascii="宋体" w:hAnsi="宋体" w:cs="宋体" w:eastAsia="宋体" w:hint="default"/>
          <w:sz w:val="25"/>
          <w:szCs w:val="25"/>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、公司控股股东情况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60" w:lineRule="auto" w:before="0"/>
        <w:ind w:left="152" w:right="8594" w:firstLine="0"/>
        <w:jc w:val="left"/>
        <w:rPr>
          <w:rFonts w:ascii="宋体" w:hAnsi="宋体" w:cs="宋体" w:eastAsia="宋体" w:hint="default"/>
          <w:sz w:val="18"/>
          <w:szCs w:val="18"/>
        </w:rPr>
      </w:pPr>
      <w:r>
        <w:rPr>
          <w:rFonts w:ascii="宋体" w:hAnsi="宋体" w:cs="宋体" w:eastAsia="宋体" w:hint="default"/>
          <w:sz w:val="18"/>
          <w:szCs w:val="18"/>
        </w:rPr>
        <w:t>控股股东性质：自然人控股 控股股东类型：自然人</w:t>
      </w:r>
    </w:p>
    <w:tbl>
      <w:tblPr>
        <w:tblW w:w="0" w:type="auto"/>
        <w:jc w:val="left"/>
        <w:tblInd w:w="148" w:type="dxa"/>
        <w:tblLayout w:type="fixed"/>
        <w:tblCellMar>
          <w:top w:w="0" w:type="dxa"/>
          <w:left w:w="0" w:type="dxa"/>
          <w:bottom w:w="0" w:type="dxa"/>
          <w:right w:w="0" w:type="dxa"/>
        </w:tblCellMar>
        <w:tblLook w:val="01E0"/>
      </w:tblPr>
      <w:tblGrid>
        <w:gridCol w:w="3419"/>
        <w:gridCol w:w="2031"/>
        <w:gridCol w:w="4119"/>
      </w:tblGrid>
      <w:tr>
        <w:trPr>
          <w:trHeight w:val="401" w:hRule="exact"/>
        </w:trPr>
        <w:tc>
          <w:tcPr>
            <w:tcW w:w="3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0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41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94"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3" w:hRule="exact"/>
        </w:trPr>
        <w:tc>
          <w:tcPr>
            <w:tcW w:w="3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吴强华</w:t>
            </w:r>
          </w:p>
        </w:tc>
        <w:tc>
          <w:tcPr>
            <w:tcW w:w="20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41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3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公司董事长、控股股东及实际控制人</w:t>
            </w:r>
          </w:p>
        </w:tc>
      </w:tr>
      <w:tr>
        <w:trPr>
          <w:trHeight w:val="715" w:hRule="exact"/>
        </w:trPr>
        <w:tc>
          <w:tcPr>
            <w:tcW w:w="3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44"/>
              <w:jc w:val="left"/>
              <w:rPr>
                <w:rFonts w:ascii="宋体" w:hAnsi="宋体" w:cs="宋体" w:eastAsia="宋体" w:hint="default"/>
                <w:sz w:val="18"/>
                <w:szCs w:val="18"/>
              </w:rPr>
            </w:pPr>
            <w:r>
              <w:rPr>
                <w:rFonts w:ascii="宋体" w:hAnsi="宋体" w:cs="宋体" w:eastAsia="宋体" w:hint="default"/>
                <w:sz w:val="18"/>
                <w:szCs w:val="18"/>
              </w:rPr>
              <w:t>报告期内控股和参股的其他境内外上市公 司的股权情况</w:t>
            </w:r>
          </w:p>
        </w:tc>
        <w:tc>
          <w:tcPr>
            <w:tcW w:w="6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68"/>
        <w:ind w:left="152" w:right="982" w:firstLine="0"/>
        <w:jc w:val="left"/>
        <w:rPr>
          <w:rFonts w:ascii="宋体" w:hAnsi="宋体" w:cs="宋体" w:eastAsia="宋体" w:hint="default"/>
          <w:sz w:val="18"/>
          <w:szCs w:val="18"/>
        </w:rPr>
      </w:pPr>
      <w:r>
        <w:rPr>
          <w:rFonts w:ascii="宋体" w:hAnsi="宋体" w:cs="宋体" w:eastAsia="宋体" w:hint="default"/>
          <w:sz w:val="18"/>
          <w:szCs w:val="18"/>
        </w:rPr>
        <w:t>控股股东报告期内变更</w:t>
      </w:r>
    </w:p>
    <w:p>
      <w:pPr>
        <w:spacing w:line="340" w:lineRule="auto" w:before="115"/>
        <w:ind w:left="152" w:right="76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公司报告期控股股东未发生变更。</w:t>
      </w:r>
    </w:p>
    <w:p>
      <w:pPr>
        <w:spacing w:line="240" w:lineRule="auto" w:before="3"/>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、公司实际控制人及其一致行动人</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60" w:lineRule="auto" w:before="0"/>
        <w:ind w:left="152" w:right="8414" w:firstLine="0"/>
        <w:jc w:val="left"/>
        <w:rPr>
          <w:rFonts w:ascii="宋体" w:hAnsi="宋体" w:cs="宋体" w:eastAsia="宋体" w:hint="default"/>
          <w:sz w:val="18"/>
          <w:szCs w:val="18"/>
        </w:rPr>
      </w:pPr>
      <w:r>
        <w:rPr>
          <w:rFonts w:ascii="宋体" w:hAnsi="宋体" w:cs="宋体" w:eastAsia="宋体" w:hint="default"/>
          <w:sz w:val="18"/>
          <w:szCs w:val="18"/>
        </w:rPr>
        <w:t>实际控制人性质：境内自然人 实际控制人类型：自然人</w:t>
      </w: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71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62"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0" w:right="0"/>
              <w:jc w:val="left"/>
              <w:rPr>
                <w:rFonts w:ascii="宋体" w:hAnsi="宋体" w:cs="宋体" w:eastAsia="宋体" w:hint="default"/>
                <w:sz w:val="18"/>
                <w:szCs w:val="18"/>
              </w:rPr>
            </w:pPr>
            <w:r>
              <w:rPr>
                <w:rFonts w:ascii="宋体" w:hAnsi="宋体" w:cs="宋体" w:eastAsia="宋体" w:hint="default"/>
                <w:sz w:val="18"/>
                <w:szCs w:val="18"/>
              </w:rPr>
              <w:t>与实际控制人关系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010" w:right="111" w:hanging="901"/>
              <w:jc w:val="left"/>
              <w:rPr>
                <w:rFonts w:ascii="宋体" w:hAnsi="宋体" w:cs="宋体" w:eastAsia="宋体" w:hint="default"/>
                <w:sz w:val="18"/>
                <w:szCs w:val="18"/>
              </w:rPr>
            </w:pPr>
            <w:r>
              <w:rPr>
                <w:rFonts w:ascii="宋体" w:hAnsi="宋体" w:cs="宋体" w:eastAsia="宋体" w:hint="default"/>
                <w:sz w:val="18"/>
                <w:szCs w:val="18"/>
              </w:rPr>
              <w:t>是否取得其他国家或地区居 留权</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吴强华</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本人</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717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公司董事长、控股股东及实际控制人</w:t>
            </w:r>
          </w:p>
        </w:tc>
      </w:tr>
      <w:tr>
        <w:trPr>
          <w:trHeight w:val="716"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03"/>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年曾控股的境内外上 市公司情况</w:t>
            </w:r>
          </w:p>
        </w:tc>
        <w:tc>
          <w:tcPr>
            <w:tcW w:w="717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before="68"/>
        <w:ind w:left="152" w:right="982" w:firstLine="0"/>
        <w:jc w:val="left"/>
        <w:rPr>
          <w:rFonts w:ascii="宋体" w:hAnsi="宋体" w:cs="宋体" w:eastAsia="宋体" w:hint="default"/>
          <w:sz w:val="18"/>
          <w:szCs w:val="18"/>
        </w:rPr>
      </w:pPr>
      <w:r>
        <w:rPr>
          <w:rFonts w:ascii="宋体" w:hAnsi="宋体" w:cs="宋体" w:eastAsia="宋体" w:hint="default"/>
          <w:sz w:val="18"/>
          <w:szCs w:val="18"/>
        </w:rPr>
        <w:t>实际控制人报告期内变更</w:t>
      </w:r>
    </w:p>
    <w:p>
      <w:pPr>
        <w:spacing w:line="348" w:lineRule="auto" w:before="115"/>
        <w:ind w:left="152" w:right="67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公司报告期实际控制人未发生变更。 公司与实际控制人之间的产权及控制关系的方框图</w:t>
      </w:r>
    </w:p>
    <w:p>
      <w:pPr>
        <w:spacing w:after="0" w:line="348"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11"/>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1"/>
          <w:szCs w:val="11"/>
        </w:rPr>
      </w:pPr>
    </w:p>
    <w:p>
      <w:pPr>
        <w:spacing w:line="3240" w:lineRule="exact"/>
        <w:ind w:left="1355" w:right="0" w:firstLine="0"/>
        <w:rPr>
          <w:rFonts w:ascii="宋体" w:hAnsi="宋体" w:cs="宋体" w:eastAsia="宋体" w:hint="default"/>
          <w:sz w:val="20"/>
          <w:szCs w:val="20"/>
        </w:rPr>
      </w:pPr>
      <w:r>
        <w:rPr>
          <w:rFonts w:ascii="宋体" w:hAnsi="宋体" w:cs="宋体" w:eastAsia="宋体" w:hint="default"/>
          <w:position w:val="-64"/>
          <w:sz w:val="20"/>
          <w:szCs w:val="20"/>
        </w:rPr>
        <w:drawing>
          <wp:inline distT="0" distB="0" distL="0" distR="0">
            <wp:extent cx="4591685" cy="2057400"/>
            <wp:effectExtent l="0" t="0" r="0" b="0"/>
            <wp:docPr id="41" name="image22.jpeg" descr=""/>
            <wp:cNvGraphicFramePr>
              <a:graphicFrameLocks noChangeAspect="1"/>
            </wp:cNvGraphicFramePr>
            <a:graphic>
              <a:graphicData uri="http://schemas.openxmlformats.org/drawingml/2006/picture">
                <pic:pic>
                  <pic:nvPicPr>
                    <pic:cNvPr id="42" name="image22.jpeg"/>
                    <pic:cNvPicPr/>
                  </pic:nvPicPr>
                  <pic:blipFill>
                    <a:blip r:embed="rId32" cstate="print"/>
                    <a:stretch>
                      <a:fillRect/>
                    </a:stretch>
                  </pic:blipFill>
                  <pic:spPr>
                    <a:xfrm>
                      <a:off x="0" y="0"/>
                      <a:ext cx="4591685" cy="2057400"/>
                    </a:xfrm>
                    <a:prstGeom prst="rect">
                      <a:avLst/>
                    </a:prstGeom>
                  </pic:spPr>
                </pic:pic>
              </a:graphicData>
            </a:graphic>
          </wp:inline>
        </w:drawing>
      </w:r>
      <w:r>
        <w:rPr>
          <w:rFonts w:ascii="宋体" w:hAnsi="宋体" w:cs="宋体" w:eastAsia="宋体" w:hint="default"/>
          <w:position w:val="-64"/>
          <w:sz w:val="20"/>
          <w:szCs w:val="20"/>
        </w:rPr>
      </w:r>
    </w:p>
    <w:p>
      <w:pPr>
        <w:spacing w:line="240" w:lineRule="auto" w:before="10"/>
        <w:rPr>
          <w:rFonts w:ascii="宋体" w:hAnsi="宋体" w:cs="宋体" w:eastAsia="宋体" w:hint="default"/>
          <w:sz w:val="17"/>
          <w:szCs w:val="17"/>
        </w:rPr>
      </w:pPr>
    </w:p>
    <w:p>
      <w:pPr>
        <w:pStyle w:val="BodyText"/>
        <w:spacing w:line="240" w:lineRule="auto" w:before="26"/>
        <w:ind w:right="982"/>
        <w:jc w:val="left"/>
      </w:pPr>
      <w:r>
        <w:rPr/>
        <w:t>实际控制人通过信托或其他资产管理方式控制公司</w:t>
      </w:r>
    </w:p>
    <w:p>
      <w:pPr>
        <w:spacing w:line="240" w:lineRule="auto" w:before="10"/>
        <w:rPr>
          <w:rFonts w:ascii="宋体" w:hAnsi="宋体" w:cs="宋体" w:eastAsia="宋体" w:hint="default"/>
          <w:sz w:val="18"/>
          <w:szCs w:val="18"/>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5"/>
          <w:szCs w:val="25"/>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、其他持股在</w:t>
      </w:r>
      <w:r>
        <w:rPr>
          <w:rFonts w:ascii="宋体" w:hAnsi="宋体" w:cs="宋体" w:eastAsia="宋体" w:hint="default"/>
          <w:b/>
          <w:bCs/>
          <w:spacing w:val="-52"/>
          <w:sz w:val="21"/>
          <w:szCs w:val="21"/>
        </w:rPr>
        <w:t> </w:t>
      </w: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以上的法人股东</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、控股股东、实际控制人、重组方及其他承诺主体股份限制减持情况</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285" w:right="982"/>
        <w:jc w:val="left"/>
        <w:rPr>
          <w:b w:val="0"/>
          <w:bCs w:val="0"/>
        </w:rPr>
      </w:pPr>
      <w:bookmarkStart w:name="_bookmark5" w:id="6"/>
      <w:bookmarkEnd w:id="6"/>
      <w:r>
        <w:rPr>
          <w:b w:val="0"/>
          <w:bCs w:val="0"/>
        </w:rPr>
      </w:r>
      <w:r>
        <w:rPr/>
        <w:t>第七节</w:t>
      </w:r>
      <w:r>
        <w:rPr>
          <w:spacing w:val="-6"/>
        </w:rPr>
        <w:t> </w:t>
      </w:r>
      <w:r>
        <w:rPr/>
        <w:t>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9"/>
          <w:szCs w:val="19"/>
        </w:rPr>
      </w:pPr>
    </w:p>
    <w:p>
      <w:pPr>
        <w:spacing w:line="338" w:lineRule="auto" w:before="44"/>
        <w:ind w:left="152" w:right="85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报告期公司不存在优先股。</w:t>
      </w:r>
    </w:p>
    <w:p>
      <w:pPr>
        <w:spacing w:after="0" w:line="338"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1679" w:right="982"/>
        <w:jc w:val="left"/>
        <w:rPr>
          <w:b w:val="0"/>
          <w:bCs w:val="0"/>
        </w:rPr>
      </w:pPr>
      <w:bookmarkStart w:name="_bookmark6" w:id="7"/>
      <w:bookmarkEnd w:id="7"/>
      <w:r>
        <w:rPr>
          <w:b w:val="0"/>
          <w:bCs w:val="0"/>
        </w:rPr>
      </w:r>
      <w:r>
        <w:rPr/>
        <w:t>第八节</w:t>
      </w:r>
      <w:r>
        <w:rPr>
          <w:spacing w:val="-9"/>
        </w:rPr>
        <w:t> </w:t>
      </w:r>
      <w:r>
        <w:rPr/>
        <w:t>董事、监事、高级管理人员和员工情况</w:t>
      </w:r>
      <w:r>
        <w:rPr>
          <w:b w:val="0"/>
          <w:bCs w:val="0"/>
        </w:rPr>
      </w:r>
    </w:p>
    <w:p>
      <w:pPr>
        <w:spacing w:line="240" w:lineRule="auto" w:before="2"/>
        <w:rPr>
          <w:rFonts w:ascii="宋体" w:hAnsi="宋体" w:cs="宋体" w:eastAsia="宋体" w:hint="default"/>
          <w:b/>
          <w:bCs/>
          <w:sz w:val="39"/>
          <w:szCs w:val="39"/>
        </w:rPr>
      </w:pPr>
    </w:p>
    <w:p>
      <w:pPr>
        <w:pStyle w:val="Heading2"/>
        <w:spacing w:line="240" w:lineRule="auto"/>
        <w:ind w:right="982"/>
        <w:jc w:val="left"/>
        <w:rPr>
          <w:b w:val="0"/>
          <w:bCs w:val="0"/>
        </w:rPr>
      </w:pP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800"/>
        <w:gridCol w:w="797"/>
        <w:gridCol w:w="797"/>
        <w:gridCol w:w="797"/>
        <w:gridCol w:w="797"/>
        <w:gridCol w:w="797"/>
        <w:gridCol w:w="800"/>
        <w:gridCol w:w="797"/>
        <w:gridCol w:w="799"/>
        <w:gridCol w:w="797"/>
        <w:gridCol w:w="799"/>
        <w:gridCol w:w="797"/>
      </w:tblGrid>
      <w:tr>
        <w:trPr>
          <w:trHeight w:val="1027" w:hRule="exact"/>
        </w:trPr>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14"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1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33"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13"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13"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13" w:right="31"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13" w:right="34"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期初持股 数（股）</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5"/>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19"/>
              <w:ind w:left="124"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2"/>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19"/>
              <w:ind w:left="124"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4" w:right="-44" w:firstLine="9"/>
              <w:jc w:val="left"/>
              <w:rPr>
                <w:rFonts w:ascii="宋体" w:hAnsi="宋体" w:cs="宋体" w:eastAsia="宋体" w:hint="default"/>
                <w:sz w:val="18"/>
                <w:szCs w:val="18"/>
              </w:rPr>
            </w:pPr>
            <w:r>
              <w:rPr>
                <w:rFonts w:ascii="宋体" w:hAnsi="宋体" w:cs="宋体" w:eastAsia="宋体" w:hint="default"/>
                <w:sz w:val="18"/>
                <w:szCs w:val="18"/>
              </w:rPr>
              <w:t>其他增减 </w:t>
            </w:r>
            <w:r>
              <w:rPr>
                <w:rFonts w:ascii="宋体" w:hAnsi="宋体" w:cs="宋体" w:eastAsia="宋体" w:hint="default"/>
                <w:spacing w:val="-19"/>
                <w:sz w:val="18"/>
                <w:szCs w:val="18"/>
              </w:rPr>
              <w:t>变动（股）</w:t>
            </w:r>
            <w:r>
              <w:rPr>
                <w:rFonts w:ascii="宋体" w:hAnsi="宋体" w:cs="宋体" w:eastAsia="宋体" w:hint="default"/>
                <w:sz w:val="18"/>
                <w:szCs w:val="18"/>
              </w:rPr>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吴强华</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120,410,8</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14</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120,410,8</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14</w:t>
            </w:r>
          </w:p>
        </w:tc>
      </w:tr>
      <w:tr>
        <w:trPr>
          <w:trHeight w:val="102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王东</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3" w:right="41"/>
              <w:jc w:val="left"/>
              <w:rPr>
                <w:rFonts w:ascii="宋体" w:hAnsi="宋体" w:cs="宋体" w:eastAsia="宋体" w:hint="default"/>
                <w:sz w:val="18"/>
                <w:szCs w:val="18"/>
              </w:rPr>
            </w:pPr>
            <w:r>
              <w:rPr>
                <w:rFonts w:ascii="宋体" w:hAnsi="宋体" w:cs="宋体" w:eastAsia="宋体" w:hint="default"/>
                <w:sz w:val="18"/>
                <w:szCs w:val="18"/>
              </w:rPr>
              <w:t>董事、总 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612,187</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612,187</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胡环宇</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2,319,800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2,319,800</w:t>
            </w:r>
          </w:p>
        </w:tc>
      </w:tr>
      <w:tr>
        <w:trPr>
          <w:trHeight w:val="1028"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朱华</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9" w:lineRule="auto"/>
              <w:ind w:left="23" w:right="41"/>
              <w:jc w:val="left"/>
              <w:rPr>
                <w:rFonts w:ascii="宋体" w:hAnsi="宋体" w:cs="宋体" w:eastAsia="宋体" w:hint="default"/>
                <w:sz w:val="18"/>
                <w:szCs w:val="18"/>
              </w:rPr>
            </w:pPr>
            <w:r>
              <w:rPr>
                <w:rFonts w:ascii="宋体" w:hAnsi="宋体" w:cs="宋体" w:eastAsia="宋体" w:hint="default"/>
                <w:sz w:val="18"/>
                <w:szCs w:val="18"/>
              </w:rPr>
              <w:t>董事、高 级副总裁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8,357,724</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-160,000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6,757,724</w:t>
            </w:r>
          </w:p>
        </w:tc>
      </w:tr>
      <w:tr>
        <w:trPr>
          <w:trHeight w:val="133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邱鲁闽</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41"/>
              <w:jc w:val="both"/>
              <w:rPr>
                <w:rFonts w:ascii="宋体" w:hAnsi="宋体" w:cs="宋体" w:eastAsia="宋体" w:hint="default"/>
                <w:sz w:val="18"/>
                <w:szCs w:val="18"/>
              </w:rPr>
            </w:pPr>
            <w:r>
              <w:rPr>
                <w:rFonts w:ascii="宋体" w:hAnsi="宋体" w:cs="宋体" w:eastAsia="宋体" w:hint="default"/>
                <w:sz w:val="18"/>
                <w:szCs w:val="18"/>
              </w:rPr>
              <w:t>董事会秘 书、高级 副总裁、 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400,000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400,000</w:t>
            </w:r>
          </w:p>
        </w:tc>
      </w:tr>
      <w:tr>
        <w:trPr>
          <w:trHeight w:val="102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王洪深</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3" w:right="41"/>
              <w:jc w:val="left"/>
              <w:rPr>
                <w:rFonts w:ascii="宋体" w:hAnsi="宋体" w:cs="宋体" w:eastAsia="宋体" w:hint="default"/>
                <w:sz w:val="18"/>
                <w:szCs w:val="18"/>
              </w:rPr>
            </w:pPr>
            <w:r>
              <w:rPr>
                <w:rFonts w:ascii="宋体" w:hAnsi="宋体" w:cs="宋体" w:eastAsia="宋体" w:hint="default"/>
                <w:sz w:val="18"/>
                <w:szCs w:val="18"/>
              </w:rPr>
              <w:t>董事、高 级副总裁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1,984,200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1,984,200</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刘先林</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80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邬伦</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叶金福</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8"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许菲</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800"/>
        <w:gridCol w:w="797"/>
        <w:gridCol w:w="797"/>
        <w:gridCol w:w="797"/>
        <w:gridCol w:w="797"/>
        <w:gridCol w:w="797"/>
        <w:gridCol w:w="800"/>
        <w:gridCol w:w="797"/>
        <w:gridCol w:w="799"/>
        <w:gridCol w:w="797"/>
        <w:gridCol w:w="799"/>
        <w:gridCol w:w="797"/>
      </w:tblGrid>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幸帮艳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邵建平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65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102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殷小敏</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62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473,000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473,000</w:t>
            </w:r>
          </w:p>
        </w:tc>
      </w:tr>
      <w:tr>
        <w:trPr>
          <w:trHeight w:val="1028"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许欣</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20,725,79</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6</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20,725,79</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6</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155,283,5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21</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-160,000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153,683,5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21</w:t>
            </w:r>
          </w:p>
        </w:tc>
      </w:tr>
    </w:tbl>
    <w:p>
      <w:pPr>
        <w:spacing w:line="240" w:lineRule="auto" w:before="1"/>
        <w:rPr>
          <w:rFonts w:ascii="宋体" w:hAnsi="宋体" w:cs="宋体" w:eastAsia="宋体" w:hint="default"/>
          <w:b/>
          <w:bCs/>
          <w:sz w:val="18"/>
          <w:szCs w:val="18"/>
        </w:rPr>
      </w:pPr>
    </w:p>
    <w:p>
      <w:pPr>
        <w:pStyle w:val="Heading2"/>
        <w:spacing w:line="240" w:lineRule="auto" w:before="26"/>
        <w:ind w:right="982"/>
        <w:jc w:val="left"/>
        <w:rPr>
          <w:b w:val="0"/>
          <w:bCs w:val="0"/>
        </w:rPr>
      </w:pPr>
      <w:r>
        <w:rPr/>
        <w:t>二、公司董事、监事、高级管理人员变动情况</w:t>
      </w:r>
      <w:r>
        <w:rPr>
          <w:b w:val="0"/>
          <w:bCs w:val="0"/>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30"/>
        <w:gridCol w:w="1330"/>
        <w:gridCol w:w="1330"/>
        <w:gridCol w:w="1330"/>
        <w:gridCol w:w="4249"/>
      </w:tblGrid>
      <w:tr>
        <w:trPr>
          <w:trHeight w:val="401"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1"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42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716"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许欣</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17</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任期届满</w:t>
            </w:r>
          </w:p>
        </w:tc>
      </w:tr>
    </w:tbl>
    <w:p>
      <w:pPr>
        <w:spacing w:line="240" w:lineRule="auto" w:before="1"/>
        <w:rPr>
          <w:rFonts w:ascii="宋体" w:hAnsi="宋体" w:cs="宋体" w:eastAsia="宋体" w:hint="default"/>
          <w:sz w:val="18"/>
          <w:szCs w:val="18"/>
        </w:rPr>
      </w:pPr>
    </w:p>
    <w:p>
      <w:pPr>
        <w:pStyle w:val="Heading2"/>
        <w:spacing w:line="240" w:lineRule="auto" w:before="26"/>
        <w:ind w:right="982"/>
        <w:jc w:val="left"/>
        <w:rPr>
          <w:b w:val="0"/>
          <w:bCs w:val="0"/>
        </w:rPr>
      </w:pPr>
      <w:r>
        <w:rPr/>
        <w:t>三、任职情况</w:t>
      </w:r>
      <w:r>
        <w:rPr>
          <w:b w:val="0"/>
          <w:bCs w:val="0"/>
        </w:rPr>
      </w:r>
    </w:p>
    <w:p>
      <w:pPr>
        <w:spacing w:line="240" w:lineRule="auto" w:before="6"/>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公司现任董事、监事、高级管理人员专业背景、主要工作经历以及目前在公司的主要职责</w:t>
      </w:r>
    </w:p>
    <w:p>
      <w:pPr>
        <w:pStyle w:val="BodyText"/>
        <w:spacing w:line="240" w:lineRule="auto" w:before="145"/>
        <w:ind w:left="635" w:right="982"/>
        <w:jc w:val="left"/>
      </w:pPr>
      <w:r>
        <w:rPr>
          <w:rFonts w:ascii="宋体" w:hAnsi="宋体" w:cs="宋体" w:eastAsia="宋体" w:hint="default"/>
        </w:rPr>
        <w:t>1</w:t>
      </w:r>
      <w:r>
        <w:rPr/>
        <w:t>、公司现任董事</w:t>
      </w:r>
    </w:p>
    <w:p>
      <w:pPr>
        <w:pStyle w:val="BodyText"/>
        <w:spacing w:line="357" w:lineRule="auto" w:before="154"/>
        <w:ind w:right="1134" w:firstLine="482"/>
        <w:jc w:val="both"/>
      </w:pPr>
      <w:r>
        <w:rPr>
          <w:spacing w:val="-3"/>
        </w:rPr>
        <w:t>吴强华先生，男，</w:t>
      </w:r>
      <w:r>
        <w:rPr>
          <w:rFonts w:ascii="宋体" w:hAnsi="宋体" w:cs="宋体" w:eastAsia="宋体" w:hint="default"/>
          <w:spacing w:val="-3"/>
        </w:rPr>
        <w:t>49</w:t>
      </w:r>
      <w:r>
        <w:rPr>
          <w:spacing w:val="-3"/>
        </w:rPr>
        <w:t>岁，中国国籍，无境外居留权。</w:t>
      </w:r>
      <w:r>
        <w:rPr>
          <w:rFonts w:ascii="宋体" w:hAnsi="宋体" w:cs="宋体" w:eastAsia="宋体" w:hint="default"/>
          <w:spacing w:val="-3"/>
        </w:rPr>
        <w:t>1994</w:t>
      </w:r>
      <w:r>
        <w:rPr>
          <w:rFonts w:ascii="宋体" w:hAnsi="宋体" w:cs="宋体" w:eastAsia="宋体" w:hint="default"/>
          <w:spacing w:val="-5"/>
        </w:rPr>
        <w:t> </w:t>
      </w:r>
      <w:r>
        <w:rPr/>
        <w:t>年毕业于北京林业大学，研究 生学历，地理信息和测绘专业教授级高级工程师。</w:t>
      </w:r>
      <w:r>
        <w:rPr>
          <w:rFonts w:ascii="宋体" w:hAnsi="宋体" w:cs="宋体" w:eastAsia="宋体" w:hint="default"/>
        </w:rPr>
        <w:t>1994 </w:t>
      </w:r>
      <w:r>
        <w:rPr/>
        <w:t>年至</w:t>
      </w:r>
      <w:r>
        <w:rPr>
          <w:rFonts w:ascii="宋体" w:hAnsi="宋体" w:cs="宋体" w:eastAsia="宋体" w:hint="default"/>
        </w:rPr>
        <w:t>2002</w:t>
      </w:r>
      <w:r>
        <w:rPr>
          <w:rFonts w:ascii="宋体" w:hAnsi="宋体" w:cs="宋体" w:eastAsia="宋体" w:hint="default"/>
          <w:spacing w:val="29"/>
        </w:rPr>
        <w:t> </w:t>
      </w:r>
      <w:r>
        <w:rPr/>
        <w:t>年担任北京建设电子信息 工程公司研发工程师、技术部经理，</w:t>
      </w:r>
      <w:r>
        <w:rPr>
          <w:rFonts w:ascii="宋体" w:hAnsi="宋体" w:cs="宋体" w:eastAsia="宋体" w:hint="default"/>
        </w:rPr>
        <w:t>2003</w:t>
      </w:r>
      <w:r>
        <w:rPr>
          <w:rFonts w:ascii="宋体" w:hAnsi="宋体" w:cs="宋体" w:eastAsia="宋体" w:hint="default"/>
          <w:spacing w:val="-17"/>
        </w:rPr>
        <w:t> </w:t>
      </w:r>
      <w:r>
        <w:rPr>
          <w:spacing w:val="-3"/>
        </w:rPr>
        <w:t>年加入数字政通，历任董事长、总裁，现任本公司</w:t>
      </w:r>
      <w:r>
        <w:rPr/>
        <w:t> 董事长。</w:t>
      </w:r>
    </w:p>
    <w:p>
      <w:pPr>
        <w:pStyle w:val="BodyText"/>
        <w:spacing w:line="357" w:lineRule="auto"/>
        <w:ind w:right="1134" w:firstLine="482"/>
        <w:jc w:val="both"/>
      </w:pPr>
      <w:r>
        <w:rPr/>
        <w:t>王东，男，</w:t>
      </w:r>
      <w:r>
        <w:rPr>
          <w:rFonts w:ascii="宋体" w:hAnsi="宋体" w:cs="宋体" w:eastAsia="宋体" w:hint="default"/>
        </w:rPr>
        <w:t>48</w:t>
      </w:r>
      <w:r>
        <w:rPr/>
        <w:t>岁，中国国籍，无境外居留权，研究生学历。</w:t>
      </w:r>
      <w:r>
        <w:rPr>
          <w:rFonts w:ascii="宋体" w:hAnsi="宋体" w:cs="宋体" w:eastAsia="宋体" w:hint="default"/>
        </w:rPr>
        <w:t>2010 </w:t>
      </w:r>
      <w:r>
        <w:rPr/>
        <w:t>年</w:t>
      </w:r>
      <w:r>
        <w:rPr>
          <w:rFonts w:ascii="宋体" w:hAnsi="宋体" w:cs="宋体" w:eastAsia="宋体" w:hint="default"/>
        </w:rPr>
        <w:t>11</w:t>
      </w:r>
      <w:r>
        <w:rPr>
          <w:rFonts w:ascii="宋体" w:hAnsi="宋体" w:cs="宋体" w:eastAsia="宋体" w:hint="default"/>
          <w:spacing w:val="28"/>
        </w:rPr>
        <w:t> </w:t>
      </w:r>
      <w:r>
        <w:rPr/>
        <w:t>月加入本公司， 历任公司副总裁。现任公司董事、总裁。</w:t>
      </w:r>
    </w:p>
    <w:p>
      <w:pPr>
        <w:pStyle w:val="BodyText"/>
        <w:spacing w:line="357" w:lineRule="auto"/>
        <w:ind w:right="1130" w:firstLine="482"/>
        <w:jc w:val="both"/>
      </w:pPr>
      <w:r>
        <w:rPr>
          <w:spacing w:val="-3"/>
        </w:rPr>
        <w:t>胡环宇，男，</w:t>
      </w:r>
      <w:r>
        <w:rPr>
          <w:rFonts w:ascii="宋体" w:hAnsi="宋体" w:cs="宋体" w:eastAsia="宋体" w:hint="default"/>
          <w:spacing w:val="-3"/>
        </w:rPr>
        <w:t>40</w:t>
      </w:r>
      <w:r>
        <w:rPr>
          <w:spacing w:val="-3"/>
        </w:rPr>
        <w:t>岁，中国国籍，无境外居留权，</w:t>
      </w:r>
      <w:r>
        <w:rPr>
          <w:rFonts w:ascii="宋体" w:hAnsi="宋体" w:cs="宋体" w:eastAsia="宋体" w:hint="default"/>
          <w:spacing w:val="-3"/>
        </w:rPr>
        <w:t>2004</w:t>
      </w:r>
      <w:r>
        <w:rPr>
          <w:rFonts w:ascii="宋体" w:hAnsi="宋体" w:cs="宋体" w:eastAsia="宋体" w:hint="default"/>
          <w:spacing w:val="-9"/>
        </w:rPr>
        <w:t> </w:t>
      </w:r>
      <w:r>
        <w:rPr/>
        <w:t>年毕业于北京科技大学，研究生学 </w:t>
      </w:r>
      <w:r>
        <w:rPr>
          <w:spacing w:val="-5"/>
        </w:rPr>
        <w:t>历。</w:t>
      </w:r>
      <w:r>
        <w:rPr>
          <w:rFonts w:ascii="宋体" w:hAnsi="宋体" w:cs="宋体" w:eastAsia="宋体" w:hint="default"/>
          <w:spacing w:val="-5"/>
        </w:rPr>
        <w:t>2004</w:t>
      </w:r>
      <w:r>
        <w:rPr>
          <w:rFonts w:ascii="宋体" w:hAnsi="宋体" w:cs="宋体" w:eastAsia="宋体" w:hint="default"/>
          <w:spacing w:val="-48"/>
        </w:rPr>
        <w:t> </w:t>
      </w:r>
      <w:r>
        <w:rPr/>
        <w:t>年加入有限公司，历任数字城管事业部工程部项目经理、数字城管事业部工程部经 理、数字城管事业部副总经理、数字城管事业部总经理。现任公司董事。</w:t>
      </w:r>
    </w:p>
    <w:p>
      <w:pPr>
        <w:pStyle w:val="BodyText"/>
        <w:spacing w:line="240" w:lineRule="auto"/>
        <w:ind w:left="635" w:right="982"/>
        <w:jc w:val="left"/>
      </w:pPr>
      <w:r>
        <w:rPr>
          <w:spacing w:val="-3"/>
        </w:rPr>
        <w:t>朱华，男，</w:t>
      </w:r>
      <w:r>
        <w:rPr>
          <w:rFonts w:ascii="宋体" w:hAnsi="宋体" w:cs="宋体" w:eastAsia="宋体" w:hint="default"/>
          <w:spacing w:val="-3"/>
        </w:rPr>
        <w:t>44</w:t>
      </w:r>
      <w:r>
        <w:rPr>
          <w:spacing w:val="-3"/>
        </w:rPr>
        <w:t>岁，中国国籍，无境外居留权，</w:t>
      </w:r>
      <w:r>
        <w:rPr>
          <w:rFonts w:ascii="宋体" w:hAnsi="宋体" w:cs="宋体" w:eastAsia="宋体" w:hint="default"/>
          <w:spacing w:val="-3"/>
        </w:rPr>
        <w:t>2000</w:t>
      </w:r>
      <w:r>
        <w:rPr>
          <w:spacing w:val="-3"/>
        </w:rPr>
        <w:t>年毕业于北京理工大学，研究生学历。</w:t>
      </w:r>
    </w:p>
    <w:p>
      <w:pPr>
        <w:spacing w:after="0" w:line="240"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34"/>
        <w:jc w:val="both"/>
      </w:pPr>
      <w:r>
        <w:rPr>
          <w:rFonts w:ascii="宋体" w:hAnsi="宋体" w:cs="宋体" w:eastAsia="宋体" w:hint="default"/>
        </w:rPr>
        <w:t>2000 </w:t>
      </w:r>
      <w:r>
        <w:rPr/>
        <w:t>年至</w:t>
      </w:r>
      <w:r>
        <w:rPr>
          <w:rFonts w:ascii="宋体" w:hAnsi="宋体" w:cs="宋体" w:eastAsia="宋体" w:hint="default"/>
        </w:rPr>
        <w:t>2002</w:t>
      </w:r>
      <w:r>
        <w:rPr>
          <w:rFonts w:ascii="宋体" w:hAnsi="宋体" w:cs="宋体" w:eastAsia="宋体" w:hint="default"/>
          <w:spacing w:val="30"/>
        </w:rPr>
        <w:t> </w:t>
      </w:r>
      <w:r>
        <w:rPr/>
        <w:t>年担任北京建设数字科技有限责任公司项目经理；</w:t>
      </w:r>
      <w:r>
        <w:rPr>
          <w:rFonts w:ascii="宋体" w:hAnsi="宋体" w:cs="宋体" w:eastAsia="宋体" w:hint="default"/>
        </w:rPr>
        <w:t>2002</w:t>
      </w:r>
      <w:r>
        <w:rPr/>
        <w:t>年加入有限公司，历 任工程部经理、规划和国土事业部副总经理、规划和国土事业部总经理。现任公司董事、高</w:t>
      </w:r>
      <w:r>
        <w:rPr>
          <w:spacing w:val="-91"/>
        </w:rPr>
        <w:t> </w:t>
      </w:r>
      <w:r>
        <w:rPr>
          <w:spacing w:val="-91"/>
        </w:rPr>
      </w:r>
      <w:r>
        <w:rPr/>
        <w:t>级副总裁。</w:t>
      </w:r>
    </w:p>
    <w:p>
      <w:pPr>
        <w:pStyle w:val="BodyText"/>
        <w:spacing w:line="357" w:lineRule="auto"/>
        <w:ind w:right="1135" w:firstLine="482"/>
        <w:jc w:val="both"/>
      </w:pPr>
      <w:r>
        <w:rPr/>
        <w:t>王洪深，男，</w:t>
      </w:r>
      <w:r>
        <w:rPr>
          <w:rFonts w:ascii="宋体" w:hAnsi="宋体" w:cs="宋体" w:eastAsia="宋体" w:hint="default"/>
        </w:rPr>
        <w:t>42</w:t>
      </w:r>
      <w:r>
        <w:rPr/>
        <w:t>岁，中国国籍，无境外居留权，</w:t>
      </w:r>
      <w:r>
        <w:rPr>
          <w:rFonts w:ascii="宋体" w:hAnsi="宋体" w:cs="宋体" w:eastAsia="宋体" w:hint="default"/>
        </w:rPr>
        <w:t>2002</w:t>
      </w:r>
      <w:r>
        <w:rPr/>
        <w:t>年毕业于清华大学，研究生学历。 地理信息和测绘专业教授级高级工程师。</w:t>
      </w:r>
      <w:r>
        <w:rPr>
          <w:rFonts w:ascii="宋体" w:hAnsi="宋体" w:cs="宋体" w:eastAsia="宋体" w:hint="default"/>
        </w:rPr>
        <w:t>2002</w:t>
      </w:r>
      <w:r>
        <w:rPr/>
        <w:t>年加入有限公司，历任研发组组长、研发部经</w:t>
      </w:r>
      <w:r>
        <w:rPr>
          <w:spacing w:val="-89"/>
        </w:rPr>
        <w:t> </w:t>
      </w:r>
      <w:r>
        <w:rPr>
          <w:spacing w:val="-89"/>
        </w:rPr>
      </w:r>
      <w:r>
        <w:rPr/>
        <w:t>理、数字城管事业部副总经理、技术总监。现任公司董事、高级副总裁。</w:t>
      </w:r>
    </w:p>
    <w:p>
      <w:pPr>
        <w:pStyle w:val="BodyText"/>
        <w:spacing w:line="357" w:lineRule="auto"/>
        <w:ind w:right="999" w:firstLine="482"/>
        <w:jc w:val="left"/>
      </w:pPr>
      <w:r>
        <w:rPr>
          <w:spacing w:val="-3"/>
        </w:rPr>
        <w:t>邱鲁闽，男，</w:t>
      </w:r>
      <w:r>
        <w:rPr>
          <w:rFonts w:ascii="宋体" w:hAnsi="宋体" w:cs="宋体" w:eastAsia="宋体" w:hint="default"/>
          <w:spacing w:val="-3"/>
        </w:rPr>
        <w:t>43</w:t>
      </w:r>
      <w:r>
        <w:rPr>
          <w:spacing w:val="-3"/>
        </w:rPr>
        <w:t>岁，中国国籍，无境外居留权，</w:t>
      </w:r>
      <w:r>
        <w:rPr>
          <w:rFonts w:ascii="宋体" w:hAnsi="宋体" w:cs="宋体" w:eastAsia="宋体" w:hint="default"/>
          <w:spacing w:val="-3"/>
        </w:rPr>
        <w:t>2002 </w:t>
      </w:r>
      <w:r>
        <w:rPr/>
        <w:t>年毕业于清华大学，</w:t>
      </w:r>
      <w:r>
        <w:rPr>
          <w:spacing w:val="-6"/>
        </w:rPr>
        <w:t> </w:t>
      </w:r>
      <w:r>
        <w:rPr/>
        <w:t>研究生学历，</w:t>
      </w:r>
      <w:r>
        <w:rPr/>
        <w:t> 曾任北京华胜天成科技股份有限公司投资总监及董事会秘书，</w:t>
      </w:r>
      <w:r>
        <w:rPr>
          <w:rFonts w:ascii="宋体" w:hAnsi="宋体" w:cs="宋体" w:eastAsia="宋体" w:hint="default"/>
        </w:rPr>
        <w:t>2012 </w:t>
      </w:r>
      <w:r>
        <w:rPr/>
        <w:t>年</w:t>
      </w:r>
      <w:r>
        <w:rPr>
          <w:rFonts w:ascii="宋体" w:hAnsi="宋体" w:cs="宋体" w:eastAsia="宋体" w:hint="default"/>
        </w:rPr>
        <w:t>2</w:t>
      </w:r>
      <w:r>
        <w:rPr>
          <w:rFonts w:ascii="宋体" w:hAnsi="宋体" w:cs="宋体" w:eastAsia="宋体" w:hint="default"/>
          <w:spacing w:val="-24"/>
        </w:rPr>
        <w:t> </w:t>
      </w:r>
      <w:r>
        <w:rPr>
          <w:spacing w:val="-5"/>
        </w:rPr>
        <w:t>月加入本公司，现任</w:t>
      </w:r>
      <w:r>
        <w:rPr/>
        <w:t> 公司高级副总裁、董事会秘书、董事。</w:t>
      </w:r>
    </w:p>
    <w:p>
      <w:pPr>
        <w:pStyle w:val="BodyText"/>
        <w:spacing w:line="357" w:lineRule="auto"/>
        <w:ind w:right="1128" w:firstLine="482"/>
        <w:jc w:val="both"/>
      </w:pPr>
      <w:r>
        <w:rPr/>
        <w:t>刘先林，男，</w:t>
      </w:r>
      <w:r>
        <w:rPr>
          <w:rFonts w:ascii="宋体" w:hAnsi="宋体" w:cs="宋体" w:eastAsia="宋体" w:hint="default"/>
        </w:rPr>
        <w:t>1939</w:t>
      </w:r>
      <w:r>
        <w:rPr/>
        <w:t>年出生，中国国籍，无境外居留权，</w:t>
      </w:r>
      <w:r>
        <w:rPr>
          <w:rFonts w:ascii="宋体" w:hAnsi="宋体" w:cs="宋体" w:eastAsia="宋体" w:hint="default"/>
        </w:rPr>
        <w:t>1962</w:t>
      </w:r>
      <w:r>
        <w:rPr/>
        <w:t>年毕业于武汉测绘学院（现 </w:t>
      </w:r>
      <w:r>
        <w:rPr>
          <w:spacing w:val="-5"/>
        </w:rPr>
        <w:t>武汉大学测绘学院），本科学历，摄影测量与遥感测绘专家，中国工程院院士。</w:t>
      </w:r>
      <w:r>
        <w:rPr>
          <w:rFonts w:ascii="宋体" w:hAnsi="宋体" w:cs="宋体" w:eastAsia="宋体" w:hint="default"/>
          <w:spacing w:val="-5"/>
        </w:rPr>
        <w:t>1992</w:t>
      </w:r>
      <w:r>
        <w:rPr>
          <w:spacing w:val="-5"/>
        </w:rPr>
        <w:t>年至</w:t>
      </w:r>
      <w:r>
        <w:rPr>
          <w:rFonts w:ascii="宋体" w:hAnsi="宋体" w:cs="宋体" w:eastAsia="宋体" w:hint="default"/>
          <w:spacing w:val="-5"/>
        </w:rPr>
        <w:t>1994</w:t>
      </w:r>
      <w:r>
        <w:rPr>
          <w:rFonts w:ascii="宋体" w:hAnsi="宋体" w:cs="宋体" w:eastAsia="宋体" w:hint="default"/>
          <w:spacing w:val="-98"/>
        </w:rPr>
        <w:t> </w:t>
      </w:r>
      <w:r>
        <w:rPr/>
        <w:t>年，担任中国测绘科学研究院研究员，</w:t>
      </w:r>
      <w:r>
        <w:rPr>
          <w:spacing w:val="-75"/>
        </w:rPr>
        <w:t> </w:t>
      </w:r>
      <w:r>
        <w:rPr>
          <w:rFonts w:ascii="宋体" w:hAnsi="宋体" w:cs="宋体" w:eastAsia="宋体" w:hint="default"/>
        </w:rPr>
        <w:t>1995</w:t>
      </w:r>
      <w:r>
        <w:rPr/>
        <w:t>年至</w:t>
      </w:r>
      <w:r>
        <w:rPr>
          <w:rFonts w:ascii="宋体" w:hAnsi="宋体" w:cs="宋体" w:eastAsia="宋体" w:hint="default"/>
        </w:rPr>
        <w:t>1996</w:t>
      </w:r>
      <w:r>
        <w:rPr/>
        <w:t>年担任中国测绘科学研究院院长，</w:t>
      </w:r>
      <w:r>
        <w:rPr>
          <w:rFonts w:ascii="宋体" w:hAnsi="宋体" w:cs="宋体" w:eastAsia="宋体" w:hint="default"/>
        </w:rPr>
        <w:t>1996 </w:t>
      </w:r>
      <w:r>
        <w:rPr/>
        <w:t>年</w:t>
      </w:r>
      <w:r>
        <w:rPr>
          <w:rFonts w:ascii="宋体" w:hAnsi="宋体" w:cs="宋体" w:eastAsia="宋体" w:hint="default"/>
        </w:rPr>
        <w:t>12</w:t>
      </w:r>
      <w:r>
        <w:rPr/>
        <w:t>月至今担任中国测绘科学研究院名誉院长。</w:t>
      </w:r>
    </w:p>
    <w:p>
      <w:pPr>
        <w:pStyle w:val="BodyText"/>
        <w:spacing w:line="357" w:lineRule="auto"/>
        <w:ind w:right="1135" w:firstLine="482"/>
        <w:jc w:val="both"/>
      </w:pPr>
      <w:r>
        <w:rPr/>
        <w:t>邬伦，男，</w:t>
      </w:r>
      <w:r>
        <w:rPr>
          <w:rFonts w:ascii="宋体" w:hAnsi="宋体" w:cs="宋体" w:eastAsia="宋体" w:hint="default"/>
        </w:rPr>
        <w:t>1964</w:t>
      </w:r>
      <w:r>
        <w:rPr/>
        <w:t>年出生，中国国籍，无境外居留权，</w:t>
      </w:r>
      <w:r>
        <w:rPr>
          <w:rFonts w:ascii="宋体" w:hAnsi="宋体" w:cs="宋体" w:eastAsia="宋体" w:hint="default"/>
        </w:rPr>
        <w:t>1990</w:t>
      </w:r>
      <w:r>
        <w:rPr/>
        <w:t>年毕业于北京大学，博士研究 生学历，教授、博士生导师。</w:t>
      </w:r>
      <w:r>
        <w:rPr>
          <w:rFonts w:ascii="宋体" w:hAnsi="宋体" w:cs="宋体" w:eastAsia="宋体" w:hint="default"/>
        </w:rPr>
        <w:t>1991</w:t>
      </w:r>
      <w:r>
        <w:rPr/>
        <w:t>年至</w:t>
      </w:r>
      <w:r>
        <w:rPr>
          <w:rFonts w:ascii="宋体" w:hAnsi="宋体" w:cs="宋体" w:eastAsia="宋体" w:hint="default"/>
        </w:rPr>
        <w:t>1992</w:t>
      </w:r>
      <w:r>
        <w:rPr/>
        <w:t>年北京大学数学系应用数学与信息科学专业博士</w:t>
      </w:r>
      <w:r>
        <w:rPr>
          <w:spacing w:val="-90"/>
        </w:rPr>
        <w:t> </w:t>
      </w:r>
      <w:r>
        <w:rPr>
          <w:spacing w:val="-90"/>
        </w:rPr>
      </w:r>
      <w:r>
        <w:rPr/>
        <w:t>后、讲师，</w:t>
      </w:r>
      <w:r>
        <w:rPr>
          <w:rFonts w:ascii="宋体" w:hAnsi="宋体" w:cs="宋体" w:eastAsia="宋体" w:hint="default"/>
        </w:rPr>
        <w:t>1992</w:t>
      </w:r>
      <w:r>
        <w:rPr/>
        <w:t>年任北京大学城市与环境学系地理信息系统教研室主任、副教授，</w:t>
      </w:r>
      <w:r>
        <w:rPr>
          <w:rFonts w:ascii="宋体" w:hAnsi="宋体" w:cs="宋体" w:eastAsia="宋体" w:hint="default"/>
        </w:rPr>
        <w:t>1997</w:t>
      </w:r>
      <w:r>
        <w:rPr/>
        <w:t>年升</w:t>
      </w:r>
      <w:r>
        <w:rPr>
          <w:spacing w:val="-89"/>
        </w:rPr>
        <w:t> </w:t>
      </w:r>
      <w:r>
        <w:rPr/>
        <w:t>任教授、博士生导师。</w:t>
      </w:r>
      <w:r>
        <w:rPr>
          <w:rFonts w:ascii="宋体" w:hAnsi="宋体" w:cs="宋体" w:eastAsia="宋体" w:hint="default"/>
        </w:rPr>
        <w:t>2001</w:t>
      </w:r>
      <w:r>
        <w:rPr/>
        <w:t>年起任北京大学遥感与地理信息系统研究所副所长，</w:t>
      </w:r>
      <w:r>
        <w:rPr>
          <w:rFonts w:ascii="宋体" w:hAnsi="宋体" w:cs="宋体" w:eastAsia="宋体" w:hint="default"/>
        </w:rPr>
        <w:t>2004</w:t>
      </w:r>
      <w:r>
        <w:rPr/>
        <w:t>年起兼</w:t>
      </w:r>
      <w:r>
        <w:rPr>
          <w:spacing w:val="-89"/>
        </w:rPr>
        <w:t> </w:t>
      </w:r>
      <w:r>
        <w:rPr/>
        <w:t>任北京大学数字中国研究院副院长。</w:t>
      </w:r>
    </w:p>
    <w:p>
      <w:pPr>
        <w:pStyle w:val="BodyText"/>
        <w:spacing w:line="357" w:lineRule="auto"/>
        <w:ind w:right="1012" w:firstLine="482"/>
        <w:jc w:val="both"/>
      </w:pPr>
      <w:r>
        <w:rPr/>
        <w:t>叶金福，男，</w:t>
      </w:r>
      <w:r>
        <w:rPr>
          <w:rFonts w:ascii="宋体" w:hAnsi="宋体" w:cs="宋体" w:eastAsia="宋体" w:hint="default"/>
        </w:rPr>
        <w:t>1975</w:t>
      </w:r>
      <w:r>
        <w:rPr/>
        <w:t>年出生，中国国籍，无境外居留权，</w:t>
      </w:r>
      <w:r>
        <w:rPr>
          <w:rFonts w:ascii="宋体" w:hAnsi="宋体" w:cs="宋体" w:eastAsia="宋体" w:hint="default"/>
        </w:rPr>
        <w:t>1999</w:t>
      </w:r>
      <w:r>
        <w:rPr/>
        <w:t>年毕业于厦门大学，</w:t>
      </w:r>
      <w:r>
        <w:rPr>
          <w:rFonts w:ascii="宋体" w:hAnsi="宋体" w:cs="宋体" w:eastAsia="宋体" w:hint="default"/>
        </w:rPr>
        <w:t>2009</w:t>
      </w:r>
      <w:r>
        <w:rPr/>
        <w:t>年 毕业于中央财经大学，会计学硕士，中国注册会计师、中国注册资产评估师。</w:t>
      </w:r>
      <w:r>
        <w:rPr>
          <w:rFonts w:ascii="宋体" w:hAnsi="宋体" w:cs="宋体" w:eastAsia="宋体" w:hint="default"/>
        </w:rPr>
        <w:t>2001</w:t>
      </w:r>
      <w:r>
        <w:rPr/>
        <w:t>年至</w:t>
      </w:r>
      <w:r>
        <w:rPr>
          <w:rFonts w:ascii="宋体" w:hAnsi="宋体" w:cs="宋体" w:eastAsia="宋体" w:hint="default"/>
        </w:rPr>
        <w:t>2008</w:t>
      </w:r>
      <w:r>
        <w:rPr>
          <w:rFonts w:ascii="宋体" w:hAnsi="宋体" w:cs="宋体" w:eastAsia="宋体" w:hint="default"/>
          <w:spacing w:val="-88"/>
        </w:rPr>
        <w:t> </w:t>
      </w:r>
      <w:r>
        <w:rPr/>
        <w:t>年在天健光华会计师事务所任职，历任项目经理、经理、授薪合伙人；</w:t>
      </w:r>
      <w:r>
        <w:rPr>
          <w:rFonts w:ascii="宋体" w:hAnsi="宋体" w:cs="宋体" w:eastAsia="宋体" w:hint="default"/>
        </w:rPr>
        <w:t>2009</w:t>
      </w:r>
      <w:r>
        <w:rPr/>
        <w:t>年至</w:t>
      </w:r>
      <w:r>
        <w:rPr>
          <w:rFonts w:ascii="宋体" w:hAnsi="宋体" w:cs="宋体" w:eastAsia="宋体" w:hint="default"/>
        </w:rPr>
        <w:t>2011</w:t>
      </w:r>
      <w:r>
        <w:rPr/>
        <w:t>年在天</w:t>
      </w:r>
      <w:r>
        <w:rPr>
          <w:spacing w:val="-89"/>
        </w:rPr>
        <w:t> </w:t>
      </w:r>
      <w:r>
        <w:rPr>
          <w:spacing w:val="-2"/>
        </w:rPr>
        <w:t>健正信会计师事务所任职，担任合伙人；</w:t>
      </w:r>
      <w:r>
        <w:rPr>
          <w:rFonts w:ascii="宋体" w:hAnsi="宋体" w:cs="宋体" w:eastAsia="宋体" w:hint="default"/>
          <w:spacing w:val="-2"/>
        </w:rPr>
        <w:t>2012</w:t>
      </w:r>
      <w:r>
        <w:rPr>
          <w:spacing w:val="-2"/>
        </w:rPr>
        <w:t>年至今在大华会计师事务所任职，担任合伙人。</w:t>
      </w:r>
    </w:p>
    <w:p>
      <w:pPr>
        <w:pStyle w:val="BodyText"/>
        <w:spacing w:line="240" w:lineRule="auto"/>
        <w:ind w:left="635" w:right="982"/>
        <w:jc w:val="left"/>
      </w:pPr>
      <w:r>
        <w:rPr>
          <w:rFonts w:ascii="宋体" w:hAnsi="宋体" w:cs="宋体" w:eastAsia="宋体" w:hint="default"/>
        </w:rPr>
        <w:t>2</w:t>
      </w:r>
      <w:r>
        <w:rPr/>
        <w:t>、公司现任监事</w:t>
      </w:r>
    </w:p>
    <w:p>
      <w:pPr>
        <w:pStyle w:val="BodyText"/>
        <w:spacing w:line="357" w:lineRule="auto" w:before="154"/>
        <w:ind w:right="1131" w:firstLine="482"/>
        <w:jc w:val="both"/>
      </w:pPr>
      <w:r>
        <w:rPr>
          <w:spacing w:val="-4"/>
        </w:rPr>
        <w:t>邵建平，男，</w:t>
      </w:r>
      <w:r>
        <w:rPr>
          <w:rFonts w:ascii="宋体" w:hAnsi="宋体" w:cs="宋体" w:eastAsia="宋体" w:hint="default"/>
          <w:spacing w:val="-4"/>
        </w:rPr>
        <w:t>65</w:t>
      </w:r>
      <w:r>
        <w:rPr>
          <w:spacing w:val="-4"/>
        </w:rPr>
        <w:t>岁，中国国籍，无境外居留权，</w:t>
      </w:r>
      <w:r>
        <w:rPr>
          <w:rFonts w:ascii="宋体" w:hAnsi="宋体" w:cs="宋体" w:eastAsia="宋体" w:hint="default"/>
          <w:spacing w:val="-4"/>
        </w:rPr>
        <w:t>1977</w:t>
      </w:r>
      <w:r>
        <w:rPr>
          <w:rFonts w:ascii="宋体" w:hAnsi="宋体" w:cs="宋体" w:eastAsia="宋体" w:hint="default"/>
          <w:spacing w:val="18"/>
        </w:rPr>
        <w:t> </w:t>
      </w:r>
      <w:r>
        <w:rPr/>
        <w:t>年毕业于清华大学电子工程系计算 机专业，大学本科学历。</w:t>
      </w:r>
      <w:r>
        <w:rPr>
          <w:rFonts w:ascii="宋体" w:hAnsi="宋体" w:cs="宋体" w:eastAsia="宋体" w:hint="default"/>
        </w:rPr>
        <w:t>1977 </w:t>
      </w:r>
      <w:r>
        <w:rPr/>
        <w:t>年至</w:t>
      </w:r>
      <w:r>
        <w:rPr>
          <w:rFonts w:ascii="宋体" w:hAnsi="宋体" w:cs="宋体" w:eastAsia="宋体" w:hint="default"/>
        </w:rPr>
        <w:t>1985 </w:t>
      </w:r>
      <w:r>
        <w:rPr/>
        <w:t>年担任北京计算机三厂厂长助理职务； </w:t>
      </w:r>
      <w:r>
        <w:rPr>
          <w:rFonts w:ascii="宋体" w:hAnsi="宋体" w:cs="宋体" w:eastAsia="宋体" w:hint="default"/>
        </w:rPr>
        <w:t>1985</w:t>
      </w:r>
      <w:r>
        <w:rPr>
          <w:rFonts w:ascii="宋体" w:hAnsi="宋体" w:cs="宋体" w:eastAsia="宋体" w:hint="default"/>
          <w:spacing w:val="35"/>
        </w:rPr>
        <w:t> </w:t>
      </w:r>
      <w:r>
        <w:rPr/>
        <w:t>年至 </w:t>
      </w:r>
      <w:r>
        <w:rPr>
          <w:rFonts w:ascii="宋体" w:hAnsi="宋体" w:cs="宋体" w:eastAsia="宋体" w:hint="default"/>
        </w:rPr>
        <w:t>1988 </w:t>
      </w:r>
      <w:r>
        <w:rPr/>
        <w:t>年担任日本</w:t>
      </w:r>
      <w:r>
        <w:rPr>
          <w:rFonts w:ascii="宋体" w:hAnsi="宋体" w:cs="宋体" w:eastAsia="宋体" w:hint="default"/>
        </w:rPr>
        <w:t>DCL </w:t>
      </w:r>
      <w:r>
        <w:rPr>
          <w:spacing w:val="-5"/>
        </w:rPr>
        <w:t>株式会社软件开发研修生职务；</w:t>
      </w:r>
      <w:r>
        <w:rPr>
          <w:rFonts w:ascii="宋体" w:hAnsi="宋体" w:cs="宋体" w:eastAsia="宋体" w:hint="default"/>
          <w:spacing w:val="-5"/>
        </w:rPr>
        <w:t>1988 </w:t>
      </w:r>
      <w:r>
        <w:rPr/>
        <w:t>年至</w:t>
      </w:r>
      <w:r>
        <w:rPr>
          <w:rFonts w:ascii="宋体" w:hAnsi="宋体" w:cs="宋体" w:eastAsia="宋体" w:hint="default"/>
        </w:rPr>
        <w:t>1989</w:t>
      </w:r>
      <w:r>
        <w:rPr>
          <w:rFonts w:ascii="宋体" w:hAnsi="宋体" w:cs="宋体" w:eastAsia="宋体" w:hint="default"/>
          <w:spacing w:val="12"/>
        </w:rPr>
        <w:t> </w:t>
      </w:r>
      <w:r>
        <w:rPr/>
        <w:t>年担任北京计算机三厂 厂长助理职务；</w:t>
      </w:r>
      <w:r>
        <w:rPr>
          <w:rFonts w:ascii="宋体" w:hAnsi="宋体" w:cs="宋体" w:eastAsia="宋体" w:hint="default"/>
        </w:rPr>
        <w:t>1989 </w:t>
      </w:r>
      <w:r>
        <w:rPr/>
        <w:t>年至</w:t>
      </w:r>
      <w:r>
        <w:rPr>
          <w:rFonts w:ascii="宋体" w:hAnsi="宋体" w:cs="宋体" w:eastAsia="宋体" w:hint="default"/>
        </w:rPr>
        <w:t>1990 </w:t>
      </w:r>
      <w:r>
        <w:rPr/>
        <w:t>年任职于京电香港有限公司；</w:t>
      </w:r>
      <w:r>
        <w:rPr>
          <w:rFonts w:ascii="宋体" w:hAnsi="宋体" w:cs="宋体" w:eastAsia="宋体" w:hint="default"/>
        </w:rPr>
        <w:t>1990 </w:t>
      </w:r>
      <w:r>
        <w:rPr/>
        <w:t>年至</w:t>
      </w:r>
      <w:r>
        <w:rPr>
          <w:rFonts w:ascii="宋体" w:hAnsi="宋体" w:cs="宋体" w:eastAsia="宋体" w:hint="default"/>
        </w:rPr>
        <w:t>2001</w:t>
      </w:r>
      <w:r>
        <w:rPr>
          <w:rFonts w:ascii="宋体" w:hAnsi="宋体" w:cs="宋体" w:eastAsia="宋体" w:hint="default"/>
          <w:spacing w:val="33"/>
        </w:rPr>
        <w:t> </w:t>
      </w:r>
      <w:r>
        <w:rPr/>
        <w:t>年担任北京计 </w:t>
      </w:r>
      <w:r>
        <w:rPr>
          <w:spacing w:val="-7"/>
        </w:rPr>
        <w:t>算机三厂厂长助理职务；</w:t>
      </w:r>
      <w:r>
        <w:rPr>
          <w:rFonts w:ascii="宋体" w:hAnsi="宋体" w:cs="宋体" w:eastAsia="宋体" w:hint="default"/>
          <w:spacing w:val="-7"/>
        </w:rPr>
        <w:t>2001</w:t>
      </w:r>
      <w:r>
        <w:rPr>
          <w:rFonts w:ascii="宋体" w:hAnsi="宋体" w:cs="宋体" w:eastAsia="宋体" w:hint="default"/>
        </w:rPr>
        <w:t> </w:t>
      </w:r>
      <w:r>
        <w:rPr/>
        <w:t>年至</w:t>
      </w:r>
      <w:r>
        <w:rPr>
          <w:rFonts w:ascii="宋体" w:hAnsi="宋体" w:cs="宋体" w:eastAsia="宋体" w:hint="default"/>
        </w:rPr>
        <w:t>2006</w:t>
      </w:r>
      <w:r>
        <w:rPr>
          <w:rFonts w:ascii="宋体" w:hAnsi="宋体" w:cs="宋体" w:eastAsia="宋体" w:hint="default"/>
          <w:spacing w:val="3"/>
        </w:rPr>
        <w:t> </w:t>
      </w:r>
      <w:r>
        <w:rPr>
          <w:spacing w:val="-4"/>
        </w:rPr>
        <w:t>年担任首都信息发展股份有限公司副总裁职务；</w:t>
      </w:r>
      <w:r>
        <w:rPr>
          <w:rFonts w:ascii="宋体" w:hAnsi="宋体" w:cs="宋体" w:eastAsia="宋体" w:hint="default"/>
          <w:spacing w:val="-4"/>
        </w:rPr>
        <w:t>2006</w:t>
      </w:r>
      <w:r>
        <w:rPr>
          <w:rFonts w:ascii="宋体" w:hAnsi="宋体" w:cs="宋体" w:eastAsia="宋体" w:hint="default"/>
        </w:rPr>
        <w:t> </w:t>
      </w:r>
      <w:r>
        <w:rPr/>
        <w:t>年至今担任首都信息发展股份有限公司顾问职务。现任公司监事。</w:t>
      </w:r>
    </w:p>
    <w:p>
      <w:pPr>
        <w:spacing w:after="0" w:line="357" w:lineRule="auto"/>
        <w:jc w:val="both"/>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982" w:firstLine="482"/>
        <w:jc w:val="left"/>
      </w:pPr>
      <w:r>
        <w:rPr/>
        <w:t>幸帮艳，女，</w:t>
      </w:r>
      <w:r>
        <w:rPr>
          <w:rFonts w:ascii="宋体" w:hAnsi="宋体" w:cs="宋体" w:eastAsia="宋体" w:hint="default"/>
        </w:rPr>
        <w:t>45</w:t>
      </w:r>
      <w:r>
        <w:rPr/>
        <w:t>岁，中国国籍，无境外居留权，</w:t>
      </w:r>
      <w:r>
        <w:rPr>
          <w:rFonts w:ascii="宋体" w:hAnsi="宋体" w:cs="宋体" w:eastAsia="宋体" w:hint="default"/>
        </w:rPr>
        <w:t>2003</w:t>
      </w:r>
      <w:r>
        <w:rPr/>
        <w:t>年至今在北京数字政通科技股份有 限公司任职财务工作。现任公司监事。</w:t>
      </w:r>
    </w:p>
    <w:p>
      <w:pPr>
        <w:pStyle w:val="BodyText"/>
        <w:spacing w:line="357" w:lineRule="auto"/>
        <w:ind w:right="982" w:firstLine="482"/>
        <w:jc w:val="left"/>
      </w:pPr>
      <w:r>
        <w:rPr>
          <w:spacing w:val="-3"/>
        </w:rPr>
        <w:t>许菲，男，</w:t>
      </w:r>
      <w:r>
        <w:rPr>
          <w:rFonts w:ascii="宋体" w:hAnsi="宋体" w:cs="宋体" w:eastAsia="宋体" w:hint="default"/>
          <w:spacing w:val="-3"/>
        </w:rPr>
        <w:t>32</w:t>
      </w:r>
      <w:r>
        <w:rPr>
          <w:spacing w:val="-3"/>
        </w:rPr>
        <w:t>岁，中国国籍，无境外永久居留权，本科学历。</w:t>
      </w:r>
      <w:r>
        <w:rPr>
          <w:rFonts w:ascii="宋体" w:hAnsi="宋体" w:cs="宋体" w:eastAsia="宋体" w:hint="default"/>
          <w:spacing w:val="-3"/>
        </w:rPr>
        <w:t>2012</w:t>
      </w:r>
      <w:r>
        <w:rPr>
          <w:spacing w:val="-3"/>
        </w:rPr>
        <w:t>年</w:t>
      </w:r>
      <w:r>
        <w:rPr>
          <w:rFonts w:ascii="宋体" w:hAnsi="宋体" w:cs="宋体" w:eastAsia="宋体" w:hint="default"/>
          <w:spacing w:val="-3"/>
        </w:rPr>
        <w:t>5</w:t>
      </w:r>
      <w:r>
        <w:rPr>
          <w:spacing w:val="-3"/>
        </w:rPr>
        <w:t>月起就职于公司证</w:t>
      </w:r>
      <w:r>
        <w:rPr/>
        <w:t> 券事务部，担任证券事务代表。现任公司监事。</w:t>
      </w:r>
    </w:p>
    <w:p>
      <w:pPr>
        <w:pStyle w:val="BodyText"/>
        <w:spacing w:line="357" w:lineRule="auto"/>
        <w:ind w:left="635" w:right="4751"/>
        <w:jc w:val="left"/>
      </w:pPr>
      <w:r>
        <w:rPr>
          <w:rFonts w:ascii="宋体" w:hAnsi="宋体" w:cs="宋体" w:eastAsia="宋体" w:hint="default"/>
        </w:rPr>
        <w:t>3</w:t>
      </w:r>
      <w:r>
        <w:rPr/>
        <w:t>、公司现任高级管理人员 王东，男，现任公司总裁，详见董事简历。 朱华，男，现任公司高级副总裁，详见董事简历。 王洪深，男，现任公司高级副总裁，详见董事简历。 邱鲁闽，男，现任公司高级副总裁，详见董事简历。</w:t>
      </w:r>
    </w:p>
    <w:p>
      <w:pPr>
        <w:pStyle w:val="BodyText"/>
        <w:spacing w:line="357" w:lineRule="auto"/>
        <w:ind w:right="982" w:firstLine="482"/>
        <w:jc w:val="left"/>
      </w:pPr>
      <w:r>
        <w:rPr/>
        <w:t>殷小敏，女，</w:t>
      </w:r>
      <w:r>
        <w:rPr>
          <w:rFonts w:ascii="宋体" w:hAnsi="宋体" w:cs="宋体" w:eastAsia="宋体" w:hint="default"/>
        </w:rPr>
        <w:t>62</w:t>
      </w:r>
      <w:r>
        <w:rPr/>
        <w:t>岁，中国国籍，无境外居留权，</w:t>
      </w:r>
      <w:r>
        <w:rPr>
          <w:rFonts w:ascii="宋体" w:hAnsi="宋体" w:cs="宋体" w:eastAsia="宋体" w:hint="default"/>
        </w:rPr>
        <w:t>2007</w:t>
      </w:r>
      <w:r>
        <w:rPr/>
        <w:t>年加入公司，任财务负责人。现任 公司财务总监。</w:t>
      </w:r>
    </w:p>
    <w:p>
      <w:pPr>
        <w:spacing w:before="46"/>
        <w:ind w:left="152" w:right="982" w:firstLine="0"/>
        <w:jc w:val="left"/>
        <w:rPr>
          <w:rFonts w:ascii="宋体" w:hAnsi="宋体" w:cs="宋体" w:eastAsia="宋体" w:hint="default"/>
          <w:sz w:val="18"/>
          <w:szCs w:val="18"/>
        </w:rPr>
      </w:pPr>
      <w:r>
        <w:rPr>
          <w:rFonts w:ascii="宋体" w:hAnsi="宋体" w:cs="宋体" w:eastAsia="宋体" w:hint="default"/>
          <w:sz w:val="18"/>
          <w:szCs w:val="18"/>
        </w:rPr>
        <w:t>在股东单位任职情况</w:t>
      </w:r>
    </w:p>
    <w:p>
      <w:pPr>
        <w:spacing w:before="115"/>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200"/>
        <w:gridCol w:w="3190"/>
        <w:gridCol w:w="1066"/>
        <w:gridCol w:w="1195"/>
        <w:gridCol w:w="1330"/>
        <w:gridCol w:w="1589"/>
      </w:tblGrid>
      <w:tr>
        <w:trPr>
          <w:trHeight w:val="713"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5"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51" w:right="0"/>
              <w:jc w:val="left"/>
              <w:rPr>
                <w:rFonts w:ascii="宋体" w:hAnsi="宋体" w:cs="宋体" w:eastAsia="宋体" w:hint="default"/>
                <w:sz w:val="18"/>
                <w:szCs w:val="18"/>
              </w:rPr>
            </w:pPr>
            <w:r>
              <w:rPr>
                <w:rFonts w:ascii="宋体" w:hAnsi="宋体" w:cs="宋体" w:eastAsia="宋体" w:hint="default"/>
                <w:sz w:val="18"/>
                <w:szCs w:val="18"/>
              </w:rPr>
              <w:t>股东单位名称</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6" w:right="77"/>
              <w:jc w:val="left"/>
              <w:rPr>
                <w:rFonts w:ascii="宋体" w:hAnsi="宋体" w:cs="宋体" w:eastAsia="宋体" w:hint="default"/>
                <w:sz w:val="18"/>
                <w:szCs w:val="18"/>
              </w:rPr>
            </w:pPr>
            <w:r>
              <w:rPr>
                <w:rFonts w:ascii="宋体" w:hAnsi="宋体" w:cs="宋体" w:eastAsia="宋体" w:hint="default"/>
                <w:sz w:val="18"/>
                <w:szCs w:val="18"/>
              </w:rPr>
              <w:t>在股东单位 担任的职务</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2"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9"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5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8" w:right="67" w:hanging="269"/>
              <w:jc w:val="left"/>
              <w:rPr>
                <w:rFonts w:ascii="宋体" w:hAnsi="宋体" w:cs="宋体" w:eastAsia="宋体" w:hint="default"/>
                <w:sz w:val="18"/>
                <w:szCs w:val="18"/>
              </w:rPr>
            </w:pPr>
            <w:r>
              <w:rPr>
                <w:rFonts w:ascii="宋体" w:hAnsi="宋体" w:cs="宋体" w:eastAsia="宋体" w:hint="default"/>
                <w:sz w:val="18"/>
                <w:szCs w:val="18"/>
              </w:rPr>
              <w:t>在股东单位是否领 取报酬津贴</w:t>
            </w:r>
          </w:p>
        </w:tc>
      </w:tr>
      <w:tr>
        <w:trPr>
          <w:trHeight w:val="716"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叶金福</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大华会计师事务所</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合伙人</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3"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刘先林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中国测绘科学研究院</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院士</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邬伦</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北京大学</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22"/>
              <w:jc w:val="left"/>
              <w:rPr>
                <w:rFonts w:ascii="宋体" w:hAnsi="宋体" w:cs="宋体" w:eastAsia="宋体" w:hint="default"/>
                <w:sz w:val="18"/>
                <w:szCs w:val="18"/>
              </w:rPr>
            </w:pPr>
            <w:r>
              <w:rPr>
                <w:rFonts w:ascii="宋体" w:hAnsi="宋体" w:cs="宋体" w:eastAsia="宋体" w:hint="default"/>
                <w:spacing w:val="-12"/>
                <w:sz w:val="18"/>
                <w:szCs w:val="18"/>
              </w:rPr>
              <w:t>教授、博士生</w:t>
            </w:r>
            <w:r>
              <w:rPr>
                <w:rFonts w:ascii="宋体" w:hAnsi="宋体" w:cs="宋体" w:eastAsia="宋体" w:hint="default"/>
                <w:sz w:val="18"/>
                <w:szCs w:val="18"/>
              </w:rPr>
              <w:t> 导师</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在其他单位任职情况</w:t>
      </w:r>
    </w:p>
    <w:p>
      <w:pPr>
        <w:spacing w:line="340" w:lineRule="auto" w:before="115"/>
        <w:ind w:left="152" w:right="40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公司现任及报告期内离任董事、监事和高级管理人员近三年证券监管机构处罚的情况</w:t>
      </w:r>
    </w:p>
    <w:p>
      <w:pPr>
        <w:spacing w:before="42"/>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982"/>
        <w:jc w:val="left"/>
        <w:rPr>
          <w:b w:val="0"/>
          <w:bCs w:val="0"/>
        </w:rPr>
      </w:pPr>
      <w:r>
        <w:rPr/>
        <w:t>四、董事、监事、高级管理人员报酬情况</w:t>
      </w:r>
      <w:r>
        <w:rPr>
          <w:b w:val="0"/>
          <w:bCs w:val="0"/>
        </w:rPr>
      </w:r>
    </w:p>
    <w:p>
      <w:pPr>
        <w:spacing w:line="240" w:lineRule="auto" w:before="6"/>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宋体" w:hAnsi="宋体" w:cs="宋体" w:eastAsia="宋体" w:hint="default"/>
          <w:sz w:val="18"/>
          <w:szCs w:val="18"/>
        </w:rPr>
        <w:t>董事、监事、高级管理人员报酬的决策程序、确定依据、实际支付情况</w:t>
      </w:r>
    </w:p>
    <w:p>
      <w:pPr>
        <w:pStyle w:val="BodyText"/>
        <w:spacing w:line="357" w:lineRule="auto" w:before="148"/>
        <w:ind w:right="1034" w:firstLine="480"/>
        <w:jc w:val="left"/>
      </w:pPr>
      <w:r>
        <w:rPr>
          <w:rFonts w:ascii="宋体" w:hAnsi="宋体" w:cs="宋体" w:eastAsia="宋体" w:hint="default"/>
        </w:rPr>
        <w:t>1</w:t>
      </w:r>
      <w:r>
        <w:rPr/>
        <w:t>、董事、监事、高级管理人员报酬的决策程序：公司董事报酬或津贴由股东大会决定， 高级管理人员报酬由董事会决定，独立董事津贴由股东大会决定，董事、监事、高级管理人</w:t>
      </w:r>
      <w:r>
        <w:rPr>
          <w:spacing w:val="-91"/>
        </w:rPr>
        <w:t> </w:t>
      </w:r>
      <w:r>
        <w:rPr>
          <w:spacing w:val="-91"/>
        </w:rPr>
      </w:r>
      <w:r>
        <w:rPr/>
        <w:t>员薪酬由董事会薪酬与考核委员会组织并考核。</w:t>
      </w:r>
    </w:p>
    <w:p>
      <w:pPr>
        <w:pStyle w:val="BodyText"/>
        <w:spacing w:line="357" w:lineRule="auto"/>
        <w:ind w:right="982" w:firstLine="480"/>
        <w:jc w:val="left"/>
      </w:pPr>
      <w:r>
        <w:rPr>
          <w:rFonts w:ascii="宋体" w:hAnsi="宋体" w:cs="宋体" w:eastAsia="宋体" w:hint="default"/>
          <w:spacing w:val="-3"/>
        </w:rPr>
        <w:t>2</w:t>
      </w:r>
      <w:r>
        <w:rPr>
          <w:spacing w:val="-3"/>
        </w:rPr>
        <w:t>、董事、监事、高级管理人员报酬确定依据：根据公司经营业绩，高级管理人员的报酬</w:t>
      </w:r>
      <w:r>
        <w:rPr/>
        <w:t> 根据公司薪酬分配政策，结合其经营绩效、工作能力、岗位职责等考核确定并发放。</w:t>
      </w:r>
    </w:p>
    <w:p>
      <w:pPr>
        <w:spacing w:after="0" w:line="357"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982" w:firstLine="480"/>
        <w:jc w:val="left"/>
      </w:pPr>
      <w:r>
        <w:rPr>
          <w:rFonts w:ascii="宋体" w:hAnsi="宋体" w:cs="宋体" w:eastAsia="宋体" w:hint="default"/>
          <w:spacing w:val="-3"/>
        </w:rPr>
        <w:t>3</w:t>
      </w:r>
      <w:r>
        <w:rPr>
          <w:spacing w:val="-3"/>
        </w:rPr>
        <w:t>、董事、监事和高级管理人员报酬的实际支付情况：已按相关规定及时支付董事、监事</w:t>
      </w:r>
      <w:r>
        <w:rPr/>
        <w:t> 和高级管理人员报酬。</w:t>
      </w:r>
    </w:p>
    <w:p>
      <w:pPr>
        <w:pStyle w:val="BodyText"/>
        <w:spacing w:line="240" w:lineRule="auto"/>
        <w:ind w:left="633" w:right="982"/>
        <w:jc w:val="left"/>
      </w:pPr>
      <w:r>
        <w:rPr/>
        <w:t>公司报告期内董事、监事和高级管理人员报酬情况</w:t>
      </w:r>
    </w:p>
    <w:p>
      <w:pPr>
        <w:spacing w:before="16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9"/>
        <w:gridCol w:w="1368"/>
        <w:gridCol w:w="1366"/>
        <w:gridCol w:w="1368"/>
        <w:gridCol w:w="1366"/>
        <w:gridCol w:w="1368"/>
      </w:tblGrid>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497"/>
              <w:jc w:val="right"/>
              <w:rPr>
                <w:rFonts w:ascii="宋体" w:hAnsi="宋体" w:cs="宋体" w:eastAsia="宋体" w:hint="default"/>
                <w:sz w:val="18"/>
                <w:szCs w:val="18"/>
              </w:rPr>
            </w:pPr>
            <w:r>
              <w:rPr>
                <w:rFonts w:ascii="宋体" w:hAnsi="宋体" w:cs="宋体" w:eastAsia="宋体" w:hint="default"/>
                <w:sz w:val="18"/>
                <w:szCs w:val="18"/>
              </w:rPr>
              <w:t>姓名</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7" w:right="46" w:hanging="180"/>
              <w:jc w:val="left"/>
              <w:rPr>
                <w:rFonts w:ascii="宋体" w:hAnsi="宋体" w:cs="宋体" w:eastAsia="宋体" w:hint="default"/>
                <w:sz w:val="18"/>
                <w:szCs w:val="18"/>
              </w:rPr>
            </w:pPr>
            <w:r>
              <w:rPr>
                <w:rFonts w:ascii="宋体" w:hAnsi="宋体" w:cs="宋体" w:eastAsia="宋体" w:hint="default"/>
                <w:sz w:val="18"/>
                <w:szCs w:val="18"/>
              </w:rPr>
              <w:t>从公司获得的税 前报酬总额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7" w:right="48"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吴强华</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王东</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董事；总裁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83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胡环宇</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83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朱华</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董事；高级副总 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王洪深</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董事；高级副总 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82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刘先林</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80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叶金福</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邬伦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邵建平</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65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许菲</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32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幸帮艳</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邱鲁闽</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董事会秘书；高 级副总裁、董事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殷小敏</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62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许欣</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97"/>
              <w:jc w:val="righ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6"/>
              <w:jc w:val="right"/>
              <w:rPr>
                <w:rFonts w:ascii="Times New Roman" w:hAnsi="Times New Roman" w:cs="Times New Roman" w:eastAsia="Times New Roman" w:hint="default"/>
                <w:sz w:val="18"/>
                <w:szCs w:val="18"/>
              </w:rPr>
            </w:pPr>
            <w:r>
              <w:rPr>
                <w:rFonts w:ascii="Times New Roman"/>
                <w:sz w:val="18"/>
              </w:rPr>
              <w:t>513.7</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公司董事、高级管理人员报告期内被授予的股权激励情况</w:t>
      </w:r>
    </w:p>
    <w:p>
      <w:pPr>
        <w:spacing w:before="118"/>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24"/>
          <w:szCs w:val="24"/>
        </w:rPr>
      </w:pPr>
    </w:p>
    <w:p>
      <w:pPr>
        <w:pStyle w:val="Heading2"/>
        <w:spacing w:line="240" w:lineRule="auto"/>
        <w:ind w:right="982"/>
        <w:jc w:val="left"/>
        <w:rPr>
          <w:b w:val="0"/>
          <w:bCs w:val="0"/>
        </w:rPr>
      </w:pPr>
      <w:r>
        <w:rPr/>
        <w:t>五、公司员工情况</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、员工数量、专业构成及教育程度</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523</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7,095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7,618</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7,618</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9</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4779"/>
        <w:gridCol w:w="4792"/>
      </w:tblGrid>
      <w:tr>
        <w:trPr>
          <w:trHeight w:val="396"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8"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7" w:right="0"/>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582"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206</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304</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25</w:t>
            </w:r>
          </w:p>
        </w:tc>
      </w:tr>
      <w:tr>
        <w:trPr>
          <w:trHeight w:val="401"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496</w:t>
            </w:r>
          </w:p>
        </w:tc>
      </w:tr>
      <w:tr>
        <w:trPr>
          <w:trHeight w:val="403"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工程</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905</w:t>
            </w:r>
          </w:p>
        </w:tc>
      </w:tr>
      <w:tr>
        <w:trPr>
          <w:trHeight w:val="401"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信息采集人员</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5,659</w:t>
            </w:r>
          </w:p>
        </w:tc>
      </w:tr>
      <w:tr>
        <w:trPr>
          <w:trHeight w:val="408"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7,618</w:t>
            </w:r>
          </w:p>
        </w:tc>
      </w:tr>
      <w:tr>
        <w:trPr>
          <w:trHeight w:val="391"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8"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9"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1"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硕士研究生</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203</w:t>
            </w:r>
          </w:p>
        </w:tc>
      </w:tr>
      <w:tr>
        <w:trPr>
          <w:trHeight w:val="403"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大学本科</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1,213</w:t>
            </w:r>
          </w:p>
        </w:tc>
      </w:tr>
      <w:tr>
        <w:trPr>
          <w:trHeight w:val="401"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大专</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1,658</w:t>
            </w:r>
          </w:p>
        </w:tc>
      </w:tr>
      <w:tr>
        <w:trPr>
          <w:trHeight w:val="403"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4,544</w:t>
            </w:r>
          </w:p>
        </w:tc>
      </w:tr>
      <w:tr>
        <w:trPr>
          <w:trHeight w:val="404"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7,618</w:t>
            </w:r>
          </w:p>
        </w:tc>
      </w:tr>
    </w:tbl>
    <w:p>
      <w:pPr>
        <w:spacing w:line="240" w:lineRule="auto" w:before="3"/>
        <w:rPr>
          <w:rFonts w:ascii="宋体" w:hAnsi="宋体" w:cs="宋体" w:eastAsia="宋体" w:hint="default"/>
          <w:b/>
          <w:bCs/>
          <w:sz w:val="19"/>
          <w:szCs w:val="19"/>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、薪酬政策</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right="1134" w:firstLine="480"/>
        <w:jc w:val="both"/>
      </w:pPr>
      <w:r>
        <w:rPr/>
        <w:t>员工薪酬分为基本薪酬</w:t>
      </w:r>
      <w:r>
        <w:rPr>
          <w:rFonts w:ascii="宋体" w:hAnsi="宋体" w:cs="宋体" w:eastAsia="宋体" w:hint="default"/>
        </w:rPr>
        <w:t>+</w:t>
      </w:r>
      <w:r>
        <w:rPr/>
        <w:t>绩效奖金</w:t>
      </w:r>
      <w:r>
        <w:rPr>
          <w:rFonts w:ascii="宋体" w:hAnsi="宋体" w:cs="宋体" w:eastAsia="宋体" w:hint="default"/>
        </w:rPr>
        <w:t>+</w:t>
      </w:r>
      <w:r>
        <w:rPr/>
        <w:t>岗位津贴，基本薪酬是根据员工的岗位价值、学历、 技能水平等因素确定，绩效奖金部分充分与公司的年度经营目标相结合，岗位津贴与员工日</w:t>
      </w:r>
      <w:r>
        <w:rPr>
          <w:spacing w:val="-91"/>
        </w:rPr>
        <w:t> </w:t>
      </w:r>
      <w:r>
        <w:rPr>
          <w:spacing w:val="-91"/>
        </w:rPr>
      </w:r>
      <w:r>
        <w:rPr/>
        <w:t>常补贴相结合，根据不同岗位制定不同的绩效考核管理方式，将公司效益与员工利息有效的</w:t>
      </w:r>
      <w:r>
        <w:rPr>
          <w:spacing w:val="-91"/>
        </w:rPr>
        <w:t> </w:t>
      </w:r>
      <w:r>
        <w:rPr>
          <w:spacing w:val="-91"/>
        </w:rPr>
      </w:r>
      <w:r>
        <w:rPr/>
        <w:t>紧密结合。公司通过提供有竞争力的薪酬福利待遇，建立公司与员工合理分享公司发展成果</w:t>
      </w:r>
      <w:r>
        <w:rPr>
          <w:spacing w:val="-91"/>
        </w:rPr>
        <w:t> </w:t>
      </w:r>
      <w:r>
        <w:rPr>
          <w:spacing w:val="-91"/>
        </w:rPr>
      </w:r>
      <w:r>
        <w:rPr/>
        <w:t>的机制，使薪酬与岗位、与个人贡献相匹配。通过“创新、责任、诚信、人和”企业文化的</w:t>
      </w:r>
      <w:r>
        <w:rPr>
          <w:spacing w:val="-87"/>
        </w:rPr>
        <w:t> </w:t>
      </w:r>
      <w:r>
        <w:rPr>
          <w:spacing w:val="-87"/>
        </w:rPr>
      </w:r>
      <w:r>
        <w:rPr/>
        <w:t>建设，努力实现公司及员工个人价值的最大化。</w:t>
      </w:r>
    </w:p>
    <w:p>
      <w:pPr>
        <w:spacing w:line="240" w:lineRule="auto" w:before="5"/>
        <w:rPr>
          <w:rFonts w:ascii="宋体" w:hAnsi="宋体" w:cs="宋体" w:eastAsia="宋体" w:hint="default"/>
          <w:sz w:val="27"/>
          <w:szCs w:val="27"/>
        </w:rPr>
      </w:pPr>
    </w:p>
    <w:p>
      <w:pPr>
        <w:spacing w:before="0"/>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上市公司从事软件与信息技术服务业务》的披露要求</w:t>
      </w:r>
    </w:p>
    <w:p>
      <w:pPr>
        <w:pStyle w:val="BodyText"/>
        <w:spacing w:line="240" w:lineRule="auto" w:before="132"/>
        <w:ind w:left="633" w:right="982"/>
        <w:jc w:val="left"/>
      </w:pPr>
      <w:r>
        <w:rPr/>
        <w:t>公司人员薪酬计入主营业务成本</w:t>
      </w:r>
      <w:r>
        <w:rPr>
          <w:rFonts w:ascii="宋体" w:hAnsi="宋体" w:cs="宋体" w:eastAsia="宋体" w:hint="default"/>
        </w:rPr>
        <w:t>333,409,331.73</w:t>
      </w:r>
      <w:r>
        <w:rPr/>
        <w:t>元，占公司成本总额的</w:t>
      </w:r>
      <w:r>
        <w:rPr>
          <w:rFonts w:ascii="宋体" w:hAnsi="宋体" w:cs="宋体" w:eastAsia="宋体" w:hint="default"/>
        </w:rPr>
        <w:t>36.31%</w:t>
      </w:r>
      <w:r>
        <w:rPr/>
        <w:t>。</w:t>
      </w:r>
    </w:p>
    <w:p>
      <w:pPr>
        <w:spacing w:line="240" w:lineRule="auto" w:before="10"/>
        <w:rPr>
          <w:rFonts w:ascii="宋体" w:hAnsi="宋体" w:cs="宋体" w:eastAsia="宋体" w:hint="default"/>
          <w:sz w:val="30"/>
          <w:szCs w:val="30"/>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、培训计划</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139" w:firstLine="480"/>
        <w:jc w:val="both"/>
      </w:pPr>
      <w:r>
        <w:rPr/>
        <w:t>公司采用内部培训的方式，根据不同岗位制定具体培训计划，以提高员工素质与技能， 加强员工的岗位培训和技能培训，切实提高企业培训实效，实现人力资源增值。同时，为帮</w:t>
      </w:r>
    </w:p>
    <w:p>
      <w:pPr>
        <w:spacing w:after="0" w:line="357" w:lineRule="auto"/>
        <w:jc w:val="both"/>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982"/>
        <w:jc w:val="left"/>
      </w:pPr>
      <w:r>
        <w:rPr/>
        <w:t>助新入职员工增进对公司及工作环境的了解，迅速进入状态，根据当期新员工的数量，不定</w:t>
      </w:r>
      <w:r>
        <w:rPr>
          <w:spacing w:val="-91"/>
        </w:rPr>
        <w:t> </w:t>
      </w:r>
      <w:r>
        <w:rPr>
          <w:spacing w:val="-91"/>
        </w:rPr>
      </w:r>
      <w:r>
        <w:rPr/>
        <w:t>期开展新员工入职培训。</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、劳务外包情况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right="3397"/>
        <w:jc w:val="center"/>
        <w:rPr>
          <w:b w:val="0"/>
          <w:bCs w:val="0"/>
        </w:rPr>
      </w:pPr>
      <w:bookmarkStart w:name="_bookmark7" w:id="8"/>
      <w:bookmarkEnd w:id="8"/>
      <w:r>
        <w:rPr>
          <w:b w:val="0"/>
          <w:bCs w:val="0"/>
        </w:rPr>
      </w:r>
      <w:r>
        <w:rPr/>
        <w:t>第九节</w:t>
      </w:r>
      <w:r>
        <w:rPr>
          <w:spacing w:val="-2"/>
        </w:rPr>
        <w:t> </w:t>
      </w:r>
      <w:r>
        <w:rPr/>
        <w:t>公司治理</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982"/>
        <w:jc w:val="left"/>
        <w:rPr>
          <w:b w:val="0"/>
          <w:bCs w:val="0"/>
        </w:rPr>
      </w:pPr>
      <w:r>
        <w:rPr/>
        <w:t>一、公司治理的基本状况</w:t>
      </w:r>
      <w:r>
        <w:rPr>
          <w:b w:val="0"/>
          <w:bCs w:val="0"/>
        </w:rPr>
      </w:r>
    </w:p>
    <w:p>
      <w:pPr>
        <w:spacing w:line="240" w:lineRule="auto" w:before="8"/>
        <w:rPr>
          <w:rFonts w:ascii="宋体" w:hAnsi="宋体" w:cs="宋体" w:eastAsia="宋体" w:hint="default"/>
          <w:b/>
          <w:bCs/>
          <w:sz w:val="28"/>
          <w:szCs w:val="28"/>
        </w:rPr>
      </w:pPr>
    </w:p>
    <w:p>
      <w:pPr>
        <w:pStyle w:val="BodyText"/>
        <w:spacing w:line="357" w:lineRule="auto" w:before="0"/>
        <w:ind w:right="982" w:firstLine="480"/>
        <w:jc w:val="left"/>
      </w:pPr>
      <w:r>
        <w:rPr/>
        <w:t>报告期内，公司严格按照《公司法》、《证券法》、《上市公司治理准则》、《深圳证 </w:t>
      </w:r>
      <w:r>
        <w:rPr>
          <w:spacing w:val="-3"/>
        </w:rPr>
        <w:t>券交易所创业板股票上市规则》、《深圳证券交易所创业板上市公司规范运作指引》等法律、</w:t>
      </w:r>
      <w:r>
        <w:rPr>
          <w:spacing w:val="-81"/>
        </w:rPr>
        <w:t> </w:t>
      </w:r>
      <w:r>
        <w:rPr>
          <w:spacing w:val="-81"/>
        </w:rPr>
      </w:r>
      <w:r>
        <w:rPr/>
        <w:t>法规和中国证监会有关法律法规等的要求，不断完善公司的法人治理结构，建立健全公司内</w:t>
      </w:r>
      <w:r>
        <w:rPr>
          <w:spacing w:val="-91"/>
        </w:rPr>
        <w:t> </w:t>
      </w:r>
      <w:r>
        <w:rPr>
          <w:spacing w:val="-91"/>
        </w:rPr>
      </w:r>
      <w:r>
        <w:rPr/>
        <w:t>部管理和控制制度，规范运作，严格进行信息披露工作，保护广大投资者利益。</w:t>
      </w:r>
    </w:p>
    <w:p>
      <w:pPr>
        <w:pStyle w:val="BodyText"/>
        <w:spacing w:line="357" w:lineRule="auto"/>
        <w:ind w:right="1139" w:firstLine="480"/>
        <w:jc w:val="both"/>
      </w:pPr>
      <w:r>
        <w:rPr/>
        <w:t>截至报告期末，公司治理的实际情况基本符合中国证监会发布的有关上市公司治理的规 范性文件的要求，已经形成了权力机构、决策机构、监督机构与管理层之间权责分明、各司</w:t>
      </w:r>
      <w:r>
        <w:rPr>
          <w:spacing w:val="-91"/>
        </w:rPr>
        <w:t> </w:t>
      </w:r>
      <w:r>
        <w:rPr>
          <w:spacing w:val="-91"/>
        </w:rPr>
      </w:r>
      <w:r>
        <w:rPr/>
        <w:t>其职、相互制衡、科学决策、协调运作的法人治理结构。</w:t>
      </w:r>
    </w:p>
    <w:p>
      <w:pPr>
        <w:pStyle w:val="BodyText"/>
        <w:spacing w:line="357" w:lineRule="auto"/>
        <w:ind w:left="633" w:right="982"/>
        <w:jc w:val="left"/>
      </w:pPr>
      <w:r>
        <w:rPr>
          <w:rFonts w:ascii="宋体" w:hAnsi="宋体" w:cs="宋体" w:eastAsia="宋体" w:hint="default"/>
        </w:rPr>
        <w:t>1</w:t>
      </w:r>
      <w:r>
        <w:rPr/>
        <w:t>、关于股东与股东大会 公司股东大会均严格按照《上市公司股东大会规则》、《公司章程》、《股东大会议事</w:t>
      </w:r>
    </w:p>
    <w:p>
      <w:pPr>
        <w:pStyle w:val="BodyText"/>
        <w:spacing w:line="357" w:lineRule="auto"/>
        <w:ind w:right="1139"/>
        <w:jc w:val="both"/>
      </w:pPr>
      <w:r>
        <w:rPr/>
        <w:t>规则》等规定召集、召开，平等对待所有股东，并尽可能为股东参加股东大会提供便利，使</w:t>
      </w:r>
      <w:r>
        <w:rPr>
          <w:spacing w:val="-91"/>
        </w:rPr>
        <w:t> </w:t>
      </w:r>
      <w:r>
        <w:rPr>
          <w:spacing w:val="-91"/>
        </w:rPr>
      </w:r>
      <w:r>
        <w:rPr/>
        <w:t>其充分行使股东权利。同时，公司聘请专业律师见证股东大会，确保会议召集召开以及表决</w:t>
      </w:r>
      <w:r>
        <w:rPr>
          <w:spacing w:val="-91"/>
        </w:rPr>
        <w:t> </w:t>
      </w:r>
      <w:r>
        <w:rPr>
          <w:spacing w:val="-91"/>
        </w:rPr>
      </w:r>
      <w:r>
        <w:rPr/>
        <w:t>程序符合相关法律规定，维护股东的合法权益。</w:t>
      </w:r>
    </w:p>
    <w:p>
      <w:pPr>
        <w:pStyle w:val="BodyText"/>
        <w:spacing w:line="357" w:lineRule="auto"/>
        <w:ind w:left="633" w:right="982"/>
        <w:jc w:val="left"/>
      </w:pPr>
      <w:r>
        <w:rPr>
          <w:rFonts w:ascii="宋体" w:hAnsi="宋体" w:cs="宋体" w:eastAsia="宋体" w:hint="default"/>
        </w:rPr>
        <w:t>2</w:t>
      </w:r>
      <w:r>
        <w:rPr/>
        <w:t>、关于公司与控股股东、实际控制人 公司控股股东、实际控制人严格规范自己的行为，没有超越股东大会直接或间接干预公</w:t>
      </w:r>
    </w:p>
    <w:p>
      <w:pPr>
        <w:pStyle w:val="BodyText"/>
        <w:spacing w:line="357" w:lineRule="auto"/>
        <w:ind w:right="996"/>
        <w:jc w:val="left"/>
      </w:pPr>
      <w:r>
        <w:rPr>
          <w:spacing w:val="-2"/>
        </w:rPr>
        <w:t>司的决策和经营活动，未损害公司及其他股东的利益，不存在控股股东占用公司资金的现象，</w:t>
      </w:r>
      <w:r>
        <w:rPr/>
        <w:t> 公司亦无为控股股东提供担保的情形。公司拥有独立完整的业务和自主经营能力，在业务、</w:t>
      </w:r>
      <w:r>
        <w:rPr>
          <w:spacing w:val="-91"/>
        </w:rPr>
        <w:t> </w:t>
      </w:r>
      <w:r>
        <w:rPr>
          <w:spacing w:val="-91"/>
        </w:rPr>
      </w:r>
      <w:r>
        <w:rPr/>
        <w:t>人员、资产、机构、财务上独立于控股股东，公司董事会、监事会和内部机构独立运作。</w:t>
      </w:r>
    </w:p>
    <w:p>
      <w:pPr>
        <w:pStyle w:val="BodyText"/>
        <w:spacing w:line="357" w:lineRule="auto" w:before="37"/>
        <w:ind w:left="633" w:right="982"/>
        <w:jc w:val="left"/>
      </w:pPr>
      <w:r>
        <w:rPr>
          <w:rFonts w:ascii="宋体" w:hAnsi="宋体" w:cs="宋体" w:eastAsia="宋体" w:hint="default"/>
        </w:rPr>
        <w:t>3</w:t>
      </w:r>
      <w:r>
        <w:rPr/>
        <w:t>、关于董事和董事会 公司董事会设董事</w:t>
      </w:r>
      <w:r>
        <w:rPr>
          <w:rFonts w:ascii="宋体" w:hAnsi="宋体" w:cs="宋体" w:eastAsia="宋体" w:hint="default"/>
        </w:rPr>
        <w:t>9</w:t>
      </w:r>
      <w:r>
        <w:rPr/>
        <w:t>名，其中独立董事</w:t>
      </w:r>
      <w:r>
        <w:rPr>
          <w:rFonts w:ascii="宋体" w:hAnsi="宋体" w:cs="宋体" w:eastAsia="宋体" w:hint="default"/>
        </w:rPr>
        <w:t>3</w:t>
      </w:r>
      <w:r>
        <w:rPr/>
        <w:t>名，董事会的人数及人员构成符合法律、法规和</w:t>
      </w:r>
    </w:p>
    <w:p>
      <w:pPr>
        <w:pStyle w:val="BodyText"/>
        <w:spacing w:line="240" w:lineRule="auto"/>
        <w:ind w:right="0"/>
        <w:jc w:val="left"/>
      </w:pPr>
      <w:r>
        <w:rPr/>
        <w:t>《公司章程》的要求。公司董事能够依据《深圳证券交易所创业板上市公司规范运作指引》、</w:t>
      </w:r>
    </w:p>
    <w:p>
      <w:pPr>
        <w:pStyle w:val="BodyText"/>
        <w:spacing w:line="357" w:lineRule="auto" w:before="154"/>
        <w:ind w:right="982"/>
        <w:jc w:val="left"/>
      </w:pPr>
      <w:r>
        <w:rPr/>
        <w:t>《董事会议事规则》、《独立董事工作制度》等开展工作，出席董事会和股东大会，勤勉尽</w:t>
      </w:r>
      <w:r>
        <w:rPr>
          <w:spacing w:val="-91"/>
        </w:rPr>
        <w:t> </w:t>
      </w:r>
      <w:r>
        <w:rPr>
          <w:spacing w:val="-91"/>
        </w:rPr>
      </w:r>
      <w:r>
        <w:rPr/>
        <w:t>责地履行职责和义务，同时积极参加相关培训，熟悉相关法律法规。</w:t>
      </w:r>
    </w:p>
    <w:p>
      <w:pPr>
        <w:pStyle w:val="BodyText"/>
        <w:spacing w:line="357" w:lineRule="auto"/>
        <w:ind w:left="633" w:right="982"/>
        <w:jc w:val="left"/>
      </w:pPr>
      <w:r>
        <w:rPr>
          <w:rFonts w:ascii="宋体" w:hAnsi="宋体" w:cs="宋体" w:eastAsia="宋体" w:hint="default"/>
        </w:rPr>
        <w:t>4</w:t>
      </w:r>
      <w:r>
        <w:rPr/>
        <w:t>、关于监事和监事会 </w:t>
      </w:r>
      <w:r>
        <w:rPr>
          <w:spacing w:val="-3"/>
        </w:rPr>
        <w:t>公司监事会设监事</w:t>
      </w:r>
      <w:r>
        <w:rPr>
          <w:rFonts w:ascii="宋体" w:hAnsi="宋体" w:cs="宋体" w:eastAsia="宋体" w:hint="default"/>
          <w:spacing w:val="-3"/>
        </w:rPr>
        <w:t>3</w:t>
      </w:r>
      <w:r>
        <w:rPr>
          <w:spacing w:val="-3"/>
        </w:rPr>
        <w:t>名，其中职工监事</w:t>
      </w:r>
      <w:r>
        <w:rPr>
          <w:rFonts w:ascii="宋体" w:hAnsi="宋体" w:cs="宋体" w:eastAsia="宋体" w:hint="default"/>
          <w:spacing w:val="-3"/>
        </w:rPr>
        <w:t>1</w:t>
      </w:r>
      <w:r>
        <w:rPr>
          <w:spacing w:val="-3"/>
        </w:rPr>
        <w:t>名，监事会的人数和构成符合法律、法规的要求。</w:t>
      </w:r>
    </w:p>
    <w:p>
      <w:pPr>
        <w:pStyle w:val="BodyText"/>
        <w:spacing w:line="240" w:lineRule="auto"/>
        <w:ind w:right="982"/>
        <w:jc w:val="left"/>
      </w:pPr>
      <w:r>
        <w:rPr/>
        <w:t>公司监事能够按照《深圳证券交易所创业板上市公司规范运作指引》、《监事会议事规则》</w:t>
      </w:r>
    </w:p>
    <w:p>
      <w:pPr>
        <w:spacing w:after="0" w:line="240"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982"/>
        <w:jc w:val="left"/>
      </w:pPr>
      <w:r>
        <w:rPr/>
        <w:t>的要求，认真履行自己的职责，对公司重大事项、财务状况、董事和高级管理人员的履行职</w:t>
      </w:r>
      <w:r>
        <w:rPr>
          <w:spacing w:val="-91"/>
        </w:rPr>
        <w:t> </w:t>
      </w:r>
      <w:r>
        <w:rPr>
          <w:spacing w:val="-91"/>
        </w:rPr>
      </w:r>
      <w:r>
        <w:rPr/>
        <w:t>责的合法合规性进行监督，维护公司及股东的合法权益。</w:t>
      </w:r>
    </w:p>
    <w:p>
      <w:pPr>
        <w:pStyle w:val="BodyText"/>
        <w:spacing w:line="357" w:lineRule="auto"/>
        <w:ind w:left="633" w:right="982"/>
        <w:jc w:val="left"/>
      </w:pPr>
      <w:r>
        <w:rPr>
          <w:rFonts w:ascii="宋体" w:hAnsi="宋体" w:cs="宋体" w:eastAsia="宋体" w:hint="default"/>
        </w:rPr>
        <w:t>5</w:t>
      </w:r>
      <w:r>
        <w:rPr/>
        <w:t>、关于绩效评价与激励约束机制 公司已建立企业绩效激励与评价体系，并不断完善。公司董事、监事和高级管理人员的</w:t>
      </w:r>
    </w:p>
    <w:p>
      <w:pPr>
        <w:pStyle w:val="BodyText"/>
        <w:spacing w:line="357" w:lineRule="auto"/>
        <w:ind w:right="996"/>
        <w:jc w:val="left"/>
      </w:pPr>
      <w:r>
        <w:rPr/>
        <w:t>绩效评价标准和激励约束机制公开、透明，符合法律、法规的规定。公司董事会设立了薪酬</w:t>
      </w:r>
      <w:r>
        <w:rPr>
          <w:spacing w:val="-91"/>
        </w:rPr>
        <w:t> </w:t>
      </w:r>
      <w:r>
        <w:rPr>
          <w:spacing w:val="-91"/>
        </w:rPr>
      </w:r>
      <w:r>
        <w:rPr>
          <w:spacing w:val="-2"/>
        </w:rPr>
        <w:t>与考核委员会，负责薪酬政策及方案的制定与审定。公司高级管理人员均认真履行工作职责，</w:t>
      </w:r>
      <w:r>
        <w:rPr/>
        <w:t> 较好地完成了董事会制定的经营管理任务。</w:t>
      </w:r>
    </w:p>
    <w:p>
      <w:pPr>
        <w:pStyle w:val="BodyText"/>
        <w:spacing w:line="357" w:lineRule="auto" w:before="37"/>
        <w:ind w:left="633" w:right="982"/>
        <w:jc w:val="left"/>
      </w:pPr>
      <w:r>
        <w:rPr>
          <w:rFonts w:ascii="宋体" w:hAnsi="宋体" w:cs="宋体" w:eastAsia="宋体" w:hint="default"/>
        </w:rPr>
        <w:t>6</w:t>
      </w:r>
      <w:r>
        <w:rPr/>
        <w:t>、关于信息披露与透明度 公司严格按照《上市公司信息披露管理办法》、深圳证券交易所创业板上市公司的信息</w:t>
      </w:r>
    </w:p>
    <w:p>
      <w:pPr>
        <w:pStyle w:val="BodyText"/>
        <w:spacing w:line="357" w:lineRule="auto"/>
        <w:ind w:right="1129"/>
        <w:jc w:val="both"/>
      </w:pPr>
      <w:r>
        <w:rPr/>
        <w:t>披露格式指引等规定以及公司制定的《信息披露制度》等要求，真实、准确、及时、公平、</w:t>
      </w:r>
      <w:r>
        <w:rPr>
          <w:spacing w:val="-91"/>
        </w:rPr>
        <w:t> </w:t>
      </w:r>
      <w:r>
        <w:rPr>
          <w:spacing w:val="-91"/>
        </w:rPr>
      </w:r>
      <w:r>
        <w:rPr>
          <w:spacing w:val="-2"/>
        </w:rPr>
        <w:t>完整地披露有关信息；并指定公司董事会秘书负责信息披露工作，协调公司与投资者的关系</w:t>
      </w:r>
      <w:r>
        <w:rPr>
          <w:rFonts w:ascii="宋体" w:hAnsi="宋体" w:cs="宋体" w:eastAsia="宋体" w:hint="default"/>
          <w:spacing w:val="-2"/>
        </w:rPr>
        <w:t>,</w:t>
      </w:r>
      <w:r>
        <w:rPr>
          <w:rFonts w:ascii="宋体" w:hAnsi="宋体" w:cs="宋体" w:eastAsia="宋体" w:hint="default"/>
          <w:spacing w:val="-118"/>
        </w:rPr>
        <w:t> </w:t>
      </w:r>
      <w:r>
        <w:rPr/>
        <w:t>接待股东来访，回答投资者咨询；并指定《中国证券报》、《证券时报》、《证券日报》等</w:t>
      </w:r>
      <w:r>
        <w:rPr>
          <w:spacing w:val="-91"/>
        </w:rPr>
        <w:t> </w:t>
      </w:r>
      <w:r>
        <w:rPr>
          <w:spacing w:val="-91"/>
        </w:rPr>
      </w:r>
      <w:r>
        <w:rPr>
          <w:spacing w:val="-2"/>
        </w:rPr>
        <w:t>法定报纸和巨潮资讯网（</w:t>
      </w:r>
      <w:hyperlink r:id="rId11">
        <w:r>
          <w:rPr>
            <w:rFonts w:ascii="宋体" w:hAnsi="宋体" w:cs="宋体" w:eastAsia="宋体" w:hint="default"/>
            <w:spacing w:val="-2"/>
          </w:rPr>
          <w:t>www.cninfo.com.cn</w:t>
        </w:r>
      </w:hyperlink>
      <w:r>
        <w:rPr>
          <w:spacing w:val="-2"/>
        </w:rPr>
        <w:t>）为公司信息披露的指定报纸和网站，确保公司</w:t>
      </w:r>
      <w:r>
        <w:rPr>
          <w:spacing w:val="-103"/>
        </w:rPr>
        <w:t> </w:t>
      </w:r>
      <w:r>
        <w:rPr>
          <w:spacing w:val="-103"/>
        </w:rPr>
      </w:r>
      <w:r>
        <w:rPr/>
        <w:t>所有股东能够以平等的机会获得信息。</w:t>
      </w:r>
    </w:p>
    <w:p>
      <w:pPr>
        <w:pStyle w:val="BodyText"/>
        <w:spacing w:line="357" w:lineRule="auto"/>
        <w:ind w:left="633" w:right="982"/>
        <w:jc w:val="left"/>
      </w:pPr>
      <w:r>
        <w:rPr>
          <w:rFonts w:ascii="宋体" w:hAnsi="宋体" w:cs="宋体" w:eastAsia="宋体" w:hint="default"/>
        </w:rPr>
        <w:t>7</w:t>
      </w:r>
      <w:r>
        <w:rPr/>
        <w:t>、关于相关利益者 公司充分尊重和维护相关利益者的合法权益，实现社会、股东、公司、员工等各方面利</w:t>
      </w:r>
    </w:p>
    <w:p>
      <w:pPr>
        <w:pStyle w:val="BodyText"/>
        <w:spacing w:line="357" w:lineRule="auto"/>
        <w:ind w:right="982"/>
        <w:jc w:val="left"/>
      </w:pPr>
      <w:r>
        <w:rPr/>
        <w:t>益的协调平衡，诚信对待供应商和客户，坚持与相关利益者互利共赢的原则，共同推动公司</w:t>
      </w:r>
      <w:r>
        <w:rPr>
          <w:spacing w:val="-91"/>
        </w:rPr>
        <w:t> </w:t>
      </w:r>
      <w:r>
        <w:rPr>
          <w:spacing w:val="-91"/>
        </w:rPr>
      </w:r>
      <w:r>
        <w:rPr/>
        <w:t>持续、稳健发展。</w:t>
      </w:r>
    </w:p>
    <w:p>
      <w:pPr>
        <w:spacing w:before="46"/>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公司治理的实际状况与中国证监会发布的有关上市公司治理的规范性文件是否存在重大差异</w:t>
      </w:r>
    </w:p>
    <w:p>
      <w:pPr>
        <w:spacing w:line="340" w:lineRule="auto" w:before="115"/>
        <w:ind w:left="152" w:right="35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 公司治理的实际状况与中国证监会发布的有关上市公司治理的规范性文件不存在重大差异。</w:t>
      </w:r>
    </w:p>
    <w:p>
      <w:pPr>
        <w:spacing w:line="240" w:lineRule="auto" w:before="7"/>
        <w:rPr>
          <w:rFonts w:ascii="宋体" w:hAnsi="宋体" w:cs="宋体" w:eastAsia="宋体" w:hint="default"/>
          <w:sz w:val="19"/>
          <w:szCs w:val="19"/>
        </w:rPr>
      </w:pPr>
    </w:p>
    <w:p>
      <w:pPr>
        <w:pStyle w:val="Heading2"/>
        <w:spacing w:line="240" w:lineRule="auto"/>
        <w:ind w:right="982"/>
        <w:jc w:val="left"/>
        <w:rPr>
          <w:b w:val="0"/>
          <w:bCs w:val="0"/>
        </w:rPr>
      </w:pPr>
      <w:r>
        <w:rPr/>
        <w:t>二、公司相对于控股股东在业务、人员、资产、机构、财务等方面的独立情况</w:t>
      </w:r>
      <w:r>
        <w:rPr>
          <w:b w:val="0"/>
          <w:bCs w:val="0"/>
        </w:rPr>
      </w:r>
    </w:p>
    <w:p>
      <w:pPr>
        <w:spacing w:line="240" w:lineRule="auto" w:before="8"/>
        <w:rPr>
          <w:rFonts w:ascii="宋体" w:hAnsi="宋体" w:cs="宋体" w:eastAsia="宋体" w:hint="default"/>
          <w:b/>
          <w:bCs/>
          <w:sz w:val="28"/>
          <w:szCs w:val="28"/>
        </w:rPr>
      </w:pPr>
    </w:p>
    <w:p>
      <w:pPr>
        <w:pStyle w:val="BodyText"/>
        <w:spacing w:line="357" w:lineRule="auto" w:before="0"/>
        <w:ind w:right="982" w:firstLine="480"/>
        <w:jc w:val="left"/>
      </w:pPr>
      <w:r>
        <w:rPr/>
        <w:t>公司控股股东、实际控制人为自然人，公司与控股股东在业务、人员、资产、机构、财 务方面均保持独立。</w:t>
      </w:r>
    </w:p>
    <w:p>
      <w:pPr>
        <w:spacing w:line="240" w:lineRule="auto" w:before="11"/>
        <w:rPr>
          <w:rFonts w:ascii="宋体" w:hAnsi="宋体" w:cs="宋体" w:eastAsia="宋体" w:hint="default"/>
          <w:sz w:val="19"/>
          <w:szCs w:val="19"/>
        </w:rPr>
      </w:pPr>
    </w:p>
    <w:p>
      <w:pPr>
        <w:pStyle w:val="Heading2"/>
        <w:spacing w:line="240" w:lineRule="auto"/>
        <w:ind w:right="982"/>
        <w:jc w:val="left"/>
        <w:rPr>
          <w:b w:val="0"/>
          <w:bCs w:val="0"/>
        </w:rPr>
      </w:pPr>
      <w:r>
        <w:rPr/>
        <w:t>三、同业竞争情况</w:t>
      </w:r>
      <w:r>
        <w:rPr>
          <w:b w:val="0"/>
          <w:bCs w:val="0"/>
        </w:rPr>
      </w:r>
    </w:p>
    <w:p>
      <w:pPr>
        <w:spacing w:line="240" w:lineRule="auto" w:before="6"/>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四、报告期内召开的年度股东大会和临时股东大会的有关情况</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、本报告期股东大会情况</w:t>
      </w:r>
      <w:r>
        <w:rPr>
          <w:rFonts w:ascii="宋体" w:hAnsi="宋体" w:cs="宋体" w:eastAsia="宋体" w:hint="default"/>
          <w:sz w:val="21"/>
          <w:szCs w:val="21"/>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3"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会议类型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投资者参与比例</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1337"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97" w:lineRule="auto" w:before="125"/>
              <w:ind w:left="24" w:right="72"/>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年第一次临时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36.44%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300" w:lineRule="auto" w:before="74"/>
              <w:ind w:left="24" w:right="97"/>
              <w:jc w:val="left"/>
              <w:rPr>
                <w:rFonts w:ascii="宋体" w:hAnsi="宋体" w:cs="宋体" w:eastAsia="宋体" w:hint="default"/>
                <w:sz w:val="18"/>
                <w:szCs w:val="18"/>
              </w:rPr>
            </w:pPr>
            <w:r>
              <w:rPr>
                <w:rFonts w:ascii="宋体" w:hAnsi="宋体" w:cs="宋体" w:eastAsia="宋体" w:hint="default"/>
                <w:spacing w:val="-2"/>
                <w:sz w:val="18"/>
                <w:szCs w:val="18"/>
              </w:rPr>
              <w:t>（</w:t>
            </w:r>
            <w:hyperlink r:id="rId33">
              <w:r>
                <w:rPr>
                  <w:rFonts w:ascii="Times New Roman" w:hAnsi="Times New Roman" w:cs="Times New Roman" w:eastAsia="Times New Roman" w:hint="default"/>
                  <w:spacing w:val="-2"/>
                  <w:sz w:val="18"/>
                  <w:szCs w:val="18"/>
                </w:rPr>
                <w:t>www.cninfo.com.</w:t>
              </w:r>
            </w:hyperlink>
            <w:r>
              <w:rPr>
                <w:rFonts w:ascii="Times New Roman" w:hAnsi="Times New Roman" w:cs="Times New Roman" w:eastAsia="Times New Roman" w:hint="default"/>
                <w:spacing w:val="-33"/>
                <w:sz w:val="18"/>
                <w:szCs w:val="18"/>
              </w:rPr>
              <w:t> </w:t>
            </w:r>
            <w:r>
              <w:rPr>
                <w:rFonts w:ascii="Times New Roman" w:hAnsi="Times New Roman" w:cs="Times New Roman" w:eastAsia="Times New Roman" w:hint="default"/>
                <w:spacing w:val="-33"/>
                <w:sz w:val="18"/>
                <w:szCs w:val="18"/>
              </w:rPr>
            </w:r>
            <w:r>
              <w:rPr>
                <w:rFonts w:ascii="Times New Roman" w:hAnsi="Times New Roman" w:cs="Times New Roman" w:eastAsia="Times New Roman" w:hint="default"/>
                <w:sz w:val="18"/>
                <w:szCs w:val="18"/>
              </w:rPr>
              <w:t>cn)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公告编号</w:t>
            </w:r>
          </w:p>
          <w:p>
            <w:pPr>
              <w:pStyle w:val="TableParagraph"/>
              <w:spacing w:line="240" w:lineRule="auto" w:before="55"/>
              <w:ind w:left="24" w:right="0"/>
              <w:jc w:val="left"/>
              <w:rPr>
                <w:rFonts w:ascii="Times New Roman" w:hAnsi="Times New Roman" w:cs="Times New Roman" w:eastAsia="Times New Roman" w:hint="default"/>
                <w:sz w:val="18"/>
                <w:szCs w:val="18"/>
              </w:rPr>
            </w:pPr>
            <w:r>
              <w:rPr>
                <w:rFonts w:ascii="Times New Roman"/>
                <w:sz w:val="18"/>
              </w:rPr>
              <w:t>2018-009</w:t>
            </w:r>
          </w:p>
        </w:tc>
      </w:tr>
      <w:tr>
        <w:trPr>
          <w:trHeight w:val="1340"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年度股东大会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36.52%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300" w:lineRule="auto" w:before="77"/>
              <w:ind w:left="24" w:right="97"/>
              <w:jc w:val="left"/>
              <w:rPr>
                <w:rFonts w:ascii="宋体" w:hAnsi="宋体" w:cs="宋体" w:eastAsia="宋体" w:hint="default"/>
                <w:sz w:val="18"/>
                <w:szCs w:val="18"/>
              </w:rPr>
            </w:pPr>
            <w:r>
              <w:rPr>
                <w:rFonts w:ascii="宋体" w:hAnsi="宋体" w:cs="宋体" w:eastAsia="宋体" w:hint="default"/>
                <w:spacing w:val="-2"/>
                <w:sz w:val="18"/>
                <w:szCs w:val="18"/>
              </w:rPr>
              <w:t>（</w:t>
            </w:r>
            <w:hyperlink r:id="rId33">
              <w:r>
                <w:rPr>
                  <w:rFonts w:ascii="Times New Roman" w:hAnsi="Times New Roman" w:cs="Times New Roman" w:eastAsia="Times New Roman" w:hint="default"/>
                  <w:spacing w:val="-2"/>
                  <w:sz w:val="18"/>
                  <w:szCs w:val="18"/>
                </w:rPr>
                <w:t>www.cninfo.com.</w:t>
              </w:r>
            </w:hyperlink>
            <w:r>
              <w:rPr>
                <w:rFonts w:ascii="Times New Roman" w:hAnsi="Times New Roman" w:cs="Times New Roman" w:eastAsia="Times New Roman" w:hint="default"/>
                <w:spacing w:val="-33"/>
                <w:sz w:val="18"/>
                <w:szCs w:val="18"/>
              </w:rPr>
              <w:t> </w:t>
            </w:r>
            <w:r>
              <w:rPr>
                <w:rFonts w:ascii="Times New Roman" w:hAnsi="Times New Roman" w:cs="Times New Roman" w:eastAsia="Times New Roman" w:hint="default"/>
                <w:spacing w:val="-33"/>
                <w:sz w:val="18"/>
                <w:szCs w:val="18"/>
              </w:rPr>
            </w:r>
            <w:r>
              <w:rPr>
                <w:rFonts w:ascii="Times New Roman" w:hAnsi="Times New Roman" w:cs="Times New Roman" w:eastAsia="Times New Roman" w:hint="default"/>
                <w:sz w:val="18"/>
                <w:szCs w:val="18"/>
              </w:rPr>
              <w:t>cn)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公告编号</w:t>
            </w:r>
          </w:p>
          <w:p>
            <w:pPr>
              <w:pStyle w:val="TableParagraph"/>
              <w:spacing w:line="240" w:lineRule="auto" w:before="55"/>
              <w:ind w:left="24" w:right="0"/>
              <w:jc w:val="left"/>
              <w:rPr>
                <w:rFonts w:ascii="Times New Roman" w:hAnsi="Times New Roman" w:cs="Times New Roman" w:eastAsia="Times New Roman" w:hint="default"/>
                <w:sz w:val="18"/>
                <w:szCs w:val="18"/>
              </w:rPr>
            </w:pPr>
            <w:r>
              <w:rPr>
                <w:rFonts w:ascii="Times New Roman"/>
                <w:sz w:val="18"/>
              </w:rPr>
              <w:t>2018-030</w:t>
            </w:r>
          </w:p>
        </w:tc>
      </w:tr>
      <w:tr>
        <w:trPr>
          <w:trHeight w:val="1337"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97" w:lineRule="auto" w:before="125"/>
              <w:ind w:left="24" w:right="72"/>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年第二次临时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36.47%</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300" w:lineRule="auto" w:before="74"/>
              <w:ind w:left="24" w:right="97"/>
              <w:jc w:val="left"/>
              <w:rPr>
                <w:rFonts w:ascii="宋体" w:hAnsi="宋体" w:cs="宋体" w:eastAsia="宋体" w:hint="default"/>
                <w:sz w:val="18"/>
                <w:szCs w:val="18"/>
              </w:rPr>
            </w:pPr>
            <w:r>
              <w:rPr>
                <w:rFonts w:ascii="宋体" w:hAnsi="宋体" w:cs="宋体" w:eastAsia="宋体" w:hint="default"/>
                <w:spacing w:val="-2"/>
                <w:sz w:val="18"/>
                <w:szCs w:val="18"/>
              </w:rPr>
              <w:t>（</w:t>
            </w:r>
            <w:hyperlink r:id="rId33">
              <w:r>
                <w:rPr>
                  <w:rFonts w:ascii="Times New Roman" w:hAnsi="Times New Roman" w:cs="Times New Roman" w:eastAsia="Times New Roman" w:hint="default"/>
                  <w:spacing w:val="-2"/>
                  <w:sz w:val="18"/>
                  <w:szCs w:val="18"/>
                </w:rPr>
                <w:t>www.cninfo.com.</w:t>
              </w:r>
            </w:hyperlink>
            <w:r>
              <w:rPr>
                <w:rFonts w:ascii="Times New Roman" w:hAnsi="Times New Roman" w:cs="Times New Roman" w:eastAsia="Times New Roman" w:hint="default"/>
                <w:spacing w:val="-33"/>
                <w:sz w:val="18"/>
                <w:szCs w:val="18"/>
              </w:rPr>
              <w:t> </w:t>
            </w:r>
            <w:r>
              <w:rPr>
                <w:rFonts w:ascii="Times New Roman" w:hAnsi="Times New Roman" w:cs="Times New Roman" w:eastAsia="Times New Roman" w:hint="default"/>
                <w:spacing w:val="-33"/>
                <w:sz w:val="18"/>
                <w:szCs w:val="18"/>
              </w:rPr>
            </w:r>
            <w:r>
              <w:rPr>
                <w:rFonts w:ascii="Times New Roman" w:hAnsi="Times New Roman" w:cs="Times New Roman" w:eastAsia="Times New Roman" w:hint="default"/>
                <w:sz w:val="18"/>
                <w:szCs w:val="18"/>
              </w:rPr>
              <w:t>cn)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公告编号</w:t>
            </w:r>
          </w:p>
          <w:p>
            <w:pPr>
              <w:pStyle w:val="TableParagraph"/>
              <w:spacing w:line="240" w:lineRule="auto" w:before="55"/>
              <w:ind w:left="24" w:right="0"/>
              <w:jc w:val="left"/>
              <w:rPr>
                <w:rFonts w:ascii="Times New Roman" w:hAnsi="Times New Roman" w:cs="Times New Roman" w:eastAsia="Times New Roman" w:hint="default"/>
                <w:sz w:val="18"/>
                <w:szCs w:val="18"/>
              </w:rPr>
            </w:pPr>
            <w:r>
              <w:rPr>
                <w:rFonts w:ascii="Times New Roman"/>
                <w:sz w:val="18"/>
              </w:rPr>
              <w:t>2018-042</w:t>
            </w:r>
          </w:p>
        </w:tc>
      </w:tr>
      <w:tr>
        <w:trPr>
          <w:trHeight w:val="1340"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00" w:lineRule="auto" w:before="125"/>
              <w:ind w:left="24" w:right="72"/>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年第三次临时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36.11%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4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4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300" w:lineRule="auto" w:before="76"/>
              <w:ind w:left="24" w:right="97"/>
              <w:jc w:val="left"/>
              <w:rPr>
                <w:rFonts w:ascii="宋体" w:hAnsi="宋体" w:cs="宋体" w:eastAsia="宋体" w:hint="default"/>
                <w:sz w:val="18"/>
                <w:szCs w:val="18"/>
              </w:rPr>
            </w:pPr>
            <w:r>
              <w:rPr>
                <w:rFonts w:ascii="宋体" w:hAnsi="宋体" w:cs="宋体" w:eastAsia="宋体" w:hint="default"/>
                <w:spacing w:val="-2"/>
                <w:sz w:val="18"/>
                <w:szCs w:val="18"/>
              </w:rPr>
              <w:t>（</w:t>
            </w:r>
            <w:hyperlink r:id="rId33">
              <w:r>
                <w:rPr>
                  <w:rFonts w:ascii="Times New Roman" w:hAnsi="Times New Roman" w:cs="Times New Roman" w:eastAsia="Times New Roman" w:hint="default"/>
                  <w:spacing w:val="-2"/>
                  <w:sz w:val="18"/>
                  <w:szCs w:val="18"/>
                </w:rPr>
                <w:t>www.cninfo.com.</w:t>
              </w:r>
            </w:hyperlink>
            <w:r>
              <w:rPr>
                <w:rFonts w:ascii="Times New Roman" w:hAnsi="Times New Roman" w:cs="Times New Roman" w:eastAsia="Times New Roman" w:hint="default"/>
                <w:spacing w:val="-33"/>
                <w:sz w:val="18"/>
                <w:szCs w:val="18"/>
              </w:rPr>
              <w:t> </w:t>
            </w:r>
            <w:r>
              <w:rPr>
                <w:rFonts w:ascii="Times New Roman" w:hAnsi="Times New Roman" w:cs="Times New Roman" w:eastAsia="Times New Roman" w:hint="default"/>
                <w:spacing w:val="-33"/>
                <w:sz w:val="18"/>
                <w:szCs w:val="18"/>
              </w:rPr>
            </w:r>
            <w:r>
              <w:rPr>
                <w:rFonts w:ascii="Times New Roman" w:hAnsi="Times New Roman" w:cs="Times New Roman" w:eastAsia="Times New Roman" w:hint="default"/>
                <w:sz w:val="18"/>
                <w:szCs w:val="18"/>
              </w:rPr>
              <w:t>cn)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公告编号</w:t>
            </w:r>
          </w:p>
          <w:p>
            <w:pPr>
              <w:pStyle w:val="TableParagraph"/>
              <w:spacing w:line="240" w:lineRule="auto" w:before="55"/>
              <w:ind w:left="24" w:right="0"/>
              <w:jc w:val="left"/>
              <w:rPr>
                <w:rFonts w:ascii="Times New Roman" w:hAnsi="Times New Roman" w:cs="Times New Roman" w:eastAsia="Times New Roman" w:hint="default"/>
                <w:sz w:val="18"/>
                <w:szCs w:val="18"/>
              </w:rPr>
            </w:pPr>
            <w:r>
              <w:rPr>
                <w:rFonts w:ascii="Times New Roman"/>
                <w:sz w:val="18"/>
              </w:rPr>
              <w:t>2018-077</w:t>
            </w:r>
          </w:p>
        </w:tc>
      </w:tr>
    </w:tbl>
    <w:p>
      <w:pPr>
        <w:spacing w:line="240" w:lineRule="auto" w:before="3"/>
        <w:rPr>
          <w:rFonts w:ascii="宋体" w:hAnsi="宋体" w:cs="宋体" w:eastAsia="宋体" w:hint="default"/>
          <w:b/>
          <w:bCs/>
          <w:sz w:val="19"/>
          <w:szCs w:val="19"/>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、表决权恢复的优先股股东请求召开临时股东大会</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982"/>
        <w:jc w:val="left"/>
        <w:rPr>
          <w:b w:val="0"/>
          <w:bCs w:val="0"/>
        </w:rPr>
      </w:pPr>
      <w:r>
        <w:rPr/>
        <w:t>五、报告期内独立董事履行职责的情况</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、独立董事出席董事会及股东大会的情况</w:t>
      </w:r>
      <w:r>
        <w:rPr>
          <w:rFonts w:ascii="宋体" w:hAnsi="宋体" w:cs="宋体" w:eastAsia="宋体" w:hint="default"/>
          <w:sz w:val="21"/>
          <w:szCs w:val="21"/>
        </w:rPr>
      </w:r>
    </w:p>
    <w:p>
      <w:pPr>
        <w:spacing w:line="240" w:lineRule="auto" w:before="8"/>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428"/>
        <w:gridCol w:w="1164"/>
        <w:gridCol w:w="1165"/>
        <w:gridCol w:w="1162"/>
        <w:gridCol w:w="1164"/>
        <w:gridCol w:w="1162"/>
        <w:gridCol w:w="1165"/>
        <w:gridCol w:w="1164"/>
      </w:tblGrid>
      <w:tr>
        <w:trPr>
          <w:trHeight w:val="403" w:hRule="exact"/>
        </w:trPr>
        <w:tc>
          <w:tcPr>
            <w:tcW w:w="957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2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68"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8" w:right="35"/>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07" w:right="34" w:hanging="270"/>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5" w:right="35"/>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07" w:right="36" w:hanging="272"/>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487" w:right="35" w:hanging="452"/>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5" w:right="38"/>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96" w:right="36"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3"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刘先林</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9</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7</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2</w:t>
            </w:r>
          </w:p>
        </w:tc>
      </w:tr>
      <w:tr>
        <w:trPr>
          <w:trHeight w:val="401"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邬伦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2</w:t>
            </w:r>
          </w:p>
        </w:tc>
      </w:tr>
      <w:tr>
        <w:trPr>
          <w:trHeight w:val="403"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叶金福</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9</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7</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2</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连续两次未亲自出席董事会的说明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、独立董事对公司有关事项提出异议的情况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宋体" w:hAnsi="宋体" w:cs="宋体" w:eastAsia="宋体" w:hint="default"/>
          <w:sz w:val="18"/>
          <w:szCs w:val="18"/>
        </w:rPr>
        <w:t>独立董事对公司有关事项是否提出异议</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5"/>
          <w:szCs w:val="25"/>
        </w:rPr>
      </w:pPr>
    </w:p>
    <w:p>
      <w:pPr>
        <w:spacing w:line="340" w:lineRule="auto" w:before="44"/>
        <w:ind w:left="152" w:right="69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 报告期内独立董事对公司有关事项未提出异议。</w:t>
      </w:r>
    </w:p>
    <w:p>
      <w:pPr>
        <w:spacing w:line="240" w:lineRule="auto" w:before="3"/>
        <w:rPr>
          <w:rFonts w:ascii="宋体" w:hAnsi="宋体" w:cs="宋体" w:eastAsia="宋体" w:hint="default"/>
          <w:sz w:val="21"/>
          <w:szCs w:val="21"/>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、独立董事履行职责的其他说明</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0" w:firstLine="0"/>
        <w:jc w:val="both"/>
        <w:rPr>
          <w:rFonts w:ascii="宋体" w:hAnsi="宋体" w:cs="宋体" w:eastAsia="宋体" w:hint="default"/>
          <w:sz w:val="18"/>
          <w:szCs w:val="18"/>
        </w:rPr>
      </w:pPr>
      <w:r>
        <w:rPr>
          <w:rFonts w:ascii="宋体" w:hAnsi="宋体" w:cs="宋体" w:eastAsia="宋体" w:hint="default"/>
          <w:sz w:val="18"/>
          <w:szCs w:val="18"/>
        </w:rPr>
        <w:t>独立董事对公司有关建议是否被采纳</w:t>
      </w:r>
    </w:p>
    <w:p>
      <w:pPr>
        <w:spacing w:line="340" w:lineRule="auto" w:before="117"/>
        <w:ind w:left="152" w:right="679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否 独立董事对公司有关建议被采纳或未被采纳的说明</w:t>
      </w:r>
    </w:p>
    <w:p>
      <w:pPr>
        <w:pStyle w:val="BodyText"/>
        <w:spacing w:line="357" w:lineRule="auto" w:before="70"/>
        <w:ind w:right="1139" w:firstLine="480"/>
        <w:jc w:val="both"/>
      </w:pPr>
      <w:r>
        <w:rPr/>
        <w:t>公司独立董事勤勉尽责，严格按照中国证监会的相关规定及《公司章程》、《董事会议 事规则》和《独立董事制度》开展工作，关注公司运作，独立履行职责，对公司内部控制建</w:t>
      </w:r>
      <w:r>
        <w:rPr>
          <w:spacing w:val="-91"/>
        </w:rPr>
        <w:t> </w:t>
      </w:r>
      <w:r>
        <w:rPr>
          <w:spacing w:val="-91"/>
        </w:rPr>
      </w:r>
      <w:r>
        <w:rPr/>
        <w:t>设、管理体系建设等重大决策等方面提出了很多宝贵的专业性建议，对公司财务及生产经营</w:t>
      </w:r>
      <w:r>
        <w:rPr>
          <w:spacing w:val="-91"/>
        </w:rPr>
        <w:t> </w:t>
      </w:r>
      <w:r>
        <w:rPr>
          <w:spacing w:val="-91"/>
        </w:rPr>
      </w:r>
      <w:r>
        <w:rPr/>
        <w:t>活动进行了有效监督，对于每个需要发表独立意见的事项会结合自身经验和专业背景提出意</w:t>
      </w:r>
      <w:r>
        <w:rPr>
          <w:spacing w:val="-91"/>
        </w:rPr>
        <w:t> </w:t>
      </w:r>
      <w:r>
        <w:rPr>
          <w:spacing w:val="-91"/>
        </w:rPr>
      </w:r>
      <w:r>
        <w:rPr/>
        <w:t>见，提高了公司决策的科学性，为完善公司监督机制，维护公司和全体股东的合法权益发挥</w:t>
      </w:r>
      <w:r>
        <w:rPr>
          <w:spacing w:val="-91"/>
        </w:rPr>
        <w:t> </w:t>
      </w:r>
      <w:r>
        <w:rPr>
          <w:spacing w:val="-91"/>
        </w:rPr>
      </w:r>
      <w:r>
        <w:rPr/>
        <w:t>了应有的作用。</w:t>
      </w:r>
    </w:p>
    <w:p>
      <w:pPr>
        <w:spacing w:line="240" w:lineRule="auto" w:before="11"/>
        <w:rPr>
          <w:rFonts w:ascii="宋体" w:hAnsi="宋体" w:cs="宋体" w:eastAsia="宋体" w:hint="default"/>
          <w:sz w:val="19"/>
          <w:szCs w:val="19"/>
        </w:rPr>
      </w:pPr>
    </w:p>
    <w:p>
      <w:pPr>
        <w:pStyle w:val="Heading2"/>
        <w:spacing w:line="240" w:lineRule="auto"/>
        <w:ind w:right="0"/>
        <w:jc w:val="both"/>
        <w:rPr>
          <w:b w:val="0"/>
          <w:bCs w:val="0"/>
        </w:rPr>
      </w:pPr>
      <w:r>
        <w:rPr/>
        <w:t>六、董事会下设专门委员会在报告期内履行职责情况</w:t>
      </w:r>
      <w:r>
        <w:rPr>
          <w:b w:val="0"/>
          <w:bCs w:val="0"/>
        </w:rPr>
      </w:r>
    </w:p>
    <w:p>
      <w:pPr>
        <w:spacing w:line="240" w:lineRule="auto" w:before="11"/>
        <w:rPr>
          <w:rFonts w:ascii="宋体" w:hAnsi="宋体" w:cs="宋体" w:eastAsia="宋体" w:hint="default"/>
          <w:b/>
          <w:bCs/>
          <w:sz w:val="28"/>
          <w:szCs w:val="28"/>
        </w:rPr>
      </w:pPr>
    </w:p>
    <w:p>
      <w:pPr>
        <w:pStyle w:val="BodyText"/>
        <w:spacing w:line="357" w:lineRule="auto" w:before="0"/>
        <w:ind w:right="1137" w:firstLine="480"/>
        <w:jc w:val="both"/>
      </w:pPr>
      <w:r>
        <w:rPr/>
        <w:t>公司董事会下设发展战略委员会、审计委员会、薪酬与考核委员会和提名委员会四个专 门委员会。</w:t>
      </w:r>
    </w:p>
    <w:p>
      <w:pPr>
        <w:pStyle w:val="BodyText"/>
        <w:spacing w:line="357" w:lineRule="auto"/>
        <w:ind w:left="633" w:right="982"/>
        <w:jc w:val="left"/>
      </w:pPr>
      <w:r>
        <w:rPr>
          <w:rFonts w:ascii="宋体" w:hAnsi="宋体" w:cs="宋体" w:eastAsia="宋体" w:hint="default"/>
        </w:rPr>
        <w:t>1</w:t>
      </w:r>
      <w:r>
        <w:rPr/>
        <w:t>、发展战略委员会 报告期内，公司发展战略委员会按照《董事会发展战略委员会工作规则》的相关要求履</w:t>
      </w:r>
    </w:p>
    <w:p>
      <w:pPr>
        <w:pStyle w:val="BodyText"/>
        <w:spacing w:line="357" w:lineRule="auto"/>
        <w:ind w:right="1139"/>
        <w:jc w:val="both"/>
      </w:pPr>
      <w:r>
        <w:rPr/>
        <w:t>行工作职责，召开一次发展战略委员会会议，对公司长期发展战略规划、年度预算、决算登</w:t>
      </w:r>
      <w:r>
        <w:rPr>
          <w:spacing w:val="-91"/>
        </w:rPr>
        <w:t> </w:t>
      </w:r>
      <w:r>
        <w:rPr>
          <w:spacing w:val="-91"/>
        </w:rPr>
      </w:r>
      <w:r>
        <w:rPr/>
        <w:t>进行审议，同时对公司业务、技术和产品的总体发展方向进行规划，对其他影响公司发展的</w:t>
      </w:r>
      <w:r>
        <w:rPr>
          <w:spacing w:val="-91"/>
        </w:rPr>
        <w:t> </w:t>
      </w:r>
      <w:r>
        <w:rPr>
          <w:spacing w:val="-91"/>
        </w:rPr>
      </w:r>
      <w:r>
        <w:rPr/>
        <w:t>重大事项进行研究并提出建议，进一步提高公司战略决策的合理性和科学性。</w:t>
      </w:r>
    </w:p>
    <w:p>
      <w:pPr>
        <w:pStyle w:val="BodyText"/>
        <w:spacing w:line="357" w:lineRule="auto"/>
        <w:ind w:left="633" w:right="982"/>
        <w:jc w:val="left"/>
      </w:pPr>
      <w:r>
        <w:rPr>
          <w:rFonts w:ascii="宋体" w:hAnsi="宋体" w:cs="宋体" w:eastAsia="宋体" w:hint="default"/>
        </w:rPr>
        <w:t>2</w:t>
      </w:r>
      <w:r>
        <w:rPr/>
        <w:t>、审计委员会 报告期内，公司审计委员会按照《审计委员会工作规则》的相关要求，认真履行工作职</w:t>
      </w:r>
    </w:p>
    <w:p>
      <w:pPr>
        <w:pStyle w:val="BodyText"/>
        <w:spacing w:line="357" w:lineRule="auto"/>
        <w:ind w:right="1135"/>
        <w:jc w:val="both"/>
      </w:pPr>
      <w:r>
        <w:rPr/>
        <w:t>责，监督公司内部控制，审核公司财务信息及披露情况。年报披露期间与审计会计师进行沟</w:t>
      </w:r>
      <w:r>
        <w:rPr>
          <w:spacing w:val="-87"/>
        </w:rPr>
        <w:t> </w:t>
      </w:r>
      <w:r>
        <w:rPr>
          <w:spacing w:val="-87"/>
        </w:rPr>
      </w:r>
      <w:r>
        <w:rPr/>
        <w:t>通，制定年度审计计划并对年度审计工作进行安排，就审计过程中的问题与相关人员进行了</w:t>
      </w:r>
      <w:r>
        <w:rPr>
          <w:spacing w:val="-91"/>
        </w:rPr>
        <w:t> </w:t>
      </w:r>
      <w:r>
        <w:rPr>
          <w:spacing w:val="-91"/>
        </w:rPr>
      </w:r>
      <w:r>
        <w:rPr/>
        <w:t>有效沟通，保证公司年报及审计工作顺利完成。</w:t>
      </w:r>
      <w:r>
        <w:rPr>
          <w:rFonts w:ascii="宋体" w:hAnsi="宋体" w:cs="宋体" w:eastAsia="宋体" w:hint="default"/>
        </w:rPr>
        <w:t>2018</w:t>
      </w:r>
      <w:r>
        <w:rPr/>
        <w:t>年，审计委员会共召开了四次会议，重</w:t>
      </w:r>
      <w:r>
        <w:rPr>
          <w:spacing w:val="-89"/>
        </w:rPr>
        <w:t> </w:t>
      </w:r>
      <w:r>
        <w:rPr>
          <w:spacing w:val="-89"/>
        </w:rPr>
      </w:r>
      <w:r>
        <w:rPr/>
        <w:t>点对公司定期财务报告、募集资金使用情况、内部控制制度对等事项进行审议。</w:t>
      </w:r>
    </w:p>
    <w:p>
      <w:pPr>
        <w:pStyle w:val="BodyText"/>
        <w:spacing w:line="357" w:lineRule="auto"/>
        <w:ind w:left="633" w:right="982"/>
        <w:jc w:val="left"/>
      </w:pPr>
      <w:r>
        <w:rPr>
          <w:rFonts w:ascii="宋体" w:hAnsi="宋体" w:cs="宋体" w:eastAsia="宋体" w:hint="default"/>
        </w:rPr>
        <w:t>3</w:t>
      </w:r>
      <w:r>
        <w:rPr/>
        <w:t>、薪酬与考核委员会 报告期内，公司薪酬与考核委员会按照《薪酬与考核委员工作规则》的相关要求，对公</w:t>
      </w:r>
    </w:p>
    <w:p>
      <w:pPr>
        <w:pStyle w:val="BodyText"/>
        <w:spacing w:line="240" w:lineRule="auto"/>
        <w:ind w:right="0"/>
        <w:jc w:val="both"/>
      </w:pPr>
      <w:r>
        <w:rPr/>
        <w:t>司薪酬及绩效考核情况进行监督，审查董事和高级管理人员的薪酬及绩效考核方案，并提交</w:t>
      </w:r>
    </w:p>
    <w:p>
      <w:pPr>
        <w:spacing w:after="0" w:line="240" w:lineRule="auto"/>
        <w:jc w:val="both"/>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33"/>
        <w:jc w:val="both"/>
      </w:pPr>
      <w:r>
        <w:rPr/>
        <w:t>董事会审核。同时组织对董事、高级管理人员进行业绩考核，对考核和评价标准提出建议，</w:t>
      </w:r>
      <w:r>
        <w:rPr>
          <w:spacing w:val="-86"/>
        </w:rPr>
        <w:t> </w:t>
      </w:r>
      <w:r>
        <w:rPr>
          <w:spacing w:val="-86"/>
        </w:rPr>
      </w:r>
      <w:r>
        <w:rPr/>
        <w:t>促进公司进一步提高薪酬与绩效考核工作的科学性和实效性。</w:t>
      </w:r>
      <w:r>
        <w:rPr>
          <w:rFonts w:ascii="宋体" w:hAnsi="宋体" w:cs="宋体" w:eastAsia="宋体" w:hint="default"/>
        </w:rPr>
        <w:t>2018</w:t>
      </w:r>
      <w:r>
        <w:rPr/>
        <w:t>年度，薪酬与考核委员会</w:t>
      </w:r>
      <w:r>
        <w:rPr>
          <w:spacing w:val="-88"/>
        </w:rPr>
        <w:t> </w:t>
      </w:r>
      <w:r>
        <w:rPr>
          <w:spacing w:val="-88"/>
        </w:rPr>
      </w:r>
      <w:r>
        <w:rPr/>
        <w:t>召开了两次会议，对公司高级管理人员的薪酬进行和股权激励相关事项进行考核。</w:t>
      </w:r>
    </w:p>
    <w:p>
      <w:pPr>
        <w:pStyle w:val="BodyText"/>
        <w:spacing w:line="357" w:lineRule="auto"/>
        <w:ind w:left="633" w:right="982"/>
        <w:jc w:val="left"/>
      </w:pPr>
      <w:r>
        <w:rPr>
          <w:rFonts w:ascii="宋体" w:hAnsi="宋体" w:cs="宋体" w:eastAsia="宋体" w:hint="default"/>
        </w:rPr>
        <w:t>4</w:t>
      </w:r>
      <w:r>
        <w:rPr/>
        <w:t>、提名委员会 报告期内，公司提名委员会按照《提名委员会工作规则》的相关要求认真履职，对公司</w:t>
      </w:r>
    </w:p>
    <w:p>
      <w:pPr>
        <w:pStyle w:val="BodyText"/>
        <w:spacing w:line="357" w:lineRule="auto"/>
        <w:ind w:right="982"/>
        <w:jc w:val="left"/>
      </w:pPr>
      <w:r>
        <w:rPr/>
        <w:t>董事、高级管理人员工作情况进行了评估，认为公司董事会人员结构合理，高管团队具有丰</w:t>
      </w:r>
      <w:r>
        <w:rPr>
          <w:spacing w:val="-91"/>
        </w:rPr>
        <w:t> </w:t>
      </w:r>
      <w:r>
        <w:rPr>
          <w:spacing w:val="-91"/>
        </w:rPr>
      </w:r>
      <w:r>
        <w:rPr/>
        <w:t>富的行业经验和管理经验，能够胜任各自的工作。</w:t>
      </w:r>
    </w:p>
    <w:p>
      <w:pPr>
        <w:spacing w:line="240" w:lineRule="auto" w:before="12"/>
        <w:rPr>
          <w:rFonts w:ascii="宋体" w:hAnsi="宋体" w:cs="宋体" w:eastAsia="宋体" w:hint="default"/>
          <w:sz w:val="19"/>
          <w:szCs w:val="19"/>
        </w:rPr>
      </w:pPr>
    </w:p>
    <w:p>
      <w:pPr>
        <w:pStyle w:val="Heading2"/>
        <w:spacing w:line="240" w:lineRule="auto"/>
        <w:ind w:right="0"/>
        <w:jc w:val="both"/>
        <w:rPr>
          <w:b w:val="0"/>
          <w:bCs w:val="0"/>
        </w:rPr>
      </w:pPr>
      <w:r>
        <w:rPr/>
        <w:t>七、监事会工作情况</w:t>
      </w:r>
      <w:r>
        <w:rPr>
          <w:b w:val="0"/>
          <w:bCs w:val="0"/>
        </w:rPr>
      </w:r>
    </w:p>
    <w:p>
      <w:pPr>
        <w:spacing w:line="240" w:lineRule="auto" w:before="6"/>
        <w:rPr>
          <w:rFonts w:ascii="宋体" w:hAnsi="宋体" w:cs="宋体" w:eastAsia="宋体" w:hint="default"/>
          <w:b/>
          <w:bCs/>
          <w:sz w:val="26"/>
          <w:szCs w:val="26"/>
        </w:rPr>
      </w:pPr>
    </w:p>
    <w:p>
      <w:pPr>
        <w:spacing w:before="0"/>
        <w:ind w:left="152" w:right="0" w:firstLine="0"/>
        <w:jc w:val="both"/>
        <w:rPr>
          <w:rFonts w:ascii="宋体" w:hAnsi="宋体" w:cs="宋体" w:eastAsia="宋体" w:hint="default"/>
          <w:sz w:val="18"/>
          <w:szCs w:val="18"/>
        </w:rPr>
      </w:pPr>
      <w:r>
        <w:rPr>
          <w:rFonts w:ascii="宋体" w:hAnsi="宋体" w:cs="宋体" w:eastAsia="宋体" w:hint="default"/>
          <w:sz w:val="18"/>
          <w:szCs w:val="18"/>
        </w:rPr>
        <w:t>监事会在报告期内的监督活动中发现公司是否存在风险</w:t>
      </w:r>
    </w:p>
    <w:p>
      <w:pPr>
        <w:spacing w:line="340" w:lineRule="auto" w:before="115"/>
        <w:ind w:left="152" w:right="73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 公司监事会对报告期内的监督事项无异议。</w:t>
      </w:r>
    </w:p>
    <w:p>
      <w:pPr>
        <w:spacing w:line="240" w:lineRule="auto" w:before="6"/>
        <w:rPr>
          <w:rFonts w:ascii="宋体" w:hAnsi="宋体" w:cs="宋体" w:eastAsia="宋体" w:hint="default"/>
          <w:sz w:val="19"/>
          <w:szCs w:val="19"/>
        </w:rPr>
      </w:pPr>
    </w:p>
    <w:p>
      <w:pPr>
        <w:pStyle w:val="Heading2"/>
        <w:spacing w:line="240" w:lineRule="auto"/>
        <w:ind w:right="0"/>
        <w:jc w:val="both"/>
        <w:rPr>
          <w:b w:val="0"/>
          <w:bCs w:val="0"/>
        </w:rPr>
      </w:pPr>
      <w:r>
        <w:rPr/>
        <w:t>八、高级管理人员的考评及激励情况</w:t>
      </w:r>
      <w:r>
        <w:rPr>
          <w:b w:val="0"/>
          <w:bCs w:val="0"/>
        </w:rPr>
      </w:r>
    </w:p>
    <w:p>
      <w:pPr>
        <w:spacing w:line="240" w:lineRule="auto" w:before="8"/>
        <w:rPr>
          <w:rFonts w:ascii="宋体" w:hAnsi="宋体" w:cs="宋体" w:eastAsia="宋体" w:hint="default"/>
          <w:b/>
          <w:bCs/>
          <w:sz w:val="28"/>
          <w:szCs w:val="28"/>
        </w:rPr>
      </w:pPr>
    </w:p>
    <w:p>
      <w:pPr>
        <w:pStyle w:val="BodyText"/>
        <w:spacing w:line="357" w:lineRule="auto" w:before="0"/>
        <w:ind w:right="1139" w:firstLine="480"/>
        <w:jc w:val="both"/>
      </w:pPr>
      <w:r>
        <w:rPr/>
        <w:t>公司建立了完善的高级管理人员绩效管理体系，明确了高级管理人员考核、晋升、培训 和奖惩激励机制，有效的提升了公司治理水平，进一步完善高级管理人员绩效评价和激励、</w:t>
      </w:r>
      <w:r>
        <w:rPr>
          <w:spacing w:val="-91"/>
        </w:rPr>
        <w:t> </w:t>
      </w:r>
      <w:r>
        <w:rPr>
          <w:spacing w:val="-91"/>
        </w:rPr>
      </w:r>
      <w:r>
        <w:rPr/>
        <w:t>约束机制，最大限度地调动公司高级管理人员的积极性及创造性，确保公司各项业务的顺利</w:t>
      </w:r>
      <w:r>
        <w:rPr>
          <w:spacing w:val="-91"/>
        </w:rPr>
        <w:t> </w:t>
      </w:r>
      <w:r>
        <w:rPr>
          <w:spacing w:val="-91"/>
        </w:rPr>
      </w:r>
      <w:r>
        <w:rPr/>
        <w:t>开展，促进了公司业绩稳定持续发展，更好维护广大投资者的根本利益。</w:t>
      </w:r>
    </w:p>
    <w:p>
      <w:pPr>
        <w:spacing w:line="240" w:lineRule="auto" w:before="11"/>
        <w:rPr>
          <w:rFonts w:ascii="宋体" w:hAnsi="宋体" w:cs="宋体" w:eastAsia="宋体" w:hint="default"/>
          <w:sz w:val="19"/>
          <w:szCs w:val="19"/>
        </w:rPr>
      </w:pPr>
    </w:p>
    <w:p>
      <w:pPr>
        <w:pStyle w:val="Heading2"/>
        <w:spacing w:line="240" w:lineRule="auto"/>
        <w:ind w:right="0"/>
        <w:jc w:val="both"/>
        <w:rPr>
          <w:b w:val="0"/>
          <w:bCs w:val="0"/>
        </w:rPr>
      </w:pPr>
      <w:r>
        <w:rPr/>
        <w:t>九、内部控制评价报告</w:t>
      </w:r>
      <w:r>
        <w:rPr>
          <w:b w:val="0"/>
          <w:bCs w:val="0"/>
        </w:rPr>
      </w:r>
    </w:p>
    <w:p>
      <w:pPr>
        <w:spacing w:line="240" w:lineRule="auto" w:before="12"/>
        <w:rPr>
          <w:rFonts w:ascii="宋体" w:hAnsi="宋体" w:cs="宋体" w:eastAsia="宋体" w:hint="default"/>
          <w:b/>
          <w:bCs/>
          <w:sz w:val="24"/>
          <w:szCs w:val="24"/>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、报告期内发现的内部控制重大缺陷的具体情况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w:t>
      </w:r>
    </w:p>
    <w:p>
      <w:pPr>
        <w:spacing w:line="240" w:lineRule="auto" w:before="3"/>
        <w:rPr>
          <w:rFonts w:ascii="宋体" w:hAnsi="宋体" w:cs="宋体" w:eastAsia="宋体" w:hint="default"/>
          <w:sz w:val="26"/>
          <w:szCs w:val="26"/>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、内控自我评价报告</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79"/>
        <w:gridCol w:w="3329"/>
        <w:gridCol w:w="3051"/>
      </w:tblGrid>
      <w:tr>
        <w:trPr>
          <w:trHeight w:val="401"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80" w:type="dxa"/>
            <w:gridSpan w:val="2"/>
            <w:tcBorders>
              <w:top w:val="single" w:sz="4" w:space="0" w:color="000000"/>
              <w:left w:val="single" w:sz="9" w:space="0" w:color="D2D2D2"/>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r>
      <w:tr>
        <w:trPr>
          <w:trHeight w:val="403"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80" w:type="dxa"/>
            <w:gridSpan w:val="2"/>
            <w:tcBorders>
              <w:top w:val="single" w:sz="4" w:space="0" w:color="000000"/>
              <w:left w:val="single" w:sz="9"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3"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6"/>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 财务报表资产总额的比例</w:t>
            </w:r>
          </w:p>
        </w:tc>
        <w:tc>
          <w:tcPr>
            <w:tcW w:w="6380" w:type="dxa"/>
            <w:gridSpan w:val="2"/>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715"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96"/>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 财务报表营业收入的比例</w:t>
            </w:r>
          </w:p>
        </w:tc>
        <w:tc>
          <w:tcPr>
            <w:tcW w:w="6380" w:type="dxa"/>
            <w:gridSpan w:val="2"/>
            <w:tcBorders>
              <w:top w:val="single" w:sz="4" w:space="0" w:color="000000"/>
              <w:left w:val="single" w:sz="9"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2" w:hRule="exact"/>
        </w:trPr>
        <w:tc>
          <w:tcPr>
            <w:tcW w:w="955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2"/>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2"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7"/>
              <w:jc w:val="center"/>
              <w:rPr>
                <w:rFonts w:ascii="宋体" w:hAnsi="宋体" w:cs="宋体" w:eastAsia="宋体" w:hint="default"/>
                <w:sz w:val="18"/>
                <w:szCs w:val="18"/>
              </w:rPr>
            </w:pPr>
            <w:r>
              <w:rPr>
                <w:rFonts w:ascii="宋体" w:hAnsi="宋体" w:cs="宋体" w:eastAsia="宋体" w:hint="default"/>
                <w:sz w:val="18"/>
                <w:szCs w:val="18"/>
              </w:rPr>
              <w:t>类别</w:t>
            </w:r>
          </w:p>
        </w:tc>
        <w:tc>
          <w:tcPr>
            <w:tcW w:w="33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bl>
    <w:p>
      <w:pPr>
        <w:spacing w:after="0" w:line="240" w:lineRule="auto"/>
        <w:jc w:val="center"/>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3194"/>
        <w:gridCol w:w="3322"/>
        <w:gridCol w:w="3053"/>
      </w:tblGrid>
      <w:tr>
        <w:trPr>
          <w:trHeight w:val="2585"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22"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49"/>
              <w:ind w:left="24" w:right="20"/>
              <w:jc w:val="both"/>
              <w:rPr>
                <w:rFonts w:ascii="宋体" w:hAnsi="宋体" w:cs="宋体" w:eastAsia="宋体" w:hint="default"/>
                <w:sz w:val="18"/>
                <w:szCs w:val="18"/>
              </w:rPr>
            </w:pP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1</w:t>
            </w:r>
            <w:r>
              <w:rPr>
                <w:rFonts w:ascii="宋体" w:hAnsi="宋体" w:cs="宋体" w:eastAsia="宋体" w:hint="default"/>
                <w:spacing w:val="-8"/>
                <w:sz w:val="18"/>
                <w:szCs w:val="18"/>
              </w:rPr>
              <w:t>）控制环境无效；（</w:t>
            </w:r>
            <w:r>
              <w:rPr>
                <w:rFonts w:ascii="Times New Roman" w:hAnsi="Times New Roman" w:cs="Times New Roman" w:eastAsia="Times New Roman" w:hint="default"/>
                <w:spacing w:val="-8"/>
                <w:sz w:val="18"/>
                <w:szCs w:val="18"/>
              </w:rPr>
              <w:t>2</w:t>
            </w:r>
            <w:r>
              <w:rPr>
                <w:rFonts w:ascii="宋体" w:hAnsi="宋体" w:cs="宋体" w:eastAsia="宋体" w:hint="default"/>
                <w:spacing w:val="-8"/>
                <w:sz w:val="18"/>
                <w:szCs w:val="18"/>
              </w:rPr>
              <w:t>）公司董事、监事</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和高级管理人员舞弊并给企业造成重大损 </w:t>
            </w:r>
            <w:r>
              <w:rPr>
                <w:rFonts w:ascii="宋体" w:hAnsi="宋体" w:cs="宋体" w:eastAsia="宋体" w:hint="default"/>
                <w:spacing w:val="-5"/>
                <w:sz w:val="18"/>
                <w:szCs w:val="18"/>
              </w:rPr>
              <w:t>失和不利影响；（</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）注册会计师发现当期</w:t>
            </w:r>
            <w:r>
              <w:rPr>
                <w:rFonts w:ascii="宋体" w:hAnsi="宋体" w:cs="宋体" w:eastAsia="宋体" w:hint="default"/>
                <w:spacing w:val="-86"/>
                <w:sz w:val="18"/>
                <w:szCs w:val="18"/>
              </w:rPr>
              <w:t> </w:t>
            </w:r>
            <w:r>
              <w:rPr>
                <w:rFonts w:ascii="宋体" w:hAnsi="宋体" w:cs="宋体" w:eastAsia="宋体" w:hint="default"/>
                <w:sz w:val="18"/>
                <w:szCs w:val="18"/>
              </w:rPr>
              <w:t>财务报告存在重大错报，而内部控制在运 </w:t>
            </w:r>
            <w:r>
              <w:rPr>
                <w:rFonts w:ascii="宋体" w:hAnsi="宋体" w:cs="宋体" w:eastAsia="宋体" w:hint="default"/>
                <w:spacing w:val="-5"/>
                <w:sz w:val="18"/>
                <w:szCs w:val="18"/>
              </w:rPr>
              <w:t>行过程中未能发现该错报；（</w:t>
            </w:r>
            <w:r>
              <w:rPr>
                <w:rFonts w:ascii="Times New Roman" w:hAnsi="Times New Roman" w:cs="Times New Roman" w:eastAsia="Times New Roman" w:hint="default"/>
                <w:spacing w:val="-5"/>
                <w:sz w:val="18"/>
                <w:szCs w:val="18"/>
              </w:rPr>
              <w:t>4</w:t>
            </w:r>
            <w:r>
              <w:rPr>
                <w:rFonts w:ascii="宋体" w:hAnsi="宋体" w:cs="宋体" w:eastAsia="宋体" w:hint="default"/>
                <w:spacing w:val="-5"/>
                <w:sz w:val="18"/>
                <w:szCs w:val="18"/>
              </w:rPr>
              <w:t>）已经发现</w:t>
            </w:r>
            <w:r>
              <w:rPr>
                <w:rFonts w:ascii="宋体" w:hAnsi="宋体" w:cs="宋体" w:eastAsia="宋体" w:hint="default"/>
                <w:spacing w:val="-86"/>
                <w:sz w:val="18"/>
                <w:szCs w:val="18"/>
              </w:rPr>
              <w:t> </w:t>
            </w:r>
            <w:r>
              <w:rPr>
                <w:rFonts w:ascii="宋体" w:hAnsi="宋体" w:cs="宋体" w:eastAsia="宋体" w:hint="default"/>
                <w:sz w:val="18"/>
                <w:szCs w:val="18"/>
              </w:rPr>
              <w:t>并报告给管理层的重要缺陷在合理的时间 </w:t>
            </w:r>
            <w:r>
              <w:rPr>
                <w:rFonts w:ascii="宋体" w:hAnsi="宋体" w:cs="宋体" w:eastAsia="宋体" w:hint="default"/>
                <w:spacing w:val="-5"/>
                <w:sz w:val="18"/>
                <w:szCs w:val="18"/>
              </w:rPr>
              <w:t>内未加以改正；（</w:t>
            </w:r>
            <w:r>
              <w:rPr>
                <w:rFonts w:ascii="Times New Roman" w:hAnsi="Times New Roman" w:cs="Times New Roman" w:eastAsia="Times New Roman" w:hint="default"/>
                <w:spacing w:val="-5"/>
                <w:sz w:val="18"/>
                <w:szCs w:val="18"/>
              </w:rPr>
              <w:t>5</w:t>
            </w:r>
            <w:r>
              <w:rPr>
                <w:rFonts w:ascii="宋体" w:hAnsi="宋体" w:cs="宋体" w:eastAsia="宋体" w:hint="default"/>
                <w:spacing w:val="-5"/>
                <w:sz w:val="18"/>
                <w:szCs w:val="18"/>
              </w:rPr>
              <w:t>）审计委员会和内部审</w:t>
            </w:r>
            <w:r>
              <w:rPr>
                <w:rFonts w:ascii="宋体" w:hAnsi="宋体" w:cs="宋体" w:eastAsia="宋体" w:hint="default"/>
                <w:spacing w:val="-86"/>
                <w:sz w:val="18"/>
                <w:szCs w:val="18"/>
              </w:rPr>
              <w:t> </w:t>
            </w:r>
            <w:r>
              <w:rPr>
                <w:rFonts w:ascii="宋体" w:hAnsi="宋体" w:cs="宋体" w:eastAsia="宋体" w:hint="default"/>
                <w:sz w:val="18"/>
                <w:szCs w:val="18"/>
              </w:rPr>
              <w:t>计部对公司的内部控制监督无效。</w:t>
            </w:r>
          </w:p>
        </w:tc>
        <w:tc>
          <w:tcPr>
            <w:tcW w:w="3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02" w:lineRule="auto"/>
              <w:ind w:left="26" w:right="-44"/>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）公司经营活动严重违反国家法律 </w:t>
            </w:r>
            <w:r>
              <w:rPr>
                <w:rFonts w:ascii="宋体" w:hAnsi="宋体" w:cs="宋体" w:eastAsia="宋体" w:hint="default"/>
                <w:spacing w:val="-9"/>
                <w:sz w:val="18"/>
                <w:szCs w:val="18"/>
              </w:rPr>
              <w:t>法规；（</w:t>
            </w:r>
            <w:r>
              <w:rPr>
                <w:rFonts w:ascii="Times New Roman" w:hAnsi="Times New Roman" w:cs="Times New Roman" w:eastAsia="Times New Roman" w:hint="default"/>
                <w:spacing w:val="-9"/>
                <w:sz w:val="18"/>
                <w:szCs w:val="18"/>
              </w:rPr>
              <w:t>2</w:t>
            </w:r>
            <w:r>
              <w:rPr>
                <w:rFonts w:ascii="宋体" w:hAnsi="宋体" w:cs="宋体" w:eastAsia="宋体" w:hint="default"/>
                <w:spacing w:val="-9"/>
                <w:sz w:val="18"/>
                <w:szCs w:val="18"/>
              </w:rPr>
              <w:t>）媒体负面新闻频频曝光，对</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9"/>
                <w:sz w:val="18"/>
                <w:szCs w:val="18"/>
              </w:rPr>
              <w:t>公司声誉造成重大损害；（</w:t>
            </w:r>
            <w:r>
              <w:rPr>
                <w:rFonts w:ascii="Times New Roman" w:hAnsi="Times New Roman" w:cs="Times New Roman" w:eastAsia="Times New Roman" w:hint="default"/>
                <w:spacing w:val="-9"/>
                <w:sz w:val="18"/>
                <w:szCs w:val="18"/>
              </w:rPr>
              <w:t>3</w:t>
            </w:r>
            <w:r>
              <w:rPr>
                <w:rFonts w:ascii="宋体" w:hAnsi="宋体" w:cs="宋体" w:eastAsia="宋体" w:hint="default"/>
                <w:spacing w:val="-9"/>
                <w:sz w:val="18"/>
                <w:szCs w:val="18"/>
              </w:rPr>
              <w:t>）中高级管</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6"/>
                <w:sz w:val="18"/>
                <w:szCs w:val="18"/>
              </w:rPr>
              <w:t>理人员和高级技术人员严重流失；（</w:t>
            </w:r>
            <w:r>
              <w:rPr>
                <w:rFonts w:ascii="Times New Roman" w:hAnsi="Times New Roman" w:cs="Times New Roman" w:eastAsia="Times New Roman" w:hint="default"/>
                <w:spacing w:val="-6"/>
                <w:sz w:val="18"/>
                <w:szCs w:val="18"/>
              </w:rPr>
              <w:t>4</w:t>
            </w:r>
            <w:r>
              <w:rPr>
                <w:rFonts w:ascii="宋体" w:hAnsi="宋体" w:cs="宋体" w:eastAsia="宋体" w:hint="default"/>
                <w:spacing w:val="-6"/>
                <w:sz w:val="18"/>
                <w:szCs w:val="18"/>
              </w:rPr>
              <w:t>）</w:t>
            </w:r>
            <w:r>
              <w:rPr>
                <w:rFonts w:ascii="宋体" w:hAnsi="宋体" w:cs="宋体" w:eastAsia="宋体" w:hint="default"/>
                <w:spacing w:val="-73"/>
                <w:sz w:val="18"/>
                <w:szCs w:val="18"/>
              </w:rPr>
              <w:t> </w:t>
            </w:r>
            <w:r>
              <w:rPr>
                <w:rFonts w:ascii="宋体" w:hAnsi="宋体" w:cs="宋体" w:eastAsia="宋体" w:hint="default"/>
                <w:sz w:val="18"/>
                <w:szCs w:val="18"/>
              </w:rPr>
              <w:t>重要业务缺乏制度控制或制度系统性 </w:t>
            </w:r>
            <w:r>
              <w:rPr>
                <w:rFonts w:ascii="宋体" w:hAnsi="宋体" w:cs="宋体" w:eastAsia="宋体" w:hint="default"/>
                <w:spacing w:val="-9"/>
                <w:sz w:val="18"/>
                <w:szCs w:val="18"/>
              </w:rPr>
              <w:t>失效；（</w:t>
            </w:r>
            <w:r>
              <w:rPr>
                <w:rFonts w:ascii="Times New Roman" w:hAnsi="Times New Roman" w:cs="Times New Roman" w:eastAsia="Times New Roman" w:hint="default"/>
                <w:spacing w:val="-9"/>
                <w:sz w:val="18"/>
                <w:szCs w:val="18"/>
              </w:rPr>
              <w:t>5</w:t>
            </w:r>
            <w:r>
              <w:rPr>
                <w:rFonts w:ascii="宋体" w:hAnsi="宋体" w:cs="宋体" w:eastAsia="宋体" w:hint="default"/>
                <w:spacing w:val="-9"/>
                <w:sz w:val="18"/>
                <w:szCs w:val="18"/>
              </w:rPr>
              <w:t>）内部控制评价的结果特别是</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重大缺陷或重要缺陷未得到整改。</w:t>
            </w:r>
          </w:p>
        </w:tc>
      </w:tr>
      <w:tr>
        <w:trPr>
          <w:trHeight w:val="1964"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2"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24" w:right="19"/>
              <w:jc w:val="left"/>
              <w:rPr>
                <w:rFonts w:ascii="Times New Roman" w:hAnsi="Times New Roman" w:cs="Times New Roman" w:eastAsia="Times New Roman" w:hint="default"/>
                <w:sz w:val="18"/>
                <w:szCs w:val="18"/>
              </w:rPr>
            </w:pPr>
            <w:r>
              <w:rPr>
                <w:rFonts w:ascii="宋体" w:hAnsi="宋体" w:cs="宋体" w:eastAsia="宋体" w:hint="default"/>
                <w:sz w:val="18"/>
                <w:szCs w:val="18"/>
              </w:rPr>
              <w:t>以财务报表数据为基准，确定上市公司合 并财务报表错报（包括漏报）重要程度的 定量标准：重大缺陷：错报</w:t>
            </w:r>
            <w:r>
              <w:rPr>
                <w:rFonts w:ascii="Times New Roman" w:hAnsi="Times New Roman" w:cs="Times New Roman" w:eastAsia="Times New Roman" w:hint="default"/>
                <w:sz w:val="18"/>
                <w:szCs w:val="18"/>
              </w:rPr>
              <w:t>≥</w:t>
            </w:r>
            <w:r>
              <w:rPr>
                <w:rFonts w:ascii="宋体" w:hAnsi="宋体" w:cs="宋体" w:eastAsia="宋体" w:hint="default"/>
                <w:sz w:val="18"/>
                <w:szCs w:val="18"/>
              </w:rPr>
              <w:t>税前利润的 </w:t>
            </w:r>
            <w:r>
              <w:rPr>
                <w:rFonts w:ascii="Times New Roman" w:hAnsi="Times New Roman" w:cs="Times New Roman" w:eastAsia="Times New Roman" w:hint="default"/>
                <w:sz w:val="18"/>
                <w:szCs w:val="18"/>
              </w:rPr>
              <w:t>5% </w:t>
            </w:r>
            <w:r>
              <w:rPr>
                <w:rFonts w:ascii="宋体" w:hAnsi="宋体" w:cs="宋体" w:eastAsia="宋体" w:hint="default"/>
                <w:sz w:val="18"/>
                <w:szCs w:val="18"/>
              </w:rPr>
              <w:t>；重要缺陷：税前利润的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错报＜ 税前利润的</w:t>
            </w:r>
            <w:r>
              <w:rPr>
                <w:rFonts w:ascii="宋体" w:hAnsi="宋体" w:cs="宋体" w:eastAsia="宋体" w:hint="default"/>
                <w:spacing w:val="-44"/>
                <w:sz w:val="18"/>
                <w:szCs w:val="18"/>
              </w:rPr>
              <w:t> </w:t>
            </w:r>
            <w:r>
              <w:rPr>
                <w:rFonts w:ascii="Times New Roman" w:hAnsi="Times New Roman" w:cs="Times New Roman" w:eastAsia="Times New Roman" w:hint="default"/>
                <w:spacing w:val="-6"/>
                <w:sz w:val="18"/>
                <w:szCs w:val="18"/>
              </w:rPr>
              <w:t>5%</w:t>
            </w:r>
            <w:r>
              <w:rPr>
                <w:rFonts w:ascii="宋体" w:hAnsi="宋体" w:cs="宋体" w:eastAsia="宋体" w:hint="default"/>
                <w:spacing w:val="-6"/>
                <w:sz w:val="18"/>
                <w:szCs w:val="18"/>
              </w:rPr>
              <w:t>；一般缺陷：错报＜税前利</w:t>
            </w:r>
            <w:r>
              <w:rPr>
                <w:rFonts w:ascii="宋体" w:hAnsi="宋体" w:cs="宋体" w:eastAsia="宋体" w:hint="default"/>
                <w:sz w:val="18"/>
                <w:szCs w:val="18"/>
              </w:rPr>
              <w:t> 润的</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w:t>
            </w:r>
          </w:p>
        </w:tc>
        <w:tc>
          <w:tcPr>
            <w:tcW w:w="3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4" w:lineRule="auto"/>
              <w:ind w:left="26" w:right="16"/>
              <w:jc w:val="both"/>
              <w:rPr>
                <w:rFonts w:ascii="Times New Roman" w:hAnsi="Times New Roman" w:cs="Times New Roman" w:eastAsia="Times New Roman" w:hint="default"/>
                <w:sz w:val="18"/>
                <w:szCs w:val="18"/>
              </w:rPr>
            </w:pPr>
            <w:r>
              <w:rPr>
                <w:rFonts w:ascii="宋体" w:hAnsi="宋体" w:cs="宋体" w:eastAsia="宋体" w:hint="default"/>
                <w:sz w:val="18"/>
                <w:szCs w:val="18"/>
              </w:rPr>
              <w:t>重大缺陷：</w:t>
            </w:r>
            <w:r>
              <w:rPr>
                <w:rFonts w:ascii="宋体" w:hAnsi="宋体" w:cs="宋体" w:eastAsia="宋体" w:hint="default"/>
                <w:spacing w:val="1"/>
                <w:sz w:val="18"/>
                <w:szCs w:val="18"/>
              </w:rPr>
              <w:t> </w:t>
            </w:r>
            <w:r>
              <w:rPr>
                <w:rFonts w:ascii="宋体" w:hAnsi="宋体" w:cs="宋体" w:eastAsia="宋体" w:hint="default"/>
                <w:sz w:val="18"/>
                <w:szCs w:val="18"/>
              </w:rPr>
              <w:t>直接损失金额﹥资产总额</w:t>
            </w:r>
            <w:r>
              <w:rPr>
                <w:rFonts w:ascii="宋体" w:hAnsi="宋体" w:cs="宋体" w:eastAsia="宋体" w:hint="default"/>
                <w:sz w:val="18"/>
                <w:szCs w:val="18"/>
              </w:rPr>
              <w:t> 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0.5%  </w:t>
            </w:r>
            <w:r>
              <w:rPr>
                <w:rFonts w:ascii="宋体" w:hAnsi="宋体" w:cs="宋体" w:eastAsia="宋体" w:hint="default"/>
                <w:spacing w:val="-9"/>
                <w:sz w:val="18"/>
                <w:szCs w:val="18"/>
              </w:rPr>
              <w:t>；重要缺陷：资产总额的</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0.2%</w:t>
            </w:r>
          </w:p>
          <w:p>
            <w:pPr>
              <w:pStyle w:val="TableParagraph"/>
              <w:spacing w:line="321" w:lineRule="auto" w:before="1"/>
              <w:ind w:left="26" w:right="36"/>
              <w:jc w:val="both"/>
              <w:rPr>
                <w:rFonts w:ascii="Times New Roman" w:hAnsi="Times New Roman" w:cs="Times New Roman" w:eastAsia="Times New Roman" w:hint="default"/>
                <w:sz w:val="18"/>
                <w:szCs w:val="18"/>
              </w:rPr>
            </w:pPr>
            <w:r>
              <w:rPr>
                <w:rFonts w:ascii="宋体" w:hAnsi="宋体" w:cs="宋体" w:eastAsia="宋体" w:hint="default"/>
                <w:sz w:val="18"/>
                <w:szCs w:val="18"/>
              </w:rPr>
              <w:t>﹤直接损失金额</w:t>
            </w:r>
            <w:r>
              <w:rPr>
                <w:rFonts w:ascii="Times New Roman" w:hAnsi="Times New Roman" w:cs="Times New Roman" w:eastAsia="Times New Roman" w:hint="default"/>
                <w:sz w:val="18"/>
                <w:szCs w:val="18"/>
              </w:rPr>
              <w:t>≤</w:t>
            </w:r>
            <w:r>
              <w:rPr>
                <w:rFonts w:ascii="宋体" w:hAnsi="宋体" w:cs="宋体" w:eastAsia="宋体" w:hint="default"/>
                <w:sz w:val="18"/>
                <w:szCs w:val="18"/>
              </w:rPr>
              <w:t>资产总额的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 一般缺陷：直接损失金额</w:t>
            </w:r>
            <w:r>
              <w:rPr>
                <w:rFonts w:ascii="Times New Roman" w:hAnsi="Times New Roman" w:cs="Times New Roman" w:eastAsia="Times New Roman" w:hint="default"/>
                <w:sz w:val="18"/>
                <w:szCs w:val="18"/>
              </w:rPr>
              <w:t>≤</w:t>
            </w:r>
            <w:r>
              <w:rPr>
                <w:rFonts w:ascii="宋体" w:hAnsi="宋体" w:cs="宋体" w:eastAsia="宋体" w:hint="default"/>
                <w:sz w:val="18"/>
                <w:szCs w:val="18"/>
              </w:rPr>
              <w:t>资产总额的 </w:t>
            </w:r>
            <w:r>
              <w:rPr>
                <w:rFonts w:ascii="Times New Roman" w:hAnsi="Times New Roman" w:cs="Times New Roman" w:eastAsia="Times New Roman" w:hint="default"/>
                <w:sz w:val="18"/>
                <w:szCs w:val="18"/>
              </w:rPr>
              <w:t>0.2%</w:t>
            </w:r>
          </w:p>
        </w:tc>
      </w:tr>
      <w:tr>
        <w:trPr>
          <w:trHeight w:val="401"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1"/>
        <w:rPr>
          <w:rFonts w:ascii="宋体" w:hAnsi="宋体" w:cs="宋体" w:eastAsia="宋体" w:hint="default"/>
          <w:b/>
          <w:bCs/>
          <w:sz w:val="18"/>
          <w:szCs w:val="18"/>
        </w:rPr>
      </w:pPr>
    </w:p>
    <w:p>
      <w:pPr>
        <w:pStyle w:val="Heading2"/>
        <w:spacing w:line="240" w:lineRule="auto" w:before="26"/>
        <w:ind w:right="982"/>
        <w:jc w:val="left"/>
        <w:rPr>
          <w:b w:val="0"/>
          <w:bCs w:val="0"/>
        </w:rPr>
      </w:pPr>
      <w:r>
        <w:rPr/>
        <w:t>十、内部控制审计报告或鉴证报告</w:t>
      </w:r>
      <w:r>
        <w:rPr>
          <w:b w:val="0"/>
          <w:bCs w:val="0"/>
        </w:rPr>
      </w:r>
    </w:p>
    <w:p>
      <w:pPr>
        <w:spacing w:line="240" w:lineRule="auto" w:before="6"/>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宋体" w:hAnsi="宋体" w:cs="宋体" w:eastAsia="宋体" w:hint="default"/>
          <w:sz w:val="18"/>
          <w:szCs w:val="18"/>
        </w:rPr>
        <w:t>内部控制鉴证报告</w:t>
      </w:r>
    </w:p>
    <w:p>
      <w:pPr>
        <w:spacing w:line="240" w:lineRule="auto" w:before="3"/>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61"/>
        <w:gridCol w:w="6909"/>
      </w:tblGrid>
      <w:tr>
        <w:trPr>
          <w:trHeight w:val="402" w:hRule="exact"/>
        </w:trPr>
        <w:tc>
          <w:tcPr>
            <w:tcW w:w="957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内部控制鉴证报告中的审议意见段</w:t>
            </w:r>
          </w:p>
        </w:tc>
      </w:tr>
      <w:tr>
        <w:trPr>
          <w:trHeight w:val="713" w:hRule="exact"/>
        </w:trPr>
        <w:tc>
          <w:tcPr>
            <w:tcW w:w="95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审计师认为，数字政通公司于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日在所有重大方面保持了按照财政部颁布的《内部会计控制规范</w:t>
            </w:r>
            <w:r>
              <w:rPr>
                <w:rFonts w:ascii="Times New Roman" w:hAnsi="Times New Roman" w:cs="Times New Roman" w:eastAsia="Times New Roman" w:hint="default"/>
                <w:sz w:val="18"/>
                <w:szCs w:val="18"/>
              </w:rPr>
              <w:t>-</w:t>
            </w:r>
            <w:r>
              <w:rPr>
                <w:rFonts w:ascii="宋体" w:hAnsi="宋体" w:cs="宋体" w:eastAsia="宋体" w:hint="default"/>
                <w:sz w:val="18"/>
                <w:szCs w:val="18"/>
              </w:rPr>
              <w:t>基本规范</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（试行</w:t>
            </w:r>
            <w:r>
              <w:rPr>
                <w:rFonts w:ascii="宋体" w:hAnsi="宋体" w:cs="宋体" w:eastAsia="宋体" w:hint="default"/>
                <w:spacing w:val="-92"/>
                <w:sz w:val="18"/>
                <w:szCs w:val="18"/>
              </w:rPr>
              <w:t>）</w:t>
            </w:r>
            <w:r>
              <w:rPr>
                <w:rFonts w:ascii="宋体" w:hAnsi="宋体" w:cs="宋体" w:eastAsia="宋体" w:hint="default"/>
                <w:sz w:val="18"/>
                <w:szCs w:val="18"/>
              </w:rPr>
              <w:t>》的有关规范标准中</w:t>
            </w:r>
            <w:r>
              <w:rPr>
                <w:rFonts w:ascii="宋体" w:hAnsi="宋体" w:cs="宋体" w:eastAsia="宋体" w:hint="default"/>
                <w:spacing w:val="2"/>
                <w:sz w:val="18"/>
                <w:szCs w:val="18"/>
              </w:rPr>
              <w:t>与</w:t>
            </w:r>
            <w:r>
              <w:rPr>
                <w:rFonts w:ascii="宋体" w:hAnsi="宋体" w:cs="宋体" w:eastAsia="宋体" w:hint="default"/>
                <w:sz w:val="18"/>
                <w:szCs w:val="18"/>
              </w:rPr>
              <w:t>财务报表相关的有效的内部控制。</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内控鉴证报告披露情况</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披露</w:t>
            </w:r>
          </w:p>
        </w:tc>
      </w:tr>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内部控制鉴证报告全文披露日期</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内部控制鉴证报告全文披露索引</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内控鉴证报告意见类型</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标准无保留意见</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会计师事务所是否出具非标准意见的内部控制鉴证报告</w:t>
      </w:r>
    </w:p>
    <w:p>
      <w:pPr>
        <w:spacing w:line="340" w:lineRule="auto" w:before="115"/>
        <w:ind w:left="152" w:right="46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否 会计师事务所出具的内部控制鉴证报告与董事会的自我评价报告意见是否一致</w:t>
      </w:r>
    </w:p>
    <w:p>
      <w:pPr>
        <w:spacing w:before="41"/>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否</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125" w:right="982"/>
        <w:jc w:val="left"/>
        <w:rPr>
          <w:b w:val="0"/>
          <w:bCs w:val="0"/>
        </w:rPr>
      </w:pPr>
      <w:bookmarkStart w:name="_bookmark8" w:id="9"/>
      <w:bookmarkEnd w:id="9"/>
      <w:r>
        <w:rPr>
          <w:b w:val="0"/>
          <w:bCs w:val="0"/>
        </w:rPr>
      </w:r>
      <w:r>
        <w:rPr/>
        <w:t>第十节</w:t>
      </w:r>
      <w:r>
        <w:rPr>
          <w:spacing w:val="-6"/>
        </w:rPr>
        <w:t> </w:t>
      </w:r>
      <w:r>
        <w:rPr/>
        <w:t>公司债券相关情况</w:t>
      </w:r>
      <w:r>
        <w:rPr>
          <w:b w:val="0"/>
          <w:bCs w:val="0"/>
        </w:rPr>
      </w:r>
    </w:p>
    <w:p>
      <w:pPr>
        <w:spacing w:line="240" w:lineRule="auto" w:before="9"/>
        <w:rPr>
          <w:rFonts w:ascii="宋体" w:hAnsi="宋体" w:cs="宋体" w:eastAsia="宋体" w:hint="default"/>
          <w:b/>
          <w:bCs/>
          <w:sz w:val="42"/>
          <w:szCs w:val="42"/>
        </w:rPr>
      </w:pPr>
    </w:p>
    <w:p>
      <w:pPr>
        <w:spacing w:line="357" w:lineRule="auto" w:before="0"/>
        <w:ind w:left="152" w:right="2114" w:firstLine="0"/>
        <w:jc w:val="left"/>
        <w:rPr>
          <w:rFonts w:ascii="宋体" w:hAnsi="宋体" w:cs="宋体" w:eastAsia="宋体" w:hint="default"/>
          <w:sz w:val="18"/>
          <w:szCs w:val="18"/>
        </w:rPr>
      </w:pPr>
      <w:r>
        <w:rPr>
          <w:rFonts w:ascii="宋体" w:hAnsi="宋体" w:cs="宋体" w:eastAsia="宋体" w:hint="default"/>
          <w:sz w:val="18"/>
          <w:szCs w:val="18"/>
        </w:rPr>
        <w:t>公司是否存在公开发行并在证券交易所上市，且在年度报告批准报出日未到期或到期未能全额兑付的公司债券 否</w:t>
      </w:r>
    </w:p>
    <w:p>
      <w:pPr>
        <w:spacing w:after="0" w:line="357"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607" w:right="982"/>
        <w:jc w:val="left"/>
        <w:rPr>
          <w:b w:val="0"/>
          <w:bCs w:val="0"/>
        </w:rPr>
      </w:pPr>
      <w:bookmarkStart w:name="_bookmark9" w:id="10"/>
      <w:bookmarkEnd w:id="10"/>
      <w:r>
        <w:rPr>
          <w:b w:val="0"/>
          <w:bCs w:val="0"/>
        </w:rPr>
      </w:r>
      <w:r>
        <w:rPr/>
        <w:t>第十一节</w:t>
      </w:r>
      <w:r>
        <w:rPr>
          <w:spacing w:val="-6"/>
        </w:rPr>
        <w:t> </w:t>
      </w:r>
      <w:r>
        <w:rPr/>
        <w:t>财务报告</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before="26"/>
        <w:ind w:right="982"/>
        <w:jc w:val="left"/>
        <w:rPr>
          <w:b w:val="0"/>
          <w:bCs w:val="0"/>
        </w:rPr>
      </w:pP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上会会计师事务所（特殊普通合伙）</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上会师报字</w:t>
            </w:r>
            <w:r>
              <w:rPr>
                <w:rFonts w:ascii="Times New Roman" w:hAnsi="Times New Roman" w:cs="Times New Roman" w:eastAsia="Times New Roman" w:hint="default"/>
                <w:sz w:val="18"/>
                <w:szCs w:val="18"/>
              </w:rPr>
              <w:t>(2019)</w:t>
            </w:r>
            <w:r>
              <w:rPr>
                <w:rFonts w:ascii="宋体" w:hAnsi="宋体" w:cs="宋体" w:eastAsia="宋体" w:hint="default"/>
                <w:sz w:val="18"/>
                <w:szCs w:val="18"/>
              </w:rPr>
              <w:t>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3161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王芳山、邓战涛</w:t>
            </w:r>
          </w:p>
        </w:tc>
      </w:tr>
    </w:tbl>
    <w:p>
      <w:pPr>
        <w:spacing w:before="49"/>
        <w:ind w:left="2421" w:right="3399" w:firstLine="0"/>
        <w:jc w:val="center"/>
        <w:rPr>
          <w:rFonts w:ascii="宋体" w:hAnsi="宋体" w:cs="宋体" w:eastAsia="宋体" w:hint="default"/>
          <w:sz w:val="18"/>
          <w:szCs w:val="18"/>
        </w:rPr>
      </w:pPr>
      <w:r>
        <w:rPr>
          <w:rFonts w:ascii="宋体" w:hAnsi="宋体" w:cs="宋体" w:eastAsia="宋体" w:hint="default"/>
          <w:sz w:val="18"/>
          <w:szCs w:val="18"/>
        </w:rPr>
        <w:t>审计报告正文</w:t>
      </w:r>
    </w:p>
    <w:p>
      <w:pPr>
        <w:pStyle w:val="Heading2"/>
        <w:spacing w:line="240" w:lineRule="auto" w:before="66"/>
        <w:ind w:right="0"/>
        <w:jc w:val="both"/>
        <w:rPr>
          <w:b w:val="0"/>
          <w:bCs w:val="0"/>
        </w:rPr>
      </w:pPr>
      <w:r>
        <w:rPr/>
        <w:t>北京数字政通科技股份有限公司全体股东：</w:t>
      </w:r>
      <w:r>
        <w:rPr>
          <w:b w:val="0"/>
          <w:bCs w:val="0"/>
        </w:rPr>
      </w:r>
    </w:p>
    <w:p>
      <w:pPr>
        <w:spacing w:line="240" w:lineRule="auto" w:before="0"/>
        <w:rPr>
          <w:rFonts w:ascii="宋体" w:hAnsi="宋体" w:cs="宋体" w:eastAsia="宋体" w:hint="default"/>
          <w:b/>
          <w:bCs/>
          <w:sz w:val="24"/>
          <w:szCs w:val="24"/>
        </w:rPr>
      </w:pPr>
    </w:p>
    <w:p>
      <w:pPr>
        <w:spacing w:line="240" w:lineRule="auto" w:before="8"/>
        <w:rPr>
          <w:rFonts w:ascii="宋体" w:hAnsi="宋体" w:cs="宋体" w:eastAsia="宋体" w:hint="default"/>
          <w:b/>
          <w:bCs/>
          <w:sz w:val="18"/>
          <w:szCs w:val="18"/>
        </w:rPr>
      </w:pPr>
    </w:p>
    <w:p>
      <w:pPr>
        <w:pStyle w:val="BodyText"/>
        <w:spacing w:line="357" w:lineRule="auto" w:before="0"/>
        <w:ind w:left="633" w:right="982" w:firstLine="2"/>
        <w:jc w:val="left"/>
      </w:pPr>
      <w:r>
        <w:rPr>
          <w:rFonts w:ascii="宋体" w:hAnsi="宋体" w:cs="宋体" w:eastAsia="宋体" w:hint="default"/>
          <w:b/>
          <w:bCs/>
        </w:rPr>
        <w:t>一、审计意见</w:t>
      </w:r>
      <w:r>
        <w:rPr>
          <w:rFonts w:ascii="宋体" w:hAnsi="宋体" w:cs="宋体" w:eastAsia="宋体" w:hint="default"/>
          <w:b/>
          <w:bCs/>
          <w:w w:val="99"/>
        </w:rPr>
        <w:t> </w:t>
      </w:r>
      <w:r>
        <w:rPr>
          <w:spacing w:val="-3"/>
        </w:rPr>
        <w:t>我们审计了北京数字政通科技股份有限公司</w:t>
      </w:r>
      <w:r>
        <w:rPr>
          <w:rFonts w:ascii="Garamond" w:hAnsi="Garamond" w:cs="Garamond" w:eastAsia="Garamond" w:hint="default"/>
          <w:spacing w:val="-3"/>
        </w:rPr>
        <w:t>(</w:t>
      </w:r>
      <w:r>
        <w:rPr>
          <w:spacing w:val="-3"/>
        </w:rPr>
        <w:t>以下简称“数字政通公司”</w:t>
      </w:r>
      <w:r>
        <w:rPr>
          <w:rFonts w:ascii="Garamond" w:hAnsi="Garamond" w:cs="Garamond" w:eastAsia="Garamond" w:hint="default"/>
          <w:spacing w:val="-3"/>
        </w:rPr>
        <w:t>)</w:t>
      </w:r>
      <w:r>
        <w:rPr>
          <w:spacing w:val="-3"/>
        </w:rPr>
        <w:t>财务报表，包括</w:t>
      </w:r>
    </w:p>
    <w:p>
      <w:pPr>
        <w:pStyle w:val="BodyText"/>
        <w:spacing w:line="326" w:lineRule="auto" w:before="0"/>
        <w:ind w:right="1140"/>
        <w:jc w:val="both"/>
      </w:pPr>
      <w:r>
        <w:rPr>
          <w:rFonts w:ascii="Garamond" w:hAnsi="Garamond" w:cs="Garamond" w:eastAsia="Garamond" w:hint="default"/>
        </w:rPr>
        <w:t>2018</w:t>
      </w:r>
      <w:r>
        <w:rPr>
          <w:rFonts w:ascii="Garamond" w:hAnsi="Garamond" w:cs="Garamond" w:eastAsia="Garamond" w:hint="default"/>
          <w:spacing w:val="-1"/>
        </w:rPr>
        <w:t> </w:t>
      </w:r>
      <w:r>
        <w:rPr/>
        <w:t>年</w:t>
      </w:r>
      <w:r>
        <w:rPr>
          <w:spacing w:val="-61"/>
        </w:rPr>
        <w:t> </w:t>
      </w:r>
      <w:r>
        <w:rPr>
          <w:rFonts w:ascii="Garamond" w:hAnsi="Garamond" w:cs="Garamond" w:eastAsia="Garamond" w:hint="default"/>
        </w:rPr>
        <w:t>12</w:t>
      </w:r>
      <w:r>
        <w:rPr>
          <w:rFonts w:ascii="Garamond" w:hAnsi="Garamond" w:cs="Garamond" w:eastAsia="Garamond" w:hint="default"/>
          <w:spacing w:val="-1"/>
        </w:rPr>
        <w:t> </w:t>
      </w:r>
      <w:r>
        <w:rPr/>
        <w:t>月</w:t>
      </w:r>
      <w:r>
        <w:rPr>
          <w:spacing w:val="-61"/>
        </w:rPr>
        <w:t> </w:t>
      </w:r>
      <w:r>
        <w:rPr>
          <w:rFonts w:ascii="Garamond" w:hAnsi="Garamond" w:cs="Garamond" w:eastAsia="Garamond" w:hint="default"/>
        </w:rPr>
        <w:t>31</w:t>
      </w:r>
      <w:r>
        <w:rPr>
          <w:rFonts w:ascii="Garamond" w:hAnsi="Garamond" w:cs="Garamond" w:eastAsia="Garamond" w:hint="default"/>
          <w:spacing w:val="-1"/>
        </w:rPr>
        <w:t> </w:t>
      </w:r>
      <w:r>
        <w:rPr/>
        <w:t>日的合并及公司资产负债表，</w:t>
      </w:r>
      <w:r>
        <w:rPr>
          <w:rFonts w:ascii="Garamond" w:hAnsi="Garamond" w:cs="Garamond" w:eastAsia="Garamond" w:hint="default"/>
        </w:rPr>
        <w:t>2018</w:t>
      </w:r>
      <w:r>
        <w:rPr>
          <w:rFonts w:ascii="Garamond" w:hAnsi="Garamond" w:cs="Garamond" w:eastAsia="Garamond" w:hint="default"/>
          <w:spacing w:val="-1"/>
        </w:rPr>
        <w:t> </w:t>
      </w:r>
      <w:r>
        <w:rPr/>
        <w:t>年度的合并及公司利润表、合并及公司现 金流量表、合并及公司所有者权益变动表以及相关财务报表附注。</w:t>
      </w:r>
    </w:p>
    <w:p>
      <w:pPr>
        <w:pStyle w:val="BodyText"/>
        <w:spacing w:line="340" w:lineRule="auto" w:before="67"/>
        <w:ind w:right="1131" w:firstLine="480"/>
        <w:jc w:val="both"/>
      </w:pPr>
      <w:r>
        <w:rPr/>
        <w:t>我们认为，后附的财务报表在所有重大方面按照企业会计准则的规定编制，公允反映了 数字政通公司</w:t>
      </w:r>
      <w:r>
        <w:rPr>
          <w:spacing w:val="-74"/>
        </w:rPr>
        <w:t> </w:t>
      </w:r>
      <w:r>
        <w:rPr>
          <w:rFonts w:ascii="Garamond" w:hAnsi="Garamond" w:cs="Garamond" w:eastAsia="Garamond" w:hint="default"/>
        </w:rPr>
        <w:t>2018</w:t>
      </w:r>
      <w:r>
        <w:rPr>
          <w:rFonts w:ascii="Garamond" w:hAnsi="Garamond" w:cs="Garamond" w:eastAsia="Garamond" w:hint="default"/>
          <w:spacing w:val="-15"/>
        </w:rPr>
        <w:t> </w:t>
      </w:r>
      <w:r>
        <w:rPr/>
        <w:t>年</w:t>
      </w:r>
      <w:r>
        <w:rPr>
          <w:spacing w:val="-75"/>
        </w:rPr>
        <w:t> </w:t>
      </w:r>
      <w:r>
        <w:rPr>
          <w:rFonts w:ascii="Garamond" w:hAnsi="Garamond" w:cs="Garamond" w:eastAsia="Garamond" w:hint="default"/>
        </w:rPr>
        <w:t>12</w:t>
      </w:r>
      <w:r>
        <w:rPr>
          <w:rFonts w:ascii="Garamond" w:hAnsi="Garamond" w:cs="Garamond" w:eastAsia="Garamond" w:hint="default"/>
          <w:spacing w:val="-15"/>
        </w:rPr>
        <w:t> </w:t>
      </w:r>
      <w:r>
        <w:rPr/>
        <w:t>月</w:t>
      </w:r>
      <w:r>
        <w:rPr>
          <w:spacing w:val="-74"/>
        </w:rPr>
        <w:t> </w:t>
      </w:r>
      <w:r>
        <w:rPr>
          <w:rFonts w:ascii="Garamond" w:hAnsi="Garamond" w:cs="Garamond" w:eastAsia="Garamond" w:hint="default"/>
        </w:rPr>
        <w:t>31</w:t>
      </w:r>
      <w:r>
        <w:rPr>
          <w:rFonts w:ascii="Garamond" w:hAnsi="Garamond" w:cs="Garamond" w:eastAsia="Garamond" w:hint="default"/>
          <w:spacing w:val="-15"/>
        </w:rPr>
        <w:t> </w:t>
      </w:r>
      <w:r>
        <w:rPr/>
        <w:t>日的合并及公司财务状况以及</w:t>
      </w:r>
      <w:r>
        <w:rPr>
          <w:spacing w:val="-74"/>
        </w:rPr>
        <w:t> </w:t>
      </w:r>
      <w:r>
        <w:rPr>
          <w:rFonts w:ascii="Garamond" w:hAnsi="Garamond" w:cs="Garamond" w:eastAsia="Garamond" w:hint="default"/>
        </w:rPr>
        <w:t>2018</w:t>
      </w:r>
      <w:r>
        <w:rPr>
          <w:rFonts w:ascii="Garamond" w:hAnsi="Garamond" w:cs="Garamond" w:eastAsia="Garamond" w:hint="default"/>
          <w:spacing w:val="-15"/>
        </w:rPr>
        <w:t> </w:t>
      </w:r>
      <w:r>
        <w:rPr/>
        <w:t>年度的合并及公司经营成果 和现金流量。</w:t>
      </w:r>
    </w:p>
    <w:p>
      <w:pPr>
        <w:spacing w:line="357" w:lineRule="auto" w:before="50"/>
        <w:ind w:left="633" w:right="982" w:firstLine="2"/>
        <w:jc w:val="left"/>
        <w:rPr>
          <w:rFonts w:ascii="宋体" w:hAnsi="宋体" w:cs="宋体" w:eastAsia="宋体" w:hint="default"/>
          <w:sz w:val="24"/>
          <w:szCs w:val="24"/>
        </w:rPr>
      </w:pPr>
      <w:r>
        <w:rPr>
          <w:rFonts w:ascii="宋体" w:hAnsi="宋体" w:cs="宋体" w:eastAsia="宋体" w:hint="default"/>
          <w:b/>
          <w:bCs/>
          <w:sz w:val="24"/>
          <w:szCs w:val="24"/>
        </w:rPr>
        <w:t>二、形成审计意见的基础</w:t>
      </w:r>
      <w:r>
        <w:rPr>
          <w:rFonts w:ascii="宋体" w:hAnsi="宋体" w:cs="宋体" w:eastAsia="宋体" w:hint="default"/>
          <w:b/>
          <w:bCs/>
          <w:w w:val="99"/>
          <w:sz w:val="24"/>
          <w:szCs w:val="24"/>
        </w:rPr>
        <w:t> </w:t>
      </w:r>
      <w:r>
        <w:rPr>
          <w:rFonts w:ascii="宋体" w:hAnsi="宋体" w:cs="宋体" w:eastAsia="宋体" w:hint="default"/>
          <w:sz w:val="24"/>
          <w:szCs w:val="24"/>
        </w:rPr>
        <w:t>我们按照中国注册会计师审计准则的规定执行了审计工作。审计报告的“注册会计师对</w:t>
      </w:r>
    </w:p>
    <w:p>
      <w:pPr>
        <w:pStyle w:val="BodyText"/>
        <w:spacing w:line="357" w:lineRule="auto" w:before="34"/>
        <w:ind w:right="1136"/>
        <w:jc w:val="both"/>
      </w:pPr>
      <w:r>
        <w:rPr/>
        <w:t>财务报表审计的责任”部分进一步阐述了我们在这些准则下的责任。按照中国注册会计师职</w:t>
      </w:r>
      <w:r>
        <w:rPr>
          <w:spacing w:val="-89"/>
        </w:rPr>
        <w:t> </w:t>
      </w:r>
      <w:r>
        <w:rPr>
          <w:spacing w:val="-89"/>
        </w:rPr>
      </w:r>
      <w:r>
        <w:rPr/>
        <w:t>业道德守则，我们独立于数字政通公司，并履行了职业道德方面的其他责任。我们相信，我</w:t>
      </w:r>
      <w:r>
        <w:rPr>
          <w:spacing w:val="-91"/>
        </w:rPr>
        <w:t> </w:t>
      </w:r>
      <w:r>
        <w:rPr>
          <w:spacing w:val="-91"/>
        </w:rPr>
      </w:r>
      <w:r>
        <w:rPr/>
        <w:t>们获取的审计证据是充分、适当的，为发表审计意见提供了基础。</w:t>
      </w:r>
    </w:p>
    <w:p>
      <w:pPr>
        <w:spacing w:line="240" w:lineRule="auto" w:before="10"/>
        <w:rPr>
          <w:rFonts w:ascii="宋体" w:hAnsi="宋体" w:cs="宋体" w:eastAsia="宋体" w:hint="default"/>
          <w:sz w:val="33"/>
          <w:szCs w:val="33"/>
        </w:rPr>
      </w:pPr>
    </w:p>
    <w:p>
      <w:pPr>
        <w:pStyle w:val="BodyText"/>
        <w:spacing w:line="355" w:lineRule="auto" w:before="0"/>
        <w:ind w:left="633" w:right="982" w:firstLine="2"/>
        <w:jc w:val="left"/>
      </w:pPr>
      <w:r>
        <w:rPr>
          <w:rFonts w:ascii="宋体" w:hAnsi="宋体" w:cs="宋体" w:eastAsia="宋体" w:hint="default"/>
          <w:b/>
          <w:bCs/>
        </w:rPr>
        <w:t>三、关键审计事项</w:t>
      </w:r>
      <w:r>
        <w:rPr>
          <w:rFonts w:ascii="宋体" w:hAnsi="宋体" w:cs="宋体" w:eastAsia="宋体" w:hint="default"/>
          <w:b/>
          <w:bCs/>
          <w:w w:val="99"/>
        </w:rPr>
        <w:t> </w:t>
      </w:r>
      <w:r>
        <w:rPr/>
        <w:t>关键审计事项是我们根据职业判断，认为对本期财务报表审计最为重要的事项。这些事</w:t>
      </w:r>
    </w:p>
    <w:p>
      <w:pPr>
        <w:pStyle w:val="BodyText"/>
        <w:spacing w:line="355" w:lineRule="auto" w:before="38"/>
        <w:ind w:right="1139"/>
        <w:jc w:val="both"/>
      </w:pPr>
      <w:r>
        <w:rPr/>
        <w:t>项的应对以对财务报表整体进行审计并形成审计意见为背景，我们不对这些事项单独发表意</w:t>
      </w:r>
      <w:r>
        <w:rPr>
          <w:spacing w:val="-91"/>
        </w:rPr>
        <w:t> </w:t>
      </w:r>
      <w:r>
        <w:rPr>
          <w:spacing w:val="-91"/>
        </w:rPr>
      </w:r>
      <w:r>
        <w:rPr/>
        <w:t>见。我们确定下列事项是需要在审计报告中沟通的关键审计事项。</w:t>
      </w:r>
    </w:p>
    <w:p>
      <w:pPr>
        <w:pStyle w:val="BodyText"/>
        <w:spacing w:line="240" w:lineRule="auto" w:before="39"/>
        <w:ind w:left="592" w:right="982"/>
        <w:jc w:val="left"/>
      </w:pPr>
      <w:r>
        <w:rPr/>
        <w:t>（一）</w:t>
      </w:r>
      <w:r>
        <w:rPr>
          <w:spacing w:val="-20"/>
        </w:rPr>
        <w:t> </w:t>
      </w:r>
      <w:r>
        <w:rPr/>
        <w:t>收入确认</w:t>
      </w:r>
    </w:p>
    <w:p>
      <w:pPr>
        <w:pStyle w:val="BodyText"/>
        <w:spacing w:line="240" w:lineRule="auto" w:before="151"/>
        <w:ind w:left="592" w:right="982"/>
        <w:jc w:val="left"/>
      </w:pPr>
      <w:r>
        <w:rPr>
          <w:rFonts w:ascii="Garamond" w:hAnsi="Garamond" w:cs="Garamond" w:eastAsia="Garamond" w:hint="default"/>
        </w:rPr>
        <w:t>1</w:t>
      </w:r>
      <w:r>
        <w:rPr/>
        <w:t>、</w:t>
      </w:r>
      <w:r>
        <w:rPr>
          <w:spacing w:val="-72"/>
        </w:rPr>
        <w:t> </w:t>
      </w:r>
      <w:r>
        <w:rPr/>
        <w:t>事项描述</w:t>
      </w:r>
    </w:p>
    <w:p>
      <w:pPr>
        <w:spacing w:after="0" w:line="240" w:lineRule="auto"/>
        <w:jc w:val="left"/>
        <w:sectPr>
          <w:pgSz w:w="11910" w:h="16840"/>
          <w:pgMar w:header="745" w:footer="979" w:top="1060" w:bottom="1160" w:left="980" w:right="0"/>
        </w:sectPr>
      </w:pPr>
    </w:p>
    <w:p>
      <w:pPr>
        <w:spacing w:line="240" w:lineRule="auto" w:before="6"/>
        <w:rPr>
          <w:rFonts w:ascii="宋体" w:hAnsi="宋体" w:cs="宋体" w:eastAsia="宋体" w:hint="default"/>
          <w:sz w:val="23"/>
          <w:szCs w:val="23"/>
        </w:rPr>
      </w:pPr>
    </w:p>
    <w:p>
      <w:pPr>
        <w:pStyle w:val="BodyText"/>
        <w:spacing w:line="336" w:lineRule="auto" w:before="26"/>
        <w:ind w:right="1124" w:firstLine="480"/>
        <w:jc w:val="both"/>
      </w:pPr>
      <w:r>
        <w:rPr/>
        <w:t>数字政通公司主要从事专业智慧城市应用软件的开发和销售，并提供技术支持和后续服 务，收入类型为数字城管项目收入、采集项目收入、安防项目收入、管道探测项目收入、管</w:t>
      </w:r>
      <w:r>
        <w:rPr>
          <w:spacing w:val="-91"/>
        </w:rPr>
        <w:t> </w:t>
      </w:r>
      <w:r>
        <w:rPr>
          <w:spacing w:val="-91"/>
        </w:rPr>
      </w:r>
      <w:r>
        <w:rPr>
          <w:spacing w:val="-4"/>
        </w:rPr>
        <w:t>网检测项目收入、</w:t>
      </w:r>
      <w:r>
        <w:rPr>
          <w:rFonts w:ascii="宋体" w:hAnsi="宋体" w:cs="宋体" w:eastAsia="宋体" w:hint="default"/>
          <w:spacing w:val="-4"/>
        </w:rPr>
        <w:t>PPP</w:t>
      </w:r>
      <w:r>
        <w:rPr>
          <w:rFonts w:ascii="宋体" w:hAnsi="宋体" w:cs="宋体" w:eastAsia="宋体" w:hint="default"/>
          <w:spacing w:val="-60"/>
        </w:rPr>
        <w:t> </w:t>
      </w:r>
      <w:r>
        <w:rPr>
          <w:spacing w:val="-5"/>
        </w:rPr>
        <w:t>项目收入，</w:t>
      </w:r>
      <w:r>
        <w:rPr>
          <w:rFonts w:ascii="Garamond" w:hAnsi="Garamond" w:cs="Garamond" w:eastAsia="Garamond" w:hint="default"/>
          <w:spacing w:val="-5"/>
        </w:rPr>
        <w:t>2018</w:t>
      </w:r>
      <w:r>
        <w:rPr>
          <w:rFonts w:ascii="Garamond" w:hAnsi="Garamond" w:cs="Garamond" w:eastAsia="Garamond" w:hint="default"/>
          <w:spacing w:val="5"/>
        </w:rPr>
        <w:t> </w:t>
      </w:r>
      <w:r>
        <w:rPr/>
        <w:t>年度合并营业收入人民币</w:t>
      </w:r>
      <w:r>
        <w:rPr>
          <w:spacing w:val="-60"/>
        </w:rPr>
        <w:t> </w:t>
      </w:r>
      <w:r>
        <w:rPr>
          <w:rFonts w:ascii="Garamond" w:hAnsi="Garamond" w:cs="Garamond" w:eastAsia="Garamond" w:hint="default"/>
        </w:rPr>
        <w:t>128,881.55 </w:t>
      </w:r>
      <w:r>
        <w:rPr>
          <w:spacing w:val="-11"/>
        </w:rPr>
        <w:t>万元，比</w:t>
      </w:r>
      <w:r>
        <w:rPr/>
        <w:t> </w:t>
      </w:r>
      <w:r>
        <w:rPr>
          <w:rFonts w:ascii="Garamond" w:hAnsi="Garamond" w:cs="Garamond" w:eastAsia="Garamond" w:hint="default"/>
        </w:rPr>
        <w:t>2017</w:t>
      </w:r>
      <w:r>
        <w:rPr>
          <w:rFonts w:ascii="Garamond" w:hAnsi="Garamond" w:cs="Garamond" w:eastAsia="Garamond" w:hint="default"/>
          <w:spacing w:val="57"/>
        </w:rPr>
        <w:t> </w:t>
      </w:r>
      <w:r>
        <w:rPr/>
        <w:t>年 度增加人民币 </w:t>
      </w:r>
      <w:r>
        <w:rPr>
          <w:rFonts w:ascii="Garamond" w:hAnsi="Garamond" w:cs="Garamond" w:eastAsia="Garamond" w:hint="default"/>
        </w:rPr>
        <w:t>8,583.85</w:t>
      </w:r>
      <w:r>
        <w:rPr>
          <w:rFonts w:ascii="Garamond" w:hAnsi="Garamond" w:cs="Garamond" w:eastAsia="Garamond" w:hint="default"/>
          <w:spacing w:val="36"/>
        </w:rPr>
        <w:t> </w:t>
      </w:r>
      <w:r>
        <w:rPr/>
        <w:t>万元。收入确认的会计政策详情及收入的列报请参阅合并财务报表附 </w:t>
      </w:r>
      <w:r>
        <w:rPr>
          <w:spacing w:val="-3"/>
        </w:rPr>
        <w:t>注“四、重要会计政策和会计估计”</w:t>
      </w:r>
      <w:r>
        <w:rPr>
          <w:rFonts w:ascii="Garamond" w:hAnsi="Garamond" w:cs="Garamond" w:eastAsia="Garamond" w:hint="default"/>
          <w:spacing w:val="-3"/>
        </w:rPr>
        <w:t>26</w:t>
      </w:r>
      <w:r>
        <w:rPr>
          <w:rFonts w:ascii="Garamond" w:hAnsi="Garamond" w:cs="Garamond" w:eastAsia="Garamond" w:hint="default"/>
          <w:spacing w:val="46"/>
        </w:rPr>
        <w:t> </w:t>
      </w:r>
      <w:r>
        <w:rPr/>
        <w:t>所述的会计政策及合并财务报表附注“六、合并财务 报表主要项目附注”</w:t>
      </w:r>
      <w:r>
        <w:rPr>
          <w:rFonts w:ascii="Garamond" w:hAnsi="Garamond" w:cs="Garamond" w:eastAsia="Garamond" w:hint="default"/>
        </w:rPr>
        <w:t>31</w:t>
      </w:r>
      <w:r>
        <w:rPr/>
        <w:t>。因收入金额重大且为数字政通公司关键业绩指标，从而存在管理层</w:t>
      </w:r>
      <w:r>
        <w:rPr>
          <w:spacing w:val="-64"/>
        </w:rPr>
        <w:t> </w:t>
      </w:r>
      <w:r>
        <w:rPr>
          <w:spacing w:val="-64"/>
        </w:rPr>
      </w:r>
      <w:r>
        <w:rPr/>
        <w:t>为了达到特定目标或期望而操纵收入确认的风险，故我们将收入确认识别为关键审计事项。</w:t>
      </w:r>
    </w:p>
    <w:p>
      <w:pPr>
        <w:pStyle w:val="BodyText"/>
        <w:spacing w:line="240" w:lineRule="auto" w:before="58"/>
        <w:ind w:left="592" w:right="982"/>
        <w:jc w:val="left"/>
      </w:pPr>
      <w:r>
        <w:rPr>
          <w:rFonts w:ascii="宋体" w:hAnsi="宋体" w:cs="宋体" w:eastAsia="宋体" w:hint="default"/>
        </w:rPr>
        <w:t>2</w:t>
      </w:r>
      <w:r>
        <w:rPr/>
        <w:t>、</w:t>
      </w:r>
      <w:r>
        <w:rPr>
          <w:spacing w:val="-80"/>
        </w:rPr>
        <w:t> </w:t>
      </w:r>
      <w:r>
        <w:rPr/>
        <w:t>审计应对</w:t>
      </w:r>
    </w:p>
    <w:p>
      <w:pPr>
        <w:pStyle w:val="BodyText"/>
        <w:spacing w:line="240" w:lineRule="auto" w:before="151"/>
        <w:ind w:left="633" w:right="982"/>
        <w:jc w:val="left"/>
      </w:pPr>
      <w:r>
        <w:rPr/>
        <w:t>（</w:t>
      </w:r>
      <w:r>
        <w:rPr>
          <w:rFonts w:ascii="宋体" w:hAnsi="宋体" w:cs="宋体" w:eastAsia="宋体" w:hint="default"/>
        </w:rPr>
        <w:t>1</w:t>
      </w:r>
      <w:r>
        <w:rPr/>
        <w:t>）了解、评估与收入循环相关内部控制的设计，并测试销售内部控制运行的有效性；</w:t>
      </w:r>
    </w:p>
    <w:p>
      <w:pPr>
        <w:pStyle w:val="BodyText"/>
        <w:spacing w:line="357" w:lineRule="auto" w:before="154"/>
        <w:ind w:right="1034" w:firstLine="480"/>
        <w:jc w:val="left"/>
      </w:pPr>
      <w:r>
        <w:rPr/>
        <w:t>（</w:t>
      </w:r>
      <w:r>
        <w:rPr>
          <w:rFonts w:ascii="宋体" w:hAnsi="宋体" w:cs="宋体" w:eastAsia="宋体" w:hint="default"/>
        </w:rPr>
        <w:t>2</w:t>
      </w:r>
      <w:r>
        <w:rPr/>
        <w:t>）对于数字城管项目和</w:t>
      </w:r>
      <w:r>
        <w:rPr>
          <w:spacing w:val="-60"/>
        </w:rPr>
        <w:t> </w:t>
      </w:r>
      <w:r>
        <w:rPr>
          <w:rFonts w:ascii="宋体" w:hAnsi="宋体" w:cs="宋体" w:eastAsia="宋体" w:hint="default"/>
        </w:rPr>
        <w:t>PPP</w:t>
      </w:r>
      <w:r>
        <w:rPr>
          <w:rFonts w:ascii="宋体" w:hAnsi="宋体" w:cs="宋体" w:eastAsia="宋体" w:hint="default"/>
          <w:spacing w:val="-60"/>
        </w:rPr>
        <w:t> </w:t>
      </w:r>
      <w:r>
        <w:rPr/>
        <w:t>项目，我们选取重要客户检查了相关合同、完工进度单， 并根据完工进度单所述进度重新计算本期应确认收入金额，复核收入记录的准确性，同时对</w:t>
      </w:r>
      <w:r>
        <w:rPr>
          <w:spacing w:val="-91"/>
        </w:rPr>
        <w:t> </w:t>
      </w:r>
      <w:r>
        <w:rPr>
          <w:spacing w:val="-91"/>
        </w:rPr>
      </w:r>
      <w:r>
        <w:rPr/>
        <w:t>完工进度进行函证，复核收入的真实性；对于采集项目，我们检查了相关合同，并重新计算</w:t>
      </w:r>
      <w:r>
        <w:rPr>
          <w:spacing w:val="-91"/>
        </w:rPr>
        <w:t> </w:t>
      </w:r>
      <w:r>
        <w:rPr>
          <w:spacing w:val="-91"/>
        </w:rPr>
      </w:r>
      <w:r>
        <w:rPr/>
        <w:t>本期应当确认收入的金额以验证收入的准确性；对于安防项目、管道探测项目、管网检测项</w:t>
      </w:r>
      <w:r>
        <w:rPr>
          <w:spacing w:val="-91"/>
        </w:rPr>
        <w:t> </w:t>
      </w:r>
      <w:r>
        <w:rPr>
          <w:spacing w:val="-91"/>
        </w:rPr>
      </w:r>
      <w:r>
        <w:rPr/>
        <w:t>目，我们选取样本检查了相关合同、项目验收单，根据取得的项目验收单追查至账面，核实</w:t>
      </w:r>
      <w:r>
        <w:rPr>
          <w:spacing w:val="-90"/>
        </w:rPr>
        <w:t> </w:t>
      </w:r>
      <w:r>
        <w:rPr>
          <w:spacing w:val="-90"/>
        </w:rPr>
      </w:r>
      <w:r>
        <w:rPr/>
        <w:t>收入是否记录于恰当的会计期间，并根据相关合同金额检查核对账面已确认收入金额，复核</w:t>
      </w:r>
      <w:r>
        <w:rPr>
          <w:spacing w:val="-91"/>
        </w:rPr>
        <w:t> </w:t>
      </w:r>
      <w:r>
        <w:rPr>
          <w:spacing w:val="-91"/>
        </w:rPr>
      </w:r>
      <w:r>
        <w:rPr/>
        <w:t>收入的准确性、真实性；对于采集项目，我们检查了相关合同，并重新计算本期应当确认收</w:t>
      </w:r>
      <w:r>
        <w:rPr>
          <w:spacing w:val="-91"/>
        </w:rPr>
        <w:t> </w:t>
      </w:r>
      <w:r>
        <w:rPr>
          <w:spacing w:val="-91"/>
        </w:rPr>
      </w:r>
      <w:r>
        <w:rPr/>
        <w:t>入的金额以验证收入的准确性；</w:t>
      </w:r>
    </w:p>
    <w:p>
      <w:pPr>
        <w:pStyle w:val="BodyText"/>
        <w:spacing w:line="357" w:lineRule="auto" w:before="34"/>
        <w:ind w:right="982" w:firstLine="480"/>
        <w:jc w:val="left"/>
      </w:pPr>
      <w:r>
        <w:rPr>
          <w:spacing w:val="-3"/>
        </w:rPr>
        <w:t>（</w:t>
      </w:r>
      <w:r>
        <w:rPr>
          <w:rFonts w:ascii="宋体" w:hAnsi="宋体" w:cs="宋体" w:eastAsia="宋体" w:hint="default"/>
          <w:spacing w:val="-3"/>
        </w:rPr>
        <w:t>3</w:t>
      </w:r>
      <w:r>
        <w:rPr>
          <w:spacing w:val="-3"/>
        </w:rPr>
        <w:t>）就资产负债表日前后记录的收入交易，选取样本，核对完工进度单、项目验收单及</w:t>
      </w:r>
      <w:r>
        <w:rPr/>
        <w:t> 其他支持性文件，以评价收入是否被记录于恰当的会计期间；</w:t>
      </w:r>
    </w:p>
    <w:p>
      <w:pPr>
        <w:pStyle w:val="BodyText"/>
        <w:spacing w:line="240" w:lineRule="auto" w:before="34"/>
        <w:ind w:left="633" w:right="982"/>
        <w:jc w:val="left"/>
      </w:pPr>
      <w:r>
        <w:rPr/>
        <w:t>（</w:t>
      </w:r>
      <w:r>
        <w:rPr>
          <w:rFonts w:ascii="宋体" w:hAnsi="宋体" w:cs="宋体" w:eastAsia="宋体" w:hint="default"/>
        </w:rPr>
        <w:t>4</w:t>
      </w:r>
      <w:r>
        <w:rPr/>
        <w:t>）对重大客户的收入执行函证及访谈程序，以验证销售收入的准确性、真实性。</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3"/>
          <w:szCs w:val="23"/>
        </w:rPr>
      </w:pPr>
    </w:p>
    <w:p>
      <w:pPr>
        <w:pStyle w:val="BodyText"/>
        <w:spacing w:line="357" w:lineRule="auto" w:before="0"/>
        <w:ind w:left="633" w:right="8534" w:hanging="41"/>
        <w:jc w:val="left"/>
      </w:pPr>
      <w:r>
        <w:rPr/>
        <w:t>（二）</w:t>
      </w:r>
      <w:r>
        <w:rPr>
          <w:spacing w:val="-20"/>
        </w:rPr>
        <w:t> </w:t>
      </w:r>
      <w:r>
        <w:rPr/>
        <w:t>商誉减值</w:t>
      </w:r>
      <w:r>
        <w:rPr/>
        <w:t> </w:t>
      </w:r>
      <w:r>
        <w:rPr>
          <w:rFonts w:ascii="宋体" w:hAnsi="宋体" w:cs="宋体" w:eastAsia="宋体" w:hint="default"/>
        </w:rPr>
        <w:t>1</w:t>
      </w:r>
      <w:r>
        <w:rPr/>
        <w:t>、事项描述</w:t>
      </w:r>
    </w:p>
    <w:p>
      <w:pPr>
        <w:pStyle w:val="BodyText"/>
        <w:spacing w:line="240" w:lineRule="auto" w:before="34"/>
        <w:ind w:left="633" w:right="982"/>
        <w:jc w:val="left"/>
      </w:pPr>
      <w:r>
        <w:rPr>
          <w:spacing w:val="7"/>
        </w:rPr>
        <w:t>截止 </w:t>
      </w:r>
      <w:r>
        <w:rPr>
          <w:rFonts w:ascii="宋体" w:hAnsi="宋体" w:cs="宋体" w:eastAsia="宋体" w:hint="default"/>
        </w:rPr>
        <w:t>2018 </w:t>
      </w:r>
      <w:r>
        <w:rPr/>
        <w:t>年 </w:t>
      </w:r>
      <w:r>
        <w:rPr>
          <w:rFonts w:ascii="宋体" w:hAnsi="宋体" w:cs="宋体" w:eastAsia="宋体" w:hint="default"/>
        </w:rPr>
        <w:t>12 </w:t>
      </w:r>
      <w:r>
        <w:rPr/>
        <w:t>月 </w:t>
      </w:r>
      <w:r>
        <w:rPr>
          <w:rFonts w:ascii="宋体" w:hAnsi="宋体" w:cs="宋体" w:eastAsia="宋体" w:hint="default"/>
        </w:rPr>
        <w:t>31 </w:t>
      </w:r>
      <w:r>
        <w:rPr>
          <w:rFonts w:ascii="宋体" w:hAnsi="宋体" w:cs="宋体" w:eastAsia="宋体" w:hint="default"/>
          <w:spacing w:val="5"/>
        </w:rPr>
        <w:t> </w:t>
      </w:r>
      <w:r>
        <w:rPr>
          <w:spacing w:val="14"/>
        </w:rPr>
        <w:t>日，数字政通公司合并资产负债表中的商誉净值为人民币</w:t>
      </w:r>
    </w:p>
    <w:p>
      <w:pPr>
        <w:pStyle w:val="BodyText"/>
        <w:spacing w:line="240" w:lineRule="auto" w:before="154"/>
        <w:ind w:right="982"/>
        <w:jc w:val="left"/>
      </w:pPr>
      <w:r>
        <w:rPr>
          <w:rFonts w:ascii="宋体" w:hAnsi="宋体" w:cs="宋体" w:eastAsia="宋体" w:hint="default"/>
        </w:rPr>
        <w:t>44,077.94 </w:t>
      </w:r>
      <w:r>
        <w:rPr>
          <w:spacing w:val="-4"/>
        </w:rPr>
        <w:t>万元，</w:t>
      </w:r>
      <w:r>
        <w:rPr>
          <w:rFonts w:ascii="宋体" w:hAnsi="宋体" w:cs="宋体" w:eastAsia="宋体" w:hint="default"/>
          <w:spacing w:val="-4"/>
        </w:rPr>
        <w:t>2018</w:t>
      </w:r>
      <w:r>
        <w:rPr>
          <w:rFonts w:ascii="宋体" w:hAnsi="宋体" w:cs="宋体" w:eastAsia="宋体" w:hint="default"/>
          <w:spacing w:val="-54"/>
        </w:rPr>
        <w:t> </w:t>
      </w:r>
      <w:r>
        <w:rPr/>
        <w:t>年度数字政通公司于合并利润表对子公司北京数字智通科技有限公司</w:t>
      </w:r>
    </w:p>
    <w:p>
      <w:pPr>
        <w:pStyle w:val="BodyText"/>
        <w:spacing w:line="348" w:lineRule="auto" w:before="151"/>
        <w:ind w:right="1034"/>
        <w:jc w:val="left"/>
      </w:pPr>
      <w:r>
        <w:rPr/>
        <w:t>计提的商誉减值准备为人民币</w:t>
      </w:r>
      <w:r>
        <w:rPr>
          <w:spacing w:val="-57"/>
        </w:rPr>
        <w:t> </w:t>
      </w:r>
      <w:r>
        <w:rPr>
          <w:rFonts w:ascii="宋体" w:hAnsi="宋体" w:cs="宋体" w:eastAsia="宋体" w:hint="default"/>
        </w:rPr>
        <w:t>2,450.08</w:t>
      </w:r>
      <w:r>
        <w:rPr>
          <w:rFonts w:ascii="宋体" w:hAnsi="宋体" w:cs="宋体" w:eastAsia="宋体" w:hint="default"/>
          <w:spacing w:val="-58"/>
        </w:rPr>
        <w:t> </w:t>
      </w:r>
      <w:r>
        <w:rPr>
          <w:spacing w:val="-4"/>
        </w:rPr>
        <w:t>万元。相关信息披露参阅合并财务报表附注“重要会</w:t>
      </w:r>
      <w:r>
        <w:rPr>
          <w:spacing w:val="-116"/>
        </w:rPr>
        <w:t> </w:t>
      </w:r>
      <w:r>
        <w:rPr>
          <w:spacing w:val="-116"/>
        </w:rPr>
      </w:r>
      <w:r>
        <w:rPr/>
        <w:t>计政策和会计估计”</w:t>
      </w:r>
      <w:r>
        <w:rPr>
          <w:rFonts w:ascii="宋体" w:hAnsi="宋体" w:cs="宋体" w:eastAsia="宋体" w:hint="default"/>
        </w:rPr>
        <w:t>20 </w:t>
      </w:r>
      <w:r>
        <w:rPr/>
        <w:t>所述的会计政策及合并财务报表附注“合并财务报表主要项目附注” </w:t>
      </w:r>
      <w:r>
        <w:rPr>
          <w:rFonts w:ascii="Garamond" w:hAnsi="Garamond" w:cs="Garamond" w:eastAsia="Garamond" w:hint="default"/>
        </w:rPr>
        <w:t>15</w:t>
      </w:r>
      <w:r>
        <w:rPr/>
        <w:t>。基于商誉的账面价值对财务报表的重要性，管理层对商誉至少每年进行减值测试管理层</w:t>
      </w:r>
      <w:r>
        <w:rPr>
          <w:spacing w:val="-72"/>
        </w:rPr>
        <w:t> </w:t>
      </w:r>
      <w:r>
        <w:rPr>
          <w:spacing w:val="-72"/>
        </w:rPr>
      </w:r>
      <w:r>
        <w:rPr/>
        <w:t>通过比较被分摊商誉的相关资产组的可收回金额与该资产组及商誉的账面价值，对商誉进行</w:t>
      </w:r>
      <w:r>
        <w:rPr>
          <w:spacing w:val="-91"/>
        </w:rPr>
        <w:t> </w:t>
      </w:r>
      <w:r>
        <w:rPr>
          <w:spacing w:val="-91"/>
        </w:rPr>
      </w:r>
      <w:r>
        <w:rPr/>
        <w:t>减值测试。管理层在预测中需要做出重大判断和假设，其中可能存在错误或潜在的管理层偏</w:t>
      </w:r>
    </w:p>
    <w:p>
      <w:pPr>
        <w:spacing w:after="0" w:line="348" w:lineRule="auto"/>
        <w:jc w:val="left"/>
        <w:sectPr>
          <w:pgSz w:w="11910" w:h="16840"/>
          <w:pgMar w:header="745" w:footer="979" w:top="1060" w:bottom="1160" w:left="980" w:right="0"/>
        </w:sectPr>
      </w:pPr>
    </w:p>
    <w:p>
      <w:pPr>
        <w:spacing w:line="240" w:lineRule="auto" w:before="6"/>
        <w:rPr>
          <w:rFonts w:ascii="宋体" w:hAnsi="宋体" w:cs="宋体" w:eastAsia="宋体" w:hint="default"/>
          <w:sz w:val="23"/>
          <w:szCs w:val="23"/>
        </w:rPr>
      </w:pPr>
    </w:p>
    <w:p>
      <w:pPr>
        <w:pStyle w:val="BodyText"/>
        <w:spacing w:line="240" w:lineRule="auto" w:before="26"/>
        <w:ind w:right="0"/>
        <w:jc w:val="both"/>
      </w:pPr>
      <w:r>
        <w:rPr/>
        <w:t>向的情况，因此我们将商誉减值识别为关键审计事项。</w:t>
      </w:r>
    </w:p>
    <w:p>
      <w:pPr>
        <w:pStyle w:val="BodyText"/>
        <w:spacing w:line="240" w:lineRule="auto" w:before="154"/>
        <w:ind w:left="633" w:right="982"/>
        <w:jc w:val="left"/>
      </w:pPr>
      <w:r>
        <w:rPr>
          <w:rFonts w:ascii="Garamond" w:hAnsi="Garamond" w:cs="Garamond" w:eastAsia="Garamond" w:hint="default"/>
        </w:rPr>
        <w:t>2</w:t>
      </w:r>
      <w:r>
        <w:rPr/>
        <w:t>、审计应对</w:t>
      </w:r>
    </w:p>
    <w:p>
      <w:pPr>
        <w:pStyle w:val="BodyText"/>
        <w:spacing w:line="326" w:lineRule="auto" w:before="122"/>
        <w:ind w:right="1119" w:firstLine="480"/>
        <w:jc w:val="left"/>
      </w:pPr>
      <w:r>
        <w:rPr>
          <w:spacing w:val="-2"/>
        </w:rPr>
        <w:t>（</w:t>
      </w:r>
      <w:r>
        <w:rPr>
          <w:rFonts w:ascii="Garamond" w:hAnsi="Garamond" w:cs="Garamond" w:eastAsia="Garamond" w:hint="default"/>
          <w:spacing w:val="-2"/>
        </w:rPr>
        <w:t>1</w:t>
      </w:r>
      <w:r>
        <w:rPr>
          <w:spacing w:val="-2"/>
        </w:rPr>
        <w:t>）了解和评价管理层与商誉减值相关的内部控制的设计和执行有效性，包括关键假设</w:t>
      </w:r>
      <w:r>
        <w:rPr/>
        <w:t> 的采用及减值计提金额的复核与审批；</w:t>
      </w:r>
    </w:p>
    <w:p>
      <w:pPr>
        <w:pStyle w:val="BodyText"/>
        <w:spacing w:line="240" w:lineRule="auto" w:before="65"/>
        <w:ind w:left="633" w:right="982"/>
        <w:jc w:val="left"/>
      </w:pPr>
      <w:r>
        <w:rPr/>
        <w:t>（</w:t>
      </w:r>
      <w:r>
        <w:rPr>
          <w:rFonts w:ascii="Garamond" w:hAnsi="Garamond" w:cs="Garamond" w:eastAsia="Garamond" w:hint="default"/>
        </w:rPr>
        <w:t>2</w:t>
      </w:r>
      <w:r>
        <w:rPr/>
        <w:t>）评估管理层商誉减值测试方法的适当性及确定是否一贯应用；</w:t>
      </w:r>
    </w:p>
    <w:p>
      <w:pPr>
        <w:pStyle w:val="BodyText"/>
        <w:spacing w:line="240" w:lineRule="auto" w:before="127"/>
        <w:ind w:left="633" w:right="982"/>
        <w:jc w:val="left"/>
      </w:pPr>
      <w:r>
        <w:rPr/>
        <w:t>（</w:t>
      </w:r>
      <w:r>
        <w:rPr>
          <w:rFonts w:ascii="Garamond" w:hAnsi="Garamond" w:cs="Garamond" w:eastAsia="Garamond" w:hint="default"/>
        </w:rPr>
        <w:t>3</w:t>
      </w:r>
      <w:r>
        <w:rPr/>
        <w:t>）评价管理层聘请的第三方评估机构的客观性、独立性及专业胜任能力；</w:t>
      </w:r>
    </w:p>
    <w:p>
      <w:pPr>
        <w:pStyle w:val="BodyText"/>
        <w:spacing w:line="340" w:lineRule="auto" w:before="107"/>
        <w:ind w:right="1133" w:firstLine="480"/>
        <w:jc w:val="both"/>
      </w:pPr>
      <w:r>
        <w:rPr>
          <w:spacing w:val="-2"/>
        </w:rPr>
        <w:t>（</w:t>
      </w:r>
      <w:r>
        <w:rPr>
          <w:rFonts w:ascii="Garamond" w:hAnsi="Garamond" w:cs="Garamond" w:eastAsia="Garamond" w:hint="default"/>
          <w:spacing w:val="-2"/>
        </w:rPr>
        <w:t>4</w:t>
      </w:r>
      <w:r>
        <w:rPr>
          <w:spacing w:val="-2"/>
        </w:rPr>
        <w:t>）取得并阅读了管理层为商誉减值测试聘请的评估师出具的资产评估报告，并与评估</w:t>
      </w:r>
      <w:r>
        <w:rPr/>
        <w:t> 师进行了讨论，了解其评估方法及关键假设并复核商誉减值测试方法的恰当性；检查现金流</w:t>
      </w:r>
      <w:r>
        <w:rPr>
          <w:spacing w:val="-86"/>
        </w:rPr>
        <w:t> </w:t>
      </w:r>
      <w:r>
        <w:rPr>
          <w:spacing w:val="-86"/>
        </w:rPr>
      </w:r>
      <w:r>
        <w:rPr/>
        <w:t>量预测和所采用折现率的合理性，重新计算预计未来现金流量现值的计算是否准确；</w:t>
      </w:r>
    </w:p>
    <w:p>
      <w:pPr>
        <w:pStyle w:val="BodyText"/>
        <w:spacing w:line="240" w:lineRule="auto" w:before="50"/>
        <w:ind w:left="633" w:right="982"/>
        <w:jc w:val="left"/>
      </w:pPr>
      <w:r>
        <w:rPr/>
        <w:t>（</w:t>
      </w:r>
      <w:r>
        <w:rPr>
          <w:rFonts w:ascii="Garamond" w:hAnsi="Garamond" w:cs="Garamond" w:eastAsia="Garamond" w:hint="default"/>
        </w:rPr>
        <w:t>5</w:t>
      </w:r>
      <w:r>
        <w:rPr/>
        <w:t>）检查与商誉减值相关的信息是否已在财务报表中作出恰当列报和披露。</w:t>
      </w:r>
    </w:p>
    <w:p>
      <w:pPr>
        <w:pStyle w:val="BodyText"/>
        <w:spacing w:line="240" w:lineRule="auto" w:before="124"/>
        <w:ind w:left="592" w:right="982"/>
        <w:jc w:val="left"/>
      </w:pPr>
      <w:r>
        <w:rPr/>
        <w:t>（三）</w:t>
      </w:r>
      <w:r>
        <w:rPr>
          <w:spacing w:val="-20"/>
        </w:rPr>
        <w:t> </w:t>
      </w:r>
      <w:r>
        <w:rPr/>
        <w:t>应收账款的可收回性</w:t>
      </w:r>
    </w:p>
    <w:p>
      <w:pPr>
        <w:pStyle w:val="BodyText"/>
        <w:spacing w:line="240" w:lineRule="auto" w:before="151"/>
        <w:ind w:left="633" w:right="982"/>
        <w:jc w:val="left"/>
      </w:pPr>
      <w:r>
        <w:rPr>
          <w:rFonts w:ascii="Garamond" w:hAnsi="Garamond" w:cs="Garamond" w:eastAsia="Garamond" w:hint="default"/>
        </w:rPr>
        <w:t>1</w:t>
      </w:r>
      <w:r>
        <w:rPr/>
        <w:t>、事项描述</w:t>
      </w:r>
    </w:p>
    <w:p>
      <w:pPr>
        <w:pStyle w:val="BodyText"/>
        <w:spacing w:line="240" w:lineRule="auto" w:before="124"/>
        <w:ind w:left="633" w:right="982"/>
        <w:jc w:val="left"/>
      </w:pPr>
      <w:r>
        <w:rPr>
          <w:spacing w:val="4"/>
        </w:rPr>
        <w:t>截止 </w:t>
      </w:r>
      <w:r>
        <w:rPr>
          <w:rFonts w:ascii="Garamond" w:hAnsi="Garamond" w:cs="Garamond" w:eastAsia="Garamond" w:hint="default"/>
        </w:rPr>
        <w:t>2018  </w:t>
      </w:r>
      <w:r>
        <w:rPr/>
        <w:t>年 </w:t>
      </w:r>
      <w:r>
        <w:rPr>
          <w:rFonts w:ascii="Garamond" w:hAnsi="Garamond" w:cs="Garamond" w:eastAsia="Garamond" w:hint="default"/>
        </w:rPr>
        <w:t>12  </w:t>
      </w:r>
      <w:r>
        <w:rPr/>
        <w:t>月 </w:t>
      </w:r>
      <w:r>
        <w:rPr>
          <w:rFonts w:ascii="Garamond" w:hAnsi="Garamond" w:cs="Garamond" w:eastAsia="Garamond" w:hint="default"/>
        </w:rPr>
        <w:t>31  </w:t>
      </w:r>
      <w:r>
        <w:rPr>
          <w:rFonts w:ascii="Garamond" w:hAnsi="Garamond" w:cs="Garamond" w:eastAsia="Garamond" w:hint="default"/>
          <w:spacing w:val="7"/>
        </w:rPr>
        <w:t> </w:t>
      </w:r>
      <w:r>
        <w:rPr>
          <w:spacing w:val="9"/>
        </w:rPr>
        <w:t>日数字政通公司合并资产负债表中应收账款账面余额人民币</w:t>
      </w:r>
    </w:p>
    <w:p>
      <w:pPr>
        <w:pStyle w:val="BodyText"/>
        <w:spacing w:line="340" w:lineRule="auto" w:before="124"/>
        <w:ind w:right="1128"/>
        <w:jc w:val="both"/>
      </w:pPr>
      <w:r>
        <w:rPr>
          <w:rFonts w:ascii="Garamond" w:hAnsi="Garamond" w:cs="Garamond" w:eastAsia="Garamond" w:hint="default"/>
        </w:rPr>
        <w:t>123,360.43</w:t>
      </w:r>
      <w:r>
        <w:rPr>
          <w:rFonts w:ascii="Garamond" w:hAnsi="Garamond" w:cs="Garamond" w:eastAsia="Garamond" w:hint="default"/>
          <w:spacing w:val="-7"/>
        </w:rPr>
        <w:t> </w:t>
      </w:r>
      <w:r>
        <w:rPr/>
        <w:t>万元、坏账准备金额人民币</w:t>
      </w:r>
      <w:r>
        <w:rPr>
          <w:spacing w:val="-67"/>
        </w:rPr>
        <w:t> </w:t>
      </w:r>
      <w:r>
        <w:rPr>
          <w:rFonts w:ascii="Garamond" w:hAnsi="Garamond" w:cs="Garamond" w:eastAsia="Garamond" w:hint="default"/>
        </w:rPr>
        <w:t>16,632.81</w:t>
      </w:r>
      <w:r>
        <w:rPr>
          <w:rFonts w:ascii="Garamond" w:hAnsi="Garamond" w:cs="Garamond" w:eastAsia="Garamond" w:hint="default"/>
          <w:spacing w:val="-7"/>
        </w:rPr>
        <w:t> </w:t>
      </w:r>
      <w:r>
        <w:rPr/>
        <w:t>万元、账面价值人民币</w:t>
      </w:r>
      <w:r>
        <w:rPr>
          <w:spacing w:val="-67"/>
        </w:rPr>
        <w:t> </w:t>
      </w:r>
      <w:r>
        <w:rPr>
          <w:rFonts w:ascii="Garamond" w:hAnsi="Garamond" w:cs="Garamond" w:eastAsia="Garamond" w:hint="default"/>
        </w:rPr>
        <w:t>106,727.62</w:t>
      </w:r>
      <w:r>
        <w:rPr>
          <w:rFonts w:ascii="Garamond" w:hAnsi="Garamond" w:cs="Garamond" w:eastAsia="Garamond" w:hint="default"/>
          <w:spacing w:val="-7"/>
        </w:rPr>
        <w:t> </w:t>
      </w:r>
      <w:r>
        <w:rPr>
          <w:spacing w:val="-4"/>
        </w:rPr>
        <w:t>万元，占期</w:t>
      </w:r>
      <w:r>
        <w:rPr/>
        <w:t> 末数字政通公司合并资产负债表资产总额的</w:t>
      </w:r>
      <w:r>
        <w:rPr>
          <w:spacing w:val="-63"/>
        </w:rPr>
        <w:t> </w:t>
      </w:r>
      <w:r>
        <w:rPr>
          <w:rFonts w:ascii="Garamond" w:hAnsi="Garamond" w:cs="Garamond" w:eastAsia="Garamond" w:hint="default"/>
        </w:rPr>
        <w:t>34.04%</w:t>
      </w:r>
      <w:r>
        <w:rPr/>
        <w:t>，由于应收账款期末金额较大且数字政通 公司管理层在确定应收账款预计可收回金额时需要运用重大会计估计和判断评估相关客户的</w:t>
      </w:r>
      <w:r>
        <w:rPr>
          <w:spacing w:val="-90"/>
        </w:rPr>
        <w:t> </w:t>
      </w:r>
      <w:r>
        <w:rPr>
          <w:spacing w:val="-90"/>
        </w:rPr>
      </w:r>
      <w:r>
        <w:rPr/>
        <w:t>信用状况以及实际还款情况等因素，且影响金额重大，为此我们确定应收账款的可收回性为</w:t>
      </w:r>
      <w:r>
        <w:rPr>
          <w:spacing w:val="-91"/>
        </w:rPr>
        <w:t> </w:t>
      </w:r>
      <w:r>
        <w:rPr>
          <w:spacing w:val="-91"/>
        </w:rPr>
      </w:r>
      <w:r>
        <w:rPr/>
        <w:t>关键审计事项。</w:t>
      </w:r>
    </w:p>
    <w:p>
      <w:pPr>
        <w:pStyle w:val="BodyText"/>
        <w:spacing w:line="240" w:lineRule="auto" w:before="50"/>
        <w:ind w:left="633" w:right="982"/>
        <w:jc w:val="left"/>
      </w:pPr>
      <w:r>
        <w:rPr>
          <w:rFonts w:ascii="Garamond" w:hAnsi="Garamond" w:cs="Garamond" w:eastAsia="Garamond" w:hint="default"/>
        </w:rPr>
        <w:t>2</w:t>
      </w:r>
      <w:r>
        <w:rPr/>
        <w:t>、审计应对</w:t>
      </w:r>
    </w:p>
    <w:p>
      <w:pPr>
        <w:pStyle w:val="BodyText"/>
        <w:spacing w:line="326" w:lineRule="auto" w:before="124"/>
        <w:ind w:right="1119" w:firstLine="480"/>
        <w:jc w:val="left"/>
      </w:pPr>
      <w:r>
        <w:rPr>
          <w:spacing w:val="-2"/>
        </w:rPr>
        <w:t>（</w:t>
      </w:r>
      <w:r>
        <w:rPr>
          <w:rFonts w:ascii="Garamond" w:hAnsi="Garamond" w:cs="Garamond" w:eastAsia="Garamond" w:hint="default"/>
          <w:spacing w:val="-2"/>
        </w:rPr>
        <w:t>1</w:t>
      </w:r>
      <w:r>
        <w:rPr>
          <w:spacing w:val="-2"/>
        </w:rPr>
        <w:t>）了解、评估并测试管理层对应收账款账龄分析以及确定应收账款坏账准备相关的内</w:t>
      </w:r>
      <w:r>
        <w:rPr/>
        <w:t> 部控制；</w:t>
      </w:r>
    </w:p>
    <w:p>
      <w:pPr>
        <w:pStyle w:val="BodyText"/>
        <w:spacing w:line="326" w:lineRule="auto" w:before="68"/>
        <w:ind w:right="1119" w:firstLine="480"/>
        <w:jc w:val="left"/>
      </w:pPr>
      <w:r>
        <w:rPr>
          <w:spacing w:val="-2"/>
        </w:rPr>
        <w:t>（</w:t>
      </w:r>
      <w:r>
        <w:rPr>
          <w:rFonts w:ascii="Garamond" w:hAnsi="Garamond" w:cs="Garamond" w:eastAsia="Garamond" w:hint="default"/>
          <w:spacing w:val="-2"/>
        </w:rPr>
        <w:t>2</w:t>
      </w:r>
      <w:r>
        <w:rPr>
          <w:spacing w:val="-2"/>
        </w:rPr>
        <w:t>）复核管理层对应收账款进行减值测试的相关考虑及客观证据，关注管理层是否充分</w:t>
      </w:r>
      <w:r>
        <w:rPr/>
        <w:t> 识别已发生减值的项目；</w:t>
      </w:r>
    </w:p>
    <w:p>
      <w:pPr>
        <w:pStyle w:val="BodyText"/>
        <w:spacing w:line="326" w:lineRule="auto" w:before="67"/>
        <w:ind w:right="1119" w:firstLine="480"/>
        <w:jc w:val="left"/>
      </w:pPr>
      <w:r>
        <w:rPr>
          <w:spacing w:val="-2"/>
        </w:rPr>
        <w:t>（</w:t>
      </w:r>
      <w:r>
        <w:rPr>
          <w:rFonts w:ascii="Garamond" w:hAnsi="Garamond" w:cs="Garamond" w:eastAsia="Garamond" w:hint="default"/>
          <w:spacing w:val="-2"/>
        </w:rPr>
        <w:t>3</w:t>
      </w:r>
      <w:r>
        <w:rPr>
          <w:spacing w:val="-2"/>
        </w:rPr>
        <w:t>）对于单项金额重大的的应收账款选取样本，复核管理层对预计未来可获得的现金流</w:t>
      </w:r>
      <w:r>
        <w:rPr/>
        <w:t> 量做出估计的依据及合理性；</w:t>
      </w:r>
    </w:p>
    <w:p>
      <w:pPr>
        <w:pStyle w:val="BodyText"/>
        <w:spacing w:line="240" w:lineRule="auto" w:before="67"/>
        <w:ind w:left="633" w:right="982"/>
        <w:jc w:val="left"/>
      </w:pPr>
      <w:r>
        <w:rPr/>
        <w:t>（</w:t>
      </w:r>
      <w:r>
        <w:rPr>
          <w:rFonts w:ascii="Garamond" w:hAnsi="Garamond" w:cs="Garamond" w:eastAsia="Garamond" w:hint="default"/>
        </w:rPr>
        <w:t>4</w:t>
      </w:r>
      <w:r>
        <w:rPr/>
        <w:t>）实施函证程序，并将函证结果与管理层记录的金额进行了核对；</w:t>
      </w:r>
    </w:p>
    <w:p>
      <w:pPr>
        <w:spacing w:line="326" w:lineRule="auto" w:before="122"/>
        <w:ind w:left="635" w:right="6081" w:hanging="3"/>
        <w:jc w:val="left"/>
        <w:rPr>
          <w:rFonts w:ascii="宋体" w:hAnsi="宋体" w:cs="宋体" w:eastAsia="宋体" w:hint="default"/>
          <w:sz w:val="24"/>
          <w:szCs w:val="24"/>
        </w:rPr>
      </w:pPr>
      <w:r>
        <w:rPr>
          <w:rFonts w:ascii="宋体" w:hAnsi="宋体" w:cs="宋体" w:eastAsia="宋体" w:hint="default"/>
          <w:sz w:val="24"/>
          <w:szCs w:val="24"/>
        </w:rPr>
        <w:t>（</w:t>
      </w:r>
      <w:r>
        <w:rPr>
          <w:rFonts w:ascii="Garamond" w:hAnsi="Garamond" w:cs="Garamond" w:eastAsia="Garamond" w:hint="default"/>
          <w:sz w:val="24"/>
          <w:szCs w:val="24"/>
        </w:rPr>
        <w:t>5</w:t>
      </w:r>
      <w:r>
        <w:rPr>
          <w:rFonts w:ascii="宋体" w:hAnsi="宋体" w:cs="宋体" w:eastAsia="宋体" w:hint="default"/>
          <w:sz w:val="24"/>
          <w:szCs w:val="24"/>
        </w:rPr>
        <w:t>）对应收账款的期后回款进行检查。 </w:t>
      </w:r>
      <w:r>
        <w:rPr>
          <w:rFonts w:ascii="宋体" w:hAnsi="宋体" w:cs="宋体" w:eastAsia="宋体" w:hint="default"/>
          <w:b/>
          <w:bCs/>
          <w:sz w:val="24"/>
          <w:szCs w:val="24"/>
        </w:rPr>
        <w:t>四、其他信息</w:t>
      </w:r>
      <w:r>
        <w:rPr>
          <w:rFonts w:ascii="宋体" w:hAnsi="宋体" w:cs="宋体" w:eastAsia="宋体" w:hint="default"/>
          <w:sz w:val="24"/>
          <w:szCs w:val="24"/>
        </w:rPr>
      </w:r>
    </w:p>
    <w:p>
      <w:pPr>
        <w:pStyle w:val="BodyText"/>
        <w:spacing w:line="240" w:lineRule="auto" w:before="65"/>
        <w:ind w:left="633" w:right="982"/>
        <w:jc w:val="left"/>
      </w:pPr>
      <w:r>
        <w:rPr/>
        <w:t>数字政通公司管理层对其他信息负责。其他信息包括《北京数字政通科技股份有限公司</w:t>
      </w:r>
    </w:p>
    <w:p>
      <w:pPr>
        <w:pStyle w:val="BodyText"/>
        <w:spacing w:line="240" w:lineRule="auto" w:before="154"/>
        <w:ind w:right="0"/>
        <w:jc w:val="both"/>
      </w:pPr>
      <w:r>
        <w:rPr>
          <w:rFonts w:ascii="Garamond" w:hAnsi="Garamond" w:cs="Garamond" w:eastAsia="Garamond" w:hint="default"/>
        </w:rPr>
        <w:t>2018 </w:t>
      </w:r>
      <w:r>
        <w:rPr/>
        <w:t>年年度报告》中涵盖的信息，但不包括财务报表和我们的审计报告。</w:t>
      </w:r>
    </w:p>
    <w:p>
      <w:pPr>
        <w:spacing w:after="0" w:line="240" w:lineRule="auto"/>
        <w:jc w:val="both"/>
        <w:sectPr>
          <w:pgSz w:w="11910" w:h="16840"/>
          <w:pgMar w:header="745" w:footer="979" w:top="1060" w:bottom="1160" w:left="980" w:right="0"/>
        </w:sectPr>
      </w:pPr>
    </w:p>
    <w:p>
      <w:pPr>
        <w:spacing w:line="240" w:lineRule="auto" w:before="6"/>
        <w:rPr>
          <w:rFonts w:ascii="宋体" w:hAnsi="宋体" w:cs="宋体" w:eastAsia="宋体" w:hint="default"/>
          <w:sz w:val="23"/>
          <w:szCs w:val="23"/>
        </w:rPr>
      </w:pPr>
    </w:p>
    <w:p>
      <w:pPr>
        <w:pStyle w:val="BodyText"/>
        <w:spacing w:line="357" w:lineRule="auto" w:before="26"/>
        <w:ind w:right="1140" w:firstLine="480"/>
        <w:jc w:val="both"/>
      </w:pPr>
      <w:r>
        <w:rPr/>
        <w:t>我们对财务报表发表的审计意见不涵盖其他信息，我们也不对其他信息发表任何形式的 鉴证结论。</w:t>
      </w:r>
    </w:p>
    <w:p>
      <w:pPr>
        <w:pStyle w:val="BodyText"/>
        <w:spacing w:line="357" w:lineRule="auto" w:before="34"/>
        <w:ind w:right="1136" w:firstLine="480"/>
        <w:jc w:val="right"/>
      </w:pPr>
      <w:r>
        <w:rPr/>
        <w:t>结合我们对财务报表的审计，我们的责任是阅读其他信息，在此过程中，考虑其他信息 是否与财务报表或我们在审计过程中了解到的情况存在重大不一致或者似乎存在重大错报。 基于我们已执行的工作，如果我们确定其他信息存在重大错报，我们应当报告该事实。</w:t>
      </w:r>
    </w:p>
    <w:p>
      <w:pPr>
        <w:spacing w:line="355" w:lineRule="auto" w:before="36"/>
        <w:ind w:left="635" w:right="6175" w:hanging="483"/>
        <w:jc w:val="left"/>
        <w:rPr>
          <w:rFonts w:ascii="宋体" w:hAnsi="宋体" w:cs="宋体" w:eastAsia="宋体" w:hint="default"/>
          <w:sz w:val="24"/>
          <w:szCs w:val="24"/>
        </w:rPr>
      </w:pPr>
      <w:r>
        <w:rPr>
          <w:rFonts w:ascii="宋体" w:hAnsi="宋体" w:cs="宋体" w:eastAsia="宋体" w:hint="default"/>
          <w:sz w:val="24"/>
          <w:szCs w:val="24"/>
        </w:rPr>
        <w:t>在这方面，我们无任何事项需要报告。 </w:t>
      </w:r>
      <w:r>
        <w:rPr>
          <w:rFonts w:ascii="宋体" w:hAnsi="宋体" w:cs="宋体" w:eastAsia="宋体" w:hint="default"/>
          <w:b/>
          <w:bCs/>
          <w:sz w:val="24"/>
          <w:szCs w:val="24"/>
        </w:rPr>
        <w:t>五、管理层和治理层对财务报表的责任</w:t>
      </w:r>
      <w:r>
        <w:rPr>
          <w:rFonts w:ascii="宋体" w:hAnsi="宋体" w:cs="宋体" w:eastAsia="宋体" w:hint="default"/>
          <w:sz w:val="24"/>
          <w:szCs w:val="24"/>
        </w:rPr>
      </w:r>
    </w:p>
    <w:p>
      <w:pPr>
        <w:pStyle w:val="BodyText"/>
        <w:spacing w:line="355" w:lineRule="auto" w:before="39"/>
        <w:ind w:right="996" w:firstLine="480"/>
        <w:jc w:val="left"/>
      </w:pPr>
      <w:r>
        <w:rPr/>
        <w:t>数字政通公司管理层负责按照企业会计准则的规定编制财务报表，使其实现公允反映， </w:t>
      </w:r>
      <w:r>
        <w:rPr>
          <w:spacing w:val="-2"/>
        </w:rPr>
        <w:t>并设计、执行和维护必要的内部控制，以使财务报表不存在由于舞弊或错误导致的重大错报。</w:t>
      </w:r>
    </w:p>
    <w:p>
      <w:pPr>
        <w:pStyle w:val="BodyText"/>
        <w:spacing w:line="333" w:lineRule="auto" w:before="38"/>
        <w:ind w:right="1139" w:firstLine="480"/>
        <w:jc w:val="both"/>
      </w:pPr>
      <w:r>
        <w:rPr/>
        <w:t>在编制财务报表时，管理层负责评估数字政通公司的持续经营能力，披露与持续经营相 关的事项（如适用），并运用持续经营假设，除非管理层计划清算数字政通公司、终止运营</w:t>
      </w:r>
      <w:r>
        <w:rPr>
          <w:spacing w:val="-91"/>
        </w:rPr>
        <w:t> </w:t>
      </w:r>
      <w:r>
        <w:rPr>
          <w:spacing w:val="-91"/>
        </w:rPr>
      </w:r>
      <w:r>
        <w:rPr/>
        <w:t>或别无其他现实的选择。</w:t>
      </w:r>
    </w:p>
    <w:p>
      <w:pPr>
        <w:spacing w:line="333" w:lineRule="auto" w:before="26"/>
        <w:ind w:left="635" w:right="5234" w:hanging="3"/>
        <w:jc w:val="left"/>
        <w:rPr>
          <w:rFonts w:ascii="宋体" w:hAnsi="宋体" w:cs="宋体" w:eastAsia="宋体" w:hint="default"/>
          <w:sz w:val="24"/>
          <w:szCs w:val="24"/>
        </w:rPr>
      </w:pPr>
      <w:r>
        <w:rPr>
          <w:rFonts w:ascii="宋体" w:hAnsi="宋体" w:cs="宋体" w:eastAsia="宋体" w:hint="default"/>
          <w:sz w:val="24"/>
          <w:szCs w:val="24"/>
        </w:rPr>
        <w:t>治理层负责监督数字政通公司的财务报告过程。 </w:t>
      </w:r>
      <w:r>
        <w:rPr>
          <w:rFonts w:ascii="宋体" w:hAnsi="宋体" w:cs="宋体" w:eastAsia="宋体" w:hint="default"/>
          <w:b/>
          <w:bCs/>
          <w:sz w:val="24"/>
          <w:szCs w:val="24"/>
        </w:rPr>
        <w:t>六、注册会计师对财务报表审计的责任</w:t>
      </w:r>
      <w:r>
        <w:rPr>
          <w:rFonts w:ascii="宋体" w:hAnsi="宋体" w:cs="宋体" w:eastAsia="宋体" w:hint="default"/>
          <w:sz w:val="24"/>
          <w:szCs w:val="24"/>
        </w:rPr>
      </w:r>
    </w:p>
    <w:p>
      <w:pPr>
        <w:pStyle w:val="BodyText"/>
        <w:spacing w:line="333" w:lineRule="auto" w:before="29"/>
        <w:ind w:right="1138" w:firstLine="480"/>
        <w:jc w:val="both"/>
      </w:pPr>
      <w:r>
        <w:rPr>
          <w:spacing w:val="6"/>
        </w:rPr>
        <w:t>我们的目标是对财务报表整体是否不存在由于舞弊或错误导致的重大错报获取合理保</w:t>
      </w:r>
      <w:r>
        <w:rPr/>
        <w:t> 证，并出具包含审计意见的审计报告。合理保证是高水平的保证，但并不能保证按照审计准</w:t>
      </w:r>
      <w:r>
        <w:rPr>
          <w:spacing w:val="-91"/>
        </w:rPr>
        <w:t> </w:t>
      </w:r>
      <w:r>
        <w:rPr>
          <w:spacing w:val="-91"/>
        </w:rPr>
      </w:r>
      <w:r>
        <w:rPr/>
        <w:t>则执行的审计在某一重大错报存在时总能发现。错报可能由于舞弊或错误导致，如果合理预</w:t>
      </w:r>
      <w:r>
        <w:rPr>
          <w:spacing w:val="-91"/>
        </w:rPr>
        <w:t> </w:t>
      </w:r>
      <w:r>
        <w:rPr>
          <w:spacing w:val="-91"/>
        </w:rPr>
      </w:r>
      <w:r>
        <w:rPr/>
        <w:t>期错报单独或汇总起来可能影响财务报表使用者依据财务报表作出的经济决策，则通常认为</w:t>
      </w:r>
      <w:r>
        <w:rPr>
          <w:spacing w:val="-90"/>
        </w:rPr>
        <w:t> </w:t>
      </w:r>
      <w:r>
        <w:rPr>
          <w:spacing w:val="-90"/>
        </w:rPr>
      </w:r>
      <w:r>
        <w:rPr/>
        <w:t>错报是重大的。</w:t>
      </w:r>
    </w:p>
    <w:p>
      <w:pPr>
        <w:pStyle w:val="BodyText"/>
        <w:spacing w:line="333" w:lineRule="auto" w:before="26"/>
        <w:ind w:right="1140" w:firstLine="480"/>
        <w:jc w:val="both"/>
      </w:pPr>
      <w:r>
        <w:rPr/>
        <w:t>在按照审计准则执行审计工作的过程中，我们运用职业判断，并保持职业怀疑。同时， 我们也执行以下工作：</w:t>
      </w:r>
    </w:p>
    <w:p>
      <w:pPr>
        <w:pStyle w:val="BodyText"/>
        <w:spacing w:line="324" w:lineRule="auto" w:before="29"/>
        <w:ind w:right="1132" w:firstLine="480"/>
        <w:jc w:val="both"/>
      </w:pPr>
      <w:r>
        <w:rPr>
          <w:rFonts w:ascii="Garamond" w:hAnsi="Garamond" w:cs="Garamond" w:eastAsia="Garamond" w:hint="default"/>
          <w:spacing w:val="-2"/>
        </w:rPr>
        <w:t>1</w:t>
      </w:r>
      <w:r>
        <w:rPr>
          <w:spacing w:val="-2"/>
        </w:rPr>
        <w:t>、识别和评估由于舞弊或错误导致的财务报表重大错报风险，设计和实施审计程序以应</w:t>
      </w:r>
      <w:r>
        <w:rPr/>
        <w:t> 对这些风险，并获取充分、适当的审计证据，作为发表审计意见的基础。由于舞弊可能涉及</w:t>
      </w:r>
      <w:r>
        <w:rPr>
          <w:spacing w:val="-91"/>
        </w:rPr>
        <w:t> </w:t>
      </w:r>
      <w:r>
        <w:rPr>
          <w:spacing w:val="-91"/>
        </w:rPr>
      </w:r>
      <w:r>
        <w:rPr/>
        <w:t>串通、伪造、故意遗漏、虚假陈述或凌驾于内部控制之上，未能发现由于舞弊导致的重大错</w:t>
      </w:r>
      <w:r>
        <w:rPr>
          <w:spacing w:val="-91"/>
        </w:rPr>
        <w:t> </w:t>
      </w:r>
      <w:r>
        <w:rPr>
          <w:spacing w:val="-91"/>
        </w:rPr>
      </w:r>
      <w:r>
        <w:rPr/>
        <w:t>报的风险高于未能发现由于错误导致的重大错报的风险。</w:t>
      </w:r>
    </w:p>
    <w:p>
      <w:pPr>
        <w:pStyle w:val="BodyText"/>
        <w:spacing w:line="240" w:lineRule="auto" w:before="38"/>
        <w:ind w:left="633" w:right="982"/>
        <w:jc w:val="left"/>
      </w:pPr>
      <w:r>
        <w:rPr>
          <w:rFonts w:ascii="Garamond" w:hAnsi="Garamond" w:cs="Garamond" w:eastAsia="Garamond" w:hint="default"/>
        </w:rPr>
        <w:t>2</w:t>
      </w:r>
      <w:r>
        <w:rPr/>
        <w:t>、了解与审计相关的内部控制，以设计恰当的审计程序。</w:t>
      </w:r>
    </w:p>
    <w:p>
      <w:pPr>
        <w:pStyle w:val="BodyText"/>
        <w:spacing w:line="240" w:lineRule="auto" w:before="91"/>
        <w:ind w:left="633" w:right="982"/>
        <w:jc w:val="left"/>
      </w:pPr>
      <w:r>
        <w:rPr>
          <w:rFonts w:ascii="Garamond" w:hAnsi="Garamond" w:cs="Garamond" w:eastAsia="Garamond" w:hint="default"/>
        </w:rPr>
        <w:t>3</w:t>
      </w:r>
      <w:r>
        <w:rPr/>
        <w:t>、评价管理层选用会计政策的恰当性和作出会计估计及相关披露的合理性。</w:t>
      </w:r>
    </w:p>
    <w:p>
      <w:pPr>
        <w:pStyle w:val="BodyText"/>
        <w:spacing w:line="324" w:lineRule="auto" w:before="93"/>
        <w:ind w:right="1132" w:firstLine="480"/>
        <w:jc w:val="both"/>
      </w:pPr>
      <w:r>
        <w:rPr>
          <w:rFonts w:ascii="Garamond" w:hAnsi="Garamond" w:cs="Garamond" w:eastAsia="Garamond" w:hint="default"/>
          <w:spacing w:val="-2"/>
        </w:rPr>
        <w:t>4</w:t>
      </w:r>
      <w:r>
        <w:rPr>
          <w:spacing w:val="-2"/>
        </w:rPr>
        <w:t>、对管理层使用持续经营假设的恰当性得出结论。同时，根据获取的审计证据，就可能</w:t>
      </w:r>
      <w:r>
        <w:rPr/>
        <w:t> 导致对数字政通公司持续经营能力产生重大疑虑的事项或情况是否存在重大不确定性得出结</w:t>
      </w:r>
      <w:r>
        <w:rPr>
          <w:spacing w:val="-91"/>
        </w:rPr>
        <w:t> </w:t>
      </w:r>
      <w:r>
        <w:rPr>
          <w:spacing w:val="-91"/>
        </w:rPr>
      </w:r>
      <w:r>
        <w:rPr/>
        <w:t>论。如果我们得出结论认为存在重大不确定性，审计准则要求我们在审计报告中提请报表使</w:t>
      </w:r>
      <w:r>
        <w:rPr>
          <w:spacing w:val="-91"/>
        </w:rPr>
        <w:t> </w:t>
      </w:r>
      <w:r>
        <w:rPr>
          <w:spacing w:val="-91"/>
        </w:rPr>
      </w:r>
      <w:r>
        <w:rPr/>
        <w:t>用者注意财务报表中的相关披露；如果披露不充分，我们应当发表非无保留意见。我们的结</w:t>
      </w:r>
    </w:p>
    <w:p>
      <w:pPr>
        <w:spacing w:after="0" w:line="324" w:lineRule="auto"/>
        <w:jc w:val="both"/>
        <w:sectPr>
          <w:pgSz w:w="11910" w:h="16840"/>
          <w:pgMar w:header="745" w:footer="979" w:top="1060" w:bottom="1160" w:left="980" w:right="0"/>
        </w:sectPr>
      </w:pPr>
    </w:p>
    <w:p>
      <w:pPr>
        <w:spacing w:line="240" w:lineRule="auto" w:before="6"/>
        <w:rPr>
          <w:rFonts w:ascii="宋体" w:hAnsi="宋体" w:cs="宋体" w:eastAsia="宋体" w:hint="default"/>
          <w:sz w:val="23"/>
          <w:szCs w:val="23"/>
        </w:rPr>
      </w:pPr>
    </w:p>
    <w:p>
      <w:pPr>
        <w:pStyle w:val="BodyText"/>
        <w:spacing w:line="333" w:lineRule="auto" w:before="26"/>
        <w:ind w:right="982"/>
        <w:jc w:val="left"/>
      </w:pPr>
      <w:r>
        <w:rPr/>
        <w:t>论基于截至审计报告日可获得的信息。然而，未来的事项或情况可能导致数字政通公司不能</w:t>
      </w:r>
      <w:r>
        <w:rPr>
          <w:spacing w:val="-91"/>
        </w:rPr>
        <w:t> </w:t>
      </w:r>
      <w:r>
        <w:rPr>
          <w:spacing w:val="-91"/>
        </w:rPr>
      </w:r>
      <w:r>
        <w:rPr/>
        <w:t>持续经营。</w:t>
      </w:r>
    </w:p>
    <w:p>
      <w:pPr>
        <w:pStyle w:val="BodyText"/>
        <w:spacing w:line="326" w:lineRule="auto" w:before="26"/>
        <w:ind w:right="1132" w:firstLine="480"/>
        <w:jc w:val="both"/>
      </w:pPr>
      <w:r>
        <w:rPr>
          <w:rFonts w:ascii="Garamond" w:hAnsi="Garamond" w:cs="Garamond" w:eastAsia="Garamond" w:hint="default"/>
        </w:rPr>
        <w:t>5</w:t>
      </w:r>
      <w:r>
        <w:rPr/>
        <w:t>、评价财务报表的总体列报、结构和内容</w:t>
      </w:r>
      <w:r>
        <w:rPr>
          <w:rFonts w:ascii="Garamond" w:hAnsi="Garamond" w:cs="Garamond" w:eastAsia="Garamond" w:hint="default"/>
        </w:rPr>
        <w:t>(</w:t>
      </w:r>
      <w:r>
        <w:rPr/>
        <w:t>包括披露</w:t>
      </w:r>
      <w:r>
        <w:rPr>
          <w:rFonts w:ascii="Garamond" w:hAnsi="Garamond" w:cs="Garamond" w:eastAsia="Garamond" w:hint="default"/>
        </w:rPr>
        <w:t>)</w:t>
      </w:r>
      <w:r>
        <w:rPr/>
        <w:t>，并评价财务报表是否公允反映相 关交易和事项。</w:t>
      </w:r>
    </w:p>
    <w:p>
      <w:pPr>
        <w:pStyle w:val="BodyText"/>
        <w:spacing w:line="326" w:lineRule="auto" w:before="65"/>
        <w:ind w:right="982" w:firstLine="480"/>
        <w:jc w:val="left"/>
      </w:pPr>
      <w:r>
        <w:rPr>
          <w:rFonts w:ascii="Garamond" w:hAnsi="Garamond" w:cs="Garamond" w:eastAsia="Garamond" w:hint="default"/>
        </w:rPr>
        <w:t>6</w:t>
      </w:r>
      <w:r>
        <w:rPr/>
        <w:t>、就数字政通公司中实体或业务活动的财务信息获取充分、适当的审计证据，以对合并 </w:t>
      </w:r>
      <w:r>
        <w:rPr>
          <w:spacing w:val="-3"/>
        </w:rPr>
        <w:t>财务报表发表审计意见。我们负责指导、监督和执行集团审计，并对审计意见承担全部责任。</w:t>
      </w:r>
    </w:p>
    <w:p>
      <w:pPr>
        <w:pStyle w:val="BodyText"/>
        <w:spacing w:line="357" w:lineRule="auto" w:before="65"/>
        <w:ind w:right="1171" w:firstLine="480"/>
        <w:jc w:val="both"/>
      </w:pPr>
      <w:r>
        <w:rPr/>
        <w:t>我们与治理层就计划的审计范围、时间安排和重大审计发现等事项进行沟通，包括沟通 我们在审计中识别出的值得关注的内部控制缺陷。</w:t>
      </w:r>
    </w:p>
    <w:p>
      <w:pPr>
        <w:pStyle w:val="BodyText"/>
        <w:spacing w:line="357" w:lineRule="auto" w:before="34"/>
        <w:ind w:right="1140" w:firstLine="480"/>
        <w:jc w:val="both"/>
      </w:pPr>
      <w:r>
        <w:rPr/>
        <w:t>我们还就已遵守与独立性相关的职业道德要求向治理层提供声明，并与治理层沟通可能 被合理认为影响我们独立性的所有关系和其他事项，以及相关的防范措施（如适用）。</w:t>
      </w:r>
    </w:p>
    <w:p>
      <w:pPr>
        <w:pStyle w:val="BodyText"/>
        <w:spacing w:line="357" w:lineRule="auto" w:before="34"/>
        <w:ind w:right="1139" w:firstLine="480"/>
        <w:jc w:val="both"/>
      </w:pPr>
      <w:r>
        <w:rPr/>
        <w:t>从与治理层沟通过的事项中，我们确定哪些事项对本期财务报表审计最为重要，因而构 成关键审计事项。我们在审计报告中描述这些事项，除非法律法规禁止公开披露这些事项，</w:t>
      </w:r>
      <w:r>
        <w:rPr>
          <w:spacing w:val="-91"/>
        </w:rPr>
        <w:t> </w:t>
      </w:r>
      <w:r>
        <w:rPr>
          <w:spacing w:val="-91"/>
        </w:rPr>
      </w:r>
      <w:r>
        <w:rPr/>
        <w:t>或在极少数情形下，如果合理预期在审计报告中沟通某事项造成的负面后果超过在公众利益</w:t>
      </w:r>
      <w:r>
        <w:rPr>
          <w:spacing w:val="-91"/>
        </w:rPr>
        <w:t> </w:t>
      </w:r>
      <w:r>
        <w:rPr>
          <w:spacing w:val="-91"/>
        </w:rPr>
      </w:r>
      <w:r>
        <w:rPr/>
        <w:t>方面产生的益处，我们确定不应在审计报告中沟通该事项。</w:t>
      </w:r>
    </w:p>
    <w:p>
      <w:pPr>
        <w:spacing w:line="240" w:lineRule="auto" w:before="8"/>
        <w:rPr>
          <w:rFonts w:ascii="宋体" w:hAnsi="宋体" w:cs="宋体" w:eastAsia="宋体" w:hint="default"/>
          <w:sz w:val="33"/>
          <w:szCs w:val="33"/>
        </w:rPr>
      </w:pPr>
    </w:p>
    <w:p>
      <w:pPr>
        <w:pStyle w:val="BodyText"/>
        <w:tabs>
          <w:tab w:pos="5116" w:val="left" w:leader="none"/>
        </w:tabs>
        <w:spacing w:line="240" w:lineRule="auto" w:before="0"/>
        <w:ind w:left="633" w:right="982"/>
        <w:jc w:val="left"/>
      </w:pPr>
      <w:r>
        <w:rPr>
          <w:spacing w:val="-1"/>
        </w:rPr>
        <w:t>上会会计师事务所（特殊普通合伙）</w:t>
        <w:tab/>
      </w:r>
      <w:r>
        <w:rPr/>
        <w:t>中国注册会计师：王芳山</w:t>
      </w:r>
    </w:p>
    <w:p>
      <w:pPr>
        <w:pStyle w:val="BodyText"/>
        <w:spacing w:line="664" w:lineRule="auto" w:before="154"/>
        <w:ind w:left="5117" w:right="3149" w:firstLine="76"/>
        <w:jc w:val="left"/>
      </w:pPr>
      <w:r>
        <w:rPr/>
        <w:t>（项目合伙人） 中国注册会计师：邓战涛</w:t>
      </w: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17"/>
          <w:szCs w:val="17"/>
        </w:rPr>
      </w:pPr>
    </w:p>
    <w:p>
      <w:pPr>
        <w:pStyle w:val="BodyText"/>
        <w:tabs>
          <w:tab w:pos="2478" w:val="left" w:leader="none"/>
          <w:tab w:pos="5746" w:val="left" w:leader="none"/>
        </w:tabs>
        <w:spacing w:line="240" w:lineRule="auto" w:before="0"/>
        <w:ind w:left="1758" w:right="982"/>
        <w:jc w:val="left"/>
      </w:pPr>
      <w:r>
        <w:rPr/>
        <w:t>中国</w:t>
        <w:tab/>
        <w:t>上海</w:t>
        <w:tab/>
      </w:r>
      <w:r>
        <w:rPr>
          <w:spacing w:val="4"/>
        </w:rPr>
        <w:t>二〇一九年四月二十三日</w:t>
      </w:r>
    </w:p>
    <w:p>
      <w:pPr>
        <w:spacing w:after="0" w:line="240" w:lineRule="auto"/>
        <w:jc w:val="left"/>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二、财务报表</w:t>
      </w:r>
      <w:r>
        <w:rPr>
          <w:b w:val="0"/>
          <w:bCs w:val="0"/>
        </w:rPr>
      </w:r>
    </w:p>
    <w:p>
      <w:pPr>
        <w:spacing w:line="240" w:lineRule="auto" w:before="6"/>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宋体" w:hAnsi="宋体" w:cs="宋体" w:eastAsia="宋体" w:hint="default"/>
          <w:sz w:val="18"/>
          <w:szCs w:val="18"/>
        </w:rPr>
        <w:t>财务附注中报表的单位为：人民币元</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、合并资产负债表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79" w:top="1060" w:bottom="1160" w:left="980" w:right="0"/>
        </w:sectPr>
      </w:pPr>
    </w:p>
    <w:p>
      <w:pPr>
        <w:spacing w:before="44"/>
        <w:ind w:left="152" w:right="-20" w:firstLine="0"/>
        <w:jc w:val="left"/>
        <w:rPr>
          <w:rFonts w:ascii="宋体" w:hAnsi="宋体" w:cs="宋体" w:eastAsia="宋体" w:hint="default"/>
          <w:sz w:val="18"/>
          <w:szCs w:val="18"/>
        </w:rPr>
      </w:pPr>
      <w:r>
        <w:rPr>
          <w:rFonts w:ascii="宋体" w:hAnsi="宋体" w:cs="宋体" w:eastAsia="宋体" w:hint="default"/>
          <w:sz w:val="18"/>
          <w:szCs w:val="18"/>
        </w:rPr>
        <w:t>编制单位：北京数字政通科技股份有限公司</w:t>
      </w:r>
    </w:p>
    <w:p>
      <w:pPr>
        <w:spacing w:line="240" w:lineRule="auto" w:before="0"/>
        <w:rPr>
          <w:rFonts w:ascii="宋体" w:hAnsi="宋体" w:cs="宋体" w:eastAsia="宋体" w:hint="default"/>
          <w:sz w:val="18"/>
          <w:szCs w:val="18"/>
        </w:rPr>
      </w:pPr>
      <w:r>
        <w:rPr/>
        <w:br w:type="column"/>
      </w:r>
      <w:r>
        <w:rPr>
          <w:rFonts w:ascii="宋体"/>
          <w:sz w:val="18"/>
        </w:rPr>
      </w:r>
    </w:p>
    <w:p>
      <w:pPr>
        <w:spacing w:before="161"/>
        <w:ind w:left="152" w:right="-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060" w:bottom="1160" w:left="980" w:right="0"/>
          <w:cols w:num="3" w:equalWidth="0">
            <w:col w:w="3573" w:space="503"/>
            <w:col w:w="1642" w:space="3202"/>
            <w:col w:w="2010"/>
          </w:cols>
        </w:sectPr>
      </w:pP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73"/>
        <w:gridCol w:w="3417"/>
        <w:gridCol w:w="2969"/>
      </w:tblGrid>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807,143,248.11</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694,675,773.87</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88"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 损益的金融资产</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1,072,899,995.97</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1,024,747,948.34</w:t>
            </w:r>
          </w:p>
        </w:tc>
      </w:tr>
      <w:tr>
        <w:trPr>
          <w:trHeight w:val="404"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5,623,758.55</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56"/>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1,067,276,237.42</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1,024,697,948.34</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5,227,140.16</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50,443,207.48</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122,597,106.66</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151,023,861.15</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56"/>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133,586,072.16</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185,730,598.74</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39,953,581.43</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46,315,598.92</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7,685,973.93</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5,554,722.87</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2,189,093,118.42</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2,158,491,711.37</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4"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43,020,000.00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43,020,000.00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173"/>
        <w:gridCol w:w="3417"/>
        <w:gridCol w:w="2969"/>
      </w:tblGrid>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84,544,047.85</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60,888,996.95</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7,908,743.79</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11,530,432.97</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71,805,792.58</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72,595,627.78</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58,513,363.22</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61,041,560.30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119,874,488.20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123,227,242.43</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30,904,913.59</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30,882,652.71</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440,779,441.04</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465,280,246.17</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w w:val="95"/>
                <w:sz w:val="18"/>
              </w:rPr>
              <w:t>60,811.20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36,368.20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42,519,229.28</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35,158,418.85</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899,930,830.75</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903,661,546.36</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3,089,023,949.17</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3,062,153,257.73</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167,000,000.00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89,790,217.00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168"/>
              <w:jc w:val="righ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88"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 损益的金融负债</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168"/>
              <w:jc w:val="righ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292,282,879.71</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319,281,667.95</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117,626,431.08</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125,938,504.19</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168"/>
              <w:jc w:val="righ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27,516,323.17</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20,609,102.40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59,265,578.66</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80,532,654.26</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221,135,497.29</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346,401,124.94</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33,833.34</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22,656.25</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56"/>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7,356,790.00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7,356,790.00</w:t>
            </w:r>
          </w:p>
        </w:tc>
      </w:tr>
      <w:tr>
        <w:trPr>
          <w:trHeight w:val="404"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173"/>
        <w:gridCol w:w="3417"/>
        <w:gridCol w:w="2969"/>
      </w:tblGrid>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1,664,008.26</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884,826,709.91</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984,217,279.00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3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13,658,000.00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10,988,000.00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9,555,534.15</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11,375,904.41</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23,213,534.15</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22,363,904.41</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908,040,244.06</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1,006,581,183.41</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424,340,905.00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424,626,905.00</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3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959,426,639.37</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968,810,608.44</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40,103,798.00</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75,606,625.00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88,226,696.38</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76,261,789.28</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417" w:type="dxa"/>
            <w:tcBorders>
              <w:top w:val="single" w:sz="4" w:space="0" w:color="000000"/>
              <w:left w:val="single" w:sz="9" w:space="0" w:color="D2D2D2"/>
              <w:bottom w:val="single" w:sz="4" w:space="0" w:color="000000"/>
              <w:right w:val="single" w:sz="4" w:space="0" w:color="000000"/>
            </w:tcBorders>
          </w:tcPr>
          <w:p>
            <w:pPr/>
          </w:p>
        </w:tc>
        <w:tc>
          <w:tcPr>
            <w:tcW w:w="296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739,220,638.21</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646,735,486.13</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2,171,111,080.96</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2,040,828,163.85</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41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9,872,624.15</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14,743,910.47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194"/>
        <w:gridCol w:w="3406"/>
        <w:gridCol w:w="2969"/>
      </w:tblGrid>
      <w:tr>
        <w:trPr>
          <w:trHeight w:val="401"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2,180,983,705.11</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2,055,572,074.32</w:t>
            </w:r>
          </w:p>
        </w:tc>
      </w:tr>
      <w:tr>
        <w:trPr>
          <w:trHeight w:val="403"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3,089,023,949.17</w:t>
            </w:r>
          </w:p>
        </w:tc>
        <w:tc>
          <w:tcPr>
            <w:tcW w:w="29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3,062,153,257.73</w:t>
            </w:r>
          </w:p>
        </w:tc>
      </w:tr>
    </w:tbl>
    <w:p>
      <w:pPr>
        <w:spacing w:line="240" w:lineRule="auto" w:before="11"/>
        <w:rPr>
          <w:rFonts w:ascii="Times New Roman" w:hAnsi="Times New Roman" w:cs="Times New Roman" w:eastAsia="Times New Roman" w:hint="default"/>
          <w:sz w:val="22"/>
          <w:szCs w:val="22"/>
        </w:rPr>
      </w:pPr>
    </w:p>
    <w:p>
      <w:pPr>
        <w:tabs>
          <w:tab w:pos="3514" w:val="left" w:leader="none"/>
          <w:tab w:pos="7746" w:val="left" w:leader="none"/>
        </w:tabs>
        <w:spacing w:before="44"/>
        <w:ind w:left="0" w:right="1224" w:firstLine="0"/>
        <w:jc w:val="right"/>
        <w:rPr>
          <w:rFonts w:ascii="宋体" w:hAnsi="宋体" w:cs="宋体" w:eastAsia="宋体" w:hint="default"/>
          <w:sz w:val="18"/>
          <w:szCs w:val="18"/>
        </w:rPr>
      </w:pPr>
      <w:r>
        <w:rPr>
          <w:rFonts w:ascii="宋体" w:hAnsi="宋体" w:cs="宋体" w:eastAsia="宋体" w:hint="default"/>
          <w:sz w:val="18"/>
          <w:szCs w:val="18"/>
        </w:rPr>
        <w:t>法定代表人：吴强华</w:t>
        <w:tab/>
      </w:r>
      <w:r>
        <w:rPr>
          <w:rFonts w:ascii="宋体" w:hAnsi="宋体" w:cs="宋体" w:eastAsia="宋体" w:hint="default"/>
          <w:spacing w:val="-1"/>
          <w:sz w:val="18"/>
          <w:szCs w:val="18"/>
        </w:rPr>
        <w:t>主管会计工作负责人：殷小敏</w:t>
        <w:tab/>
      </w:r>
      <w:r>
        <w:rPr>
          <w:rFonts w:ascii="宋体" w:hAnsi="宋体" w:cs="宋体" w:eastAsia="宋体" w:hint="default"/>
          <w:sz w:val="18"/>
          <w:szCs w:val="18"/>
        </w:rPr>
        <w:t>会计机构负责人：向华</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、母公司资产负债表</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7"/>
      </w:tblGrid>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665,678,238.86</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559,820,495.58</w:t>
            </w:r>
          </w:p>
        </w:tc>
      </w:tr>
      <w:tr>
        <w:trPr>
          <w:trHeight w:val="71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 益的金融资产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699,326,311.10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665,246,465.49</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2"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4,948,758.55</w:t>
            </w: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361"/>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694,377,552.55</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665,246,465.49</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6,228.90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30,538,568.70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432,672,344.69</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307,050,910.22</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361"/>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23,040,821.57</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24,114,997.07</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1,820,723,945.12</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1,586,771,437.06</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43,000,000.00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43,000,000.00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16,466,905.09</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33,878,388.35</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794,821,774.13</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893,326,563.53</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48,424,379.61</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50,083,058.31</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19,994,260.97</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21,197,667.77</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7"/>
      </w:tblGrid>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50,885,726.37</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45,573,717.57</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28,712,123.17</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26,213,062.08</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21,002,816.10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21,266,196.45</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1,023,307,985.44</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1,134,538,654.06</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2,844,031,930.56</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2,721,310,091.12</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80,000,000.00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60,000,000.00</w:t>
            </w:r>
          </w:p>
        </w:tc>
      </w:tr>
      <w:tr>
        <w:trPr>
          <w:trHeight w:val="71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 益的金融负债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280,381,054.96</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179,824,638.32</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21,610,503.30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19,349,277.25</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9,142,934.32</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7,297,137.04</w:t>
            </w:r>
          </w:p>
        </w:tc>
      </w:tr>
      <w:tr>
        <w:trPr>
          <w:trHeight w:val="40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38,669,425.52</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63,709,528.96</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4"/>
              <w:ind w:left="2027" w:right="0"/>
              <w:jc w:val="left"/>
              <w:rPr>
                <w:rFonts w:ascii="Garamond" w:hAnsi="Garamond" w:cs="Garamond" w:eastAsia="Garamond" w:hint="default"/>
                <w:sz w:val="18"/>
                <w:szCs w:val="18"/>
              </w:rPr>
            </w:pPr>
            <w:r>
              <w:rPr>
                <w:rFonts w:ascii="Garamond"/>
                <w:b/>
                <w:sz w:val="18"/>
              </w:rPr>
              <w:t>220,528,045.37</w:t>
            </w:r>
            <w:r>
              <w:rPr>
                <w:rFonts w:ascii="Garamond"/>
                <w:sz w:val="18"/>
              </w:rPr>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332,549,825.65</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361"/>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650,331,963.47</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662,730,407.22</w:t>
            </w:r>
          </w:p>
        </w:tc>
      </w:tr>
      <w:tr>
        <w:trPr>
          <w:trHeight w:val="40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41"/>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13,658,000.00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10,988,000.00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7"/>
      </w:tblGrid>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13,658,000.00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10,988,000.00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663,989,963.47</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673,718,407.22</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424,340,905.00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424,626,905.00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41"/>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1,055,479,846.73</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1,065,158,949.73</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40,103,798.00</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75,606,625.00</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7"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88,226,312.45</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76,261,789.28</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652,098,700.91</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557,150,664.89</w:t>
            </w:r>
          </w:p>
        </w:tc>
      </w:tr>
      <w:tr>
        <w:trPr>
          <w:trHeight w:val="401"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2,180,041,967.09</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2,047,591,683.90</w:t>
            </w:r>
          </w:p>
        </w:tc>
      </w:tr>
      <w:tr>
        <w:trPr>
          <w:trHeight w:val="403"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2,844,031,930.56</w:t>
            </w:r>
          </w:p>
        </w:tc>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2,721,310,091.12</w:t>
            </w:r>
          </w:p>
        </w:tc>
      </w:tr>
    </w:tbl>
    <w:p>
      <w:pPr>
        <w:spacing w:line="240" w:lineRule="auto" w:before="10"/>
        <w:rPr>
          <w:rFonts w:ascii="Times New Roman" w:hAnsi="Times New Roman" w:cs="Times New Roman" w:eastAsia="Times New Roman" w:hint="default"/>
          <w:sz w:val="21"/>
          <w:szCs w:val="21"/>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、合并利润表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1,288,815,520.62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1,202,976,973.86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1,288,815,520.62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1,202,976,973.86</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1,212,680,085.19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1,050,262,186.91</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918,250,858.35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780,098,018.18</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6"/>
        <w:gridCol w:w="3300"/>
        <w:gridCol w:w="3303"/>
      </w:tblGrid>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13,733,110.78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12,897,779.95</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90,110,781.22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79,342,969.25</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75,099,306.29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95,129,913.67</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48,517,456.92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45,054,518.41</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-10,640,881.69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-6,050,159.05</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03"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7,783,028.02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5,250,412.80</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4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11,475,008.58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6,175,377.12</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77,609,453.32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43,789,146.50</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50,208,737.98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32,243,489.69</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0"/>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-1,866,689.18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16,874,333.62</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-1,783,391.80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2,114,291.24</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公允价值变动收益（损失以</w:t>
            </w:r>
          </w:p>
          <w:p>
            <w:pPr>
              <w:pStyle w:val="TableParagraph"/>
              <w:spacing w:line="240" w:lineRule="auto" w:before="7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3"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0"/>
              <w:ind w:left="2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-58,702.24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70,666.28</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124,418,781.99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201,903,276.54</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1,719,243.16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3,885,585.16</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279,634.09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81,711.60</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74"/>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125,858,391.06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205,707,150.10</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12,487,774.18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21,249,751.30</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113,370,616.88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184,457,398.80</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113,370,616.88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184,457,398.80</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51"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117,186,570.99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169,594,871.96</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-3,815,954.11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14,862,526.84</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51"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 的税后净额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383" w:right="0"/>
              <w:jc w:val="left"/>
              <w:rPr>
                <w:rFonts w:ascii="宋体" w:hAnsi="宋体" w:cs="宋体" w:eastAsia="宋体" w:hint="default"/>
                <w:sz w:val="18"/>
                <w:szCs w:val="18"/>
              </w:rPr>
            </w:pPr>
            <w:r>
              <w:rPr>
                <w:rFonts w:ascii="宋体" w:hAnsi="宋体" w:cs="宋体" w:eastAsia="宋体" w:hint="default"/>
                <w:sz w:val="18"/>
                <w:szCs w:val="18"/>
              </w:rPr>
              <w:t>（一）不能重分类进损益的其他</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36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综合收益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变动额</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 其他综合收益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（二）将重分类进损益的其他综 合收益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他综合收益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 价值变动损益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86"/>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外币财务报表折算差额</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40"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 税后净额</w:t>
            </w:r>
          </w:p>
        </w:tc>
        <w:tc>
          <w:tcPr>
            <w:tcW w:w="3311" w:type="dxa"/>
            <w:tcBorders>
              <w:top w:val="single" w:sz="4" w:space="0" w:color="000000"/>
              <w:left w:val="single" w:sz="10"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113,370,616.88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184,457,398.80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总额</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117,186,570.99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169,594,871.96</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-3,815,954.11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14,862,526.84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0.28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0.42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1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0.28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0.42</w:t>
            </w:r>
          </w:p>
        </w:tc>
      </w:tr>
    </w:tbl>
    <w:p>
      <w:pPr>
        <w:tabs>
          <w:tab w:pos="3667" w:val="left" w:leader="none"/>
          <w:tab w:pos="7899" w:val="left" w:leader="none"/>
        </w:tabs>
        <w:spacing w:line="621" w:lineRule="auto" w:before="49"/>
        <w:ind w:left="152" w:right="1224" w:firstLine="0"/>
        <w:jc w:val="left"/>
        <w:rPr>
          <w:rFonts w:ascii="宋体" w:hAnsi="宋体" w:cs="宋体" w:eastAsia="宋体" w:hint="default"/>
          <w:sz w:val="18"/>
          <w:szCs w:val="18"/>
        </w:rPr>
      </w:pPr>
      <w:r>
        <w:rPr>
          <w:rFonts w:ascii="宋体" w:hAnsi="宋体" w:cs="宋体" w:eastAsia="宋体" w:hint="default"/>
          <w:sz w:val="18"/>
          <w:szCs w:val="18"/>
        </w:rPr>
        <w:t>本期发生同一控制下企业合并的，被合并方在合并前实现的净利润为：元，上期被合并方实现的净利润为：元。 法定代表人：吴强华</w:t>
        <w:tab/>
      </w:r>
      <w:r>
        <w:rPr>
          <w:rFonts w:ascii="宋体" w:hAnsi="宋体" w:cs="宋体" w:eastAsia="宋体" w:hint="default"/>
          <w:spacing w:val="-1"/>
          <w:sz w:val="18"/>
          <w:szCs w:val="18"/>
        </w:rPr>
        <w:t>主管会计工作负责人：殷小敏</w:t>
        <w:tab/>
      </w:r>
      <w:r>
        <w:rPr>
          <w:rFonts w:ascii="宋体" w:hAnsi="宋体" w:cs="宋体" w:eastAsia="宋体" w:hint="default"/>
          <w:sz w:val="18"/>
          <w:szCs w:val="18"/>
        </w:rPr>
        <w:t>会计机构负责人：向华</w:t>
      </w:r>
    </w:p>
    <w:p>
      <w:pPr>
        <w:spacing w:before="69"/>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、母公司利润表</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286"/>
              <w:jc w:val="right"/>
              <w:rPr>
                <w:rFonts w:ascii="宋体" w:hAnsi="宋体" w:cs="宋体" w:eastAsia="宋体" w:hint="default"/>
                <w:sz w:val="18"/>
                <w:szCs w:val="18"/>
              </w:rPr>
            </w:pPr>
            <w:r>
              <w:rPr>
                <w:rFonts w:ascii="宋体" w:hAnsi="宋体" w:cs="宋体" w:eastAsia="宋体" w:hint="default"/>
                <w:sz w:val="18"/>
                <w:szCs w:val="18"/>
              </w:rPr>
              <w:t>项目</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962,980,115.91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874,450,188.41</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707,754,740.54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595,639,644.61</w:t>
            </w: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300"/>
              <w:jc w:val="right"/>
              <w:rPr>
                <w:rFonts w:ascii="宋体" w:hAnsi="宋体" w:cs="宋体" w:eastAsia="宋体" w:hint="default"/>
                <w:sz w:val="18"/>
                <w:szCs w:val="18"/>
              </w:rPr>
            </w:pPr>
            <w:r>
              <w:rPr>
                <w:rFonts w:ascii="宋体" w:hAnsi="宋体" w:cs="宋体" w:eastAsia="宋体" w:hint="default"/>
                <w:sz w:val="18"/>
                <w:szCs w:val="18"/>
              </w:rPr>
              <w:t>税金及附加</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9,090,530.97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8,166,397.94</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68,701,340.78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57,959,083.23</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6"/>
        <w:gridCol w:w="3300"/>
        <w:gridCol w:w="3303"/>
      </w:tblGrid>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48,056,334.63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68,123,407.34</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40,478,807.90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25,091,035.14</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-11,253,735.11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-4,674,636.07</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4,787,974.59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2,331,213.33</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63"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10,872,254.55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5,757,070.07</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12,462,243.26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26,737,979.31</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43,505,268.50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26,171,387.74</w:t>
            </w:r>
          </w:p>
        </w:tc>
      </w:tr>
      <w:tr>
        <w:trPr>
          <w:trHeight w:val="716"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0"/>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-3,658,737.85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16,666,473.80</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-1,783,391.80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2,023,488.52</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公允价值变动收益（损失以</w:t>
            </w:r>
          </w:p>
          <w:p>
            <w:pPr>
              <w:pStyle w:val="TableParagraph"/>
              <w:spacing w:line="240" w:lineRule="auto" w:before="7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3"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70,666.28</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127,536,383.59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140,315,804.73</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839,000.00</w:t>
            </w:r>
          </w:p>
        </w:tc>
      </w:tr>
      <w:tr>
        <w:trPr>
          <w:trHeight w:val="40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74"/>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127,636,383.59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141,154,804.73</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7,987,312.59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12,783,148.10</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119,649,071.00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128,371,656.63</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51"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119,649,071.00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128,371,656.63</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firstLine="360"/>
              <w:jc w:val="left"/>
              <w:rPr>
                <w:rFonts w:ascii="宋体" w:hAnsi="宋体" w:cs="宋体" w:eastAsia="宋体" w:hint="default"/>
                <w:sz w:val="18"/>
                <w:szCs w:val="18"/>
              </w:rPr>
            </w:pPr>
            <w:r>
              <w:rPr>
                <w:rFonts w:ascii="宋体" w:hAnsi="宋体" w:cs="宋体" w:eastAsia="宋体" w:hint="default"/>
                <w:sz w:val="18"/>
                <w:szCs w:val="18"/>
              </w:rPr>
              <w:t>（一）不能重分类进损益的其他 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w:t>
            </w:r>
          </w:p>
          <w:p>
            <w:pPr>
              <w:pStyle w:val="TableParagraph"/>
              <w:spacing w:line="240" w:lineRule="auto" w:before="60"/>
              <w:ind w:left="22" w:right="0"/>
              <w:jc w:val="left"/>
              <w:rPr>
                <w:rFonts w:ascii="宋体" w:hAnsi="宋体" w:cs="宋体" w:eastAsia="宋体" w:hint="default"/>
                <w:sz w:val="18"/>
                <w:szCs w:val="18"/>
              </w:rPr>
            </w:pPr>
            <w:r>
              <w:rPr>
                <w:rFonts w:ascii="宋体" w:hAnsi="宋体" w:cs="宋体" w:eastAsia="宋体" w:hint="default"/>
                <w:sz w:val="18"/>
                <w:szCs w:val="18"/>
              </w:rPr>
              <w:t>变动额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9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 其他综合收益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51"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（二）将重分类进损益的其他综 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他综合收益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 价值变动损益</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w:t>
            </w:r>
          </w:p>
          <w:p>
            <w:pPr>
              <w:pStyle w:val="TableParagraph"/>
              <w:spacing w:line="240" w:lineRule="auto" w:before="63"/>
              <w:ind w:left="12"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left="2155" w:right="0"/>
              <w:jc w:val="left"/>
              <w:rPr>
                <w:rFonts w:ascii="Times New Roman" w:hAnsi="Times New Roman" w:cs="Times New Roman" w:eastAsia="Times New Roman" w:hint="default"/>
                <w:sz w:val="18"/>
                <w:szCs w:val="18"/>
              </w:rPr>
            </w:pPr>
            <w:r>
              <w:rPr>
                <w:rFonts w:ascii="Times New Roman"/>
                <w:sz w:val="18"/>
              </w:rPr>
              <w:t>119,649,071.00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143" w:right="0"/>
              <w:jc w:val="left"/>
              <w:rPr>
                <w:rFonts w:ascii="Times New Roman" w:hAnsi="Times New Roman" w:cs="Times New Roman" w:eastAsia="Times New Roman" w:hint="default"/>
                <w:sz w:val="18"/>
                <w:szCs w:val="18"/>
              </w:rPr>
            </w:pPr>
            <w:r>
              <w:rPr>
                <w:rFonts w:ascii="Times New Roman"/>
                <w:sz w:val="18"/>
              </w:rPr>
              <w:t>128,371,656.63</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Times New Roman" w:hAnsi="Times New Roman" w:cs="Times New Roman" w:eastAsia="Times New Roman" w:hint="default"/>
          <w:sz w:val="21"/>
          <w:szCs w:val="21"/>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、合并现金流量表</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1,367,835,370.16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990,589,596.90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firstLine="360"/>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 入当期损益的金融资产净增加额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49,184,619.42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30,962,925.75</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95,537,248.62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107,336,526.30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1,512,557,238.20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1,128,889,048.95</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561,749,633.06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465,365,951.03</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426,166,089.35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364,847,635.44</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157,423,725.41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96,481,406.86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191,487,495.40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238,231,845.52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1,336,826,943.22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1,164,926,838.85</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175,730,294.98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-36,037,789.90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1,750,000.00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15,600,000.00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3,000.00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5,600.00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80,200.00</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1,760,600.00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15,683,200.00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40,487,895.25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42,132,938.52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28,000,000.00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657,172.33</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41,145,067.58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70,132,938.52</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-39,384,467.58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-54,449,738.52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577,029.55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530,059,909.53</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其中：子公司吸收少数股东投资 收到的现金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2,000,000.00</w:t>
            </w: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215,800,000.00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89,790,217.00</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6"/>
        <w:gridCol w:w="3300"/>
        <w:gridCol w:w="3303"/>
      </w:tblGrid>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216,377,029.55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619,850,126.53</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139,790,217.00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119,838,880.23</w:t>
            </w:r>
          </w:p>
        </w:tc>
      </w:tr>
      <w:tr>
        <w:trPr>
          <w:trHeight w:val="715"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51"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19,265,880.20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16,916,676.15</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其中：子公司支付给少数股东的 股利、利润</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78,045,157.15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110,818,226.87</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237,101,254.35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247,573,783.25</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-20,724,224.80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372,276,343.28</w:t>
            </w:r>
          </w:p>
        </w:tc>
      </w:tr>
      <w:tr>
        <w:trPr>
          <w:trHeight w:val="71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51"/>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115,621,602.60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281,788,814.86</w:t>
            </w:r>
          </w:p>
        </w:tc>
      </w:tr>
      <w:tr>
        <w:trPr>
          <w:trHeight w:val="401"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679,981,956.46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398,193,141.60</w:t>
            </w:r>
          </w:p>
        </w:tc>
      </w:tr>
      <w:tr>
        <w:trPr>
          <w:trHeight w:val="403"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795,603,559.06</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679,981,956.46</w:t>
            </w:r>
          </w:p>
        </w:tc>
      </w:tr>
    </w:tbl>
    <w:p>
      <w:pPr>
        <w:spacing w:line="240" w:lineRule="auto" w:before="10"/>
        <w:rPr>
          <w:rFonts w:ascii="Times New Roman" w:hAnsi="Times New Roman" w:cs="Times New Roman" w:eastAsia="Times New Roman" w:hint="default"/>
          <w:sz w:val="21"/>
          <w:szCs w:val="21"/>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、母公司现金流量表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1,002,633,613.92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666,601,162.50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42,600,316.71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26,064,588.27</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224,469,880.59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137,531,416.62</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1,269,703,811.22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830,197,167.39</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570,353,681.72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525,906,461.67</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125,882,700.40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110,877,596.46</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89,499,745.42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52,742,700.87</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257,331,936.84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239,246,628.83</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1,043,068,064.38</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928,773,387.83</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226,635,746.84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-98,576,220.44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right="40"/>
              <w:jc w:val="right"/>
              <w:rPr>
                <w:rFonts w:ascii="宋体" w:hAnsi="宋体" w:cs="宋体" w:eastAsia="宋体" w:hint="default"/>
                <w:sz w:val="18"/>
                <w:szCs w:val="18"/>
              </w:rPr>
            </w:pPr>
            <w:r>
              <w:rPr>
                <w:rFonts w:ascii="宋体" w:hAnsi="宋体" w:cs="宋体" w:eastAsia="宋体" w:hint="default"/>
                <w:sz w:val="18"/>
                <w:szCs w:val="18"/>
              </w:rPr>
              <w:t>处置固定资产、无形资产和其他</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80,200.00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2945"/>
        <w:gridCol w:w="3311"/>
        <w:gridCol w:w="3303"/>
      </w:tblGrid>
      <w:tr>
        <w:trPr>
          <w:trHeight w:val="36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长期资产收回的现金净额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1,368,390.60</w:t>
            </w: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1,368,390.60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15,080,200.00</w:t>
            </w:r>
          </w:p>
        </w:tc>
      </w:tr>
      <w:tr>
        <w:trPr>
          <w:trHeight w:val="715"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27,534,763.17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26,260,513.38</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140,000,300.00</w:t>
            </w:r>
          </w:p>
        </w:tc>
      </w:tr>
      <w:tr>
        <w:trPr>
          <w:trHeight w:val="716"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47,534,763.17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166,260,813.38</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-46,166,372.57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-151,180,613.38</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528,059,909.53</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130,000,000.00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60,000,000.00</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130,000,000.00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588,059,909.53</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110,000,000.00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40"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17,522,197.09</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14,197,476.68</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77,362,611.51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40,818,226.87</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204,884,808.60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85,015,703.55</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-74,884,808.60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503,044,205.98</w:t>
            </w:r>
          </w:p>
        </w:tc>
      </w:tr>
      <w:tr>
        <w:trPr>
          <w:trHeight w:val="71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4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11" w:type="dxa"/>
            <w:tcBorders>
              <w:top w:val="single" w:sz="4" w:space="0" w:color="000000"/>
              <w:left w:val="single" w:sz="9" w:space="0" w:color="D2D2D2"/>
              <w:bottom w:val="single" w:sz="4" w:space="0" w:color="000000"/>
              <w:right w:val="single" w:sz="4" w:space="0" w:color="000000"/>
            </w:tcBorders>
          </w:tcPr>
          <w:p>
            <w:pPr/>
          </w:p>
        </w:tc>
        <w:tc>
          <w:tcPr>
            <w:tcW w:w="330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105,584,565.67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253,287,372.16</w:t>
            </w:r>
          </w:p>
        </w:tc>
      </w:tr>
      <w:tr>
        <w:trPr>
          <w:trHeight w:val="401"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0"/>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558,315,822.20</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305,028,450.04</w:t>
            </w:r>
          </w:p>
        </w:tc>
      </w:tr>
      <w:tr>
        <w:trPr>
          <w:trHeight w:val="403"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1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663,900,387.87</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558,315,822.20</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、合并所有者权益变动表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5"/>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37"/>
        <w:gridCol w:w="8123"/>
      </w:tblGrid>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r>
    </w:tbl>
    <w:p>
      <w:pPr>
        <w:spacing w:after="0" w:line="240" w:lineRule="auto"/>
        <w:jc w:val="center"/>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1426"/>
        <w:gridCol w:w="562"/>
        <w:gridCol w:w="533"/>
        <w:gridCol w:w="531"/>
        <w:gridCol w:w="530"/>
        <w:gridCol w:w="665"/>
        <w:gridCol w:w="665"/>
        <w:gridCol w:w="665"/>
        <w:gridCol w:w="665"/>
        <w:gridCol w:w="665"/>
        <w:gridCol w:w="665"/>
        <w:gridCol w:w="665"/>
        <w:gridCol w:w="665"/>
        <w:gridCol w:w="660"/>
      </w:tblGrid>
      <w:tr>
        <w:trPr>
          <w:trHeight w:val="252" w:hRule="exact"/>
        </w:trPr>
        <w:tc>
          <w:tcPr>
            <w:tcW w:w="1426" w:type="dxa"/>
            <w:vMerge w:val="restart"/>
            <w:tcBorders>
              <w:top w:val="single" w:sz="4" w:space="0" w:color="000000"/>
              <w:left w:val="single" w:sz="4" w:space="0" w:color="000000"/>
              <w:right w:val="single" w:sz="4" w:space="0" w:color="000000"/>
            </w:tcBorders>
            <w:shd w:val="clear" w:color="auto" w:fill="D2D2D2"/>
          </w:tcPr>
          <w:p>
            <w:pPr/>
          </w:p>
        </w:tc>
        <w:tc>
          <w:tcPr>
            <w:tcW w:w="6810"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65" w:type="dxa"/>
            <w:vMerge w:val="restart"/>
            <w:tcBorders>
              <w:top w:val="single" w:sz="4" w:space="0" w:color="000000"/>
              <w:left w:val="single" w:sz="4" w:space="0" w:color="000000"/>
              <w:right w:val="single" w:sz="4" w:space="0" w:color="000000"/>
            </w:tcBorders>
            <w:shd w:val="clear" w:color="auto" w:fill="D2D2D2"/>
          </w:tcPr>
          <w:p>
            <w:pPr/>
          </w:p>
        </w:tc>
        <w:tc>
          <w:tcPr>
            <w:tcW w:w="66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0" w:hRule="exact"/>
        </w:trPr>
        <w:tc>
          <w:tcPr>
            <w:tcW w:w="1426" w:type="dxa"/>
            <w:vMerge/>
            <w:tcBorders>
              <w:left w:val="single" w:sz="4" w:space="0" w:color="000000"/>
              <w:right w:val="single" w:sz="4" w:space="0" w:color="000000"/>
            </w:tcBorders>
            <w:shd w:val="clear" w:color="auto" w:fill="D2D2D2"/>
          </w:tcPr>
          <w:p>
            <w:pPr/>
          </w:p>
        </w:tc>
        <w:tc>
          <w:tcPr>
            <w:tcW w:w="6810" w:type="dxa"/>
            <w:gridSpan w:val="11"/>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0"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5"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5" w:hRule="exact"/>
        </w:trPr>
        <w:tc>
          <w:tcPr>
            <w:tcW w:w="1426" w:type="dxa"/>
            <w:vMerge/>
            <w:tcBorders>
              <w:left w:val="single" w:sz="4" w:space="0" w:color="000000"/>
              <w:right w:val="single" w:sz="4" w:space="0" w:color="000000"/>
            </w:tcBorders>
            <w:shd w:val="clear" w:color="auto" w:fill="D2D2D2"/>
          </w:tcPr>
          <w:p>
            <w:pPr/>
          </w:p>
        </w:tc>
        <w:tc>
          <w:tcPr>
            <w:tcW w:w="562" w:type="dxa"/>
            <w:vMerge w:val="restart"/>
            <w:tcBorders>
              <w:top w:val="single" w:sz="4" w:space="0" w:color="000000"/>
              <w:left w:val="single" w:sz="4" w:space="0" w:color="000000"/>
              <w:right w:val="single" w:sz="4" w:space="0" w:color="000000"/>
            </w:tcBorders>
            <w:shd w:val="clear" w:color="auto" w:fill="D2D2D2"/>
          </w:tcPr>
          <w:p>
            <w:pPr/>
          </w:p>
        </w:tc>
        <w:tc>
          <w:tcPr>
            <w:tcW w:w="159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25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55"/>
              <w:ind w:left="57" w:right="55"/>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60" w:type="dxa"/>
            <w:vMerge/>
            <w:tcBorders>
              <w:left w:val="single" w:sz="4" w:space="0" w:color="000000"/>
              <w:right w:val="single" w:sz="4" w:space="0" w:color="000000"/>
            </w:tcBorders>
            <w:shd w:val="clear" w:color="auto" w:fill="D2D2D2"/>
          </w:tcPr>
          <w:p>
            <w:pPr/>
          </w:p>
        </w:tc>
      </w:tr>
      <w:tr>
        <w:trPr>
          <w:trHeight w:val="192" w:hRule="exact"/>
        </w:trPr>
        <w:tc>
          <w:tcPr>
            <w:tcW w:w="1426" w:type="dxa"/>
            <w:vMerge/>
            <w:tcBorders>
              <w:left w:val="single" w:sz="4" w:space="0" w:color="000000"/>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1594" w:type="dxa"/>
            <w:gridSpan w:val="3"/>
            <w:vMerge/>
            <w:tcBorders>
              <w:left w:val="single" w:sz="4" w:space="0" w:color="000000"/>
              <w:bottom w:val="single" w:sz="4" w:space="0" w:color="000000"/>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237" w:right="55"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48" w:right="55" w:hanging="92"/>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7" w:right="57"/>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237" w:right="55"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237" w:right="55"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7" w:right="55"/>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148" w:right="56" w:hanging="92"/>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65" w:type="dxa"/>
            <w:vMerge/>
            <w:tcBorders>
              <w:left w:val="single" w:sz="4" w:space="0" w:color="000000"/>
              <w:right w:val="single" w:sz="4" w:space="0" w:color="000000"/>
            </w:tcBorders>
            <w:shd w:val="clear" w:color="auto" w:fill="D2D2D2"/>
          </w:tcPr>
          <w:p>
            <w:pPr/>
          </w:p>
        </w:tc>
        <w:tc>
          <w:tcPr>
            <w:tcW w:w="660" w:type="dxa"/>
            <w:vMerge/>
            <w:tcBorders>
              <w:left w:val="single" w:sz="4" w:space="0" w:color="000000"/>
              <w:right w:val="single" w:sz="4" w:space="0" w:color="000000"/>
            </w:tcBorders>
            <w:shd w:val="clear" w:color="auto" w:fill="D2D2D2"/>
          </w:tcPr>
          <w:p>
            <w:pPr/>
          </w:p>
        </w:tc>
      </w:tr>
      <w:tr>
        <w:trPr>
          <w:trHeight w:val="166" w:hRule="exact"/>
        </w:trPr>
        <w:tc>
          <w:tcPr>
            <w:tcW w:w="1426" w:type="dxa"/>
            <w:vMerge/>
            <w:tcBorders>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3"/>
              <w:ind w:left="9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170" w:right="79" w:hanging="89"/>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3"/>
              <w:ind w:left="171" w:right="77"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0" w:type="dxa"/>
            <w:vMerge/>
            <w:tcBorders>
              <w:left w:val="single" w:sz="4" w:space="0" w:color="000000"/>
              <w:right w:val="single" w:sz="4" w:space="0" w:color="000000"/>
            </w:tcBorders>
            <w:shd w:val="clear" w:color="auto" w:fill="D2D2D2"/>
          </w:tcPr>
          <w:p>
            <w:pPr/>
          </w:p>
        </w:tc>
      </w:tr>
      <w:tr>
        <w:trPr>
          <w:trHeight w:val="169" w:hRule="exact"/>
        </w:trPr>
        <w:tc>
          <w:tcPr>
            <w:tcW w:w="1426" w:type="dxa"/>
            <w:vMerge/>
            <w:tcBorders>
              <w:left w:val="single" w:sz="4" w:space="0" w:color="000000"/>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533" w:type="dxa"/>
            <w:vMerge/>
            <w:tcBorders>
              <w:left w:val="single" w:sz="4" w:space="0" w:color="000000"/>
              <w:right w:val="single" w:sz="4" w:space="0" w:color="000000"/>
            </w:tcBorders>
            <w:shd w:val="clear" w:color="auto" w:fill="D2D2D2"/>
          </w:tcPr>
          <w:p>
            <w:pPr/>
          </w:p>
        </w:tc>
        <w:tc>
          <w:tcPr>
            <w:tcW w:w="531" w:type="dxa"/>
            <w:vMerge/>
            <w:tcBorders>
              <w:left w:val="single" w:sz="4" w:space="0" w:color="000000"/>
              <w:right w:val="single" w:sz="4" w:space="0" w:color="000000"/>
            </w:tcBorders>
            <w:shd w:val="clear" w:color="auto" w:fill="D2D2D2"/>
          </w:tcPr>
          <w:p>
            <w:pPr/>
          </w:p>
        </w:tc>
        <w:tc>
          <w:tcPr>
            <w:tcW w:w="5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8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0" w:type="dxa"/>
            <w:vMerge/>
            <w:tcBorders>
              <w:left w:val="single" w:sz="4" w:space="0" w:color="000000"/>
              <w:right w:val="single" w:sz="4" w:space="0" w:color="000000"/>
            </w:tcBorders>
            <w:shd w:val="clear" w:color="auto" w:fill="D2D2D2"/>
          </w:tcPr>
          <w:p>
            <w:pPr/>
          </w:p>
        </w:tc>
      </w:tr>
      <w:tr>
        <w:trPr>
          <w:trHeight w:val="156" w:hRule="exact"/>
        </w:trPr>
        <w:tc>
          <w:tcPr>
            <w:tcW w:w="1426" w:type="dxa"/>
            <w:vMerge/>
            <w:tcBorders>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
        </w:tc>
        <w:tc>
          <w:tcPr>
            <w:tcW w:w="533" w:type="dxa"/>
            <w:vMerge/>
            <w:tcBorders>
              <w:left w:val="single" w:sz="4" w:space="0" w:color="000000"/>
              <w:right w:val="single" w:sz="4" w:space="0" w:color="000000"/>
            </w:tcBorders>
            <w:shd w:val="clear" w:color="auto" w:fill="D2D2D2"/>
          </w:tcPr>
          <w:p>
            <w:pPr/>
          </w:p>
        </w:tc>
        <w:tc>
          <w:tcPr>
            <w:tcW w:w="531" w:type="dxa"/>
            <w:vMerge/>
            <w:tcBorders>
              <w:left w:val="single" w:sz="4" w:space="0" w:color="000000"/>
              <w:right w:val="single" w:sz="4" w:space="0" w:color="000000"/>
            </w:tcBorders>
            <w:shd w:val="clear" w:color="auto" w:fill="D2D2D2"/>
          </w:tcPr>
          <w:p>
            <w:pPr/>
          </w:p>
        </w:tc>
        <w:tc>
          <w:tcPr>
            <w:tcW w:w="530"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
        </w:tc>
        <w:tc>
          <w:tcPr>
            <w:tcW w:w="660" w:type="dxa"/>
            <w:vMerge/>
            <w:tcBorders>
              <w:left w:val="single" w:sz="4" w:space="0" w:color="000000"/>
              <w:bottom w:val="nil" w:sz="6" w:space="0" w:color="auto"/>
              <w:right w:val="single" w:sz="4" w:space="0" w:color="000000"/>
            </w:tcBorders>
            <w:shd w:val="clear" w:color="auto" w:fill="D2D2D2"/>
          </w:tcPr>
          <w:p>
            <w:pPr/>
          </w:p>
        </w:tc>
      </w:tr>
      <w:tr>
        <w:trPr>
          <w:trHeight w:val="227" w:hRule="exact"/>
        </w:trPr>
        <w:tc>
          <w:tcPr>
            <w:tcW w:w="1426"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533" w:type="dxa"/>
            <w:vMerge/>
            <w:tcBorders>
              <w:left w:val="single" w:sz="4" w:space="0" w:color="000000"/>
              <w:bottom w:val="single" w:sz="4" w:space="0" w:color="000000"/>
              <w:right w:val="single" w:sz="4" w:space="0" w:color="000000"/>
            </w:tcBorders>
            <w:shd w:val="clear" w:color="auto" w:fill="D2D2D2"/>
          </w:tcPr>
          <w:p>
            <w:pPr/>
          </w:p>
        </w:tc>
        <w:tc>
          <w:tcPr>
            <w:tcW w:w="531"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9" w:hRule="exact"/>
        </w:trPr>
        <w:tc>
          <w:tcPr>
            <w:tcW w:w="1426"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10" w:space="0" w:color="D2D2D2"/>
              <w:right w:val="single" w:sz="4" w:space="0" w:color="000000"/>
            </w:tcBorders>
          </w:tcPr>
          <w:p>
            <w:pPr>
              <w:pStyle w:val="TableParagraph"/>
              <w:spacing w:line="240" w:lineRule="auto" w:before="93"/>
              <w:ind w:left="28" w:right="0"/>
              <w:jc w:val="left"/>
              <w:rPr>
                <w:rFonts w:ascii="Times New Roman" w:hAnsi="Times New Roman" w:cs="Times New Roman" w:eastAsia="Times New Roman" w:hint="default"/>
                <w:sz w:val="18"/>
                <w:szCs w:val="18"/>
              </w:rPr>
            </w:pPr>
            <w:r>
              <w:rPr>
                <w:rFonts w:ascii="Times New Roman"/>
                <w:sz w:val="18"/>
              </w:rPr>
              <w:t>424,62</w:t>
            </w:r>
          </w:p>
          <w:p>
            <w:pPr>
              <w:pStyle w:val="TableParagraph"/>
              <w:spacing w:line="240" w:lineRule="auto" w:before="102"/>
              <w:ind w:left="71" w:right="0"/>
              <w:jc w:val="left"/>
              <w:rPr>
                <w:rFonts w:ascii="Times New Roman" w:hAnsi="Times New Roman" w:cs="Times New Roman" w:eastAsia="Times New Roman" w:hint="default"/>
                <w:sz w:val="18"/>
                <w:szCs w:val="18"/>
              </w:rPr>
            </w:pPr>
            <w:r>
              <w:rPr>
                <w:rFonts w:ascii="Times New Roman"/>
                <w:sz w:val="18"/>
              </w:rPr>
              <w:t>6,905.</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00</w:t>
            </w:r>
          </w:p>
        </w:tc>
        <w:tc>
          <w:tcPr>
            <w:tcW w:w="533" w:type="dxa"/>
            <w:vMerge w:val="restart"/>
            <w:tcBorders>
              <w:top w:val="single" w:sz="4" w:space="0" w:color="000000"/>
              <w:left w:val="single" w:sz="4" w:space="0" w:color="000000"/>
              <w:right w:val="single" w:sz="4" w:space="0" w:color="000000"/>
            </w:tcBorders>
          </w:tcPr>
          <w:p>
            <w:pPr/>
          </w:p>
        </w:tc>
        <w:tc>
          <w:tcPr>
            <w:tcW w:w="531"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968,810</w:t>
            </w:r>
          </w:p>
          <w:p>
            <w:pPr>
              <w:pStyle w:val="TableParagraph"/>
              <w:spacing w:line="240" w:lineRule="auto" w:before="102"/>
              <w:ind w:left="91" w:right="0"/>
              <w:jc w:val="left"/>
              <w:rPr>
                <w:rFonts w:ascii="Times New Roman" w:hAnsi="Times New Roman" w:cs="Times New Roman" w:eastAsia="Times New Roman" w:hint="default"/>
                <w:sz w:val="18"/>
                <w:szCs w:val="18"/>
              </w:rPr>
            </w:pPr>
            <w:r>
              <w:rPr>
                <w:rFonts w:ascii="Times New Roman"/>
                <w:sz w:val="18"/>
              </w:rPr>
              <w:t>,608.44</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75,606,</w:t>
            </w:r>
          </w:p>
          <w:p>
            <w:pPr>
              <w:pStyle w:val="TableParagraph"/>
              <w:spacing w:line="240" w:lineRule="auto" w:before="102"/>
              <w:ind w:left="139" w:right="0"/>
              <w:jc w:val="left"/>
              <w:rPr>
                <w:rFonts w:ascii="Times New Roman" w:hAnsi="Times New Roman" w:cs="Times New Roman" w:eastAsia="Times New Roman" w:hint="default"/>
                <w:sz w:val="18"/>
                <w:szCs w:val="18"/>
              </w:rPr>
            </w:pPr>
            <w:r>
              <w:rPr>
                <w:rFonts w:ascii="Times New Roman"/>
                <w:sz w:val="18"/>
              </w:rPr>
              <w:t>625.00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76,261,</w:t>
            </w:r>
          </w:p>
          <w:p>
            <w:pPr>
              <w:pStyle w:val="TableParagraph"/>
              <w:spacing w:line="240" w:lineRule="auto" w:before="102"/>
              <w:ind w:left="136" w:right="0"/>
              <w:jc w:val="left"/>
              <w:rPr>
                <w:rFonts w:ascii="Times New Roman" w:hAnsi="Times New Roman" w:cs="Times New Roman" w:eastAsia="Times New Roman" w:hint="default"/>
                <w:sz w:val="18"/>
                <w:szCs w:val="18"/>
              </w:rPr>
            </w:pPr>
            <w:r>
              <w:rPr>
                <w:rFonts w:ascii="Times New Roman"/>
                <w:sz w:val="18"/>
              </w:rPr>
              <w:t>789.28</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646,735</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,486.13</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14,743,</w:t>
            </w:r>
          </w:p>
          <w:p>
            <w:pPr>
              <w:pStyle w:val="TableParagraph"/>
              <w:spacing w:line="240" w:lineRule="auto" w:before="102"/>
              <w:ind w:left="139" w:right="0"/>
              <w:jc w:val="left"/>
              <w:rPr>
                <w:rFonts w:ascii="Times New Roman" w:hAnsi="Times New Roman" w:cs="Times New Roman" w:eastAsia="Times New Roman" w:hint="default"/>
                <w:sz w:val="18"/>
                <w:szCs w:val="18"/>
              </w:rPr>
            </w:pPr>
            <w:r>
              <w:rPr>
                <w:rFonts w:ascii="Times New Roman"/>
                <w:sz w:val="18"/>
              </w:rPr>
              <w:t>910.47</w:t>
            </w:r>
          </w:p>
        </w:tc>
        <w:tc>
          <w:tcPr>
            <w:tcW w:w="660" w:type="dxa"/>
            <w:vMerge w:val="restart"/>
            <w:tcBorders>
              <w:top w:val="single" w:sz="4" w:space="0" w:color="000000"/>
              <w:left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2,055,5</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72,074.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32</w:t>
            </w:r>
          </w:p>
        </w:tc>
      </w:tr>
      <w:tr>
        <w:trPr>
          <w:trHeight w:val="391" w:hRule="exact"/>
        </w:trPr>
        <w:tc>
          <w:tcPr>
            <w:tcW w:w="14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62" w:type="dxa"/>
            <w:vMerge/>
            <w:tcBorders>
              <w:left w:val="single" w:sz="10"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0" w:type="dxa"/>
            <w:vMerge/>
            <w:tcBorders>
              <w:left w:val="single" w:sz="4" w:space="0" w:color="000000"/>
              <w:right w:val="single" w:sz="4" w:space="0" w:color="000000"/>
            </w:tcBorders>
          </w:tcPr>
          <w:p>
            <w:pPr/>
          </w:p>
        </w:tc>
      </w:tr>
      <w:tr>
        <w:trPr>
          <w:trHeight w:val="317" w:hRule="exact"/>
        </w:trPr>
        <w:tc>
          <w:tcPr>
            <w:tcW w:w="1426"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10"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0" w:type="dxa"/>
            <w:vMerge/>
            <w:tcBorders>
              <w:left w:val="single" w:sz="4" w:space="0" w:color="000000"/>
              <w:bottom w:val="single" w:sz="4" w:space="0" w:color="000000"/>
              <w:right w:val="single" w:sz="4" w:space="0" w:color="000000"/>
            </w:tcBorders>
          </w:tcPr>
          <w:p>
            <w:pPr/>
          </w:p>
        </w:tc>
      </w:tr>
      <w:tr>
        <w:trPr>
          <w:trHeight w:val="713"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pacing w:val="-10"/>
                <w:sz w:val="18"/>
                <w:szCs w:val="18"/>
              </w:rPr>
              <w:t>加：会计政策</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变更</w:t>
            </w:r>
          </w:p>
        </w:tc>
        <w:tc>
          <w:tcPr>
            <w:tcW w:w="562" w:type="dxa"/>
            <w:tcBorders>
              <w:top w:val="single" w:sz="4" w:space="0" w:color="000000"/>
              <w:left w:val="single" w:sz="10"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2"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62" w:type="dxa"/>
            <w:tcBorders>
              <w:top w:val="single" w:sz="4" w:space="0" w:color="000000"/>
              <w:left w:val="single" w:sz="10"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41"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62" w:type="dxa"/>
            <w:tcBorders>
              <w:top w:val="single" w:sz="4" w:space="0" w:color="000000"/>
              <w:left w:val="single" w:sz="10"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2" w:type="dxa"/>
            <w:tcBorders>
              <w:top w:val="single" w:sz="4" w:space="0" w:color="000000"/>
              <w:left w:val="single" w:sz="10"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426"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10" w:space="0" w:color="D2D2D2"/>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424,62</w:t>
            </w:r>
          </w:p>
          <w:p>
            <w:pPr>
              <w:pStyle w:val="TableParagraph"/>
              <w:spacing w:line="240" w:lineRule="auto" w:before="105"/>
              <w:ind w:left="71" w:right="0"/>
              <w:jc w:val="left"/>
              <w:rPr>
                <w:rFonts w:ascii="Times New Roman" w:hAnsi="Times New Roman" w:cs="Times New Roman" w:eastAsia="Times New Roman" w:hint="default"/>
                <w:sz w:val="18"/>
                <w:szCs w:val="18"/>
              </w:rPr>
            </w:pPr>
            <w:r>
              <w:rPr>
                <w:rFonts w:ascii="Times New Roman"/>
                <w:sz w:val="18"/>
              </w:rPr>
              <w:t>6,905.</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00</w:t>
            </w:r>
          </w:p>
        </w:tc>
        <w:tc>
          <w:tcPr>
            <w:tcW w:w="533" w:type="dxa"/>
            <w:vMerge w:val="restart"/>
            <w:tcBorders>
              <w:top w:val="single" w:sz="4" w:space="0" w:color="000000"/>
              <w:left w:val="single" w:sz="4" w:space="0" w:color="000000"/>
              <w:right w:val="single" w:sz="4" w:space="0" w:color="000000"/>
            </w:tcBorders>
          </w:tcPr>
          <w:p>
            <w:pPr/>
          </w:p>
        </w:tc>
        <w:tc>
          <w:tcPr>
            <w:tcW w:w="531"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968,810</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,608.44</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75,606,</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625.00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76,261,</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789.28</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646,735</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,486.13</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14,743,</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910.47</w:t>
            </w:r>
          </w:p>
        </w:tc>
        <w:tc>
          <w:tcPr>
            <w:tcW w:w="660"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2,055,5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72,074.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32</w:t>
            </w:r>
          </w:p>
        </w:tc>
      </w:tr>
      <w:tr>
        <w:trPr>
          <w:trHeight w:val="391" w:hRule="exact"/>
        </w:trPr>
        <w:tc>
          <w:tcPr>
            <w:tcW w:w="14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2" w:type="dxa"/>
            <w:vMerge/>
            <w:tcBorders>
              <w:left w:val="single" w:sz="10"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0" w:type="dxa"/>
            <w:vMerge/>
            <w:tcBorders>
              <w:left w:val="single" w:sz="4" w:space="0" w:color="000000"/>
              <w:right w:val="single" w:sz="4" w:space="0" w:color="000000"/>
            </w:tcBorders>
          </w:tcPr>
          <w:p>
            <w:pPr/>
          </w:p>
        </w:tc>
      </w:tr>
      <w:tr>
        <w:trPr>
          <w:trHeight w:val="317" w:hRule="exact"/>
        </w:trPr>
        <w:tc>
          <w:tcPr>
            <w:tcW w:w="1426"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10"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0" w:type="dxa"/>
            <w:vMerge/>
            <w:tcBorders>
              <w:left w:val="single" w:sz="4" w:space="0" w:color="000000"/>
              <w:bottom w:val="single" w:sz="4" w:space="0" w:color="000000"/>
              <w:right w:val="single" w:sz="4" w:space="0" w:color="000000"/>
            </w:tcBorders>
          </w:tcPr>
          <w:p>
            <w:pPr/>
          </w:p>
        </w:tc>
      </w:tr>
      <w:tr>
        <w:trPr>
          <w:trHeight w:val="1028"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12" w:right="21"/>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号填列）</w:t>
            </w:r>
          </w:p>
        </w:tc>
        <w:tc>
          <w:tcPr>
            <w:tcW w:w="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-286,0</w:t>
            </w:r>
          </w:p>
          <w:p>
            <w:pPr>
              <w:pStyle w:val="TableParagraph"/>
              <w:spacing w:line="240" w:lineRule="auto" w:before="103"/>
              <w:ind w:left="117" w:right="0"/>
              <w:jc w:val="left"/>
              <w:rPr>
                <w:rFonts w:ascii="Times New Roman" w:hAnsi="Times New Roman" w:cs="Times New Roman" w:eastAsia="Times New Roman" w:hint="default"/>
                <w:sz w:val="18"/>
                <w:szCs w:val="18"/>
              </w:rPr>
            </w:pPr>
            <w:r>
              <w:rPr>
                <w:rFonts w:ascii="Times New Roman"/>
                <w:sz w:val="18"/>
              </w:rPr>
              <w:t>00.00</w:t>
            </w: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-9,383,9</w:t>
            </w:r>
          </w:p>
          <w:p>
            <w:pPr>
              <w:pStyle w:val="TableParagraph"/>
              <w:spacing w:line="240" w:lineRule="auto" w:before="103"/>
              <w:ind w:left="202" w:right="0"/>
              <w:jc w:val="center"/>
              <w:rPr>
                <w:rFonts w:ascii="Times New Roman" w:hAnsi="Times New Roman" w:cs="Times New Roman" w:eastAsia="Times New Roman" w:hint="default"/>
                <w:sz w:val="18"/>
                <w:szCs w:val="18"/>
              </w:rPr>
            </w:pPr>
            <w:r>
              <w:rPr>
                <w:rFonts w:ascii="Times New Roman"/>
                <w:sz w:val="18"/>
              </w:rPr>
              <w:t>69.07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-35,502,</w:t>
            </w:r>
          </w:p>
          <w:p>
            <w:pPr>
              <w:pStyle w:val="TableParagraph"/>
              <w:spacing w:line="240" w:lineRule="auto" w:before="103"/>
              <w:ind w:left="118" w:right="0"/>
              <w:jc w:val="center"/>
              <w:rPr>
                <w:rFonts w:ascii="Times New Roman" w:hAnsi="Times New Roman" w:cs="Times New Roman" w:eastAsia="Times New Roman" w:hint="default"/>
                <w:sz w:val="18"/>
                <w:szCs w:val="18"/>
              </w:rPr>
            </w:pPr>
            <w:r>
              <w:rPr>
                <w:rFonts w:ascii="Times New Roman"/>
                <w:sz w:val="18"/>
              </w:rPr>
              <w:t>827.00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11,964,</w:t>
            </w:r>
          </w:p>
          <w:p>
            <w:pPr>
              <w:pStyle w:val="TableParagraph"/>
              <w:spacing w:line="240" w:lineRule="auto" w:before="103"/>
              <w:ind w:left="136" w:right="0"/>
              <w:jc w:val="left"/>
              <w:rPr>
                <w:rFonts w:ascii="Times New Roman" w:hAnsi="Times New Roman" w:cs="Times New Roman" w:eastAsia="Times New Roman" w:hint="default"/>
                <w:sz w:val="18"/>
                <w:szCs w:val="18"/>
              </w:rPr>
            </w:pPr>
            <w:r>
              <w:rPr>
                <w:rFonts w:ascii="Times New Roman"/>
                <w:sz w:val="18"/>
              </w:rPr>
              <w:t>907.10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92,485,</w:t>
            </w:r>
          </w:p>
          <w:p>
            <w:pPr>
              <w:pStyle w:val="TableParagraph"/>
              <w:spacing w:line="240" w:lineRule="auto" w:before="103"/>
              <w:ind w:left="139" w:right="0"/>
              <w:jc w:val="left"/>
              <w:rPr>
                <w:rFonts w:ascii="Times New Roman" w:hAnsi="Times New Roman" w:cs="Times New Roman" w:eastAsia="Times New Roman" w:hint="default"/>
                <w:sz w:val="18"/>
                <w:szCs w:val="18"/>
              </w:rPr>
            </w:pPr>
            <w:r>
              <w:rPr>
                <w:rFonts w:ascii="Times New Roman"/>
                <w:sz w:val="18"/>
              </w:rPr>
              <w:t>152.08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2" w:right="0"/>
              <w:jc w:val="center"/>
              <w:rPr>
                <w:rFonts w:ascii="Times New Roman" w:hAnsi="Times New Roman" w:cs="Times New Roman" w:eastAsia="Times New Roman" w:hint="default"/>
                <w:sz w:val="18"/>
                <w:szCs w:val="18"/>
              </w:rPr>
            </w:pPr>
            <w:r>
              <w:rPr>
                <w:rFonts w:ascii="Times New Roman"/>
                <w:sz w:val="18"/>
              </w:rPr>
              <w:t>-4,871,2</w:t>
            </w:r>
          </w:p>
          <w:p>
            <w:pPr>
              <w:pStyle w:val="TableParagraph"/>
              <w:spacing w:line="240" w:lineRule="auto" w:before="103"/>
              <w:ind w:left="207" w:right="0"/>
              <w:jc w:val="center"/>
              <w:rPr>
                <w:rFonts w:ascii="Times New Roman" w:hAnsi="Times New Roman" w:cs="Times New Roman" w:eastAsia="Times New Roman" w:hint="default"/>
                <w:sz w:val="18"/>
                <w:szCs w:val="18"/>
              </w:rPr>
            </w:pPr>
            <w:r>
              <w:rPr>
                <w:rFonts w:ascii="Times New Roman"/>
                <w:sz w:val="18"/>
              </w:rPr>
              <w:t>86.32</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125,411</w:t>
            </w:r>
          </w:p>
          <w:p>
            <w:pPr>
              <w:pStyle w:val="TableParagraph"/>
              <w:spacing w:line="240" w:lineRule="auto" w:before="103"/>
              <w:ind w:left="86" w:right="0"/>
              <w:jc w:val="left"/>
              <w:rPr>
                <w:rFonts w:ascii="Times New Roman" w:hAnsi="Times New Roman" w:cs="Times New Roman" w:eastAsia="Times New Roman" w:hint="default"/>
                <w:sz w:val="18"/>
                <w:szCs w:val="18"/>
              </w:rPr>
            </w:pPr>
            <w:r>
              <w:rPr>
                <w:rFonts w:ascii="Times New Roman"/>
                <w:sz w:val="18"/>
              </w:rPr>
              <w:t>,630.79</w:t>
            </w:r>
          </w:p>
        </w:tc>
      </w:tr>
      <w:tr>
        <w:trPr>
          <w:trHeight w:val="713"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21"/>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62" w:type="dxa"/>
            <w:tcBorders>
              <w:top w:val="single" w:sz="4" w:space="0" w:color="000000"/>
              <w:left w:val="single" w:sz="10"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5" w:right="0"/>
              <w:jc w:val="left"/>
              <w:rPr>
                <w:rFonts w:ascii="Times New Roman" w:hAnsi="Times New Roman" w:cs="Times New Roman" w:eastAsia="Times New Roman" w:hint="default"/>
                <w:sz w:val="18"/>
                <w:szCs w:val="18"/>
              </w:rPr>
            </w:pPr>
            <w:r>
              <w:rPr>
                <w:rFonts w:ascii="Times New Roman"/>
                <w:sz w:val="18"/>
              </w:rPr>
              <w:t>117,186</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,570.99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-3,815,9</w:t>
            </w:r>
          </w:p>
          <w:p>
            <w:pPr>
              <w:pStyle w:val="TableParagraph"/>
              <w:spacing w:line="240" w:lineRule="auto" w:before="105"/>
              <w:ind w:left="235" w:right="0"/>
              <w:jc w:val="left"/>
              <w:rPr>
                <w:rFonts w:ascii="Times New Roman" w:hAnsi="Times New Roman" w:cs="Times New Roman" w:eastAsia="Times New Roman" w:hint="default"/>
                <w:sz w:val="18"/>
                <w:szCs w:val="18"/>
              </w:rPr>
            </w:pPr>
            <w:r>
              <w:rPr>
                <w:rFonts w:ascii="Times New Roman"/>
                <w:sz w:val="18"/>
              </w:rPr>
              <w:t>54.11</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 w:right="0"/>
              <w:jc w:val="left"/>
              <w:rPr>
                <w:rFonts w:ascii="Times New Roman" w:hAnsi="Times New Roman" w:cs="Times New Roman" w:eastAsia="Times New Roman" w:hint="default"/>
                <w:sz w:val="18"/>
                <w:szCs w:val="18"/>
              </w:rPr>
            </w:pPr>
            <w:r>
              <w:rPr>
                <w:rFonts w:ascii="Times New Roman"/>
                <w:sz w:val="18"/>
              </w:rPr>
              <w:t>113,370</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,616.88</w:t>
            </w:r>
          </w:p>
        </w:tc>
      </w:tr>
      <w:tr>
        <w:trPr>
          <w:trHeight w:val="715"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21"/>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和减少资本</w:t>
            </w:r>
          </w:p>
        </w:tc>
        <w:tc>
          <w:tcPr>
            <w:tcW w:w="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left="57" w:right="0"/>
              <w:jc w:val="left"/>
              <w:rPr>
                <w:rFonts w:ascii="Times New Roman" w:hAnsi="Times New Roman" w:cs="Times New Roman" w:eastAsia="Times New Roman" w:hint="default"/>
                <w:sz w:val="18"/>
                <w:szCs w:val="18"/>
              </w:rPr>
            </w:pPr>
            <w:r>
              <w:rPr>
                <w:rFonts w:ascii="Times New Roman"/>
                <w:sz w:val="18"/>
              </w:rPr>
              <w:t>-286,0</w:t>
            </w:r>
          </w:p>
          <w:p>
            <w:pPr>
              <w:pStyle w:val="TableParagraph"/>
              <w:spacing w:line="240" w:lineRule="auto" w:before="102"/>
              <w:ind w:left="117" w:right="0"/>
              <w:jc w:val="left"/>
              <w:rPr>
                <w:rFonts w:ascii="Times New Roman" w:hAnsi="Times New Roman" w:cs="Times New Roman" w:eastAsia="Times New Roman" w:hint="default"/>
                <w:sz w:val="18"/>
                <w:szCs w:val="18"/>
              </w:rPr>
            </w:pPr>
            <w:r>
              <w:rPr>
                <w:rFonts w:ascii="Times New Roman"/>
                <w:sz w:val="18"/>
              </w:rPr>
              <w:t>00.00</w:t>
            </w: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 w:right="0"/>
              <w:jc w:val="center"/>
              <w:rPr>
                <w:rFonts w:ascii="Times New Roman" w:hAnsi="Times New Roman" w:cs="Times New Roman" w:eastAsia="Times New Roman" w:hint="default"/>
                <w:sz w:val="18"/>
                <w:szCs w:val="18"/>
              </w:rPr>
            </w:pPr>
            <w:r>
              <w:rPr>
                <w:rFonts w:ascii="Times New Roman"/>
                <w:sz w:val="18"/>
              </w:rPr>
              <w:t>-9,679,1</w:t>
            </w:r>
          </w:p>
          <w:p>
            <w:pPr>
              <w:pStyle w:val="TableParagraph"/>
              <w:spacing w:line="240" w:lineRule="auto" w:before="102"/>
              <w:ind w:left="202" w:right="0"/>
              <w:jc w:val="center"/>
              <w:rPr>
                <w:rFonts w:ascii="Times New Roman" w:hAnsi="Times New Roman" w:cs="Times New Roman" w:eastAsia="Times New Roman" w:hint="default"/>
                <w:sz w:val="18"/>
                <w:szCs w:val="18"/>
              </w:rPr>
            </w:pPr>
            <w:r>
              <w:rPr>
                <w:rFonts w:ascii="Times New Roman"/>
                <w:sz w:val="18"/>
              </w:rPr>
              <w:t>03.00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3" w:right="0"/>
              <w:jc w:val="center"/>
              <w:rPr>
                <w:rFonts w:ascii="Times New Roman" w:hAnsi="Times New Roman" w:cs="Times New Roman" w:eastAsia="Times New Roman" w:hint="default"/>
                <w:sz w:val="18"/>
                <w:szCs w:val="18"/>
              </w:rPr>
            </w:pPr>
            <w:r>
              <w:rPr>
                <w:rFonts w:ascii="Times New Roman"/>
                <w:sz w:val="18"/>
              </w:rPr>
              <w:t>-35,502,</w:t>
            </w:r>
          </w:p>
          <w:p>
            <w:pPr>
              <w:pStyle w:val="TableParagraph"/>
              <w:spacing w:line="240" w:lineRule="auto" w:before="102"/>
              <w:ind w:left="118" w:right="0"/>
              <w:jc w:val="center"/>
              <w:rPr>
                <w:rFonts w:ascii="Times New Roman" w:hAnsi="Times New Roman" w:cs="Times New Roman" w:eastAsia="Times New Roman" w:hint="default"/>
                <w:sz w:val="18"/>
                <w:szCs w:val="18"/>
              </w:rPr>
            </w:pPr>
            <w:r>
              <w:rPr>
                <w:rFonts w:ascii="Times New Roman"/>
                <w:sz w:val="18"/>
              </w:rPr>
              <w:t>827.00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8" w:right="0"/>
              <w:jc w:val="left"/>
              <w:rPr>
                <w:rFonts w:ascii="Times New Roman" w:hAnsi="Times New Roman" w:cs="Times New Roman" w:eastAsia="Times New Roman" w:hint="default"/>
                <w:sz w:val="18"/>
                <w:szCs w:val="18"/>
              </w:rPr>
            </w:pPr>
            <w:r>
              <w:rPr>
                <w:rFonts w:ascii="Times New Roman"/>
                <w:sz w:val="18"/>
              </w:rPr>
              <w:t>259,801</w:t>
            </w:r>
          </w:p>
          <w:p>
            <w:pPr>
              <w:pStyle w:val="TableParagraph"/>
              <w:spacing w:line="240" w:lineRule="auto" w:before="102"/>
              <w:ind w:left="408" w:right="0"/>
              <w:jc w:val="left"/>
              <w:rPr>
                <w:rFonts w:ascii="Times New Roman" w:hAnsi="Times New Roman" w:cs="Times New Roman" w:eastAsia="Times New Roman" w:hint="default"/>
                <w:sz w:val="18"/>
                <w:szCs w:val="18"/>
              </w:rPr>
            </w:pPr>
            <w:r>
              <w:rPr>
                <w:rFonts w:ascii="Times New Roman"/>
                <w:sz w:val="18"/>
              </w:rPr>
              <w:t>.72</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6" w:right="0"/>
              <w:jc w:val="left"/>
              <w:rPr>
                <w:rFonts w:ascii="Times New Roman" w:hAnsi="Times New Roman" w:cs="Times New Roman" w:eastAsia="Times New Roman" w:hint="default"/>
                <w:sz w:val="18"/>
                <w:szCs w:val="18"/>
              </w:rPr>
            </w:pPr>
            <w:r>
              <w:rPr>
                <w:rFonts w:ascii="Times New Roman"/>
                <w:sz w:val="18"/>
              </w:rPr>
              <w:t>25,797,</w:t>
            </w:r>
          </w:p>
          <w:p>
            <w:pPr>
              <w:pStyle w:val="TableParagraph"/>
              <w:spacing w:line="240" w:lineRule="auto" w:before="102"/>
              <w:ind w:left="129" w:right="0"/>
              <w:jc w:val="left"/>
              <w:rPr>
                <w:rFonts w:ascii="Times New Roman" w:hAnsi="Times New Roman" w:cs="Times New Roman" w:eastAsia="Times New Roman" w:hint="default"/>
                <w:sz w:val="18"/>
                <w:szCs w:val="18"/>
              </w:rPr>
            </w:pPr>
            <w:r>
              <w:rPr>
                <w:rFonts w:ascii="Times New Roman"/>
                <w:sz w:val="18"/>
              </w:rPr>
              <w:t>525.72</w:t>
            </w:r>
          </w:p>
        </w:tc>
      </w:tr>
      <w:tr>
        <w:trPr>
          <w:trHeight w:val="713"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56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-286,0</w:t>
            </w:r>
          </w:p>
          <w:p>
            <w:pPr>
              <w:pStyle w:val="TableParagraph"/>
              <w:spacing w:line="240" w:lineRule="auto" w:before="105"/>
              <w:ind w:left="117" w:right="0"/>
              <w:jc w:val="left"/>
              <w:rPr>
                <w:rFonts w:ascii="Times New Roman" w:hAnsi="Times New Roman" w:cs="Times New Roman" w:eastAsia="Times New Roman" w:hint="default"/>
                <w:sz w:val="18"/>
                <w:szCs w:val="18"/>
              </w:rPr>
            </w:pPr>
            <w:r>
              <w:rPr>
                <w:rFonts w:ascii="Times New Roman"/>
                <w:sz w:val="18"/>
              </w:rPr>
              <w:t>00.00</w:t>
            </w: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-2,695,8</w:t>
            </w:r>
          </w:p>
          <w:p>
            <w:pPr>
              <w:pStyle w:val="TableParagraph"/>
              <w:spacing w:line="240" w:lineRule="auto" w:before="105"/>
              <w:ind w:left="202" w:right="0"/>
              <w:jc w:val="center"/>
              <w:rPr>
                <w:rFonts w:ascii="Times New Roman" w:hAnsi="Times New Roman" w:cs="Times New Roman" w:eastAsia="Times New Roman" w:hint="default"/>
                <w:sz w:val="18"/>
                <w:szCs w:val="18"/>
              </w:rPr>
            </w:pPr>
            <w:r>
              <w:rPr>
                <w:rFonts w:ascii="Times New Roman"/>
                <w:sz w:val="18"/>
              </w:rPr>
              <w:t>40.00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 w:right="0"/>
              <w:jc w:val="left"/>
              <w:rPr>
                <w:rFonts w:ascii="Times New Roman" w:hAnsi="Times New Roman" w:cs="Times New Roman" w:eastAsia="Times New Roman" w:hint="default"/>
                <w:sz w:val="18"/>
                <w:szCs w:val="18"/>
              </w:rPr>
            </w:pPr>
            <w:r>
              <w:rPr>
                <w:rFonts w:ascii="Times New Roman"/>
                <w:sz w:val="18"/>
              </w:rPr>
              <w:t>577,029</w:t>
            </w:r>
          </w:p>
          <w:p>
            <w:pPr>
              <w:pStyle w:val="TableParagraph"/>
              <w:spacing w:line="240" w:lineRule="auto" w:before="105"/>
              <w:ind w:left="408" w:right="0"/>
              <w:jc w:val="left"/>
              <w:rPr>
                <w:rFonts w:ascii="Times New Roman" w:hAnsi="Times New Roman" w:cs="Times New Roman" w:eastAsia="Times New Roman" w:hint="default"/>
                <w:sz w:val="18"/>
                <w:szCs w:val="18"/>
              </w:rPr>
            </w:pPr>
            <w:r>
              <w:rPr>
                <w:rFonts w:ascii="Times New Roman"/>
                <w:sz w:val="18"/>
              </w:rPr>
              <w:t>.55</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-2,404,8</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10.45</w:t>
            </w:r>
          </w:p>
        </w:tc>
      </w:tr>
      <w:tr>
        <w:trPr>
          <w:trHeight w:val="716"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2" w:type="dxa"/>
            <w:tcBorders>
              <w:top w:val="single" w:sz="4" w:space="0" w:color="000000"/>
              <w:left w:val="single" w:sz="10"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2" w:type="dxa"/>
            <w:tcBorders>
              <w:top w:val="single" w:sz="4" w:space="0" w:color="000000"/>
              <w:left w:val="single" w:sz="10"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-6,983,2</w:t>
            </w:r>
          </w:p>
          <w:p>
            <w:pPr>
              <w:pStyle w:val="TableParagraph"/>
              <w:spacing w:line="240" w:lineRule="auto" w:before="105"/>
              <w:ind w:left="202" w:right="0"/>
              <w:jc w:val="center"/>
              <w:rPr>
                <w:rFonts w:ascii="Times New Roman" w:hAnsi="Times New Roman" w:cs="Times New Roman" w:eastAsia="Times New Roman" w:hint="default"/>
                <w:sz w:val="18"/>
                <w:szCs w:val="18"/>
              </w:rPr>
            </w:pPr>
            <w:r>
              <w:rPr>
                <w:rFonts w:ascii="Times New Roman"/>
                <w:sz w:val="18"/>
              </w:rPr>
              <w:t>63.00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-35,502,</w:t>
            </w:r>
          </w:p>
          <w:p>
            <w:pPr>
              <w:pStyle w:val="TableParagraph"/>
              <w:spacing w:line="240" w:lineRule="auto" w:before="105"/>
              <w:ind w:left="118" w:right="0"/>
              <w:jc w:val="center"/>
              <w:rPr>
                <w:rFonts w:ascii="Times New Roman" w:hAnsi="Times New Roman" w:cs="Times New Roman" w:eastAsia="Times New Roman" w:hint="default"/>
                <w:sz w:val="18"/>
                <w:szCs w:val="18"/>
              </w:rPr>
            </w:pPr>
            <w:r>
              <w:rPr>
                <w:rFonts w:ascii="Times New Roman"/>
                <w:sz w:val="18"/>
              </w:rPr>
              <w:t>827.00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28,519,</w:t>
            </w:r>
          </w:p>
          <w:p>
            <w:pPr>
              <w:pStyle w:val="TableParagraph"/>
              <w:spacing w:line="240" w:lineRule="auto" w:before="105"/>
              <w:ind w:left="131" w:right="0"/>
              <w:jc w:val="left"/>
              <w:rPr>
                <w:rFonts w:ascii="Times New Roman" w:hAnsi="Times New Roman" w:cs="Times New Roman" w:eastAsia="Times New Roman" w:hint="default"/>
                <w:sz w:val="18"/>
                <w:szCs w:val="18"/>
              </w:rPr>
            </w:pPr>
            <w:r>
              <w:rPr>
                <w:rFonts w:ascii="Times New Roman"/>
                <w:sz w:val="18"/>
              </w:rPr>
              <w:t>564.00</w:t>
            </w:r>
          </w:p>
        </w:tc>
      </w:tr>
      <w:tr>
        <w:trPr>
          <w:trHeight w:val="163" w:hRule="exact"/>
        </w:trPr>
        <w:tc>
          <w:tcPr>
            <w:tcW w:w="1426"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10" w:space="0" w:color="D2D2D2"/>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531"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3"/>
              <w:ind w:left="79" w:right="0"/>
              <w:jc w:val="left"/>
              <w:rPr>
                <w:rFonts w:ascii="Times New Roman" w:hAnsi="Times New Roman" w:cs="Times New Roman" w:eastAsia="Times New Roman" w:hint="default"/>
                <w:sz w:val="18"/>
                <w:szCs w:val="18"/>
              </w:rPr>
            </w:pPr>
            <w:r>
              <w:rPr>
                <w:rFonts w:ascii="Times New Roman"/>
                <w:sz w:val="18"/>
              </w:rPr>
              <w:t>-317,22</w:t>
            </w:r>
          </w:p>
          <w:p>
            <w:pPr>
              <w:pStyle w:val="TableParagraph"/>
              <w:spacing w:line="240" w:lineRule="auto" w:before="102"/>
              <w:ind w:left="319" w:right="0"/>
              <w:jc w:val="left"/>
              <w:rPr>
                <w:rFonts w:ascii="Times New Roman" w:hAnsi="Times New Roman" w:cs="Times New Roman" w:eastAsia="Times New Roman" w:hint="default"/>
                <w:sz w:val="18"/>
                <w:szCs w:val="18"/>
              </w:rPr>
            </w:pPr>
            <w:r>
              <w:rPr>
                <w:rFonts w:ascii="Times New Roman"/>
                <w:sz w:val="18"/>
              </w:rPr>
              <w:t>7.83</w:t>
            </w:r>
          </w:p>
        </w:tc>
        <w:tc>
          <w:tcPr>
            <w:tcW w:w="660" w:type="dxa"/>
            <w:vMerge w:val="restart"/>
            <w:tcBorders>
              <w:top w:val="single" w:sz="4" w:space="0" w:color="000000"/>
              <w:left w:val="single" w:sz="4" w:space="0" w:color="000000"/>
              <w:right w:val="single" w:sz="4" w:space="0" w:color="000000"/>
            </w:tcBorders>
          </w:tcPr>
          <w:p>
            <w:pPr>
              <w:pStyle w:val="TableParagraph"/>
              <w:spacing w:line="240" w:lineRule="auto" w:before="93"/>
              <w:ind w:left="71" w:right="0"/>
              <w:jc w:val="left"/>
              <w:rPr>
                <w:rFonts w:ascii="Times New Roman" w:hAnsi="Times New Roman" w:cs="Times New Roman" w:eastAsia="Times New Roman" w:hint="default"/>
                <w:sz w:val="18"/>
                <w:szCs w:val="18"/>
              </w:rPr>
            </w:pPr>
            <w:r>
              <w:rPr>
                <w:rFonts w:ascii="Times New Roman"/>
                <w:sz w:val="18"/>
              </w:rPr>
              <w:t>-317,22</w:t>
            </w:r>
          </w:p>
          <w:p>
            <w:pPr>
              <w:pStyle w:val="TableParagraph"/>
              <w:spacing w:line="240" w:lineRule="auto" w:before="102"/>
              <w:ind w:left="311" w:right="0"/>
              <w:jc w:val="left"/>
              <w:rPr>
                <w:rFonts w:ascii="Times New Roman" w:hAnsi="Times New Roman" w:cs="Times New Roman" w:eastAsia="Times New Roman" w:hint="default"/>
                <w:sz w:val="18"/>
                <w:szCs w:val="18"/>
              </w:rPr>
            </w:pPr>
            <w:r>
              <w:rPr>
                <w:rFonts w:ascii="Times New Roman"/>
                <w:sz w:val="18"/>
              </w:rPr>
              <w:t>7.83</w:t>
            </w:r>
          </w:p>
        </w:tc>
      </w:tr>
      <w:tr>
        <w:trPr>
          <w:trHeight w:val="391" w:hRule="exact"/>
        </w:trPr>
        <w:tc>
          <w:tcPr>
            <w:tcW w:w="14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vMerge/>
            <w:tcBorders>
              <w:left w:val="single" w:sz="10"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0" w:type="dxa"/>
            <w:vMerge/>
            <w:tcBorders>
              <w:left w:val="single" w:sz="4" w:space="0" w:color="000000"/>
              <w:right w:val="single" w:sz="4" w:space="0" w:color="000000"/>
            </w:tcBorders>
          </w:tcPr>
          <w:p>
            <w:pPr/>
          </w:p>
        </w:tc>
      </w:tr>
      <w:tr>
        <w:trPr>
          <w:trHeight w:val="161" w:hRule="exact"/>
        </w:trPr>
        <w:tc>
          <w:tcPr>
            <w:tcW w:w="1426"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10"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0" w:type="dxa"/>
            <w:vMerge/>
            <w:tcBorders>
              <w:left w:val="single" w:sz="4" w:space="0" w:color="000000"/>
              <w:bottom w:val="single" w:sz="4" w:space="0" w:color="000000"/>
              <w:right w:val="single" w:sz="4" w:space="0" w:color="000000"/>
            </w:tcBorders>
          </w:tcPr>
          <w:p>
            <w:pPr/>
          </w:p>
        </w:tc>
      </w:tr>
      <w:tr>
        <w:trPr>
          <w:trHeight w:val="161" w:hRule="exact"/>
        </w:trPr>
        <w:tc>
          <w:tcPr>
            <w:tcW w:w="1426"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10" w:space="0" w:color="D2D2D2"/>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531"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11,964,</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907.10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-24,701,</w:t>
            </w:r>
          </w:p>
          <w:p>
            <w:pPr>
              <w:pStyle w:val="TableParagraph"/>
              <w:spacing w:line="240" w:lineRule="auto" w:before="105"/>
              <w:ind w:left="117" w:right="0"/>
              <w:jc w:val="center"/>
              <w:rPr>
                <w:rFonts w:ascii="Times New Roman" w:hAnsi="Times New Roman" w:cs="Times New Roman" w:eastAsia="Times New Roman" w:hint="default"/>
                <w:sz w:val="18"/>
                <w:szCs w:val="18"/>
              </w:rPr>
            </w:pPr>
            <w:r>
              <w:rPr>
                <w:rFonts w:ascii="Times New Roman"/>
                <w:sz w:val="18"/>
              </w:rPr>
              <w:t>418.91</w:t>
            </w:r>
          </w:p>
        </w:tc>
        <w:tc>
          <w:tcPr>
            <w:tcW w:w="665" w:type="dxa"/>
            <w:vMerge w:val="restart"/>
            <w:tcBorders>
              <w:top w:val="single" w:sz="4" w:space="0" w:color="000000"/>
              <w:left w:val="single" w:sz="4" w:space="0" w:color="000000"/>
              <w:right w:val="single" w:sz="4" w:space="0" w:color="000000"/>
            </w:tcBorders>
          </w:tcPr>
          <w:p>
            <w:pPr/>
          </w:p>
        </w:tc>
        <w:tc>
          <w:tcPr>
            <w:tcW w:w="660" w:type="dxa"/>
            <w:vMerge w:val="restart"/>
            <w:tcBorders>
              <w:top w:val="single" w:sz="4" w:space="0" w:color="000000"/>
              <w:left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-12,736,</w:t>
            </w:r>
          </w:p>
          <w:p>
            <w:pPr>
              <w:pStyle w:val="TableParagraph"/>
              <w:spacing w:line="240" w:lineRule="auto" w:before="105"/>
              <w:ind w:left="115" w:right="0"/>
              <w:jc w:val="center"/>
              <w:rPr>
                <w:rFonts w:ascii="Times New Roman" w:hAnsi="Times New Roman" w:cs="Times New Roman" w:eastAsia="Times New Roman" w:hint="default"/>
                <w:sz w:val="18"/>
                <w:szCs w:val="18"/>
              </w:rPr>
            </w:pPr>
            <w:r>
              <w:rPr>
                <w:rFonts w:ascii="Times New Roman"/>
                <w:sz w:val="18"/>
              </w:rPr>
              <w:t>511.81</w:t>
            </w:r>
          </w:p>
        </w:tc>
      </w:tr>
      <w:tr>
        <w:trPr>
          <w:trHeight w:val="391" w:hRule="exact"/>
        </w:trPr>
        <w:tc>
          <w:tcPr>
            <w:tcW w:w="14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2" w:type="dxa"/>
            <w:vMerge/>
            <w:tcBorders>
              <w:left w:val="single" w:sz="10"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0" w:type="dxa"/>
            <w:vMerge/>
            <w:tcBorders>
              <w:left w:val="single" w:sz="4" w:space="0" w:color="000000"/>
              <w:right w:val="single" w:sz="4" w:space="0" w:color="000000"/>
            </w:tcBorders>
          </w:tcPr>
          <w:p>
            <w:pPr/>
          </w:p>
        </w:tc>
      </w:tr>
      <w:tr>
        <w:trPr>
          <w:trHeight w:val="161" w:hRule="exact"/>
        </w:trPr>
        <w:tc>
          <w:tcPr>
            <w:tcW w:w="1426"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10"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0" w:type="dxa"/>
            <w:vMerge/>
            <w:tcBorders>
              <w:left w:val="single" w:sz="4" w:space="0" w:color="000000"/>
              <w:bottom w:val="single" w:sz="4" w:space="0" w:color="000000"/>
              <w:right w:val="single" w:sz="4" w:space="0" w:color="000000"/>
            </w:tcBorders>
          </w:tcPr>
          <w:p>
            <w:pPr/>
          </w:p>
        </w:tc>
      </w:tr>
      <w:tr>
        <w:trPr>
          <w:trHeight w:val="163" w:hRule="exact"/>
        </w:trPr>
        <w:tc>
          <w:tcPr>
            <w:tcW w:w="1426"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10" w:space="0" w:color="D2D2D2"/>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531"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3"/>
              <w:ind w:left="98" w:right="0"/>
              <w:jc w:val="left"/>
              <w:rPr>
                <w:rFonts w:ascii="Times New Roman" w:hAnsi="Times New Roman" w:cs="Times New Roman" w:eastAsia="Times New Roman" w:hint="default"/>
                <w:sz w:val="18"/>
                <w:szCs w:val="18"/>
              </w:rPr>
            </w:pPr>
            <w:r>
              <w:rPr>
                <w:rFonts w:ascii="Times New Roman"/>
                <w:sz w:val="18"/>
              </w:rPr>
              <w:t>11,964,</w:t>
            </w:r>
          </w:p>
          <w:p>
            <w:pPr>
              <w:pStyle w:val="TableParagraph"/>
              <w:spacing w:line="240" w:lineRule="auto" w:before="102"/>
              <w:ind w:left="136" w:right="0"/>
              <w:jc w:val="left"/>
              <w:rPr>
                <w:rFonts w:ascii="Times New Roman" w:hAnsi="Times New Roman" w:cs="Times New Roman" w:eastAsia="Times New Roman" w:hint="default"/>
                <w:sz w:val="18"/>
                <w:szCs w:val="18"/>
              </w:rPr>
            </w:pPr>
            <w:r>
              <w:rPr>
                <w:rFonts w:ascii="Times New Roman"/>
                <w:sz w:val="18"/>
              </w:rPr>
              <w:t>907.10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3"/>
              <w:ind w:left="40" w:right="0"/>
              <w:jc w:val="left"/>
              <w:rPr>
                <w:rFonts w:ascii="Times New Roman" w:hAnsi="Times New Roman" w:cs="Times New Roman" w:eastAsia="Times New Roman" w:hint="default"/>
                <w:sz w:val="18"/>
                <w:szCs w:val="18"/>
              </w:rPr>
            </w:pPr>
            <w:r>
              <w:rPr>
                <w:rFonts w:ascii="Times New Roman"/>
                <w:sz w:val="18"/>
              </w:rPr>
              <w:t>-11,964,</w:t>
            </w:r>
          </w:p>
          <w:p>
            <w:pPr>
              <w:pStyle w:val="TableParagraph"/>
              <w:spacing w:line="240" w:lineRule="auto" w:before="102"/>
              <w:ind w:left="139" w:right="0"/>
              <w:jc w:val="left"/>
              <w:rPr>
                <w:rFonts w:ascii="Times New Roman" w:hAnsi="Times New Roman" w:cs="Times New Roman" w:eastAsia="Times New Roman" w:hint="default"/>
                <w:sz w:val="18"/>
                <w:szCs w:val="18"/>
              </w:rPr>
            </w:pPr>
            <w:r>
              <w:rPr>
                <w:rFonts w:ascii="Times New Roman"/>
                <w:sz w:val="18"/>
              </w:rPr>
              <w:t>907.10</w:t>
            </w:r>
          </w:p>
        </w:tc>
        <w:tc>
          <w:tcPr>
            <w:tcW w:w="665" w:type="dxa"/>
            <w:vMerge w:val="restart"/>
            <w:tcBorders>
              <w:top w:val="single" w:sz="4" w:space="0" w:color="000000"/>
              <w:left w:val="single" w:sz="4" w:space="0" w:color="000000"/>
              <w:right w:val="single" w:sz="4" w:space="0" w:color="000000"/>
            </w:tcBorders>
          </w:tcPr>
          <w:p>
            <w:pPr/>
          </w:p>
        </w:tc>
        <w:tc>
          <w:tcPr>
            <w:tcW w:w="660" w:type="dxa"/>
            <w:vMerge w:val="restart"/>
            <w:tcBorders>
              <w:top w:val="single" w:sz="4" w:space="0" w:color="000000"/>
              <w:left w:val="single" w:sz="4" w:space="0" w:color="000000"/>
              <w:right w:val="single" w:sz="4" w:space="0" w:color="000000"/>
            </w:tcBorders>
          </w:tcPr>
          <w:p>
            <w:pPr/>
          </w:p>
        </w:tc>
      </w:tr>
      <w:tr>
        <w:trPr>
          <w:trHeight w:val="391" w:hRule="exact"/>
        </w:trPr>
        <w:tc>
          <w:tcPr>
            <w:tcW w:w="142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vMerge/>
            <w:tcBorders>
              <w:left w:val="single" w:sz="10" w:space="0" w:color="D2D2D2"/>
              <w:right w:val="single" w:sz="4" w:space="0" w:color="000000"/>
            </w:tcBorders>
          </w:tcPr>
          <w:p>
            <w:pPr/>
          </w:p>
        </w:tc>
        <w:tc>
          <w:tcPr>
            <w:tcW w:w="533"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0" w:type="dxa"/>
            <w:vMerge/>
            <w:tcBorders>
              <w:left w:val="single" w:sz="4" w:space="0" w:color="000000"/>
              <w:right w:val="single" w:sz="4" w:space="0" w:color="000000"/>
            </w:tcBorders>
          </w:tcPr>
          <w:p>
            <w:pPr/>
          </w:p>
        </w:tc>
      </w:tr>
      <w:tr>
        <w:trPr>
          <w:trHeight w:val="161" w:hRule="exact"/>
        </w:trPr>
        <w:tc>
          <w:tcPr>
            <w:tcW w:w="1426"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10" w:space="0" w:color="D2D2D2"/>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0" w:type="dxa"/>
            <w:vMerge/>
            <w:tcBorders>
              <w:left w:val="single" w:sz="4" w:space="0" w:color="000000"/>
              <w:bottom w:val="single" w:sz="4" w:space="0" w:color="000000"/>
              <w:right w:val="single" w:sz="4" w:space="0" w:color="000000"/>
            </w:tcBorders>
          </w:tcPr>
          <w:p>
            <w:pPr/>
          </w:p>
        </w:tc>
      </w:tr>
      <w:tr>
        <w:trPr>
          <w:trHeight w:val="716" w:hRule="exact"/>
        </w:trPr>
        <w:tc>
          <w:tcPr>
            <w:tcW w:w="14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2" w:type="dxa"/>
            <w:tcBorders>
              <w:top w:val="single" w:sz="4" w:space="0" w:color="000000"/>
              <w:left w:val="single" w:sz="10" w:space="0" w:color="D2D2D2"/>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34"/>
          <w:pgSz w:w="11910" w:h="16840"/>
          <w:pgMar w:footer="979" w:header="745"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3"/>
        <w:gridCol w:w="531"/>
        <w:gridCol w:w="530"/>
        <w:gridCol w:w="665"/>
        <w:gridCol w:w="665"/>
        <w:gridCol w:w="665"/>
        <w:gridCol w:w="665"/>
        <w:gridCol w:w="665"/>
        <w:gridCol w:w="665"/>
        <w:gridCol w:w="665"/>
        <w:gridCol w:w="665"/>
        <w:gridCol w:w="660"/>
      </w:tblGrid>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-12,736,</w:t>
            </w:r>
          </w:p>
          <w:p>
            <w:pPr>
              <w:pStyle w:val="TableParagraph"/>
              <w:spacing w:line="240" w:lineRule="auto" w:before="105"/>
              <w:ind w:left="124" w:right="0"/>
              <w:jc w:val="center"/>
              <w:rPr>
                <w:rFonts w:ascii="Times New Roman" w:hAnsi="Times New Roman" w:cs="Times New Roman" w:eastAsia="Times New Roman" w:hint="default"/>
                <w:sz w:val="18"/>
                <w:szCs w:val="18"/>
              </w:rPr>
            </w:pPr>
            <w:r>
              <w:rPr>
                <w:rFonts w:ascii="Times New Roman"/>
                <w:sz w:val="18"/>
              </w:rPr>
              <w:t>511.81</w:t>
            </w: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-12,736,</w:t>
            </w:r>
          </w:p>
          <w:p>
            <w:pPr>
              <w:pStyle w:val="TableParagraph"/>
              <w:spacing w:line="240" w:lineRule="auto" w:before="105"/>
              <w:ind w:left="115" w:right="0"/>
              <w:jc w:val="center"/>
              <w:rPr>
                <w:rFonts w:ascii="Times New Roman" w:hAnsi="Times New Roman" w:cs="Times New Roman" w:eastAsia="Times New Roman" w:hint="default"/>
                <w:sz w:val="18"/>
                <w:szCs w:val="18"/>
              </w:rPr>
            </w:pPr>
            <w:r>
              <w:rPr>
                <w:rFonts w:ascii="Times New Roman"/>
                <w:sz w:val="18"/>
              </w:rPr>
              <w:t>511.81</w:t>
            </w: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2"/>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295,133</w:t>
            </w:r>
          </w:p>
          <w:p>
            <w:pPr>
              <w:pStyle w:val="TableParagraph"/>
              <w:spacing w:line="240" w:lineRule="auto" w:before="102"/>
              <w:ind w:left="405" w:right="0"/>
              <w:jc w:val="left"/>
              <w:rPr>
                <w:rFonts w:ascii="Times New Roman" w:hAnsi="Times New Roman" w:cs="Times New Roman" w:eastAsia="Times New Roman" w:hint="default"/>
                <w:sz w:val="18"/>
                <w:szCs w:val="18"/>
              </w:rPr>
            </w:pPr>
            <w:r>
              <w:rPr>
                <w:rFonts w:ascii="Times New Roman"/>
                <w:sz w:val="18"/>
              </w:rPr>
              <w:t>.93</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2" w:right="0"/>
              <w:jc w:val="center"/>
              <w:rPr>
                <w:rFonts w:ascii="Times New Roman" w:hAnsi="Times New Roman" w:cs="Times New Roman" w:eastAsia="Times New Roman" w:hint="default"/>
                <w:sz w:val="18"/>
                <w:szCs w:val="18"/>
              </w:rPr>
            </w:pPr>
            <w:r>
              <w:rPr>
                <w:rFonts w:ascii="Times New Roman"/>
                <w:sz w:val="18"/>
              </w:rPr>
              <w:t>-1,315,1</w:t>
            </w:r>
          </w:p>
          <w:p>
            <w:pPr>
              <w:pStyle w:val="TableParagraph"/>
              <w:spacing w:line="240" w:lineRule="auto" w:before="105"/>
              <w:ind w:left="207" w:right="0"/>
              <w:jc w:val="center"/>
              <w:rPr>
                <w:rFonts w:ascii="Times New Roman" w:hAnsi="Times New Roman" w:cs="Times New Roman" w:eastAsia="Times New Roman" w:hint="default"/>
                <w:sz w:val="18"/>
                <w:szCs w:val="18"/>
              </w:rPr>
            </w:pPr>
            <w:r>
              <w:rPr>
                <w:rFonts w:ascii="Times New Roman"/>
                <w:sz w:val="18"/>
              </w:rPr>
              <w:t>33.93</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-1,020,0</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00.00</w:t>
            </w:r>
          </w:p>
        </w:tc>
      </w:tr>
      <w:tr>
        <w:trPr>
          <w:trHeight w:val="1027"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424,34</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0,905.</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959,426</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,639.37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40,103,</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798.00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88,226,</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696.38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739,220</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,638.21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2" w:right="0"/>
              <w:jc w:val="center"/>
              <w:rPr>
                <w:rFonts w:ascii="Times New Roman" w:hAnsi="Times New Roman" w:cs="Times New Roman" w:eastAsia="Times New Roman" w:hint="default"/>
                <w:sz w:val="18"/>
                <w:szCs w:val="18"/>
              </w:rPr>
            </w:pPr>
            <w:r>
              <w:rPr>
                <w:rFonts w:ascii="Times New Roman"/>
                <w:sz w:val="18"/>
              </w:rPr>
              <w:t>9,872,6</w:t>
            </w:r>
          </w:p>
          <w:p>
            <w:pPr>
              <w:pStyle w:val="TableParagraph"/>
              <w:spacing w:line="240" w:lineRule="auto" w:before="105"/>
              <w:ind w:left="207" w:right="0"/>
              <w:jc w:val="center"/>
              <w:rPr>
                <w:rFonts w:ascii="Times New Roman" w:hAnsi="Times New Roman" w:cs="Times New Roman" w:eastAsia="Times New Roman" w:hint="default"/>
                <w:sz w:val="18"/>
                <w:szCs w:val="18"/>
              </w:rPr>
            </w:pPr>
            <w:r>
              <w:rPr>
                <w:rFonts w:ascii="Times New Roman"/>
                <w:sz w:val="18"/>
              </w:rPr>
              <w:t>24.15</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2,180,9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83,705.</w:t>
            </w:r>
          </w:p>
          <w:p>
            <w:pPr>
              <w:pStyle w:val="TableParagraph"/>
              <w:spacing w:line="240" w:lineRule="auto" w:before="105"/>
              <w:ind w:right="26"/>
              <w:jc w:val="right"/>
              <w:rPr>
                <w:rFonts w:ascii="Times New Roman" w:hAnsi="Times New Roman" w:cs="Times New Roman" w:eastAsia="Times New Roman" w:hint="default"/>
                <w:sz w:val="18"/>
                <w:szCs w:val="18"/>
              </w:rPr>
            </w:pPr>
            <w:r>
              <w:rPr>
                <w:rFonts w:ascii="Times New Roman"/>
                <w:spacing w:val="-6"/>
                <w:w w:val="95"/>
                <w:sz w:val="18"/>
              </w:rPr>
              <w:t>11</w:t>
            </w:r>
            <w:r>
              <w:rPr>
                <w:rFonts w:ascii="Times New Roman"/>
                <w:w w:val="95"/>
                <w:sz w:val="18"/>
              </w:rPr>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5"/>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415"/>
        <w:gridCol w:w="572"/>
        <w:gridCol w:w="530"/>
        <w:gridCol w:w="531"/>
        <w:gridCol w:w="533"/>
        <w:gridCol w:w="662"/>
        <w:gridCol w:w="665"/>
        <w:gridCol w:w="668"/>
        <w:gridCol w:w="665"/>
        <w:gridCol w:w="662"/>
        <w:gridCol w:w="665"/>
        <w:gridCol w:w="680"/>
        <w:gridCol w:w="653"/>
        <w:gridCol w:w="658"/>
      </w:tblGrid>
      <w:tr>
        <w:trPr>
          <w:trHeight w:val="401" w:hRule="exact"/>
        </w:trPr>
        <w:tc>
          <w:tcPr>
            <w:tcW w:w="1415" w:type="dxa"/>
            <w:vMerge w:val="restart"/>
            <w:tcBorders>
              <w:top w:val="single" w:sz="4" w:space="0" w:color="000000"/>
              <w:left w:val="single" w:sz="4" w:space="0" w:color="000000"/>
              <w:right w:val="single" w:sz="4" w:space="0" w:color="000000"/>
            </w:tcBorders>
            <w:shd w:val="clear" w:color="auto" w:fill="D2D2D2"/>
          </w:tcPr>
          <w:p>
            <w:pPr/>
          </w:p>
        </w:tc>
        <w:tc>
          <w:tcPr>
            <w:tcW w:w="8144"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53" w:hRule="exact"/>
        </w:trPr>
        <w:tc>
          <w:tcPr>
            <w:tcW w:w="1415" w:type="dxa"/>
            <w:vMerge/>
            <w:tcBorders>
              <w:left w:val="single" w:sz="4" w:space="0" w:color="000000"/>
              <w:right w:val="single" w:sz="4" w:space="0" w:color="000000"/>
            </w:tcBorders>
            <w:shd w:val="clear" w:color="auto" w:fill="D2D2D2"/>
          </w:tcPr>
          <w:p>
            <w:pPr/>
          </w:p>
        </w:tc>
        <w:tc>
          <w:tcPr>
            <w:tcW w:w="6833"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53" w:type="dxa"/>
            <w:vMerge w:val="restart"/>
            <w:tcBorders>
              <w:top w:val="single" w:sz="4" w:space="0" w:color="000000"/>
              <w:left w:val="single" w:sz="4" w:space="0" w:color="000000"/>
              <w:right w:val="single" w:sz="4" w:space="0" w:color="000000"/>
            </w:tcBorders>
            <w:shd w:val="clear" w:color="auto" w:fill="D2D2D2"/>
          </w:tcPr>
          <w:p>
            <w:pPr/>
          </w:p>
        </w:tc>
        <w:tc>
          <w:tcPr>
            <w:tcW w:w="65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415" w:type="dxa"/>
            <w:vMerge/>
            <w:tcBorders>
              <w:left w:val="single" w:sz="4" w:space="0" w:color="000000"/>
              <w:bottom w:val="nil" w:sz="6" w:space="0" w:color="auto"/>
              <w:right w:val="single" w:sz="4" w:space="0" w:color="000000"/>
            </w:tcBorders>
            <w:shd w:val="clear" w:color="auto" w:fill="D2D2D2"/>
          </w:tcPr>
          <w:p>
            <w:pPr/>
          </w:p>
        </w:tc>
        <w:tc>
          <w:tcPr>
            <w:tcW w:w="6833" w:type="dxa"/>
            <w:gridSpan w:val="11"/>
            <w:vMerge/>
            <w:tcBorders>
              <w:left w:val="single" w:sz="4" w:space="0" w:color="000000"/>
              <w:bottom w:val="single" w:sz="4" w:space="0" w:color="000000"/>
              <w:right w:val="single" w:sz="4" w:space="0" w:color="000000"/>
            </w:tcBorders>
            <w:shd w:val="clear" w:color="auto" w:fill="D2D2D2"/>
          </w:tcPr>
          <w:p>
            <w:pPr/>
          </w:p>
        </w:tc>
        <w:tc>
          <w:tcPr>
            <w:tcW w:w="653" w:type="dxa"/>
            <w:vMerge/>
            <w:tcBorders>
              <w:left w:val="single" w:sz="4" w:space="0" w:color="000000"/>
              <w:bottom w:val="nil" w:sz="6" w:space="0" w:color="auto"/>
              <w:right w:val="single" w:sz="4" w:space="0" w:color="000000"/>
            </w:tcBorders>
            <w:shd w:val="clear" w:color="auto" w:fill="D2D2D2"/>
          </w:tcPr>
          <w:p>
            <w:pPr/>
          </w:p>
        </w:tc>
        <w:tc>
          <w:tcPr>
            <w:tcW w:w="65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49"/>
              <w:ind w:left="55" w:right="50"/>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41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572" w:type="dxa"/>
            <w:vMerge w:val="restart"/>
            <w:tcBorders>
              <w:top w:val="single" w:sz="4" w:space="0" w:color="000000"/>
              <w:left w:val="single" w:sz="4" w:space="0" w:color="000000"/>
              <w:right w:val="single" w:sz="4" w:space="0" w:color="000000"/>
            </w:tcBorders>
            <w:shd w:val="clear" w:color="auto" w:fill="D2D2D2"/>
          </w:tcPr>
          <w:p>
            <w:pPr/>
          </w:p>
        </w:tc>
        <w:tc>
          <w:tcPr>
            <w:tcW w:w="1594"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2"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8"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2"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80" w:type="dxa"/>
            <w:tcBorders>
              <w:top w:val="single" w:sz="4" w:space="0" w:color="000000"/>
              <w:left w:val="single" w:sz="4" w:space="0" w:color="000000"/>
              <w:bottom w:val="nil" w:sz="6" w:space="0" w:color="auto"/>
              <w:right w:val="single" w:sz="4" w:space="0" w:color="000000"/>
            </w:tcBorders>
            <w:shd w:val="clear" w:color="auto" w:fill="D2D2D2"/>
          </w:tcPr>
          <w:p>
            <w:pPr/>
          </w:p>
        </w:tc>
        <w:tc>
          <w:tcPr>
            <w:tcW w:w="653"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53"/>
              <w:ind w:left="50" w:right="50"/>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8" w:type="dxa"/>
            <w:vMerge/>
            <w:tcBorders>
              <w:left w:val="single" w:sz="4" w:space="0" w:color="000000"/>
              <w:right w:val="single" w:sz="4" w:space="0" w:color="000000"/>
            </w:tcBorders>
            <w:shd w:val="clear" w:color="auto" w:fill="D2D2D2"/>
          </w:tcPr>
          <w:p>
            <w:pPr/>
          </w:p>
        </w:tc>
      </w:tr>
      <w:tr>
        <w:trPr>
          <w:trHeight w:val="172" w:hRule="exact"/>
        </w:trPr>
        <w:tc>
          <w:tcPr>
            <w:tcW w:w="1415" w:type="dxa"/>
            <w:vMerge/>
            <w:tcBorders>
              <w:left w:val="single" w:sz="4" w:space="0" w:color="000000"/>
              <w:bottom w:val="nil" w:sz="6" w:space="0" w:color="auto"/>
              <w:right w:val="single" w:sz="4" w:space="0" w:color="000000"/>
            </w:tcBorders>
            <w:shd w:val="clear" w:color="auto" w:fill="D2D2D2"/>
          </w:tcPr>
          <w:p>
            <w:pPr/>
          </w:p>
        </w:tc>
        <w:tc>
          <w:tcPr>
            <w:tcW w:w="572" w:type="dxa"/>
            <w:vMerge/>
            <w:tcBorders>
              <w:left w:val="single" w:sz="4" w:space="0" w:color="000000"/>
              <w:bottom w:val="nil" w:sz="6" w:space="0" w:color="auto"/>
              <w:right w:val="single" w:sz="4" w:space="0" w:color="000000"/>
            </w:tcBorders>
            <w:shd w:val="clear" w:color="auto" w:fill="D2D2D2"/>
          </w:tcPr>
          <w:p>
            <w:pPr/>
          </w:p>
        </w:tc>
        <w:tc>
          <w:tcPr>
            <w:tcW w:w="1594" w:type="dxa"/>
            <w:gridSpan w:val="3"/>
            <w:vMerge/>
            <w:tcBorders>
              <w:left w:val="single" w:sz="4" w:space="0" w:color="000000"/>
              <w:bottom w:val="single" w:sz="4" w:space="0" w:color="000000"/>
              <w:right w:val="single" w:sz="4" w:space="0" w:color="000000"/>
            </w:tcBorders>
            <w:shd w:val="clear" w:color="auto" w:fill="D2D2D2"/>
          </w:tcPr>
          <w:p>
            <w:pPr/>
          </w:p>
        </w:tc>
        <w:tc>
          <w:tcPr>
            <w:tcW w:w="662"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237" w:right="53"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148" w:right="55" w:hanging="92"/>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8"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59" w:right="57"/>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237" w:right="55"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2"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237" w:right="53"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57" w:right="55"/>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80" w:type="dxa"/>
            <w:vMerge w:val="restart"/>
            <w:tcBorders>
              <w:top w:val="nil" w:sz="6" w:space="0" w:color="auto"/>
              <w:left w:val="single" w:sz="4" w:space="0" w:color="000000"/>
              <w:right w:val="single" w:sz="4" w:space="0" w:color="000000"/>
            </w:tcBorders>
            <w:shd w:val="clear" w:color="auto" w:fill="D2D2D2"/>
          </w:tcPr>
          <w:p>
            <w:pPr>
              <w:pStyle w:val="TableParagraph"/>
              <w:spacing w:line="314" w:lineRule="auto" w:before="49"/>
              <w:ind w:left="153" w:right="63" w:hanging="89"/>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53" w:type="dxa"/>
            <w:vMerge/>
            <w:tcBorders>
              <w:left w:val="single" w:sz="4" w:space="0" w:color="000000"/>
              <w:right w:val="single" w:sz="4" w:space="0" w:color="000000"/>
            </w:tcBorders>
            <w:shd w:val="clear" w:color="auto" w:fill="D2D2D2"/>
          </w:tcPr>
          <w:p>
            <w:pPr/>
          </w:p>
        </w:tc>
        <w:tc>
          <w:tcPr>
            <w:tcW w:w="658" w:type="dxa"/>
            <w:vMerge/>
            <w:tcBorders>
              <w:left w:val="single" w:sz="4" w:space="0" w:color="000000"/>
              <w:right w:val="single" w:sz="4" w:space="0" w:color="000000"/>
            </w:tcBorders>
            <w:shd w:val="clear" w:color="auto" w:fill="D2D2D2"/>
          </w:tcPr>
          <w:p>
            <w:pPr/>
          </w:p>
        </w:tc>
      </w:tr>
      <w:tr>
        <w:trPr>
          <w:trHeight w:val="184" w:hRule="exact"/>
        </w:trPr>
        <w:tc>
          <w:tcPr>
            <w:tcW w:w="1415" w:type="dxa"/>
            <w:vMerge w:val="restart"/>
            <w:tcBorders>
              <w:top w:val="nil" w:sz="6" w:space="0" w:color="auto"/>
              <w:left w:val="single" w:sz="4" w:space="0" w:color="000000"/>
              <w:right w:val="single" w:sz="4" w:space="0" w:color="000000"/>
            </w:tcBorders>
            <w:shd w:val="clear" w:color="auto" w:fill="D2D2D2"/>
          </w:tcPr>
          <w:p>
            <w:pPr/>
          </w:p>
        </w:tc>
        <w:tc>
          <w:tcPr>
            <w:tcW w:w="57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3"/>
              <w:ind w:left="106"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1"/>
              <w:ind w:left="170" w:right="77" w:hanging="89"/>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1"/>
              <w:ind w:left="171" w:right="77"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3" w:type="dxa"/>
            <w:tcBorders>
              <w:top w:val="single" w:sz="4" w:space="0" w:color="000000"/>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8"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80" w:type="dxa"/>
            <w:vMerge/>
            <w:tcBorders>
              <w:left w:val="single" w:sz="4" w:space="0" w:color="000000"/>
              <w:right w:val="single" w:sz="4" w:space="0" w:color="000000"/>
            </w:tcBorders>
            <w:shd w:val="clear" w:color="auto" w:fill="D2D2D2"/>
          </w:tcPr>
          <w:p>
            <w:pPr/>
          </w:p>
        </w:tc>
        <w:tc>
          <w:tcPr>
            <w:tcW w:w="653" w:type="dxa"/>
            <w:vMerge/>
            <w:tcBorders>
              <w:left w:val="single" w:sz="4" w:space="0" w:color="000000"/>
              <w:right w:val="single" w:sz="4" w:space="0" w:color="000000"/>
            </w:tcBorders>
            <w:shd w:val="clear" w:color="auto" w:fill="D2D2D2"/>
          </w:tcPr>
          <w:p>
            <w:pPr/>
          </w:p>
        </w:tc>
        <w:tc>
          <w:tcPr>
            <w:tcW w:w="658" w:type="dxa"/>
            <w:vMerge/>
            <w:tcBorders>
              <w:left w:val="single" w:sz="4" w:space="0" w:color="000000"/>
              <w:right w:val="single" w:sz="4" w:space="0" w:color="000000"/>
            </w:tcBorders>
            <w:shd w:val="clear" w:color="auto" w:fill="D2D2D2"/>
          </w:tcPr>
          <w:p>
            <w:pPr/>
          </w:p>
        </w:tc>
      </w:tr>
      <w:tr>
        <w:trPr>
          <w:trHeight w:val="169" w:hRule="exact"/>
        </w:trPr>
        <w:tc>
          <w:tcPr>
            <w:tcW w:w="1415" w:type="dxa"/>
            <w:vMerge/>
            <w:tcBorders>
              <w:left w:val="single" w:sz="4" w:space="0" w:color="000000"/>
              <w:right w:val="single" w:sz="4" w:space="0" w:color="000000"/>
            </w:tcBorders>
            <w:shd w:val="clear" w:color="auto" w:fill="D2D2D2"/>
          </w:tcPr>
          <w:p>
            <w:pPr/>
          </w:p>
        </w:tc>
        <w:tc>
          <w:tcPr>
            <w:tcW w:w="572" w:type="dxa"/>
            <w:vMerge/>
            <w:tcBorders>
              <w:left w:val="single" w:sz="4" w:space="0" w:color="000000"/>
              <w:bottom w:val="nil" w:sz="6" w:space="0" w:color="auto"/>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1" w:type="dxa"/>
            <w:vMerge/>
            <w:tcBorders>
              <w:left w:val="single" w:sz="4" w:space="0" w:color="000000"/>
              <w:right w:val="single" w:sz="4" w:space="0" w:color="000000"/>
            </w:tcBorders>
            <w:shd w:val="clear" w:color="auto" w:fill="D2D2D2"/>
          </w:tcPr>
          <w:p>
            <w:pPr/>
          </w:p>
        </w:tc>
        <w:tc>
          <w:tcPr>
            <w:tcW w:w="53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8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2"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8"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2"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80" w:type="dxa"/>
            <w:vMerge/>
            <w:tcBorders>
              <w:left w:val="single" w:sz="4" w:space="0" w:color="000000"/>
              <w:right w:val="single" w:sz="4" w:space="0" w:color="000000"/>
            </w:tcBorders>
            <w:shd w:val="clear" w:color="auto" w:fill="D2D2D2"/>
          </w:tcPr>
          <w:p>
            <w:pPr/>
          </w:p>
        </w:tc>
        <w:tc>
          <w:tcPr>
            <w:tcW w:w="653" w:type="dxa"/>
            <w:vMerge/>
            <w:tcBorders>
              <w:left w:val="single" w:sz="4" w:space="0" w:color="000000"/>
              <w:bottom w:val="nil" w:sz="6" w:space="0" w:color="auto"/>
              <w:right w:val="single" w:sz="4" w:space="0" w:color="000000"/>
            </w:tcBorders>
            <w:shd w:val="clear" w:color="auto" w:fill="D2D2D2"/>
          </w:tcPr>
          <w:p>
            <w:pPr/>
          </w:p>
        </w:tc>
        <w:tc>
          <w:tcPr>
            <w:tcW w:w="658" w:type="dxa"/>
            <w:vMerge/>
            <w:tcBorders>
              <w:left w:val="single" w:sz="4" w:space="0" w:color="000000"/>
              <w:right w:val="single" w:sz="4" w:space="0" w:color="000000"/>
            </w:tcBorders>
            <w:shd w:val="clear" w:color="auto" w:fill="D2D2D2"/>
          </w:tcPr>
          <w:p>
            <w:pPr/>
          </w:p>
        </w:tc>
      </w:tr>
      <w:tr>
        <w:trPr>
          <w:trHeight w:val="156" w:hRule="exact"/>
        </w:trPr>
        <w:tc>
          <w:tcPr>
            <w:tcW w:w="1415" w:type="dxa"/>
            <w:vMerge/>
            <w:tcBorders>
              <w:left w:val="single" w:sz="4" w:space="0" w:color="000000"/>
              <w:right w:val="single" w:sz="4" w:space="0" w:color="000000"/>
            </w:tcBorders>
            <w:shd w:val="clear" w:color="auto" w:fill="D2D2D2"/>
          </w:tcPr>
          <w:p>
            <w:pPr/>
          </w:p>
        </w:tc>
        <w:tc>
          <w:tcPr>
            <w:tcW w:w="572" w:type="dxa"/>
            <w:vMerge w:val="restart"/>
            <w:tcBorders>
              <w:top w:val="nil" w:sz="6" w:space="0" w:color="auto"/>
              <w:left w:val="single" w:sz="4" w:space="0" w:color="000000"/>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1" w:type="dxa"/>
            <w:vMerge/>
            <w:tcBorders>
              <w:left w:val="single" w:sz="4" w:space="0" w:color="000000"/>
              <w:right w:val="single" w:sz="4" w:space="0" w:color="000000"/>
            </w:tcBorders>
            <w:shd w:val="clear" w:color="auto" w:fill="D2D2D2"/>
          </w:tcPr>
          <w:p>
            <w:pPr/>
          </w:p>
        </w:tc>
        <w:tc>
          <w:tcPr>
            <w:tcW w:w="533" w:type="dxa"/>
            <w:vMerge/>
            <w:tcBorders>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8"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2"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80" w:type="dxa"/>
            <w:vMerge/>
            <w:tcBorders>
              <w:left w:val="single" w:sz="4" w:space="0" w:color="000000"/>
              <w:bottom w:val="nil" w:sz="6" w:space="0" w:color="auto"/>
              <w:right w:val="single" w:sz="4" w:space="0" w:color="000000"/>
            </w:tcBorders>
            <w:shd w:val="clear" w:color="auto" w:fill="D2D2D2"/>
          </w:tcPr>
          <w:p>
            <w:pPr/>
          </w:p>
        </w:tc>
        <w:tc>
          <w:tcPr>
            <w:tcW w:w="653" w:type="dxa"/>
            <w:vMerge w:val="restart"/>
            <w:tcBorders>
              <w:top w:val="nil" w:sz="6" w:space="0" w:color="auto"/>
              <w:left w:val="single" w:sz="4" w:space="0" w:color="000000"/>
              <w:right w:val="single" w:sz="4" w:space="0" w:color="000000"/>
            </w:tcBorders>
            <w:shd w:val="clear" w:color="auto" w:fill="D2D2D2"/>
          </w:tcPr>
          <w:p>
            <w:pPr/>
          </w:p>
        </w:tc>
        <w:tc>
          <w:tcPr>
            <w:tcW w:w="658" w:type="dxa"/>
            <w:vMerge/>
            <w:tcBorders>
              <w:left w:val="single" w:sz="4" w:space="0" w:color="000000"/>
              <w:bottom w:val="nil" w:sz="6" w:space="0" w:color="auto"/>
              <w:right w:val="single" w:sz="4" w:space="0" w:color="000000"/>
            </w:tcBorders>
            <w:shd w:val="clear" w:color="auto" w:fill="D2D2D2"/>
          </w:tcPr>
          <w:p>
            <w:pPr/>
          </w:p>
        </w:tc>
      </w:tr>
      <w:tr>
        <w:trPr>
          <w:trHeight w:val="229" w:hRule="exact"/>
        </w:trPr>
        <w:tc>
          <w:tcPr>
            <w:tcW w:w="1415" w:type="dxa"/>
            <w:vMerge/>
            <w:tcBorders>
              <w:left w:val="single" w:sz="4" w:space="0" w:color="000000"/>
              <w:bottom w:val="single" w:sz="4" w:space="0" w:color="000000"/>
              <w:right w:val="single" w:sz="4" w:space="0" w:color="000000"/>
            </w:tcBorders>
            <w:shd w:val="clear" w:color="auto" w:fill="D2D2D2"/>
          </w:tcPr>
          <w:p>
            <w:pPr/>
          </w:p>
        </w:tc>
        <w:tc>
          <w:tcPr>
            <w:tcW w:w="572" w:type="dxa"/>
            <w:vMerge/>
            <w:tcBorders>
              <w:left w:val="single" w:sz="4" w:space="0" w:color="000000"/>
              <w:bottom w:val="single" w:sz="4" w:space="0" w:color="000000"/>
              <w:right w:val="single" w:sz="4" w:space="0" w:color="000000"/>
            </w:tcBorders>
            <w:shd w:val="clear" w:color="auto" w:fill="D2D2D2"/>
          </w:tcPr>
          <w:p>
            <w:pPr/>
          </w:p>
        </w:tc>
        <w:tc>
          <w:tcPr>
            <w:tcW w:w="530" w:type="dxa"/>
            <w:vMerge/>
            <w:tcBorders>
              <w:left w:val="single" w:sz="4" w:space="0" w:color="000000"/>
              <w:bottom w:val="single" w:sz="4" w:space="0" w:color="000000"/>
              <w:right w:val="single" w:sz="4" w:space="0" w:color="000000"/>
            </w:tcBorders>
            <w:shd w:val="clear" w:color="auto" w:fill="D2D2D2"/>
          </w:tcPr>
          <w:p>
            <w:pPr/>
          </w:p>
        </w:tc>
        <w:tc>
          <w:tcPr>
            <w:tcW w:w="531" w:type="dxa"/>
            <w:vMerge/>
            <w:tcBorders>
              <w:left w:val="single" w:sz="4" w:space="0" w:color="000000"/>
              <w:bottom w:val="single" w:sz="4" w:space="0" w:color="000000"/>
              <w:right w:val="single" w:sz="4" w:space="0" w:color="000000"/>
            </w:tcBorders>
            <w:shd w:val="clear" w:color="auto" w:fill="D2D2D2"/>
          </w:tcPr>
          <w:p>
            <w:pPr/>
          </w:p>
        </w:tc>
        <w:tc>
          <w:tcPr>
            <w:tcW w:w="533" w:type="dxa"/>
            <w:tcBorders>
              <w:top w:val="nil" w:sz="6" w:space="0" w:color="auto"/>
              <w:left w:val="single" w:sz="4" w:space="0" w:color="000000"/>
              <w:bottom w:val="single" w:sz="4" w:space="0" w:color="000000"/>
              <w:right w:val="single" w:sz="4" w:space="0" w:color="000000"/>
            </w:tcBorders>
            <w:shd w:val="clear" w:color="auto" w:fill="D2D2D2"/>
          </w:tcPr>
          <w:p>
            <w:pPr/>
          </w:p>
        </w:tc>
        <w:tc>
          <w:tcPr>
            <w:tcW w:w="662"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8"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2"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80" w:type="dxa"/>
            <w:tcBorders>
              <w:top w:val="nil" w:sz="6" w:space="0" w:color="auto"/>
              <w:left w:val="single" w:sz="4" w:space="0" w:color="000000"/>
              <w:bottom w:val="single" w:sz="4" w:space="0" w:color="000000"/>
              <w:right w:val="single" w:sz="4" w:space="0" w:color="000000"/>
            </w:tcBorders>
            <w:shd w:val="clear" w:color="auto" w:fill="D2D2D2"/>
          </w:tcPr>
          <w:p>
            <w:pPr/>
          </w:p>
        </w:tc>
        <w:tc>
          <w:tcPr>
            <w:tcW w:w="653" w:type="dxa"/>
            <w:vMerge/>
            <w:tcBorders>
              <w:left w:val="single" w:sz="4" w:space="0" w:color="000000"/>
              <w:bottom w:val="single" w:sz="4" w:space="0" w:color="000000"/>
              <w:right w:val="single" w:sz="4" w:space="0" w:color="000000"/>
            </w:tcBorders>
            <w:shd w:val="clear" w:color="auto" w:fill="D2D2D2"/>
          </w:tcPr>
          <w:p>
            <w:pPr/>
          </w:p>
        </w:tc>
        <w:tc>
          <w:tcPr>
            <w:tcW w:w="65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2" w:type="dxa"/>
            <w:vMerge w:val="restart"/>
            <w:tcBorders>
              <w:top w:val="single" w:sz="4" w:space="0" w:color="000000"/>
              <w:left w:val="single" w:sz="9" w:space="0" w:color="D2D2D2"/>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395,48</w:t>
            </w:r>
          </w:p>
          <w:p>
            <w:pPr>
              <w:pStyle w:val="TableParagraph"/>
              <w:spacing w:line="240" w:lineRule="auto" w:before="102"/>
              <w:ind w:left="83" w:right="0"/>
              <w:jc w:val="left"/>
              <w:rPr>
                <w:rFonts w:ascii="Times New Roman" w:hAnsi="Times New Roman" w:cs="Times New Roman" w:eastAsia="Times New Roman" w:hint="default"/>
                <w:sz w:val="18"/>
                <w:szCs w:val="18"/>
              </w:rPr>
            </w:pPr>
            <w:r>
              <w:rPr>
                <w:rFonts w:ascii="Times New Roman"/>
                <w:sz w:val="18"/>
              </w:rPr>
              <w:t>7,010.</w:t>
            </w:r>
          </w:p>
          <w:p>
            <w:pPr>
              <w:pStyle w:val="TableParagraph"/>
              <w:spacing w:line="240" w:lineRule="auto" w:before="105"/>
              <w:ind w:left="355" w:right="0"/>
              <w:jc w:val="left"/>
              <w:rPr>
                <w:rFonts w:ascii="Times New Roman" w:hAnsi="Times New Roman" w:cs="Times New Roman" w:eastAsia="Times New Roman" w:hint="default"/>
                <w:sz w:val="18"/>
                <w:szCs w:val="18"/>
              </w:rPr>
            </w:pPr>
            <w:r>
              <w:rPr>
                <w:rFonts w:ascii="Times New Roman"/>
                <w:sz w:val="18"/>
              </w:rPr>
              <w:t>00</w:t>
            </w:r>
          </w:p>
        </w:tc>
        <w:tc>
          <w:tcPr>
            <w:tcW w:w="530" w:type="dxa"/>
            <w:vMerge w:val="restart"/>
            <w:tcBorders>
              <w:top w:val="single" w:sz="4" w:space="0" w:color="000000"/>
              <w:left w:val="single" w:sz="4" w:space="0" w:color="000000"/>
              <w:right w:val="single" w:sz="4" w:space="0" w:color="000000"/>
            </w:tcBorders>
          </w:tcPr>
          <w:p>
            <w:pPr/>
          </w:p>
        </w:tc>
        <w:tc>
          <w:tcPr>
            <w:tcW w:w="531" w:type="dxa"/>
            <w:vMerge w:val="restart"/>
            <w:tcBorders>
              <w:top w:val="single" w:sz="4" w:space="0" w:color="000000"/>
              <w:left w:val="single" w:sz="4" w:space="0" w:color="000000"/>
              <w:right w:val="single" w:sz="4" w:space="0" w:color="000000"/>
            </w:tcBorders>
          </w:tcPr>
          <w:p>
            <w:pPr/>
          </w:p>
        </w:tc>
        <w:tc>
          <w:tcPr>
            <w:tcW w:w="533"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540,953</w:t>
            </w:r>
          </w:p>
          <w:p>
            <w:pPr>
              <w:pStyle w:val="TableParagraph"/>
              <w:spacing w:line="240" w:lineRule="auto" w:before="102"/>
              <w:ind w:left="91" w:right="0"/>
              <w:jc w:val="left"/>
              <w:rPr>
                <w:rFonts w:ascii="Times New Roman" w:hAnsi="Times New Roman" w:cs="Times New Roman" w:eastAsia="Times New Roman" w:hint="default"/>
                <w:sz w:val="18"/>
                <w:szCs w:val="18"/>
              </w:rPr>
            </w:pPr>
            <w:r>
              <w:rPr>
                <w:rFonts w:ascii="Times New Roman"/>
                <w:sz w:val="18"/>
              </w:rPr>
              <w:t>,492.83</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104,720</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,400.00</w:t>
            </w:r>
          </w:p>
        </w:tc>
        <w:tc>
          <w:tcPr>
            <w:tcW w:w="668"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63,424,</w:t>
            </w:r>
          </w:p>
          <w:p>
            <w:pPr>
              <w:pStyle w:val="TableParagraph"/>
              <w:spacing w:line="240" w:lineRule="auto" w:before="102"/>
              <w:ind w:left="136" w:right="0"/>
              <w:jc w:val="left"/>
              <w:rPr>
                <w:rFonts w:ascii="Times New Roman" w:hAnsi="Times New Roman" w:cs="Times New Roman" w:eastAsia="Times New Roman" w:hint="default"/>
                <w:sz w:val="18"/>
                <w:szCs w:val="18"/>
              </w:rPr>
            </w:pPr>
            <w:r>
              <w:rPr>
                <w:rFonts w:ascii="Times New Roman"/>
                <w:sz w:val="18"/>
              </w:rPr>
              <w:t>623.62</w:t>
            </w:r>
          </w:p>
        </w:tc>
        <w:tc>
          <w:tcPr>
            <w:tcW w:w="665" w:type="dxa"/>
            <w:vMerge w:val="restart"/>
            <w:tcBorders>
              <w:top w:val="single" w:sz="4" w:space="0" w:color="000000"/>
              <w:left w:val="single" w:sz="4" w:space="0" w:color="000000"/>
              <w:right w:val="single" w:sz="4" w:space="0" w:color="000000"/>
            </w:tcBorders>
          </w:tcPr>
          <w:p>
            <w:pPr/>
          </w:p>
        </w:tc>
        <w:tc>
          <w:tcPr>
            <w:tcW w:w="68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501,844</w:t>
            </w:r>
          </w:p>
          <w:p>
            <w:pPr>
              <w:pStyle w:val="TableParagraph"/>
              <w:spacing w:line="240" w:lineRule="auto" w:before="102"/>
              <w:ind w:left="105" w:right="0"/>
              <w:jc w:val="left"/>
              <w:rPr>
                <w:rFonts w:ascii="Times New Roman" w:hAnsi="Times New Roman" w:cs="Times New Roman" w:eastAsia="Times New Roman" w:hint="default"/>
                <w:sz w:val="18"/>
                <w:szCs w:val="18"/>
              </w:rPr>
            </w:pPr>
            <w:r>
              <w:rPr>
                <w:rFonts w:ascii="Times New Roman"/>
                <w:sz w:val="18"/>
              </w:rPr>
              <w:t>,043.18</w:t>
            </w:r>
          </w:p>
        </w:tc>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48,949,</w:t>
            </w:r>
          </w:p>
          <w:p>
            <w:pPr>
              <w:pStyle w:val="TableParagraph"/>
              <w:spacing w:line="240" w:lineRule="auto" w:before="102"/>
              <w:ind w:left="124" w:right="0"/>
              <w:jc w:val="left"/>
              <w:rPr>
                <w:rFonts w:ascii="Times New Roman" w:hAnsi="Times New Roman" w:cs="Times New Roman" w:eastAsia="Times New Roman" w:hint="default"/>
                <w:sz w:val="18"/>
                <w:szCs w:val="18"/>
              </w:rPr>
            </w:pPr>
            <w:r>
              <w:rPr>
                <w:rFonts w:ascii="Times New Roman"/>
                <w:sz w:val="18"/>
              </w:rPr>
              <w:t>142.02</w:t>
            </w:r>
          </w:p>
        </w:tc>
        <w:tc>
          <w:tcPr>
            <w:tcW w:w="658"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1,445,9</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pacing w:val="-1"/>
                <w:w w:val="95"/>
                <w:sz w:val="18"/>
              </w:rPr>
              <w:t>37,911.</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65</w:t>
            </w:r>
          </w:p>
        </w:tc>
      </w:tr>
      <w:tr>
        <w:trPr>
          <w:trHeight w:val="391"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72"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3"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8"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2"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80" w:type="dxa"/>
            <w:vMerge/>
            <w:tcBorders>
              <w:left w:val="single" w:sz="4" w:space="0" w:color="000000"/>
              <w:right w:val="single" w:sz="4" w:space="0" w:color="000000"/>
            </w:tcBorders>
          </w:tcPr>
          <w:p>
            <w:pPr/>
          </w:p>
        </w:tc>
        <w:tc>
          <w:tcPr>
            <w:tcW w:w="653" w:type="dxa"/>
            <w:vMerge/>
            <w:tcBorders>
              <w:left w:val="single" w:sz="4" w:space="0" w:color="000000"/>
              <w:right w:val="single" w:sz="4" w:space="0" w:color="000000"/>
            </w:tcBorders>
          </w:tcPr>
          <w:p>
            <w:pPr/>
          </w:p>
        </w:tc>
        <w:tc>
          <w:tcPr>
            <w:tcW w:w="658" w:type="dxa"/>
            <w:vMerge/>
            <w:tcBorders>
              <w:left w:val="single" w:sz="4" w:space="0" w:color="000000"/>
              <w:right w:val="single" w:sz="4" w:space="0" w:color="000000"/>
            </w:tcBorders>
          </w:tcPr>
          <w:p>
            <w:pPr/>
          </w:p>
        </w:tc>
      </w:tr>
      <w:tr>
        <w:trPr>
          <w:trHeight w:val="317"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2"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3"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8"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2"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80" w:type="dxa"/>
            <w:vMerge/>
            <w:tcBorders>
              <w:left w:val="single" w:sz="4" w:space="0" w:color="000000"/>
              <w:bottom w:val="single" w:sz="4" w:space="0" w:color="000000"/>
              <w:right w:val="single" w:sz="4" w:space="0" w:color="000000"/>
            </w:tcBorders>
          </w:tcPr>
          <w:p>
            <w:pPr/>
          </w:p>
        </w:tc>
        <w:tc>
          <w:tcPr>
            <w:tcW w:w="653" w:type="dxa"/>
            <w:vMerge/>
            <w:tcBorders>
              <w:left w:val="single" w:sz="4" w:space="0" w:color="000000"/>
              <w:bottom w:val="single" w:sz="4" w:space="0" w:color="000000"/>
              <w:right w:val="single" w:sz="4" w:space="0" w:color="000000"/>
            </w:tcBorders>
          </w:tcPr>
          <w:p>
            <w:pPr/>
          </w:p>
        </w:tc>
        <w:tc>
          <w:tcPr>
            <w:tcW w:w="658" w:type="dxa"/>
            <w:vMerge/>
            <w:tcBorders>
              <w:left w:val="single" w:sz="4" w:space="0" w:color="000000"/>
              <w:bottom w:val="single" w:sz="4" w:space="0" w:color="000000"/>
              <w:right w:val="single" w:sz="4" w:space="0" w:color="000000"/>
            </w:tcBorders>
          </w:tcPr>
          <w:p>
            <w:pPr/>
          </w:p>
        </w:tc>
      </w:tr>
      <w:tr>
        <w:trPr>
          <w:trHeight w:val="715"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pacing w:val="-10"/>
                <w:sz w:val="18"/>
                <w:szCs w:val="18"/>
              </w:rPr>
              <w:t>加：会计政策</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变更</w:t>
            </w:r>
          </w:p>
        </w:tc>
        <w:tc>
          <w:tcPr>
            <w:tcW w:w="572" w:type="dxa"/>
            <w:tcBorders>
              <w:top w:val="single" w:sz="4" w:space="0" w:color="000000"/>
              <w:left w:val="single" w:sz="12"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72" w:type="dxa"/>
            <w:tcBorders>
              <w:top w:val="single" w:sz="4" w:space="0" w:color="000000"/>
              <w:left w:val="single" w:sz="12"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35"/>
          <w:pgSz w:w="11910" w:h="16840"/>
          <w:pgMar w:footer="979" w:header="745" w:top="1060" w:bottom="1160" w:left="980" w:right="0"/>
          <w:pgNumType w:start="101"/>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1"/>
        <w:gridCol w:w="533"/>
        <w:gridCol w:w="662"/>
        <w:gridCol w:w="665"/>
        <w:gridCol w:w="668"/>
        <w:gridCol w:w="665"/>
        <w:gridCol w:w="662"/>
        <w:gridCol w:w="665"/>
        <w:gridCol w:w="680"/>
        <w:gridCol w:w="653"/>
        <w:gridCol w:w="658"/>
      </w:tblGrid>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41"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395,48</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7,010.</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540,953</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,492.83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104,720</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,400.00</w:t>
            </w: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63,424,</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623.62</w:t>
            </w: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501,844</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,043.18</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48,949,</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142.02</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1,445,9</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pacing w:val="-1"/>
                <w:w w:val="95"/>
                <w:sz w:val="18"/>
              </w:rPr>
              <w:t>37,911.</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65</w:t>
            </w:r>
          </w:p>
        </w:tc>
      </w:tr>
      <w:tr>
        <w:trPr>
          <w:trHeight w:val="1027"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22" w:right="21"/>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号填列）</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29,139</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,895.0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427,857</w:t>
            </w:r>
          </w:p>
          <w:p>
            <w:pPr>
              <w:pStyle w:val="TableParagraph"/>
              <w:spacing w:line="240" w:lineRule="auto" w:before="102"/>
              <w:ind w:left="98" w:right="0"/>
              <w:jc w:val="left"/>
              <w:rPr>
                <w:rFonts w:ascii="Times New Roman" w:hAnsi="Times New Roman" w:cs="Times New Roman" w:eastAsia="Times New Roman" w:hint="default"/>
                <w:sz w:val="18"/>
                <w:szCs w:val="18"/>
              </w:rPr>
            </w:pPr>
            <w:r>
              <w:rPr>
                <w:rFonts w:ascii="Times New Roman"/>
                <w:sz w:val="18"/>
              </w:rPr>
              <w:t>,115.61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-29,113,</w:t>
            </w:r>
          </w:p>
          <w:p>
            <w:pPr>
              <w:pStyle w:val="TableParagraph"/>
              <w:spacing w:line="240" w:lineRule="auto" w:before="102"/>
              <w:ind w:left="139" w:right="0"/>
              <w:jc w:val="left"/>
              <w:rPr>
                <w:rFonts w:ascii="Times New Roman" w:hAnsi="Times New Roman" w:cs="Times New Roman" w:eastAsia="Times New Roman" w:hint="default"/>
                <w:sz w:val="18"/>
                <w:szCs w:val="18"/>
              </w:rPr>
            </w:pPr>
            <w:r>
              <w:rPr>
                <w:rFonts w:ascii="Times New Roman"/>
                <w:sz w:val="18"/>
              </w:rPr>
              <w:t>775.00</w:t>
            </w: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12,837,</w:t>
            </w:r>
          </w:p>
          <w:p>
            <w:pPr>
              <w:pStyle w:val="TableParagraph"/>
              <w:spacing w:line="240" w:lineRule="auto" w:before="102"/>
              <w:ind w:left="136" w:right="0"/>
              <w:jc w:val="left"/>
              <w:rPr>
                <w:rFonts w:ascii="Times New Roman" w:hAnsi="Times New Roman" w:cs="Times New Roman" w:eastAsia="Times New Roman" w:hint="default"/>
                <w:sz w:val="18"/>
                <w:szCs w:val="18"/>
              </w:rPr>
            </w:pPr>
            <w:r>
              <w:rPr>
                <w:rFonts w:ascii="Times New Roman"/>
                <w:sz w:val="18"/>
              </w:rPr>
              <w:t>165.66</w:t>
            </w: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144,891</w:t>
            </w:r>
          </w:p>
          <w:p>
            <w:pPr>
              <w:pStyle w:val="TableParagraph"/>
              <w:spacing w:line="240" w:lineRule="auto" w:before="102"/>
              <w:ind w:left="105" w:right="0"/>
              <w:jc w:val="left"/>
              <w:rPr>
                <w:rFonts w:ascii="Times New Roman" w:hAnsi="Times New Roman" w:cs="Times New Roman" w:eastAsia="Times New Roman" w:hint="default"/>
                <w:sz w:val="18"/>
                <w:szCs w:val="18"/>
              </w:rPr>
            </w:pPr>
            <w:r>
              <w:rPr>
                <w:rFonts w:ascii="Times New Roman"/>
                <w:sz w:val="18"/>
              </w:rPr>
              <w:t>,442.95</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-34,205</w:t>
            </w:r>
          </w:p>
          <w:p>
            <w:pPr>
              <w:pStyle w:val="TableParagraph"/>
              <w:spacing w:line="240" w:lineRule="auto" w:before="102"/>
              <w:ind w:left="79" w:right="0"/>
              <w:jc w:val="left"/>
              <w:rPr>
                <w:rFonts w:ascii="Times New Roman" w:hAnsi="Times New Roman" w:cs="Times New Roman" w:eastAsia="Times New Roman" w:hint="default"/>
                <w:sz w:val="18"/>
                <w:szCs w:val="18"/>
              </w:rPr>
            </w:pPr>
            <w:r>
              <w:rPr>
                <w:rFonts w:ascii="Times New Roman"/>
                <w:sz w:val="18"/>
              </w:rPr>
              <w:t>,231.55</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609,634</w:t>
            </w:r>
          </w:p>
          <w:p>
            <w:pPr>
              <w:pStyle w:val="TableParagraph"/>
              <w:spacing w:line="240" w:lineRule="auto" w:before="102"/>
              <w:ind w:left="86" w:right="0"/>
              <w:jc w:val="left"/>
              <w:rPr>
                <w:rFonts w:ascii="Times New Roman" w:hAnsi="Times New Roman" w:cs="Times New Roman" w:eastAsia="Times New Roman" w:hint="default"/>
                <w:sz w:val="18"/>
                <w:szCs w:val="18"/>
              </w:rPr>
            </w:pPr>
            <w:r>
              <w:rPr>
                <w:rFonts w:ascii="Times New Roman"/>
                <w:sz w:val="18"/>
              </w:rPr>
              <w:t>,162.67</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 w:right="22"/>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169,594</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,871.96</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14,862,</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526.84</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184,457</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,398.80</w:t>
            </w:r>
          </w:p>
        </w:tc>
      </w:tr>
      <w:tr>
        <w:trPr>
          <w:trHeight w:val="1027"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2" w:right="22"/>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和减少资本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29,139</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,895.0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427,857</w:t>
            </w:r>
          </w:p>
          <w:p>
            <w:pPr>
              <w:pStyle w:val="TableParagraph"/>
              <w:spacing w:line="240" w:lineRule="auto" w:before="102"/>
              <w:ind w:left="98" w:right="0"/>
              <w:jc w:val="left"/>
              <w:rPr>
                <w:rFonts w:ascii="Times New Roman" w:hAnsi="Times New Roman" w:cs="Times New Roman" w:eastAsia="Times New Roman" w:hint="default"/>
                <w:sz w:val="18"/>
                <w:szCs w:val="18"/>
              </w:rPr>
            </w:pPr>
            <w:r>
              <w:rPr>
                <w:rFonts w:ascii="Times New Roman"/>
                <w:sz w:val="18"/>
              </w:rPr>
              <w:t>,115.61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-29,113,</w:t>
            </w:r>
          </w:p>
          <w:p>
            <w:pPr>
              <w:pStyle w:val="TableParagraph"/>
              <w:spacing w:line="240" w:lineRule="auto" w:before="102"/>
              <w:ind w:left="139" w:right="0"/>
              <w:jc w:val="left"/>
              <w:rPr>
                <w:rFonts w:ascii="Times New Roman" w:hAnsi="Times New Roman" w:cs="Times New Roman" w:eastAsia="Times New Roman" w:hint="default"/>
                <w:sz w:val="18"/>
                <w:szCs w:val="18"/>
              </w:rPr>
            </w:pPr>
            <w:r>
              <w:rPr>
                <w:rFonts w:ascii="Times New Roman"/>
                <w:sz w:val="18"/>
              </w:rPr>
              <w:t>775.00</w:t>
            </w: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-49,067</w:t>
            </w:r>
          </w:p>
          <w:p>
            <w:pPr>
              <w:pStyle w:val="TableParagraph"/>
              <w:spacing w:line="240" w:lineRule="auto" w:before="102"/>
              <w:ind w:left="79" w:right="0"/>
              <w:jc w:val="left"/>
              <w:rPr>
                <w:rFonts w:ascii="Times New Roman" w:hAnsi="Times New Roman" w:cs="Times New Roman" w:eastAsia="Times New Roman" w:hint="default"/>
                <w:sz w:val="18"/>
                <w:szCs w:val="18"/>
              </w:rPr>
            </w:pPr>
            <w:r>
              <w:rPr>
                <w:rFonts w:ascii="Times New Roman"/>
                <w:sz w:val="18"/>
              </w:rPr>
              <w:t>,758.39</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437,043</w:t>
            </w:r>
          </w:p>
          <w:p>
            <w:pPr>
              <w:pStyle w:val="TableParagraph"/>
              <w:spacing w:line="240" w:lineRule="auto" w:before="102"/>
              <w:ind w:left="86" w:right="0"/>
              <w:jc w:val="left"/>
              <w:rPr>
                <w:rFonts w:ascii="Times New Roman" w:hAnsi="Times New Roman" w:cs="Times New Roman" w:eastAsia="Times New Roman" w:hint="default"/>
                <w:sz w:val="18"/>
                <w:szCs w:val="18"/>
              </w:rPr>
            </w:pPr>
            <w:r>
              <w:rPr>
                <w:rFonts w:ascii="Times New Roman"/>
                <w:sz w:val="18"/>
              </w:rPr>
              <w:t>,027.22</w:t>
            </w:r>
          </w:p>
        </w:tc>
      </w:tr>
      <w:tr>
        <w:trPr>
          <w:trHeight w:val="102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00" w:lineRule="auto"/>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29,139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,895.0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497,420</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,514.53</w:t>
            </w: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5" w:right="0"/>
              <w:jc w:val="center"/>
              <w:rPr>
                <w:rFonts w:ascii="Times New Roman" w:hAnsi="Times New Roman" w:cs="Times New Roman" w:eastAsia="Times New Roman" w:hint="default"/>
                <w:sz w:val="18"/>
                <w:szCs w:val="18"/>
              </w:rPr>
            </w:pPr>
            <w:r>
              <w:rPr>
                <w:rFonts w:ascii="Times New Roman"/>
                <w:sz w:val="18"/>
              </w:rPr>
              <w:t>2,000,0</w:t>
            </w:r>
          </w:p>
          <w:p>
            <w:pPr>
              <w:pStyle w:val="TableParagraph"/>
              <w:spacing w:line="240" w:lineRule="auto" w:before="105"/>
              <w:ind w:left="190" w:right="0"/>
              <w:jc w:val="center"/>
              <w:rPr>
                <w:rFonts w:ascii="Times New Roman" w:hAnsi="Times New Roman" w:cs="Times New Roman" w:eastAsia="Times New Roman" w:hint="default"/>
                <w:sz w:val="18"/>
                <w:szCs w:val="18"/>
              </w:rPr>
            </w:pPr>
            <w:r>
              <w:rPr>
                <w:rFonts w:ascii="Times New Roman"/>
                <w:sz w:val="18"/>
              </w:rPr>
              <w:t>00.00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528,560</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,409.53</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14,403,</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815.50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-29,113,</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775.00</w:t>
            </w: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43,517,</w:t>
            </w:r>
          </w:p>
          <w:p>
            <w:pPr>
              <w:pStyle w:val="TableParagraph"/>
              <w:spacing w:line="240" w:lineRule="auto" w:before="105"/>
              <w:ind w:left="131" w:right="0"/>
              <w:jc w:val="left"/>
              <w:rPr>
                <w:rFonts w:ascii="Times New Roman" w:hAnsi="Times New Roman" w:cs="Times New Roman" w:eastAsia="Times New Roman" w:hint="default"/>
                <w:sz w:val="18"/>
                <w:szCs w:val="18"/>
              </w:rPr>
            </w:pPr>
            <w:r>
              <w:rPr>
                <w:rFonts w:ascii="Times New Roman"/>
                <w:sz w:val="18"/>
              </w:rPr>
              <w:t>590.50</w:t>
            </w:r>
          </w:p>
        </w:tc>
      </w:tr>
      <w:tr>
        <w:trPr>
          <w:trHeight w:val="1027"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0" w:right="0"/>
              <w:jc w:val="center"/>
              <w:rPr>
                <w:rFonts w:ascii="Times New Roman" w:hAnsi="Times New Roman" w:cs="Times New Roman" w:eastAsia="Times New Roman" w:hint="default"/>
                <w:sz w:val="18"/>
                <w:szCs w:val="18"/>
              </w:rPr>
            </w:pPr>
            <w:r>
              <w:rPr>
                <w:rFonts w:ascii="Times New Roman"/>
                <w:sz w:val="18"/>
              </w:rPr>
              <w:t>-83,967,</w:t>
            </w:r>
          </w:p>
          <w:p>
            <w:pPr>
              <w:pStyle w:val="TableParagraph"/>
              <w:spacing w:line="240" w:lineRule="auto" w:before="102"/>
              <w:ind w:left="115" w:right="0"/>
              <w:jc w:val="center"/>
              <w:rPr>
                <w:rFonts w:ascii="Times New Roman" w:hAnsi="Times New Roman" w:cs="Times New Roman" w:eastAsia="Times New Roman" w:hint="default"/>
                <w:sz w:val="18"/>
                <w:szCs w:val="18"/>
              </w:rPr>
            </w:pPr>
            <w:r>
              <w:rPr>
                <w:rFonts w:ascii="Times New Roman"/>
                <w:sz w:val="18"/>
              </w:rPr>
              <w:t>214.42</w:t>
            </w: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-51,067</w:t>
            </w:r>
          </w:p>
          <w:p>
            <w:pPr>
              <w:pStyle w:val="TableParagraph"/>
              <w:spacing w:line="240" w:lineRule="auto" w:before="102"/>
              <w:ind w:left="79" w:right="0"/>
              <w:jc w:val="left"/>
              <w:rPr>
                <w:rFonts w:ascii="Times New Roman" w:hAnsi="Times New Roman" w:cs="Times New Roman" w:eastAsia="Times New Roman" w:hint="default"/>
                <w:sz w:val="18"/>
                <w:szCs w:val="18"/>
              </w:rPr>
            </w:pPr>
            <w:r>
              <w:rPr>
                <w:rFonts w:ascii="Times New Roman"/>
                <w:sz w:val="18"/>
              </w:rPr>
              <w:t>,758.39</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-135,03</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pacing w:val="-1"/>
                <w:sz w:val="18"/>
              </w:rPr>
              <w:t>4,972.8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12,837,</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165.66</w:t>
            </w: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-24,703,</w:t>
            </w:r>
          </w:p>
          <w:p>
            <w:pPr>
              <w:pStyle w:val="TableParagraph"/>
              <w:spacing w:line="240" w:lineRule="auto" w:before="105"/>
              <w:ind w:left="127" w:right="0"/>
              <w:jc w:val="center"/>
              <w:rPr>
                <w:rFonts w:ascii="Times New Roman" w:hAnsi="Times New Roman" w:cs="Times New Roman" w:eastAsia="Times New Roman" w:hint="default"/>
                <w:sz w:val="18"/>
                <w:szCs w:val="18"/>
              </w:rPr>
            </w:pPr>
            <w:r>
              <w:rPr>
                <w:rFonts w:ascii="Times New Roman"/>
                <w:sz w:val="18"/>
              </w:rPr>
              <w:t>429.01</w:t>
            </w: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-11,866,</w:t>
            </w:r>
          </w:p>
          <w:p>
            <w:pPr>
              <w:pStyle w:val="TableParagraph"/>
              <w:spacing w:line="240" w:lineRule="auto" w:before="105"/>
              <w:ind w:left="131" w:right="0"/>
              <w:jc w:val="left"/>
              <w:rPr>
                <w:rFonts w:ascii="Times New Roman" w:hAnsi="Times New Roman" w:cs="Times New Roman" w:eastAsia="Times New Roman" w:hint="default"/>
                <w:sz w:val="18"/>
                <w:szCs w:val="18"/>
              </w:rPr>
            </w:pPr>
            <w:r>
              <w:rPr>
                <w:rFonts w:ascii="Times New Roman"/>
                <w:sz w:val="18"/>
              </w:rPr>
              <w:t>263.35</w:t>
            </w:r>
          </w:p>
        </w:tc>
      </w:tr>
      <w:tr>
        <w:trPr>
          <w:trHeight w:val="71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1" w:right="0"/>
              <w:jc w:val="left"/>
              <w:rPr>
                <w:rFonts w:ascii="Times New Roman" w:hAnsi="Times New Roman" w:cs="Times New Roman" w:eastAsia="Times New Roman" w:hint="default"/>
                <w:sz w:val="18"/>
                <w:szCs w:val="18"/>
              </w:rPr>
            </w:pPr>
            <w:r>
              <w:rPr>
                <w:rFonts w:ascii="Times New Roman"/>
                <w:sz w:val="18"/>
              </w:rPr>
              <w:t>12,837,</w:t>
            </w:r>
          </w:p>
          <w:p>
            <w:pPr>
              <w:pStyle w:val="TableParagraph"/>
              <w:spacing w:line="240" w:lineRule="auto" w:before="103"/>
              <w:ind w:left="136" w:right="0"/>
              <w:jc w:val="left"/>
              <w:rPr>
                <w:rFonts w:ascii="Times New Roman" w:hAnsi="Times New Roman" w:cs="Times New Roman" w:eastAsia="Times New Roman" w:hint="default"/>
                <w:sz w:val="18"/>
                <w:szCs w:val="18"/>
              </w:rPr>
            </w:pPr>
            <w:r>
              <w:rPr>
                <w:rFonts w:ascii="Times New Roman"/>
                <w:sz w:val="18"/>
              </w:rPr>
              <w:t>165.66</w:t>
            </w: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2" w:right="0"/>
              <w:jc w:val="center"/>
              <w:rPr>
                <w:rFonts w:ascii="Times New Roman" w:hAnsi="Times New Roman" w:cs="Times New Roman" w:eastAsia="Times New Roman" w:hint="default"/>
                <w:sz w:val="18"/>
                <w:szCs w:val="18"/>
              </w:rPr>
            </w:pPr>
            <w:r>
              <w:rPr>
                <w:rFonts w:ascii="Times New Roman"/>
                <w:sz w:val="18"/>
              </w:rPr>
              <w:t>-12,837,</w:t>
            </w:r>
          </w:p>
          <w:p>
            <w:pPr>
              <w:pStyle w:val="TableParagraph"/>
              <w:spacing w:line="240" w:lineRule="auto" w:before="103"/>
              <w:ind w:left="127" w:right="0"/>
              <w:jc w:val="center"/>
              <w:rPr>
                <w:rFonts w:ascii="Times New Roman" w:hAnsi="Times New Roman" w:cs="Times New Roman" w:eastAsia="Times New Roman" w:hint="default"/>
                <w:sz w:val="18"/>
                <w:szCs w:val="18"/>
              </w:rPr>
            </w:pPr>
            <w:r>
              <w:rPr>
                <w:rFonts w:ascii="Times New Roman"/>
                <w:sz w:val="18"/>
              </w:rPr>
              <w:t>165.66</w:t>
            </w: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2" w:right="0"/>
              <w:jc w:val="left"/>
              <w:rPr>
                <w:rFonts w:ascii="Times New Roman" w:hAnsi="Times New Roman" w:cs="Times New Roman" w:eastAsia="Times New Roman" w:hint="default"/>
                <w:sz w:val="18"/>
                <w:szCs w:val="18"/>
              </w:rPr>
            </w:pPr>
            <w:r>
              <w:rPr>
                <w:rFonts w:ascii="Times New Roman"/>
                <w:sz w:val="18"/>
              </w:rPr>
              <w:t>-11,866,</w:t>
            </w:r>
          </w:p>
          <w:p>
            <w:pPr>
              <w:pStyle w:val="TableParagraph"/>
              <w:spacing w:line="240" w:lineRule="auto" w:before="102"/>
              <w:ind w:left="151" w:right="0"/>
              <w:jc w:val="left"/>
              <w:rPr>
                <w:rFonts w:ascii="Times New Roman" w:hAnsi="Times New Roman" w:cs="Times New Roman" w:eastAsia="Times New Roman" w:hint="default"/>
                <w:sz w:val="18"/>
                <w:szCs w:val="18"/>
              </w:rPr>
            </w:pPr>
            <w:r>
              <w:rPr>
                <w:rFonts w:ascii="Times New Roman"/>
                <w:sz w:val="18"/>
              </w:rPr>
              <w:t>263.35</w:t>
            </w: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3" w:right="0"/>
              <w:jc w:val="left"/>
              <w:rPr>
                <w:rFonts w:ascii="Times New Roman" w:hAnsi="Times New Roman" w:cs="Times New Roman" w:eastAsia="Times New Roman" w:hint="default"/>
                <w:sz w:val="18"/>
                <w:szCs w:val="18"/>
              </w:rPr>
            </w:pPr>
            <w:r>
              <w:rPr>
                <w:rFonts w:ascii="Times New Roman"/>
                <w:sz w:val="18"/>
              </w:rPr>
              <w:t>-11,866,</w:t>
            </w:r>
          </w:p>
          <w:p>
            <w:pPr>
              <w:pStyle w:val="TableParagraph"/>
              <w:spacing w:line="240" w:lineRule="auto" w:before="102"/>
              <w:ind w:left="131" w:right="0"/>
              <w:jc w:val="left"/>
              <w:rPr>
                <w:rFonts w:ascii="Times New Roman" w:hAnsi="Times New Roman" w:cs="Times New Roman" w:eastAsia="Times New Roman" w:hint="default"/>
                <w:sz w:val="18"/>
                <w:szCs w:val="18"/>
              </w:rPr>
            </w:pPr>
            <w:r>
              <w:rPr>
                <w:rFonts w:ascii="Times New Roman"/>
                <w:sz w:val="18"/>
              </w:rPr>
              <w:t>263.35</w:t>
            </w: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22"/>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1"/>
        <w:gridCol w:w="533"/>
        <w:gridCol w:w="662"/>
        <w:gridCol w:w="665"/>
        <w:gridCol w:w="668"/>
        <w:gridCol w:w="665"/>
        <w:gridCol w:w="662"/>
        <w:gridCol w:w="665"/>
        <w:gridCol w:w="680"/>
        <w:gridCol w:w="653"/>
        <w:gridCol w:w="658"/>
      </w:tblGrid>
      <w:tr>
        <w:trPr>
          <w:trHeight w:val="36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424,62</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6,905.</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968,810</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,608.44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75,606,</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625.00</w:t>
            </w: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76,261,</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789.28</w:t>
            </w: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646,735</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,486.13</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14,743,</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910.47</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2,055,5</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72,074.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32</w:t>
            </w:r>
          </w:p>
        </w:tc>
      </w:tr>
    </w:tbl>
    <w:p>
      <w:pPr>
        <w:spacing w:line="240" w:lineRule="auto" w:before="10"/>
        <w:rPr>
          <w:rFonts w:ascii="Times New Roman" w:hAnsi="Times New Roman" w:cs="Times New Roman" w:eastAsia="Times New Roman" w:hint="default"/>
          <w:sz w:val="21"/>
          <w:szCs w:val="21"/>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、母公司所有者权益变动表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5"/>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5"/>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428"/>
        <w:gridCol w:w="691"/>
        <w:gridCol w:w="665"/>
        <w:gridCol w:w="667"/>
        <w:gridCol w:w="665"/>
        <w:gridCol w:w="797"/>
        <w:gridCol w:w="797"/>
        <w:gridCol w:w="797"/>
        <w:gridCol w:w="799"/>
        <w:gridCol w:w="797"/>
        <w:gridCol w:w="677"/>
        <w:gridCol w:w="780"/>
      </w:tblGrid>
      <w:tr>
        <w:trPr>
          <w:trHeight w:val="396" w:hRule="exact"/>
        </w:trPr>
        <w:tc>
          <w:tcPr>
            <w:tcW w:w="1428"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3"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11" w:hRule="exact"/>
        </w:trPr>
        <w:tc>
          <w:tcPr>
            <w:tcW w:w="142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1"/>
              <w:ind w:right="9"/>
              <w:jc w:val="center"/>
              <w:rPr>
                <w:rFonts w:ascii="宋体" w:hAnsi="宋体" w:cs="宋体" w:eastAsia="宋体" w:hint="default"/>
                <w:sz w:val="18"/>
                <w:szCs w:val="18"/>
              </w:rPr>
            </w:pPr>
            <w:r>
              <w:rPr>
                <w:rFonts w:ascii="宋体" w:hAnsi="宋体" w:cs="宋体" w:eastAsia="宋体" w:hint="default"/>
                <w:sz w:val="18"/>
                <w:szCs w:val="18"/>
              </w:rPr>
              <w:t>项目</w:t>
            </w:r>
          </w:p>
        </w:tc>
        <w:tc>
          <w:tcPr>
            <w:tcW w:w="691"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5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9"/>
              <w:ind w:left="305" w:right="33" w:hanging="272"/>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9"/>
              <w:ind w:left="213"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9"/>
              <w:ind w:left="153" w:right="62" w:hanging="92"/>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9"/>
              <w:ind w:left="115" w:right="23" w:hanging="89"/>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2" w:hRule="exact"/>
        </w:trPr>
        <w:tc>
          <w:tcPr>
            <w:tcW w:w="1428" w:type="dxa"/>
            <w:vMerge/>
            <w:tcBorders>
              <w:left w:val="single" w:sz="4" w:space="0" w:color="000000"/>
              <w:bottom w:val="nil" w:sz="6" w:space="0" w:color="auto"/>
              <w:right w:val="single" w:sz="4" w:space="0" w:color="000000"/>
            </w:tcBorders>
            <w:shd w:val="clear" w:color="auto" w:fill="D2D2D2"/>
          </w:tcPr>
          <w:p>
            <w:pPr/>
          </w:p>
        </w:tc>
        <w:tc>
          <w:tcPr>
            <w:tcW w:w="6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7"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7"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r>
      <w:tr>
        <w:trPr>
          <w:trHeight w:val="202" w:hRule="exact"/>
        </w:trPr>
        <w:tc>
          <w:tcPr>
            <w:tcW w:w="1428" w:type="dxa"/>
            <w:vMerge w:val="restart"/>
            <w:tcBorders>
              <w:top w:val="nil" w:sz="6" w:space="0" w:color="auto"/>
              <w:left w:val="single" w:sz="4" w:space="0" w:color="000000"/>
              <w:right w:val="single" w:sz="4" w:space="0" w:color="000000"/>
            </w:tcBorders>
            <w:shd w:val="clear" w:color="auto" w:fill="D2D2D2"/>
          </w:tcPr>
          <w:p>
            <w:pPr/>
          </w:p>
        </w:tc>
        <w:tc>
          <w:tcPr>
            <w:tcW w:w="691"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7"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9"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4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9"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7"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r>
      <w:tr>
        <w:trPr>
          <w:trHeight w:val="204" w:hRule="exact"/>
        </w:trPr>
        <w:tc>
          <w:tcPr>
            <w:tcW w:w="1428" w:type="dxa"/>
            <w:vMerge/>
            <w:tcBorders>
              <w:left w:val="single" w:sz="4" w:space="0" w:color="000000"/>
              <w:bottom w:val="single" w:sz="4" w:space="0" w:color="000000"/>
              <w:right w:val="single" w:sz="4" w:space="0" w:color="000000"/>
            </w:tcBorders>
            <w:shd w:val="clear" w:color="auto" w:fill="D2D2D2"/>
          </w:tcPr>
          <w:p>
            <w:pPr/>
          </w:p>
        </w:tc>
        <w:tc>
          <w:tcPr>
            <w:tcW w:w="691"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7"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7" w:type="dxa"/>
            <w:vMerge/>
            <w:tcBorders>
              <w:left w:val="single" w:sz="4" w:space="0" w:color="000000"/>
              <w:bottom w:val="single" w:sz="4" w:space="0" w:color="000000"/>
              <w:right w:val="single" w:sz="4" w:space="0" w:color="000000"/>
            </w:tcBorders>
            <w:shd w:val="clear" w:color="auto" w:fill="D2D2D2"/>
          </w:tcPr>
          <w:p>
            <w:pPr/>
          </w:p>
        </w:tc>
        <w:tc>
          <w:tcPr>
            <w:tcW w:w="780" w:type="dxa"/>
            <w:vMerge/>
            <w:tcBorders>
              <w:left w:val="single" w:sz="4" w:space="0" w:color="000000"/>
              <w:bottom w:val="single" w:sz="4" w:space="0" w:color="000000"/>
              <w:right w:val="single" w:sz="4" w:space="0" w:color="000000"/>
            </w:tcBorders>
            <w:shd w:val="clear" w:color="auto" w:fill="D2D2D2"/>
          </w:tcPr>
          <w:p>
            <w:pPr/>
          </w:p>
        </w:tc>
      </w:tr>
      <w:tr>
        <w:trPr>
          <w:trHeight w:val="163" w:hRule="exact"/>
        </w:trPr>
        <w:tc>
          <w:tcPr>
            <w:tcW w:w="1428"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93"/>
              <w:ind w:left="5" w:right="0"/>
              <w:jc w:val="center"/>
              <w:rPr>
                <w:rFonts w:ascii="Times New Roman" w:hAnsi="Times New Roman" w:cs="Times New Roman" w:eastAsia="Times New Roman" w:hint="default"/>
                <w:sz w:val="18"/>
                <w:szCs w:val="18"/>
              </w:rPr>
            </w:pPr>
            <w:r>
              <w:rPr>
                <w:rFonts w:ascii="Times New Roman"/>
                <w:sz w:val="18"/>
              </w:rPr>
              <w:t>424,626,</w:t>
            </w:r>
          </w:p>
          <w:p>
            <w:pPr>
              <w:pStyle w:val="TableParagraph"/>
              <w:spacing w:line="240" w:lineRule="auto" w:before="102"/>
              <w:ind w:left="142" w:right="0"/>
              <w:jc w:val="center"/>
              <w:rPr>
                <w:rFonts w:ascii="Times New Roman" w:hAnsi="Times New Roman" w:cs="Times New Roman" w:eastAsia="Times New Roman" w:hint="default"/>
                <w:sz w:val="18"/>
                <w:szCs w:val="18"/>
              </w:rPr>
            </w:pPr>
            <w:r>
              <w:rPr>
                <w:rFonts w:ascii="Times New Roman"/>
                <w:sz w:val="18"/>
              </w:rPr>
              <w:t>905.00</w:t>
            </w:r>
          </w:p>
        </w:tc>
        <w:tc>
          <w:tcPr>
            <w:tcW w:w="665"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3"/>
              <w:ind w:left="24" w:right="0"/>
              <w:jc w:val="center"/>
              <w:rPr>
                <w:rFonts w:ascii="Times New Roman" w:hAnsi="Times New Roman" w:cs="Times New Roman" w:eastAsia="Times New Roman" w:hint="default"/>
                <w:sz w:val="18"/>
                <w:szCs w:val="18"/>
              </w:rPr>
            </w:pPr>
            <w:r>
              <w:rPr>
                <w:rFonts w:ascii="Times New Roman"/>
                <w:sz w:val="18"/>
              </w:rPr>
              <w:t>1,065,158</w:t>
            </w:r>
          </w:p>
          <w:p>
            <w:pPr>
              <w:pStyle w:val="TableParagraph"/>
              <w:spacing w:line="240" w:lineRule="auto" w:before="102"/>
              <w:ind w:left="204" w:right="0"/>
              <w:jc w:val="center"/>
              <w:rPr>
                <w:rFonts w:ascii="Times New Roman" w:hAnsi="Times New Roman" w:cs="Times New Roman" w:eastAsia="Times New Roman" w:hint="default"/>
                <w:sz w:val="18"/>
                <w:szCs w:val="18"/>
              </w:rPr>
            </w:pPr>
            <w:r>
              <w:rPr>
                <w:rFonts w:ascii="Times New Roman"/>
                <w:sz w:val="18"/>
              </w:rPr>
              <w:t>,949.73</w:t>
            </w:r>
          </w:p>
        </w:tc>
        <w:tc>
          <w:tcPr>
            <w:tcW w:w="797" w:type="dxa"/>
            <w:vMerge w:val="restart"/>
            <w:tcBorders>
              <w:top w:val="single" w:sz="21" w:space="0" w:color="D2D2D2"/>
              <w:left w:val="single" w:sz="4" w:space="0" w:color="000000"/>
              <w:right w:val="single" w:sz="4" w:space="0" w:color="000000"/>
            </w:tcBorders>
          </w:tcPr>
          <w:p>
            <w:pPr>
              <w:pStyle w:val="TableParagraph"/>
              <w:spacing w:line="240" w:lineRule="auto" w:before="72"/>
              <w:ind w:left="45" w:right="0"/>
              <w:jc w:val="left"/>
              <w:rPr>
                <w:rFonts w:ascii="Times New Roman" w:hAnsi="Times New Roman" w:cs="Times New Roman" w:eastAsia="Times New Roman" w:hint="default"/>
                <w:sz w:val="18"/>
                <w:szCs w:val="18"/>
              </w:rPr>
            </w:pPr>
            <w:r>
              <w:rPr>
                <w:rFonts w:ascii="Times New Roman"/>
                <w:sz w:val="18"/>
              </w:rPr>
              <w:t>75,606,62</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5.00</w:t>
            </w:r>
          </w:p>
        </w:tc>
        <w:tc>
          <w:tcPr>
            <w:tcW w:w="797" w:type="dxa"/>
            <w:vMerge w:val="restart"/>
            <w:tcBorders>
              <w:top w:val="single" w:sz="21" w:space="0" w:color="D2D2D2"/>
              <w:left w:val="single" w:sz="4" w:space="0" w:color="000000"/>
              <w:right w:val="single" w:sz="4" w:space="0" w:color="000000"/>
            </w:tcBorders>
          </w:tcPr>
          <w:p>
            <w:pPr/>
          </w:p>
        </w:tc>
        <w:tc>
          <w:tcPr>
            <w:tcW w:w="799"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76,261,78</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9.28</w:t>
            </w:r>
          </w:p>
        </w:tc>
        <w:tc>
          <w:tcPr>
            <w:tcW w:w="677" w:type="dxa"/>
            <w:vMerge w:val="restart"/>
            <w:tcBorders>
              <w:top w:val="single" w:sz="21" w:space="0" w:color="D2D2D2"/>
              <w:left w:val="single" w:sz="4" w:space="0" w:color="000000"/>
              <w:right w:val="single" w:sz="4" w:space="0" w:color="000000"/>
            </w:tcBorders>
          </w:tcPr>
          <w:p>
            <w:pPr>
              <w:pStyle w:val="TableParagraph"/>
              <w:spacing w:line="240" w:lineRule="auto" w:before="72"/>
              <w:ind w:left="57" w:right="0"/>
              <w:jc w:val="left"/>
              <w:rPr>
                <w:rFonts w:ascii="Times New Roman" w:hAnsi="Times New Roman" w:cs="Times New Roman" w:eastAsia="Times New Roman" w:hint="default"/>
                <w:sz w:val="18"/>
                <w:szCs w:val="18"/>
              </w:rPr>
            </w:pPr>
            <w:r>
              <w:rPr>
                <w:rFonts w:ascii="Times New Roman"/>
                <w:sz w:val="18"/>
              </w:rPr>
              <w:t>557,150</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,664.89</w:t>
            </w:r>
          </w:p>
        </w:tc>
        <w:tc>
          <w:tcPr>
            <w:tcW w:w="780" w:type="dxa"/>
            <w:vMerge w:val="restart"/>
            <w:tcBorders>
              <w:top w:val="single" w:sz="21" w:space="0" w:color="D2D2D2"/>
              <w:left w:val="single" w:sz="4" w:space="0" w:color="000000"/>
              <w:right w:val="single" w:sz="4" w:space="0" w:color="000000"/>
            </w:tcBorders>
          </w:tcPr>
          <w:p>
            <w:pPr>
              <w:pStyle w:val="TableParagraph"/>
              <w:spacing w:line="240" w:lineRule="auto" w:before="72"/>
              <w:ind w:left="7" w:right="0"/>
              <w:jc w:val="center"/>
              <w:rPr>
                <w:rFonts w:ascii="Times New Roman" w:hAnsi="Times New Roman" w:cs="Times New Roman" w:eastAsia="Times New Roman" w:hint="default"/>
                <w:sz w:val="18"/>
                <w:szCs w:val="18"/>
              </w:rPr>
            </w:pPr>
            <w:r>
              <w:rPr>
                <w:rFonts w:ascii="Times New Roman"/>
                <w:sz w:val="18"/>
              </w:rPr>
              <w:t>2,047,591</w:t>
            </w:r>
          </w:p>
          <w:p>
            <w:pPr>
              <w:pStyle w:val="TableParagraph"/>
              <w:spacing w:line="240" w:lineRule="auto" w:before="102"/>
              <w:ind w:left="187" w:right="0"/>
              <w:jc w:val="center"/>
              <w:rPr>
                <w:rFonts w:ascii="Times New Roman" w:hAnsi="Times New Roman" w:cs="Times New Roman" w:eastAsia="Times New Roman" w:hint="default"/>
                <w:sz w:val="18"/>
                <w:szCs w:val="18"/>
              </w:rPr>
            </w:pPr>
            <w:r>
              <w:rPr>
                <w:rFonts w:ascii="Times New Roman"/>
                <w:sz w:val="18"/>
              </w:rPr>
              <w:t>,683.90</w:t>
            </w:r>
          </w:p>
        </w:tc>
      </w:tr>
      <w:tr>
        <w:trPr>
          <w:trHeight w:val="391" w:hRule="exact"/>
        </w:trPr>
        <w:tc>
          <w:tcPr>
            <w:tcW w:w="14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pacing w:val="-7"/>
                <w:w w:val="95"/>
                <w:sz w:val="18"/>
                <w:szCs w:val="18"/>
              </w:rPr>
              <w:t>一、上年期末余额</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428"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713"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pacing w:val="-10"/>
                <w:sz w:val="18"/>
                <w:szCs w:val="18"/>
              </w:rPr>
              <w:t>加：会计政策</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变更</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63" w:hRule="exact"/>
        </w:trPr>
        <w:tc>
          <w:tcPr>
            <w:tcW w:w="1428"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93"/>
              <w:ind w:left="5" w:right="0"/>
              <w:jc w:val="center"/>
              <w:rPr>
                <w:rFonts w:ascii="Times New Roman" w:hAnsi="Times New Roman" w:cs="Times New Roman" w:eastAsia="Times New Roman" w:hint="default"/>
                <w:sz w:val="18"/>
                <w:szCs w:val="18"/>
              </w:rPr>
            </w:pPr>
            <w:r>
              <w:rPr>
                <w:rFonts w:ascii="Times New Roman"/>
                <w:sz w:val="18"/>
              </w:rPr>
              <w:t>424,626,</w:t>
            </w:r>
          </w:p>
          <w:p>
            <w:pPr>
              <w:pStyle w:val="TableParagraph"/>
              <w:spacing w:line="240" w:lineRule="auto" w:before="102"/>
              <w:ind w:left="142" w:right="0"/>
              <w:jc w:val="center"/>
              <w:rPr>
                <w:rFonts w:ascii="Times New Roman" w:hAnsi="Times New Roman" w:cs="Times New Roman" w:eastAsia="Times New Roman" w:hint="default"/>
                <w:sz w:val="18"/>
                <w:szCs w:val="18"/>
              </w:rPr>
            </w:pPr>
            <w:r>
              <w:rPr>
                <w:rFonts w:ascii="Times New Roman"/>
                <w:sz w:val="18"/>
              </w:rPr>
              <w:t>905.00</w:t>
            </w:r>
          </w:p>
        </w:tc>
        <w:tc>
          <w:tcPr>
            <w:tcW w:w="665"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3"/>
              <w:ind w:left="24" w:right="0"/>
              <w:jc w:val="center"/>
              <w:rPr>
                <w:rFonts w:ascii="Times New Roman" w:hAnsi="Times New Roman" w:cs="Times New Roman" w:eastAsia="Times New Roman" w:hint="default"/>
                <w:sz w:val="18"/>
                <w:szCs w:val="18"/>
              </w:rPr>
            </w:pPr>
            <w:r>
              <w:rPr>
                <w:rFonts w:ascii="Times New Roman"/>
                <w:sz w:val="18"/>
              </w:rPr>
              <w:t>1,065,158</w:t>
            </w:r>
          </w:p>
          <w:p>
            <w:pPr>
              <w:pStyle w:val="TableParagraph"/>
              <w:spacing w:line="240" w:lineRule="auto" w:before="102"/>
              <w:ind w:left="204" w:right="0"/>
              <w:jc w:val="center"/>
              <w:rPr>
                <w:rFonts w:ascii="Times New Roman" w:hAnsi="Times New Roman" w:cs="Times New Roman" w:eastAsia="Times New Roman" w:hint="default"/>
                <w:sz w:val="18"/>
                <w:szCs w:val="18"/>
              </w:rPr>
            </w:pPr>
            <w:r>
              <w:rPr>
                <w:rFonts w:ascii="Times New Roman"/>
                <w:sz w:val="18"/>
              </w:rPr>
              <w:t>,949.73</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75,606,62</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5.00</w:t>
            </w:r>
          </w:p>
        </w:tc>
        <w:tc>
          <w:tcPr>
            <w:tcW w:w="797" w:type="dxa"/>
            <w:vMerge w:val="restart"/>
            <w:tcBorders>
              <w:top w:val="single" w:sz="4" w:space="0" w:color="000000"/>
              <w:left w:val="single" w:sz="4" w:space="0" w:color="000000"/>
              <w:right w:val="single" w:sz="4" w:space="0" w:color="000000"/>
            </w:tcBorders>
          </w:tcPr>
          <w:p>
            <w:pPr/>
          </w:p>
        </w:tc>
        <w:tc>
          <w:tcPr>
            <w:tcW w:w="799"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76,261,78</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9.28</w:t>
            </w: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before="93"/>
              <w:ind w:left="57" w:right="0"/>
              <w:jc w:val="left"/>
              <w:rPr>
                <w:rFonts w:ascii="Times New Roman" w:hAnsi="Times New Roman" w:cs="Times New Roman" w:eastAsia="Times New Roman" w:hint="default"/>
                <w:sz w:val="18"/>
                <w:szCs w:val="18"/>
              </w:rPr>
            </w:pPr>
            <w:r>
              <w:rPr>
                <w:rFonts w:ascii="Times New Roman"/>
                <w:sz w:val="18"/>
              </w:rPr>
              <w:t>557,150</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,664.89</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3"/>
              <w:ind w:left="7" w:right="0"/>
              <w:jc w:val="center"/>
              <w:rPr>
                <w:rFonts w:ascii="Times New Roman" w:hAnsi="Times New Roman" w:cs="Times New Roman" w:eastAsia="Times New Roman" w:hint="default"/>
                <w:sz w:val="18"/>
                <w:szCs w:val="18"/>
              </w:rPr>
            </w:pPr>
            <w:r>
              <w:rPr>
                <w:rFonts w:ascii="Times New Roman"/>
                <w:sz w:val="18"/>
              </w:rPr>
              <w:t>2,047,591</w:t>
            </w:r>
          </w:p>
          <w:p>
            <w:pPr>
              <w:pStyle w:val="TableParagraph"/>
              <w:spacing w:line="240" w:lineRule="auto" w:before="102"/>
              <w:ind w:left="187" w:right="0"/>
              <w:jc w:val="center"/>
              <w:rPr>
                <w:rFonts w:ascii="Times New Roman" w:hAnsi="Times New Roman" w:cs="Times New Roman" w:eastAsia="Times New Roman" w:hint="default"/>
                <w:sz w:val="18"/>
                <w:szCs w:val="18"/>
              </w:rPr>
            </w:pPr>
            <w:r>
              <w:rPr>
                <w:rFonts w:ascii="Times New Roman"/>
                <w:sz w:val="18"/>
              </w:rPr>
              <w:t>,683.90</w:t>
            </w:r>
          </w:p>
        </w:tc>
      </w:tr>
      <w:tr>
        <w:trPr>
          <w:trHeight w:val="391" w:hRule="exact"/>
        </w:trPr>
        <w:tc>
          <w:tcPr>
            <w:tcW w:w="142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pacing w:val="-7"/>
                <w:w w:val="95"/>
                <w:sz w:val="18"/>
                <w:szCs w:val="18"/>
              </w:rPr>
              <w:t>二、本年期初余额</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428"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102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18"/>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-286,00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-9,679,10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-35,502,8</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27.00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11,964,52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3.17</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94,948,</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036.02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132,450,2</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83.19</w:t>
            </w:r>
          </w:p>
        </w:tc>
      </w:tr>
      <w:tr>
        <w:trPr>
          <w:trHeight w:val="715"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20"/>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4" w:right="0"/>
              <w:jc w:val="left"/>
              <w:rPr>
                <w:rFonts w:ascii="Times New Roman" w:hAnsi="Times New Roman" w:cs="Times New Roman" w:eastAsia="Times New Roman" w:hint="default"/>
                <w:sz w:val="18"/>
                <w:szCs w:val="18"/>
              </w:rPr>
            </w:pPr>
            <w:r>
              <w:rPr>
                <w:rFonts w:ascii="Times New Roman"/>
                <w:sz w:val="18"/>
              </w:rPr>
              <w:t>119,649</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,071.00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5" w:right="0"/>
              <w:jc w:val="left"/>
              <w:rPr>
                <w:rFonts w:ascii="Times New Roman" w:hAnsi="Times New Roman" w:cs="Times New Roman" w:eastAsia="Times New Roman" w:hint="default"/>
                <w:sz w:val="18"/>
                <w:szCs w:val="18"/>
              </w:rPr>
            </w:pPr>
            <w:r>
              <w:rPr>
                <w:rFonts w:ascii="Times New Roman"/>
                <w:sz w:val="18"/>
              </w:rPr>
              <w:t>119,649,0</w:t>
            </w:r>
          </w:p>
          <w:p>
            <w:pPr>
              <w:pStyle w:val="TableParagraph"/>
              <w:spacing w:line="240" w:lineRule="auto" w:before="102"/>
              <w:ind w:left="343" w:right="0"/>
              <w:jc w:val="left"/>
              <w:rPr>
                <w:rFonts w:ascii="Times New Roman" w:hAnsi="Times New Roman" w:cs="Times New Roman" w:eastAsia="Times New Roman" w:hint="default"/>
                <w:sz w:val="18"/>
                <w:szCs w:val="18"/>
              </w:rPr>
            </w:pPr>
            <w:r>
              <w:rPr>
                <w:rFonts w:ascii="Times New Roman"/>
                <w:sz w:val="18"/>
              </w:rPr>
              <w:t>71.00</w:t>
            </w:r>
          </w:p>
        </w:tc>
      </w:tr>
      <w:tr>
        <w:trPr>
          <w:trHeight w:val="713"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20"/>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-286,00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-9,679,10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-35,502,8</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27.00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25,537,72</w:t>
            </w:r>
          </w:p>
          <w:p>
            <w:pPr>
              <w:pStyle w:val="TableParagraph"/>
              <w:spacing w:line="240" w:lineRule="auto" w:before="105"/>
              <w:ind w:left="434" w:right="0"/>
              <w:jc w:val="left"/>
              <w:rPr>
                <w:rFonts w:ascii="Times New Roman" w:hAnsi="Times New Roman" w:cs="Times New Roman" w:eastAsia="Times New Roman" w:hint="default"/>
                <w:sz w:val="18"/>
                <w:szCs w:val="18"/>
              </w:rPr>
            </w:pPr>
            <w:r>
              <w:rPr>
                <w:rFonts w:ascii="Times New Roman"/>
                <w:sz w:val="18"/>
              </w:rPr>
              <w:t>4.00</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439"/>
        <w:gridCol w:w="691"/>
        <w:gridCol w:w="665"/>
        <w:gridCol w:w="667"/>
        <w:gridCol w:w="665"/>
        <w:gridCol w:w="797"/>
        <w:gridCol w:w="797"/>
        <w:gridCol w:w="797"/>
        <w:gridCol w:w="799"/>
        <w:gridCol w:w="797"/>
        <w:gridCol w:w="677"/>
        <w:gridCol w:w="780"/>
      </w:tblGrid>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-286,00</w:t>
            </w:r>
          </w:p>
          <w:p>
            <w:pPr>
              <w:pStyle w:val="TableParagraph"/>
              <w:spacing w:line="240" w:lineRule="auto" w:before="105"/>
              <w:ind w:left="347"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-9,679,10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-35,502,8</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27.00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25,537,72</w:t>
            </w:r>
          </w:p>
          <w:p>
            <w:pPr>
              <w:pStyle w:val="TableParagraph"/>
              <w:spacing w:line="240" w:lineRule="auto" w:before="105"/>
              <w:ind w:left="434" w:right="0"/>
              <w:jc w:val="left"/>
              <w:rPr>
                <w:rFonts w:ascii="Times New Roman" w:hAnsi="Times New Roman" w:cs="Times New Roman" w:eastAsia="Times New Roman" w:hint="default"/>
                <w:sz w:val="18"/>
                <w:szCs w:val="18"/>
              </w:rPr>
            </w:pPr>
            <w:r>
              <w:rPr>
                <w:rFonts w:ascii="Times New Roman"/>
                <w:sz w:val="18"/>
              </w:rPr>
              <w:t>4.00</w:t>
            </w: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11,964,52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3.17</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-24,701,</w:t>
            </w:r>
          </w:p>
          <w:p>
            <w:pPr>
              <w:pStyle w:val="TableParagraph"/>
              <w:spacing w:line="240" w:lineRule="auto" w:before="105"/>
              <w:ind w:left="125" w:right="0"/>
              <w:jc w:val="center"/>
              <w:rPr>
                <w:rFonts w:ascii="Times New Roman" w:hAnsi="Times New Roman" w:cs="Times New Roman" w:eastAsia="Times New Roman" w:hint="default"/>
                <w:sz w:val="18"/>
                <w:szCs w:val="18"/>
              </w:rPr>
            </w:pPr>
            <w:r>
              <w:rPr>
                <w:rFonts w:ascii="Times New Roman"/>
                <w:sz w:val="18"/>
              </w:rPr>
              <w:t>034.98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-12,736,5</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11.81</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2" w:right="0"/>
              <w:jc w:val="left"/>
              <w:rPr>
                <w:rFonts w:ascii="Times New Roman" w:hAnsi="Times New Roman" w:cs="Times New Roman" w:eastAsia="Times New Roman" w:hint="default"/>
                <w:sz w:val="18"/>
                <w:szCs w:val="18"/>
              </w:rPr>
            </w:pPr>
            <w:r>
              <w:rPr>
                <w:rFonts w:ascii="Times New Roman"/>
                <w:sz w:val="18"/>
              </w:rPr>
              <w:t>11,964,52</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3.17</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0" w:right="0"/>
              <w:jc w:val="left"/>
              <w:rPr>
                <w:rFonts w:ascii="Times New Roman" w:hAnsi="Times New Roman" w:cs="Times New Roman" w:eastAsia="Times New Roman" w:hint="default"/>
                <w:sz w:val="18"/>
                <w:szCs w:val="18"/>
              </w:rPr>
            </w:pPr>
            <w:r>
              <w:rPr>
                <w:rFonts w:ascii="Times New Roman"/>
                <w:sz w:val="18"/>
              </w:rPr>
              <w:t>-11,964,</w:t>
            </w:r>
          </w:p>
          <w:p>
            <w:pPr>
              <w:pStyle w:val="TableParagraph"/>
              <w:spacing w:line="240" w:lineRule="auto" w:before="102"/>
              <w:ind w:left="148" w:right="0"/>
              <w:jc w:val="left"/>
              <w:rPr>
                <w:rFonts w:ascii="Times New Roman" w:hAnsi="Times New Roman" w:cs="Times New Roman" w:eastAsia="Times New Roman" w:hint="default"/>
                <w:sz w:val="18"/>
                <w:szCs w:val="18"/>
              </w:rPr>
            </w:pPr>
            <w:r>
              <w:rPr>
                <w:rFonts w:ascii="Times New Roman"/>
                <w:sz w:val="18"/>
              </w:rPr>
              <w:t>523.17</w:t>
            </w: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-12,736,</w:t>
            </w:r>
          </w:p>
          <w:p>
            <w:pPr>
              <w:pStyle w:val="TableParagraph"/>
              <w:spacing w:line="240" w:lineRule="auto" w:before="105"/>
              <w:ind w:left="132" w:right="0"/>
              <w:jc w:val="center"/>
              <w:rPr>
                <w:rFonts w:ascii="Times New Roman" w:hAnsi="Times New Roman" w:cs="Times New Roman" w:eastAsia="Times New Roman" w:hint="default"/>
                <w:sz w:val="18"/>
                <w:szCs w:val="18"/>
              </w:rPr>
            </w:pPr>
            <w:r>
              <w:rPr>
                <w:rFonts w:ascii="Times New Roman"/>
                <w:sz w:val="18"/>
              </w:rPr>
              <w:t>511.81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-12,736,5</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11.81</w:t>
            </w: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0"/>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424,340,</w:t>
            </w:r>
          </w:p>
          <w:p>
            <w:pPr>
              <w:pStyle w:val="TableParagraph"/>
              <w:spacing w:line="240" w:lineRule="auto" w:before="105"/>
              <w:ind w:left="149" w:right="0"/>
              <w:jc w:val="center"/>
              <w:rPr>
                <w:rFonts w:ascii="Times New Roman" w:hAnsi="Times New Roman" w:cs="Times New Roman" w:eastAsia="Times New Roman" w:hint="default"/>
                <w:sz w:val="18"/>
                <w:szCs w:val="18"/>
              </w:rPr>
            </w:pPr>
            <w:r>
              <w:rPr>
                <w:rFonts w:ascii="Times New Roman"/>
                <w:sz w:val="18"/>
              </w:rPr>
              <w:t>905.00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1,055,479</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,846.73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40,103,79</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8.00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88,226,31</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2.45</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652,098</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,700.91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2,180,041</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,967.09</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5"/>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39"/>
        <w:gridCol w:w="691"/>
        <w:gridCol w:w="1997"/>
        <w:gridCol w:w="797"/>
        <w:gridCol w:w="797"/>
        <w:gridCol w:w="797"/>
        <w:gridCol w:w="799"/>
        <w:gridCol w:w="797"/>
        <w:gridCol w:w="677"/>
        <w:gridCol w:w="780"/>
      </w:tblGrid>
      <w:tr>
        <w:trPr>
          <w:trHeight w:val="401" w:hRule="exact"/>
        </w:trPr>
        <w:tc>
          <w:tcPr>
            <w:tcW w:w="143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33"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4" w:hRule="exact"/>
        </w:trPr>
        <w:tc>
          <w:tcPr>
            <w:tcW w:w="1439" w:type="dxa"/>
            <w:vMerge/>
            <w:tcBorders>
              <w:left w:val="single" w:sz="4" w:space="0" w:color="000000"/>
              <w:bottom w:val="single" w:sz="4" w:space="0" w:color="000000"/>
              <w:right w:val="single" w:sz="4" w:space="0" w:color="000000"/>
            </w:tcBorders>
            <w:shd w:val="clear" w:color="auto" w:fill="D2D2D2"/>
          </w:tcPr>
          <w:p>
            <w:pPr/>
          </w:p>
        </w:tc>
        <w:tc>
          <w:tcPr>
            <w:tcW w:w="6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5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33" w:right="0"/>
              <w:jc w:val="left"/>
              <w:rPr>
                <w:rFonts w:ascii="宋体" w:hAnsi="宋体" w:cs="宋体" w:eastAsia="宋体" w:hint="default"/>
                <w:sz w:val="18"/>
                <w:szCs w:val="18"/>
              </w:rPr>
            </w:pPr>
            <w:r>
              <w:rPr>
                <w:rFonts w:ascii="宋体" w:hAnsi="宋体" w:cs="宋体" w:eastAsia="宋体" w:hint="default"/>
                <w:sz w:val="18"/>
                <w:szCs w:val="18"/>
              </w:rPr>
              <w:t>减：库存</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33" w:right="0"/>
              <w:jc w:val="left"/>
              <w:rPr>
                <w:rFonts w:ascii="宋体" w:hAnsi="宋体" w:cs="宋体" w:eastAsia="宋体" w:hint="default"/>
                <w:sz w:val="18"/>
                <w:szCs w:val="18"/>
              </w:rPr>
            </w:pPr>
            <w:r>
              <w:rPr>
                <w:rFonts w:ascii="宋体" w:hAnsi="宋体" w:cs="宋体" w:eastAsia="宋体" w:hint="default"/>
                <w:sz w:val="18"/>
                <w:szCs w:val="18"/>
              </w:rPr>
              <w:t>其他综合</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62" w:right="0"/>
              <w:jc w:val="left"/>
              <w:rPr>
                <w:rFonts w:ascii="宋体" w:hAnsi="宋体" w:cs="宋体" w:eastAsia="宋体" w:hint="default"/>
                <w:sz w:val="18"/>
                <w:szCs w:val="18"/>
              </w:rPr>
            </w:pPr>
            <w:r>
              <w:rPr>
                <w:rFonts w:ascii="宋体" w:hAnsi="宋体" w:cs="宋体" w:eastAsia="宋体" w:hint="default"/>
                <w:sz w:val="18"/>
                <w:szCs w:val="18"/>
              </w:rPr>
              <w:t>未分配</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6" w:right="0"/>
              <w:jc w:val="left"/>
              <w:rPr>
                <w:rFonts w:ascii="宋体" w:hAnsi="宋体" w:cs="宋体" w:eastAsia="宋体" w:hint="default"/>
                <w:sz w:val="18"/>
                <w:szCs w:val="18"/>
              </w:rPr>
            </w:pPr>
            <w:r>
              <w:rPr>
                <w:rFonts w:ascii="宋体" w:hAnsi="宋体" w:cs="宋体" w:eastAsia="宋体" w:hint="default"/>
                <w:sz w:val="18"/>
                <w:szCs w:val="18"/>
              </w:rPr>
              <w:t>所有者权</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1418"/>
        <w:gridCol w:w="702"/>
        <w:gridCol w:w="665"/>
        <w:gridCol w:w="667"/>
        <w:gridCol w:w="665"/>
        <w:gridCol w:w="797"/>
        <w:gridCol w:w="797"/>
        <w:gridCol w:w="797"/>
        <w:gridCol w:w="799"/>
        <w:gridCol w:w="797"/>
        <w:gridCol w:w="677"/>
        <w:gridCol w:w="780"/>
      </w:tblGrid>
      <w:tr>
        <w:trPr>
          <w:trHeight w:val="401"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13" w:right="0"/>
              <w:jc w:val="left"/>
              <w:rPr>
                <w:rFonts w:ascii="宋体" w:hAnsi="宋体" w:cs="宋体" w:eastAsia="宋体" w:hint="default"/>
                <w:sz w:val="18"/>
                <w:szCs w:val="18"/>
              </w:rPr>
            </w:pPr>
            <w:r>
              <w:rPr>
                <w:rFonts w:ascii="宋体" w:hAnsi="宋体" w:cs="宋体" w:eastAsia="宋体" w:hint="default"/>
                <w:sz w:val="18"/>
                <w:szCs w:val="18"/>
              </w:rPr>
              <w:t>收益</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53" w:right="0"/>
              <w:jc w:val="left"/>
              <w:rPr>
                <w:rFonts w:ascii="宋体" w:hAnsi="宋体" w:cs="宋体" w:eastAsia="宋体" w:hint="default"/>
                <w:sz w:val="18"/>
                <w:szCs w:val="18"/>
              </w:rPr>
            </w:pPr>
            <w:r>
              <w:rPr>
                <w:rFonts w:ascii="宋体" w:hAnsi="宋体" w:cs="宋体" w:eastAsia="宋体" w:hint="default"/>
                <w:sz w:val="18"/>
                <w:szCs w:val="18"/>
              </w:rPr>
              <w:t>利润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15" w:right="0"/>
              <w:jc w:val="left"/>
              <w:rPr>
                <w:rFonts w:ascii="宋体" w:hAnsi="宋体" w:cs="宋体" w:eastAsia="宋体" w:hint="default"/>
                <w:sz w:val="18"/>
                <w:szCs w:val="18"/>
              </w:rPr>
            </w:pPr>
            <w:r>
              <w:rPr>
                <w:rFonts w:ascii="宋体" w:hAnsi="宋体" w:cs="宋体" w:eastAsia="宋体" w:hint="default"/>
                <w:sz w:val="18"/>
                <w:szCs w:val="18"/>
              </w:rPr>
              <w:t>益合计</w:t>
            </w:r>
          </w:p>
        </w:tc>
      </w:tr>
      <w:tr>
        <w:trPr>
          <w:trHeight w:val="163"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2" w:type="dxa"/>
            <w:vMerge w:val="restart"/>
            <w:tcBorders>
              <w:top w:val="single" w:sz="4" w:space="0" w:color="000000"/>
              <w:left w:val="single" w:sz="10" w:space="0" w:color="D2D2D2"/>
              <w:right w:val="single" w:sz="4" w:space="0" w:color="000000"/>
            </w:tcBorders>
          </w:tcPr>
          <w:p>
            <w:pPr>
              <w:pStyle w:val="TableParagraph"/>
              <w:spacing w:line="240" w:lineRule="auto" w:before="93"/>
              <w:ind w:left="16" w:right="0"/>
              <w:jc w:val="center"/>
              <w:rPr>
                <w:rFonts w:ascii="Times New Roman" w:hAnsi="Times New Roman" w:cs="Times New Roman" w:eastAsia="Times New Roman" w:hint="default"/>
                <w:sz w:val="18"/>
                <w:szCs w:val="18"/>
              </w:rPr>
            </w:pPr>
            <w:r>
              <w:rPr>
                <w:rFonts w:ascii="Times New Roman"/>
                <w:sz w:val="18"/>
              </w:rPr>
              <w:t>395,487,</w:t>
            </w:r>
          </w:p>
          <w:p>
            <w:pPr>
              <w:pStyle w:val="TableParagraph"/>
              <w:spacing w:line="240" w:lineRule="auto" w:before="102"/>
              <w:ind w:left="152" w:right="0"/>
              <w:jc w:val="center"/>
              <w:rPr>
                <w:rFonts w:ascii="Times New Roman" w:hAnsi="Times New Roman" w:cs="Times New Roman" w:eastAsia="Times New Roman" w:hint="default"/>
                <w:sz w:val="18"/>
                <w:szCs w:val="18"/>
              </w:rPr>
            </w:pPr>
            <w:r>
              <w:rPr>
                <w:rFonts w:ascii="Times New Roman"/>
                <w:sz w:val="18"/>
              </w:rPr>
              <w:t>010.00</w:t>
            </w:r>
          </w:p>
        </w:tc>
        <w:tc>
          <w:tcPr>
            <w:tcW w:w="665"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548,369,5</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92.51</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104,720,4</w:t>
            </w:r>
          </w:p>
          <w:p>
            <w:pPr>
              <w:pStyle w:val="TableParagraph"/>
              <w:spacing w:line="240" w:lineRule="auto" w:before="102"/>
              <w:ind w:left="360" w:right="0"/>
              <w:jc w:val="left"/>
              <w:rPr>
                <w:rFonts w:ascii="Times New Roman" w:hAnsi="Times New Roman" w:cs="Times New Roman" w:eastAsia="Times New Roman" w:hint="default"/>
                <w:sz w:val="18"/>
                <w:szCs w:val="18"/>
              </w:rPr>
            </w:pPr>
            <w:r>
              <w:rPr>
                <w:rFonts w:ascii="Times New Roman"/>
                <w:sz w:val="18"/>
              </w:rPr>
              <w:t>00.00</w:t>
            </w:r>
          </w:p>
        </w:tc>
        <w:tc>
          <w:tcPr>
            <w:tcW w:w="797" w:type="dxa"/>
            <w:vMerge w:val="restart"/>
            <w:tcBorders>
              <w:top w:val="single" w:sz="4" w:space="0" w:color="000000"/>
              <w:left w:val="single" w:sz="4" w:space="0" w:color="000000"/>
              <w:right w:val="single" w:sz="4" w:space="0" w:color="000000"/>
            </w:tcBorders>
          </w:tcPr>
          <w:p>
            <w:pPr/>
          </w:p>
        </w:tc>
        <w:tc>
          <w:tcPr>
            <w:tcW w:w="799"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63,424,62</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3.62</w:t>
            </w: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before="93"/>
              <w:ind w:left="57" w:right="0"/>
              <w:jc w:val="left"/>
              <w:rPr>
                <w:rFonts w:ascii="Times New Roman" w:hAnsi="Times New Roman" w:cs="Times New Roman" w:eastAsia="Times New Roman" w:hint="default"/>
                <w:sz w:val="18"/>
                <w:szCs w:val="18"/>
              </w:rPr>
            </w:pPr>
            <w:r>
              <w:rPr>
                <w:rFonts w:ascii="Times New Roman"/>
                <w:sz w:val="18"/>
              </w:rPr>
              <w:t>453,482</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,437.27</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3"/>
              <w:ind w:left="7" w:right="0"/>
              <w:jc w:val="center"/>
              <w:rPr>
                <w:rFonts w:ascii="Times New Roman" w:hAnsi="Times New Roman" w:cs="Times New Roman" w:eastAsia="Times New Roman" w:hint="default"/>
                <w:sz w:val="18"/>
                <w:szCs w:val="18"/>
              </w:rPr>
            </w:pPr>
            <w:r>
              <w:rPr>
                <w:rFonts w:ascii="Times New Roman"/>
                <w:sz w:val="18"/>
              </w:rPr>
              <w:t>1,356,043</w:t>
            </w:r>
          </w:p>
          <w:p>
            <w:pPr>
              <w:pStyle w:val="TableParagraph"/>
              <w:spacing w:line="240" w:lineRule="auto" w:before="102"/>
              <w:ind w:left="187" w:right="0"/>
              <w:jc w:val="center"/>
              <w:rPr>
                <w:rFonts w:ascii="Times New Roman" w:hAnsi="Times New Roman" w:cs="Times New Roman" w:eastAsia="Times New Roman" w:hint="default"/>
                <w:sz w:val="18"/>
                <w:szCs w:val="18"/>
              </w:rPr>
            </w:pPr>
            <w:r>
              <w:rPr>
                <w:rFonts w:ascii="Times New Roman"/>
                <w:sz w:val="18"/>
              </w:rPr>
              <w:t>,263.40</w:t>
            </w:r>
          </w:p>
        </w:tc>
      </w:tr>
      <w:tr>
        <w:trPr>
          <w:trHeight w:val="391" w:hRule="exact"/>
        </w:trPr>
        <w:tc>
          <w:tcPr>
            <w:tcW w:w="1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7"/>
                <w:sz w:val="18"/>
                <w:szCs w:val="18"/>
              </w:rPr>
              <w:t>一、上年期末余额</w:t>
            </w:r>
          </w:p>
        </w:tc>
        <w:tc>
          <w:tcPr>
            <w:tcW w:w="702"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2"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713"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pacing w:val="-10"/>
                <w:sz w:val="18"/>
                <w:szCs w:val="18"/>
              </w:rPr>
              <w:t>加：会计政策</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变更</w:t>
            </w:r>
          </w:p>
        </w:tc>
        <w:tc>
          <w:tcPr>
            <w:tcW w:w="702"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2"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4"/>
              <w:ind w:left="1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702"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02"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63"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2" w:type="dxa"/>
            <w:vMerge w:val="restart"/>
            <w:tcBorders>
              <w:top w:val="single" w:sz="4" w:space="0" w:color="000000"/>
              <w:left w:val="single" w:sz="10" w:space="0" w:color="D2D2D2"/>
              <w:right w:val="single" w:sz="4" w:space="0" w:color="000000"/>
            </w:tcBorders>
          </w:tcPr>
          <w:p>
            <w:pPr>
              <w:pStyle w:val="TableParagraph"/>
              <w:spacing w:line="240" w:lineRule="auto" w:before="93"/>
              <w:ind w:left="16" w:right="0"/>
              <w:jc w:val="center"/>
              <w:rPr>
                <w:rFonts w:ascii="Times New Roman" w:hAnsi="Times New Roman" w:cs="Times New Roman" w:eastAsia="Times New Roman" w:hint="default"/>
                <w:sz w:val="18"/>
                <w:szCs w:val="18"/>
              </w:rPr>
            </w:pPr>
            <w:r>
              <w:rPr>
                <w:rFonts w:ascii="Times New Roman"/>
                <w:sz w:val="18"/>
              </w:rPr>
              <w:t>395,487,</w:t>
            </w:r>
          </w:p>
          <w:p>
            <w:pPr>
              <w:pStyle w:val="TableParagraph"/>
              <w:spacing w:line="240" w:lineRule="auto" w:before="103"/>
              <w:ind w:left="152" w:right="0"/>
              <w:jc w:val="center"/>
              <w:rPr>
                <w:rFonts w:ascii="Times New Roman" w:hAnsi="Times New Roman" w:cs="Times New Roman" w:eastAsia="Times New Roman" w:hint="default"/>
                <w:sz w:val="18"/>
                <w:szCs w:val="18"/>
              </w:rPr>
            </w:pPr>
            <w:r>
              <w:rPr>
                <w:rFonts w:ascii="Times New Roman"/>
                <w:sz w:val="18"/>
              </w:rPr>
              <w:t>010.00</w:t>
            </w:r>
          </w:p>
        </w:tc>
        <w:tc>
          <w:tcPr>
            <w:tcW w:w="665"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548,369,5</w:t>
            </w:r>
          </w:p>
          <w:p>
            <w:pPr>
              <w:pStyle w:val="TableParagraph"/>
              <w:spacing w:line="240" w:lineRule="auto" w:before="103"/>
              <w:ind w:left="359" w:right="0"/>
              <w:jc w:val="left"/>
              <w:rPr>
                <w:rFonts w:ascii="Times New Roman" w:hAnsi="Times New Roman" w:cs="Times New Roman" w:eastAsia="Times New Roman" w:hint="default"/>
                <w:sz w:val="18"/>
                <w:szCs w:val="18"/>
              </w:rPr>
            </w:pPr>
            <w:r>
              <w:rPr>
                <w:rFonts w:ascii="Times New Roman"/>
                <w:sz w:val="18"/>
              </w:rPr>
              <w:t>92.51</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104,720,4</w:t>
            </w:r>
          </w:p>
          <w:p>
            <w:pPr>
              <w:pStyle w:val="TableParagraph"/>
              <w:spacing w:line="240" w:lineRule="auto" w:before="103"/>
              <w:ind w:left="360" w:right="0"/>
              <w:jc w:val="left"/>
              <w:rPr>
                <w:rFonts w:ascii="Times New Roman" w:hAnsi="Times New Roman" w:cs="Times New Roman" w:eastAsia="Times New Roman" w:hint="default"/>
                <w:sz w:val="18"/>
                <w:szCs w:val="18"/>
              </w:rPr>
            </w:pPr>
            <w:r>
              <w:rPr>
                <w:rFonts w:ascii="Times New Roman"/>
                <w:sz w:val="18"/>
              </w:rPr>
              <w:t>00.00</w:t>
            </w:r>
          </w:p>
        </w:tc>
        <w:tc>
          <w:tcPr>
            <w:tcW w:w="797" w:type="dxa"/>
            <w:vMerge w:val="restart"/>
            <w:tcBorders>
              <w:top w:val="single" w:sz="4" w:space="0" w:color="000000"/>
              <w:left w:val="single" w:sz="4" w:space="0" w:color="000000"/>
              <w:right w:val="single" w:sz="4" w:space="0" w:color="000000"/>
            </w:tcBorders>
          </w:tcPr>
          <w:p>
            <w:pPr/>
          </w:p>
        </w:tc>
        <w:tc>
          <w:tcPr>
            <w:tcW w:w="799"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63,424,62</w:t>
            </w:r>
          </w:p>
          <w:p>
            <w:pPr>
              <w:pStyle w:val="TableParagraph"/>
              <w:spacing w:line="240" w:lineRule="auto" w:before="103"/>
              <w:ind w:left="451" w:right="0"/>
              <w:jc w:val="left"/>
              <w:rPr>
                <w:rFonts w:ascii="Times New Roman" w:hAnsi="Times New Roman" w:cs="Times New Roman" w:eastAsia="Times New Roman" w:hint="default"/>
                <w:sz w:val="18"/>
                <w:szCs w:val="18"/>
              </w:rPr>
            </w:pPr>
            <w:r>
              <w:rPr>
                <w:rFonts w:ascii="Times New Roman"/>
                <w:sz w:val="18"/>
              </w:rPr>
              <w:t>3.62</w:t>
            </w: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before="93"/>
              <w:ind w:left="57" w:right="0"/>
              <w:jc w:val="left"/>
              <w:rPr>
                <w:rFonts w:ascii="Times New Roman" w:hAnsi="Times New Roman" w:cs="Times New Roman" w:eastAsia="Times New Roman" w:hint="default"/>
                <w:sz w:val="18"/>
                <w:szCs w:val="18"/>
              </w:rPr>
            </w:pPr>
            <w:r>
              <w:rPr>
                <w:rFonts w:ascii="Times New Roman"/>
                <w:sz w:val="18"/>
              </w:rPr>
              <w:t>453,482</w:t>
            </w:r>
          </w:p>
          <w:p>
            <w:pPr>
              <w:pStyle w:val="TableParagraph"/>
              <w:spacing w:line="240" w:lineRule="auto" w:before="103"/>
              <w:ind w:left="103" w:right="0"/>
              <w:jc w:val="left"/>
              <w:rPr>
                <w:rFonts w:ascii="Times New Roman" w:hAnsi="Times New Roman" w:cs="Times New Roman" w:eastAsia="Times New Roman" w:hint="default"/>
                <w:sz w:val="18"/>
                <w:szCs w:val="18"/>
              </w:rPr>
            </w:pPr>
            <w:r>
              <w:rPr>
                <w:rFonts w:ascii="Times New Roman"/>
                <w:sz w:val="18"/>
              </w:rPr>
              <w:t>,437.27</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3"/>
              <w:ind w:left="7" w:right="0"/>
              <w:jc w:val="center"/>
              <w:rPr>
                <w:rFonts w:ascii="Times New Roman" w:hAnsi="Times New Roman" w:cs="Times New Roman" w:eastAsia="Times New Roman" w:hint="default"/>
                <w:sz w:val="18"/>
                <w:szCs w:val="18"/>
              </w:rPr>
            </w:pPr>
            <w:r>
              <w:rPr>
                <w:rFonts w:ascii="Times New Roman"/>
                <w:sz w:val="18"/>
              </w:rPr>
              <w:t>1,356,043</w:t>
            </w:r>
          </w:p>
          <w:p>
            <w:pPr>
              <w:pStyle w:val="TableParagraph"/>
              <w:spacing w:line="240" w:lineRule="auto" w:before="103"/>
              <w:ind w:left="187" w:right="0"/>
              <w:jc w:val="center"/>
              <w:rPr>
                <w:rFonts w:ascii="Times New Roman" w:hAnsi="Times New Roman" w:cs="Times New Roman" w:eastAsia="Times New Roman" w:hint="default"/>
                <w:sz w:val="18"/>
                <w:szCs w:val="18"/>
              </w:rPr>
            </w:pPr>
            <w:r>
              <w:rPr>
                <w:rFonts w:ascii="Times New Roman"/>
                <w:sz w:val="18"/>
              </w:rPr>
              <w:t>,263.40</w:t>
            </w:r>
          </w:p>
        </w:tc>
      </w:tr>
      <w:tr>
        <w:trPr>
          <w:trHeight w:val="392" w:hRule="exact"/>
        </w:trPr>
        <w:tc>
          <w:tcPr>
            <w:tcW w:w="1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702"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2"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1025"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2" w:right="8"/>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7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4" w:right="0"/>
              <w:jc w:val="left"/>
              <w:rPr>
                <w:rFonts w:ascii="Times New Roman" w:hAnsi="Times New Roman" w:cs="Times New Roman" w:eastAsia="Times New Roman" w:hint="default"/>
                <w:sz w:val="18"/>
                <w:szCs w:val="18"/>
              </w:rPr>
            </w:pPr>
            <w:r>
              <w:rPr>
                <w:rFonts w:ascii="Times New Roman"/>
                <w:sz w:val="18"/>
              </w:rPr>
              <w:t>29,139,8</w:t>
            </w:r>
          </w:p>
          <w:p>
            <w:pPr>
              <w:pStyle w:val="TableParagraph"/>
              <w:spacing w:line="240" w:lineRule="auto" w:before="105"/>
              <w:ind w:left="260" w:right="0"/>
              <w:jc w:val="left"/>
              <w:rPr>
                <w:rFonts w:ascii="Times New Roman" w:hAnsi="Times New Roman" w:cs="Times New Roman" w:eastAsia="Times New Roman" w:hint="default"/>
                <w:sz w:val="18"/>
                <w:szCs w:val="18"/>
              </w:rPr>
            </w:pPr>
            <w:r>
              <w:rPr>
                <w:rFonts w:ascii="Times New Roman"/>
                <w:sz w:val="18"/>
              </w:rPr>
              <w:t>95.00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516,789,3</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57.22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-29,113,7</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75.00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12,837,16</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5.66</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103,668</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,227.62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691,548,4</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20.50</w:t>
            </w:r>
          </w:p>
        </w:tc>
      </w:tr>
      <w:tr>
        <w:trPr>
          <w:trHeight w:val="715"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9"/>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702"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7" w:right="0"/>
              <w:jc w:val="left"/>
              <w:rPr>
                <w:rFonts w:ascii="Times New Roman" w:hAnsi="Times New Roman" w:cs="Times New Roman" w:eastAsia="Times New Roman" w:hint="default"/>
                <w:sz w:val="18"/>
                <w:szCs w:val="18"/>
              </w:rPr>
            </w:pPr>
            <w:r>
              <w:rPr>
                <w:rFonts w:ascii="Times New Roman"/>
                <w:sz w:val="18"/>
              </w:rPr>
              <w:t>128,371</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,656.63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8" w:right="0"/>
              <w:jc w:val="left"/>
              <w:rPr>
                <w:rFonts w:ascii="Times New Roman" w:hAnsi="Times New Roman" w:cs="Times New Roman" w:eastAsia="Times New Roman" w:hint="default"/>
                <w:sz w:val="18"/>
                <w:szCs w:val="18"/>
              </w:rPr>
            </w:pPr>
            <w:r>
              <w:rPr>
                <w:rFonts w:ascii="Times New Roman"/>
                <w:sz w:val="18"/>
              </w:rPr>
              <w:t>128,371,6</w:t>
            </w:r>
          </w:p>
          <w:p>
            <w:pPr>
              <w:pStyle w:val="TableParagraph"/>
              <w:spacing w:line="240" w:lineRule="auto" w:before="102"/>
              <w:ind w:left="343" w:right="0"/>
              <w:jc w:val="left"/>
              <w:rPr>
                <w:rFonts w:ascii="Times New Roman" w:hAnsi="Times New Roman" w:cs="Times New Roman" w:eastAsia="Times New Roman" w:hint="default"/>
                <w:sz w:val="18"/>
                <w:szCs w:val="18"/>
              </w:rPr>
            </w:pPr>
            <w:r>
              <w:rPr>
                <w:rFonts w:ascii="Times New Roman"/>
                <w:sz w:val="18"/>
              </w:rPr>
              <w:t>56.63</w:t>
            </w:r>
          </w:p>
        </w:tc>
      </w:tr>
      <w:tr>
        <w:trPr>
          <w:trHeight w:val="713"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9"/>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7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34" w:right="0"/>
              <w:jc w:val="left"/>
              <w:rPr>
                <w:rFonts w:ascii="Times New Roman" w:hAnsi="Times New Roman" w:cs="Times New Roman" w:eastAsia="Times New Roman" w:hint="default"/>
                <w:sz w:val="18"/>
                <w:szCs w:val="18"/>
              </w:rPr>
            </w:pPr>
            <w:r>
              <w:rPr>
                <w:rFonts w:ascii="Times New Roman"/>
                <w:sz w:val="18"/>
              </w:rPr>
              <w:t>29,139,8</w:t>
            </w:r>
          </w:p>
          <w:p>
            <w:pPr>
              <w:pStyle w:val="TableParagraph"/>
              <w:spacing w:line="240" w:lineRule="auto" w:before="105"/>
              <w:ind w:left="260" w:right="0"/>
              <w:jc w:val="left"/>
              <w:rPr>
                <w:rFonts w:ascii="Times New Roman" w:hAnsi="Times New Roman" w:cs="Times New Roman" w:eastAsia="Times New Roman" w:hint="default"/>
                <w:sz w:val="18"/>
                <w:szCs w:val="18"/>
              </w:rPr>
            </w:pPr>
            <w:r>
              <w:rPr>
                <w:rFonts w:ascii="Times New Roman"/>
                <w:sz w:val="18"/>
              </w:rPr>
              <w:t>95.00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516,789,3</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57.22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 w:right="0"/>
              <w:jc w:val="left"/>
              <w:rPr>
                <w:rFonts w:ascii="Times New Roman" w:hAnsi="Times New Roman" w:cs="Times New Roman" w:eastAsia="Times New Roman" w:hint="default"/>
                <w:sz w:val="18"/>
                <w:szCs w:val="18"/>
              </w:rPr>
            </w:pPr>
            <w:r>
              <w:rPr>
                <w:rFonts w:ascii="Times New Roman"/>
                <w:sz w:val="18"/>
              </w:rPr>
              <w:t>-29,113,7</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75.00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575,043,0</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27.22</w:t>
            </w:r>
          </w:p>
        </w:tc>
      </w:tr>
      <w:tr>
        <w:trPr>
          <w:trHeight w:val="716"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7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3"/>
              <w:ind w:left="34" w:right="0"/>
              <w:jc w:val="left"/>
              <w:rPr>
                <w:rFonts w:ascii="Times New Roman" w:hAnsi="Times New Roman" w:cs="Times New Roman" w:eastAsia="Times New Roman" w:hint="default"/>
                <w:sz w:val="18"/>
                <w:szCs w:val="18"/>
              </w:rPr>
            </w:pPr>
            <w:r>
              <w:rPr>
                <w:rFonts w:ascii="Times New Roman"/>
                <w:sz w:val="18"/>
              </w:rPr>
              <w:t>29,039,3</w:t>
            </w:r>
          </w:p>
          <w:p>
            <w:pPr>
              <w:pStyle w:val="TableParagraph"/>
              <w:spacing w:line="240" w:lineRule="auto" w:before="102"/>
              <w:ind w:left="260" w:right="0"/>
              <w:jc w:val="left"/>
              <w:rPr>
                <w:rFonts w:ascii="Times New Roman" w:hAnsi="Times New Roman" w:cs="Times New Roman" w:eastAsia="Times New Roman" w:hint="default"/>
                <w:sz w:val="18"/>
                <w:szCs w:val="18"/>
              </w:rPr>
            </w:pPr>
            <w:r>
              <w:rPr>
                <w:rFonts w:ascii="Times New Roman"/>
                <w:sz w:val="18"/>
              </w:rPr>
              <w:t>95.00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497,420,5</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14.53</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8" w:right="0"/>
              <w:jc w:val="left"/>
              <w:rPr>
                <w:rFonts w:ascii="Times New Roman" w:hAnsi="Times New Roman" w:cs="Times New Roman" w:eastAsia="Times New Roman" w:hint="default"/>
                <w:sz w:val="18"/>
                <w:szCs w:val="18"/>
              </w:rPr>
            </w:pPr>
            <w:r>
              <w:rPr>
                <w:rFonts w:ascii="Times New Roman"/>
                <w:sz w:val="18"/>
              </w:rPr>
              <w:t>526,459,9</w:t>
            </w:r>
          </w:p>
          <w:p>
            <w:pPr>
              <w:pStyle w:val="TableParagraph"/>
              <w:spacing w:line="240" w:lineRule="auto" w:before="102"/>
              <w:ind w:left="343" w:right="0"/>
              <w:jc w:val="left"/>
              <w:rPr>
                <w:rFonts w:ascii="Times New Roman" w:hAnsi="Times New Roman" w:cs="Times New Roman" w:eastAsia="Times New Roman" w:hint="default"/>
                <w:sz w:val="18"/>
                <w:szCs w:val="18"/>
              </w:rPr>
            </w:pPr>
            <w:r>
              <w:rPr>
                <w:rFonts w:ascii="Times New Roman"/>
                <w:sz w:val="18"/>
              </w:rPr>
              <w:t>09.53</w:t>
            </w:r>
          </w:p>
        </w:tc>
      </w:tr>
      <w:tr>
        <w:trPr>
          <w:trHeight w:val="713"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702"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12"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70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100,500.</w:t>
            </w:r>
          </w:p>
          <w:p>
            <w:pPr>
              <w:pStyle w:val="TableParagraph"/>
              <w:spacing w:line="240" w:lineRule="auto" w:before="102"/>
              <w:ind w:right="14"/>
              <w:jc w:val="righ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14,403,81</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5.50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-29,113,7</w:t>
            </w:r>
          </w:p>
          <w:p>
            <w:pPr>
              <w:pStyle w:val="TableParagraph"/>
              <w:spacing w:line="240" w:lineRule="auto" w:before="102"/>
              <w:ind w:left="360" w:right="0"/>
              <w:jc w:val="left"/>
              <w:rPr>
                <w:rFonts w:ascii="Times New Roman" w:hAnsi="Times New Roman" w:cs="Times New Roman" w:eastAsia="Times New Roman" w:hint="default"/>
                <w:sz w:val="18"/>
                <w:szCs w:val="18"/>
              </w:rPr>
            </w:pPr>
            <w:r>
              <w:rPr>
                <w:rFonts w:ascii="Times New Roman"/>
                <w:sz w:val="18"/>
              </w:rPr>
              <w:t>75.00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43,618,09</w:t>
            </w:r>
          </w:p>
          <w:p>
            <w:pPr>
              <w:pStyle w:val="TableParagraph"/>
              <w:spacing w:line="240" w:lineRule="auto" w:before="102"/>
              <w:ind w:left="434" w:right="0"/>
              <w:jc w:val="left"/>
              <w:rPr>
                <w:rFonts w:ascii="Times New Roman" w:hAnsi="Times New Roman" w:cs="Times New Roman" w:eastAsia="Times New Roman" w:hint="default"/>
                <w:sz w:val="18"/>
                <w:szCs w:val="18"/>
              </w:rPr>
            </w:pPr>
            <w:r>
              <w:rPr>
                <w:rFonts w:ascii="Times New Roman"/>
                <w:sz w:val="18"/>
              </w:rPr>
              <w:t>0.50</w:t>
            </w:r>
          </w:p>
        </w:tc>
      </w:tr>
      <w:tr>
        <w:trPr>
          <w:trHeight w:val="161"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2" w:type="dxa"/>
            <w:vMerge w:val="restart"/>
            <w:tcBorders>
              <w:top w:val="single" w:sz="4" w:space="0" w:color="000000"/>
              <w:left w:val="single" w:sz="10" w:space="0" w:color="D2D2D2"/>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4,965,027</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.19</w:t>
            </w: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9"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677"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4,965,027</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.19</w:t>
            </w:r>
          </w:p>
        </w:tc>
      </w:tr>
      <w:tr>
        <w:trPr>
          <w:trHeight w:val="391" w:hRule="exact"/>
        </w:trPr>
        <w:tc>
          <w:tcPr>
            <w:tcW w:w="1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702"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2"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163"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2" w:type="dxa"/>
            <w:vMerge w:val="restart"/>
            <w:tcBorders>
              <w:top w:val="single" w:sz="4" w:space="0" w:color="000000"/>
              <w:left w:val="single" w:sz="10" w:space="0" w:color="D2D2D2"/>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9"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12,837,16</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5.66</w:t>
            </w: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before="93"/>
              <w:ind w:left="20" w:right="0"/>
              <w:jc w:val="center"/>
              <w:rPr>
                <w:rFonts w:ascii="Times New Roman" w:hAnsi="Times New Roman" w:cs="Times New Roman" w:eastAsia="Times New Roman" w:hint="default"/>
                <w:sz w:val="18"/>
                <w:szCs w:val="18"/>
              </w:rPr>
            </w:pPr>
            <w:r>
              <w:rPr>
                <w:rFonts w:ascii="Times New Roman"/>
                <w:sz w:val="18"/>
              </w:rPr>
              <w:t>-24,703,</w:t>
            </w:r>
          </w:p>
          <w:p>
            <w:pPr>
              <w:pStyle w:val="TableParagraph"/>
              <w:spacing w:line="240" w:lineRule="auto" w:before="102"/>
              <w:ind w:left="125" w:right="0"/>
              <w:jc w:val="center"/>
              <w:rPr>
                <w:rFonts w:ascii="Times New Roman" w:hAnsi="Times New Roman" w:cs="Times New Roman" w:eastAsia="Times New Roman" w:hint="default"/>
                <w:sz w:val="18"/>
                <w:szCs w:val="18"/>
              </w:rPr>
            </w:pPr>
            <w:r>
              <w:rPr>
                <w:rFonts w:ascii="Times New Roman"/>
                <w:sz w:val="18"/>
              </w:rPr>
              <w:t>429.01</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3"/>
              <w:ind w:left="64" w:right="0"/>
              <w:jc w:val="left"/>
              <w:rPr>
                <w:rFonts w:ascii="Times New Roman" w:hAnsi="Times New Roman" w:cs="Times New Roman" w:eastAsia="Times New Roman" w:hint="default"/>
                <w:sz w:val="18"/>
                <w:szCs w:val="18"/>
              </w:rPr>
            </w:pPr>
            <w:r>
              <w:rPr>
                <w:rFonts w:ascii="Times New Roman"/>
                <w:sz w:val="18"/>
              </w:rPr>
              <w:t>-11,866,2</w:t>
            </w:r>
          </w:p>
          <w:p>
            <w:pPr>
              <w:pStyle w:val="TableParagraph"/>
              <w:spacing w:line="240" w:lineRule="auto" w:before="102"/>
              <w:ind w:left="343" w:right="0"/>
              <w:jc w:val="left"/>
              <w:rPr>
                <w:rFonts w:ascii="Times New Roman" w:hAnsi="Times New Roman" w:cs="Times New Roman" w:eastAsia="Times New Roman" w:hint="default"/>
                <w:sz w:val="18"/>
                <w:szCs w:val="18"/>
              </w:rPr>
            </w:pPr>
            <w:r>
              <w:rPr>
                <w:rFonts w:ascii="Times New Roman"/>
                <w:sz w:val="18"/>
              </w:rPr>
              <w:t>63.35</w:t>
            </w:r>
          </w:p>
        </w:tc>
      </w:tr>
      <w:tr>
        <w:trPr>
          <w:trHeight w:val="391" w:hRule="exact"/>
        </w:trPr>
        <w:tc>
          <w:tcPr>
            <w:tcW w:w="1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702"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2"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161"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2" w:type="dxa"/>
            <w:vMerge w:val="restart"/>
            <w:tcBorders>
              <w:top w:val="single" w:sz="4" w:space="0" w:color="000000"/>
              <w:left w:val="single" w:sz="10" w:space="0" w:color="D2D2D2"/>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7"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9"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12,837,16</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5.66</w:t>
            </w: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-12,837,</w:t>
            </w:r>
          </w:p>
          <w:p>
            <w:pPr>
              <w:pStyle w:val="TableParagraph"/>
              <w:spacing w:line="240" w:lineRule="auto" w:before="105"/>
              <w:ind w:left="125" w:right="0"/>
              <w:jc w:val="center"/>
              <w:rPr>
                <w:rFonts w:ascii="Times New Roman" w:hAnsi="Times New Roman" w:cs="Times New Roman" w:eastAsia="Times New Roman" w:hint="default"/>
                <w:sz w:val="18"/>
                <w:szCs w:val="18"/>
              </w:rPr>
            </w:pPr>
            <w:r>
              <w:rPr>
                <w:rFonts w:ascii="Times New Roman"/>
                <w:sz w:val="18"/>
              </w:rPr>
              <w:t>165.66</w:t>
            </w:r>
          </w:p>
        </w:tc>
        <w:tc>
          <w:tcPr>
            <w:tcW w:w="780" w:type="dxa"/>
            <w:vMerge w:val="restart"/>
            <w:tcBorders>
              <w:top w:val="single" w:sz="4" w:space="0" w:color="000000"/>
              <w:left w:val="single" w:sz="4" w:space="0" w:color="000000"/>
              <w:right w:val="single" w:sz="4" w:space="0" w:color="000000"/>
            </w:tcBorders>
          </w:tcPr>
          <w:p>
            <w:pPr/>
          </w:p>
        </w:tc>
      </w:tr>
      <w:tr>
        <w:trPr>
          <w:trHeight w:val="391" w:hRule="exact"/>
        </w:trPr>
        <w:tc>
          <w:tcPr>
            <w:tcW w:w="1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702"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7"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9"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7"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2"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7"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9"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715"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12"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702"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0" w:right="0"/>
              <w:jc w:val="left"/>
              <w:rPr>
                <w:rFonts w:ascii="Times New Roman" w:hAnsi="Times New Roman" w:cs="Times New Roman" w:eastAsia="Times New Roman" w:hint="default"/>
                <w:sz w:val="18"/>
                <w:szCs w:val="18"/>
              </w:rPr>
            </w:pPr>
            <w:r>
              <w:rPr>
                <w:rFonts w:ascii="Times New Roman"/>
                <w:sz w:val="18"/>
              </w:rPr>
              <w:t>-11,866,</w:t>
            </w:r>
          </w:p>
          <w:p>
            <w:pPr>
              <w:pStyle w:val="TableParagraph"/>
              <w:spacing w:line="240" w:lineRule="auto" w:before="102"/>
              <w:ind w:left="148" w:right="0"/>
              <w:jc w:val="left"/>
              <w:rPr>
                <w:rFonts w:ascii="Times New Roman" w:hAnsi="Times New Roman" w:cs="Times New Roman" w:eastAsia="Times New Roman" w:hint="default"/>
                <w:sz w:val="18"/>
                <w:szCs w:val="18"/>
              </w:rPr>
            </w:pPr>
            <w:r>
              <w:rPr>
                <w:rFonts w:ascii="Times New Roman"/>
                <w:sz w:val="18"/>
              </w:rPr>
              <w:t>263.35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4" w:right="0"/>
              <w:jc w:val="left"/>
              <w:rPr>
                <w:rFonts w:ascii="Times New Roman" w:hAnsi="Times New Roman" w:cs="Times New Roman" w:eastAsia="Times New Roman" w:hint="default"/>
                <w:sz w:val="18"/>
                <w:szCs w:val="18"/>
              </w:rPr>
            </w:pPr>
            <w:r>
              <w:rPr>
                <w:rFonts w:ascii="Times New Roman"/>
                <w:sz w:val="18"/>
              </w:rPr>
              <w:t>-11,866,2</w:t>
            </w:r>
          </w:p>
          <w:p>
            <w:pPr>
              <w:pStyle w:val="TableParagraph"/>
              <w:spacing w:line="240" w:lineRule="auto" w:before="102"/>
              <w:ind w:left="343" w:right="0"/>
              <w:jc w:val="left"/>
              <w:rPr>
                <w:rFonts w:ascii="Times New Roman" w:hAnsi="Times New Roman" w:cs="Times New Roman" w:eastAsia="Times New Roman" w:hint="default"/>
                <w:sz w:val="18"/>
                <w:szCs w:val="18"/>
              </w:rPr>
            </w:pPr>
            <w:r>
              <w:rPr>
                <w:rFonts w:ascii="Times New Roman"/>
                <w:sz w:val="18"/>
              </w:rPr>
              <w:t>63.35</w:t>
            </w:r>
          </w:p>
        </w:tc>
      </w:tr>
      <w:tr>
        <w:trPr>
          <w:trHeight w:val="401"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702"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2" w:right="9"/>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702"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702"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w:t>
            </w:r>
          </w:p>
        </w:tc>
        <w:tc>
          <w:tcPr>
            <w:tcW w:w="702"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9"/>
        <w:gridCol w:w="691"/>
        <w:gridCol w:w="665"/>
        <w:gridCol w:w="667"/>
        <w:gridCol w:w="665"/>
        <w:gridCol w:w="797"/>
        <w:gridCol w:w="797"/>
        <w:gridCol w:w="797"/>
        <w:gridCol w:w="799"/>
        <w:gridCol w:w="797"/>
        <w:gridCol w:w="677"/>
        <w:gridCol w:w="780"/>
      </w:tblGrid>
      <w:tr>
        <w:trPr>
          <w:trHeight w:val="36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424,626,</w:t>
            </w:r>
          </w:p>
          <w:p>
            <w:pPr>
              <w:pStyle w:val="TableParagraph"/>
              <w:spacing w:line="240" w:lineRule="auto" w:before="105"/>
              <w:ind w:left="149" w:right="0"/>
              <w:jc w:val="center"/>
              <w:rPr>
                <w:rFonts w:ascii="Times New Roman" w:hAnsi="Times New Roman" w:cs="Times New Roman" w:eastAsia="Times New Roman" w:hint="default"/>
                <w:sz w:val="18"/>
                <w:szCs w:val="18"/>
              </w:rPr>
            </w:pPr>
            <w:r>
              <w:rPr>
                <w:rFonts w:ascii="Times New Roman"/>
                <w:sz w:val="18"/>
              </w:rPr>
              <w:t>905.00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7"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1,065,158</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,949.73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75,606,62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5.00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76,261,78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9.28</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557,150</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,664.89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2,047,591</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,683.90</w:t>
            </w:r>
          </w:p>
        </w:tc>
      </w:tr>
    </w:tbl>
    <w:p>
      <w:pPr>
        <w:spacing w:line="240" w:lineRule="auto" w:before="6"/>
        <w:rPr>
          <w:rFonts w:ascii="Times New Roman" w:hAnsi="Times New Roman" w:cs="Times New Roman" w:eastAsia="Times New Roman" w:hint="default"/>
          <w:sz w:val="20"/>
          <w:szCs w:val="20"/>
        </w:rPr>
      </w:pPr>
    </w:p>
    <w:p>
      <w:pPr>
        <w:pStyle w:val="Heading2"/>
        <w:spacing w:line="240" w:lineRule="auto" w:before="26"/>
        <w:ind w:right="0"/>
        <w:jc w:val="both"/>
        <w:rPr>
          <w:b w:val="0"/>
          <w:bCs w:val="0"/>
        </w:rPr>
      </w:pPr>
      <w:r>
        <w:rPr/>
        <w:t>三、公司基本情况</w:t>
      </w:r>
      <w:r>
        <w:rPr>
          <w:b w:val="0"/>
          <w:bCs w:val="0"/>
        </w:rPr>
      </w:r>
    </w:p>
    <w:p>
      <w:pPr>
        <w:spacing w:line="240" w:lineRule="auto" w:before="11"/>
        <w:rPr>
          <w:rFonts w:ascii="宋体" w:hAnsi="宋体" w:cs="宋体" w:eastAsia="宋体" w:hint="default"/>
          <w:b/>
          <w:bCs/>
          <w:sz w:val="28"/>
          <w:szCs w:val="28"/>
        </w:rPr>
      </w:pPr>
    </w:p>
    <w:p>
      <w:pPr>
        <w:pStyle w:val="BodyText"/>
        <w:spacing w:line="357" w:lineRule="auto" w:before="0"/>
        <w:ind w:right="1049" w:firstLine="480"/>
        <w:jc w:val="both"/>
      </w:pPr>
      <w:r>
        <w:rPr/>
        <w:t>北京数字政通科技股份有限公司（以下简称本公司、公司）原名北京数字通图科技有限 公司，成立于</w:t>
      </w:r>
      <w:r>
        <w:rPr>
          <w:rFonts w:ascii="宋体" w:hAnsi="宋体" w:cs="宋体" w:eastAsia="宋体" w:hint="default"/>
        </w:rPr>
        <w:t>2001</w:t>
      </w:r>
      <w:r>
        <w:rPr/>
        <w:t>年</w:t>
      </w:r>
      <w:r>
        <w:rPr>
          <w:rFonts w:ascii="宋体" w:hAnsi="宋体" w:cs="宋体" w:eastAsia="宋体" w:hint="default"/>
        </w:rPr>
        <w:t>11</w:t>
      </w:r>
      <w:r>
        <w:rPr/>
        <w:t>月</w:t>
      </w:r>
      <w:r>
        <w:rPr>
          <w:rFonts w:ascii="宋体" w:hAnsi="宋体" w:cs="宋体" w:eastAsia="宋体" w:hint="default"/>
        </w:rPr>
        <w:t>6</w:t>
      </w:r>
      <w:r>
        <w:rPr/>
        <w:t>日，</w:t>
      </w:r>
      <w:r>
        <w:rPr>
          <w:rFonts w:ascii="宋体" w:hAnsi="宋体" w:cs="宋体" w:eastAsia="宋体" w:hint="default"/>
        </w:rPr>
        <w:t>2003</w:t>
      </w:r>
      <w:r>
        <w:rPr/>
        <w:t>年</w:t>
      </w:r>
      <w:r>
        <w:rPr>
          <w:rFonts w:ascii="宋体" w:hAnsi="宋体" w:cs="宋体" w:eastAsia="宋体" w:hint="default"/>
        </w:rPr>
        <w:t>3</w:t>
      </w:r>
      <w:r>
        <w:rPr/>
        <w:t>月</w:t>
      </w:r>
      <w:r>
        <w:rPr>
          <w:rFonts w:ascii="宋体" w:hAnsi="宋体" w:cs="宋体" w:eastAsia="宋体" w:hint="default"/>
        </w:rPr>
        <w:t>7</w:t>
      </w:r>
      <w:r>
        <w:rPr/>
        <w:t>日更名为北京数字政通科技有限公司。</w:t>
      </w:r>
      <w:r>
        <w:rPr>
          <w:rFonts w:ascii="宋体" w:hAnsi="宋体" w:cs="宋体" w:eastAsia="宋体" w:hint="default"/>
        </w:rPr>
        <w:t>2009</w:t>
      </w:r>
      <w:r>
        <w:rPr/>
        <w:t>年</w:t>
      </w:r>
      <w:r>
        <w:rPr>
          <w:rFonts w:ascii="宋体" w:hAnsi="宋体" w:cs="宋体" w:eastAsia="宋体" w:hint="default"/>
        </w:rPr>
        <w:t>6</w:t>
      </w:r>
      <w:r>
        <w:rPr/>
        <w:t>月</w:t>
      </w:r>
      <w:r>
        <w:rPr>
          <w:spacing w:val="-87"/>
        </w:rPr>
        <w:t> </w:t>
      </w:r>
      <w:r>
        <w:rPr>
          <w:rFonts w:ascii="宋体" w:hAnsi="宋体" w:cs="宋体" w:eastAsia="宋体" w:hint="default"/>
          <w:spacing w:val="-2"/>
        </w:rPr>
        <w:t>10</w:t>
      </w:r>
      <w:r>
        <w:rPr>
          <w:spacing w:val="-2"/>
        </w:rPr>
        <w:t>日整体变更为股份有限公司，更名为北京数字政通科技股份有限公司。</w:t>
      </w:r>
      <w:r>
        <w:rPr>
          <w:rFonts w:ascii="宋体" w:hAnsi="宋体" w:cs="宋体" w:eastAsia="宋体" w:hint="default"/>
          <w:spacing w:val="-2"/>
        </w:rPr>
        <w:t>2010</w:t>
      </w:r>
      <w:r>
        <w:rPr>
          <w:spacing w:val="-2"/>
        </w:rPr>
        <w:t>年</w:t>
      </w:r>
      <w:r>
        <w:rPr>
          <w:rFonts w:ascii="宋体" w:hAnsi="宋体" w:cs="宋体" w:eastAsia="宋体" w:hint="default"/>
          <w:spacing w:val="-2"/>
        </w:rPr>
        <w:t>4</w:t>
      </w:r>
      <w:r>
        <w:rPr>
          <w:spacing w:val="-2"/>
        </w:rPr>
        <w:t>月</w:t>
      </w:r>
      <w:r>
        <w:rPr>
          <w:rFonts w:ascii="宋体" w:hAnsi="宋体" w:cs="宋体" w:eastAsia="宋体" w:hint="default"/>
          <w:spacing w:val="-2"/>
        </w:rPr>
        <w:t>14</w:t>
      </w:r>
      <w:r>
        <w:rPr>
          <w:spacing w:val="-2"/>
        </w:rPr>
        <w:t>日公司</w:t>
      </w:r>
      <w:r>
        <w:rPr>
          <w:spacing w:val="-111"/>
        </w:rPr>
        <w:t> </w:t>
      </w:r>
      <w:r>
        <w:rPr/>
        <w:t>向社会公众公开发行流通股</w:t>
      </w:r>
      <w:r>
        <w:rPr>
          <w:rFonts w:ascii="宋体" w:hAnsi="宋体" w:cs="宋体" w:eastAsia="宋体" w:hint="default"/>
        </w:rPr>
        <w:t>1,400</w:t>
      </w:r>
      <w:r>
        <w:rPr/>
        <w:t>万股，并在深圳证券交易所上市交易，股票代码为</w:t>
      </w:r>
      <w:r>
        <w:rPr>
          <w:rFonts w:ascii="宋体" w:hAnsi="宋体" w:cs="宋体" w:eastAsia="宋体" w:hint="default"/>
        </w:rPr>
        <w:t>300075</w:t>
      </w:r>
      <w:r>
        <w:rPr/>
        <w:t>。</w:t>
      </w:r>
    </w:p>
    <w:p>
      <w:pPr>
        <w:pStyle w:val="BodyText"/>
        <w:spacing w:line="357" w:lineRule="auto"/>
        <w:ind w:right="1129" w:firstLine="480"/>
        <w:jc w:val="both"/>
      </w:pPr>
      <w:r>
        <w:rPr/>
        <w:t>公司统一社会信用代码：</w:t>
      </w:r>
      <w:r>
        <w:rPr>
          <w:rFonts w:ascii="宋体" w:hAnsi="宋体" w:cs="宋体" w:eastAsia="宋体" w:hint="default"/>
        </w:rPr>
        <w:t>91110000801160143K</w:t>
      </w:r>
      <w:r>
        <w:rPr/>
        <w:t>，法定代表人：吴强华，注册地址：北京 </w:t>
      </w:r>
      <w:r>
        <w:rPr>
          <w:spacing w:val="-2"/>
        </w:rPr>
        <w:t>市海淀区西直门北大街</w:t>
      </w:r>
      <w:r>
        <w:rPr>
          <w:rFonts w:ascii="宋体" w:hAnsi="宋体" w:cs="宋体" w:eastAsia="宋体" w:hint="default"/>
          <w:spacing w:val="-2"/>
        </w:rPr>
        <w:t>32</w:t>
      </w:r>
      <w:r>
        <w:rPr>
          <w:spacing w:val="-2"/>
        </w:rPr>
        <w:t>号枫蓝国际中心</w:t>
      </w:r>
      <w:r>
        <w:rPr>
          <w:rFonts w:ascii="宋体" w:hAnsi="宋体" w:cs="宋体" w:eastAsia="宋体" w:hint="default"/>
          <w:spacing w:val="-2"/>
        </w:rPr>
        <w:t>A</w:t>
      </w:r>
      <w:r>
        <w:rPr>
          <w:spacing w:val="-2"/>
        </w:rPr>
        <w:t>座</w:t>
      </w:r>
      <w:r>
        <w:rPr>
          <w:rFonts w:ascii="宋体" w:hAnsi="宋体" w:cs="宋体" w:eastAsia="宋体" w:hint="default"/>
          <w:spacing w:val="-2"/>
        </w:rPr>
        <w:t>18</w:t>
      </w:r>
      <w:r>
        <w:rPr>
          <w:spacing w:val="-2"/>
        </w:rPr>
        <w:t>层</w:t>
      </w:r>
      <w:r>
        <w:rPr>
          <w:rFonts w:ascii="宋体" w:hAnsi="宋体" w:cs="宋体" w:eastAsia="宋体" w:hint="default"/>
          <w:spacing w:val="-2"/>
        </w:rPr>
        <w:t>1805</w:t>
      </w:r>
      <w:r>
        <w:rPr>
          <w:spacing w:val="-2"/>
        </w:rPr>
        <w:t>室，办公地址：北京市海淀区中关村软</w:t>
      </w:r>
      <w:r>
        <w:rPr>
          <w:spacing w:val="-112"/>
        </w:rPr>
        <w:t> </w:t>
      </w:r>
      <w:r>
        <w:rPr>
          <w:spacing w:val="-112"/>
        </w:rPr>
      </w:r>
      <w:r>
        <w:rPr/>
        <w:t>件园 </w:t>
      </w:r>
      <w:r>
        <w:rPr>
          <w:rFonts w:ascii="宋体" w:hAnsi="宋体" w:cs="宋体" w:eastAsia="宋体" w:hint="default"/>
        </w:rPr>
        <w:t>9 </w:t>
      </w:r>
      <w:r>
        <w:rPr/>
        <w:t>号楼国际软件大厦三区 </w:t>
      </w:r>
      <w:r>
        <w:rPr>
          <w:rFonts w:ascii="宋体" w:hAnsi="宋体" w:cs="宋体" w:eastAsia="宋体" w:hint="default"/>
        </w:rPr>
        <w:t>101 </w:t>
      </w:r>
      <w:r>
        <w:rPr/>
        <w:t>室。</w:t>
      </w:r>
    </w:p>
    <w:p>
      <w:pPr>
        <w:pStyle w:val="BodyText"/>
        <w:spacing w:line="357" w:lineRule="auto"/>
        <w:ind w:left="633" w:right="982"/>
        <w:jc w:val="left"/>
      </w:pPr>
      <w:r>
        <w:rPr/>
        <w:t>截至</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日，公司股本总数为</w:t>
      </w:r>
      <w:r>
        <w:rPr>
          <w:rFonts w:ascii="宋体" w:hAnsi="宋体" w:cs="宋体" w:eastAsia="宋体" w:hint="default"/>
        </w:rPr>
        <w:t>424,340,905</w:t>
      </w:r>
      <w:r>
        <w:rPr/>
        <w:t>股。 公司主要经营专业智慧城市应用软件的开发和销售，并提供技术支持和后续服务，是国</w:t>
      </w:r>
    </w:p>
    <w:p>
      <w:pPr>
        <w:pStyle w:val="BodyText"/>
        <w:spacing w:line="357" w:lineRule="auto" w:before="34"/>
        <w:ind w:right="1129"/>
        <w:jc w:val="both"/>
      </w:pPr>
      <w:r>
        <w:rPr/>
        <w:t>内知名度较高、市场份额领先的智慧城市应用软件开发商和全面解决方案供应商之一。公司</w:t>
      </w:r>
      <w:r>
        <w:rPr>
          <w:spacing w:val="-91"/>
        </w:rPr>
        <w:t> </w:t>
      </w:r>
      <w:r>
        <w:rPr>
          <w:spacing w:val="-91"/>
        </w:rPr>
      </w:r>
      <w:r>
        <w:rPr>
          <w:spacing w:val="-2"/>
        </w:rPr>
        <w:t>以具有其特色的“网格化</w:t>
      </w:r>
      <w:r>
        <w:rPr>
          <w:rFonts w:ascii="宋体" w:hAnsi="宋体" w:cs="宋体" w:eastAsia="宋体" w:hint="default"/>
          <w:spacing w:val="-2"/>
        </w:rPr>
        <w:t>+</w:t>
      </w:r>
      <w:r>
        <w:rPr>
          <w:spacing w:val="-2"/>
        </w:rPr>
        <w:t>”智慧城市建设模式为核心，业务涉及智慧城市管理、智慧综合行</w:t>
      </w:r>
      <w:r>
        <w:rPr/>
        <w:t> 政执法管理、智慧社会综合治理、智慧水利管理、智慧环保、智慧城市管网、智慧城市数据</w:t>
      </w:r>
      <w:r>
        <w:rPr>
          <w:spacing w:val="-91"/>
        </w:rPr>
        <w:t> </w:t>
      </w:r>
      <w:r>
        <w:rPr>
          <w:spacing w:val="-91"/>
        </w:rPr>
      </w:r>
      <w:r>
        <w:rPr/>
        <w:t>运营服务、智慧国土资源和城市规划管理、以及新一代多网融合电子政务系统等智慧城市建</w:t>
      </w:r>
      <w:r>
        <w:rPr>
          <w:spacing w:val="-91"/>
        </w:rPr>
        <w:t> </w:t>
      </w:r>
      <w:r>
        <w:rPr>
          <w:spacing w:val="-91"/>
        </w:rPr>
      </w:r>
      <w:r>
        <w:rPr/>
        <w:t>设领域。</w:t>
      </w:r>
    </w:p>
    <w:p>
      <w:pPr>
        <w:pStyle w:val="BodyText"/>
        <w:spacing w:line="357" w:lineRule="auto"/>
        <w:ind w:right="982" w:firstLine="480"/>
        <w:jc w:val="left"/>
      </w:pPr>
      <w:r>
        <w:rPr>
          <w:spacing w:val="-3"/>
        </w:rPr>
        <w:t>公司经营范围：技术开发、技术转让、技术服务、技术咨询、技术推广；基础软件服务、</w:t>
      </w:r>
      <w:r>
        <w:rPr/>
        <w:t> 应用软件服务、产品设计；计算机系统服务；数据处理；出租办公用房；机械设备租赁；经</w:t>
      </w:r>
      <w:r>
        <w:rPr>
          <w:spacing w:val="-91"/>
        </w:rPr>
        <w:t> </w:t>
      </w:r>
      <w:r>
        <w:rPr>
          <w:spacing w:val="-91"/>
        </w:rPr>
      </w:r>
      <w:r>
        <w:rPr/>
        <w:t>济贸易咨询；投资咨询；项目投资；投资管理；资产管理；货物进出口、技术进出口、代理</w:t>
      </w:r>
    </w:p>
    <w:p>
      <w:pPr>
        <w:spacing w:after="0" w:line="357"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left="633" w:right="982" w:hanging="481"/>
        <w:jc w:val="left"/>
      </w:pPr>
      <w:r>
        <w:rPr/>
        <w:t>进出口；销售通讯设备、电子产品、计算机、软件及辅助设备、汽车；专业承包。 本财务报表业经本公司董事会于</w:t>
      </w:r>
      <w:r>
        <w:rPr>
          <w:rFonts w:ascii="宋体" w:hAnsi="宋体" w:cs="宋体" w:eastAsia="宋体" w:hint="default"/>
        </w:rPr>
        <w:t>2019</w:t>
      </w:r>
      <w:r>
        <w:rPr/>
        <w:t>年</w:t>
      </w:r>
      <w:r>
        <w:rPr>
          <w:rFonts w:ascii="宋体" w:hAnsi="宋体" w:cs="宋体" w:eastAsia="宋体" w:hint="default"/>
        </w:rPr>
        <w:t>4</w:t>
      </w:r>
      <w:r>
        <w:rPr/>
        <w:t>月</w:t>
      </w:r>
      <w:r>
        <w:rPr>
          <w:rFonts w:ascii="宋体" w:hAnsi="宋体" w:cs="宋体" w:eastAsia="宋体" w:hint="default"/>
        </w:rPr>
        <w:t>23</w:t>
      </w:r>
      <w:r>
        <w:rPr/>
        <w:t>日审议批准报出。 本公司合并财务报表的合并范围以控制为基础确定，包括本公司及全部子公司的财务报</w:t>
      </w:r>
    </w:p>
    <w:p>
      <w:pPr>
        <w:pStyle w:val="BodyText"/>
        <w:spacing w:line="357" w:lineRule="auto"/>
        <w:ind w:right="982"/>
        <w:jc w:val="left"/>
      </w:pPr>
      <w:r>
        <w:rPr>
          <w:spacing w:val="6"/>
        </w:rPr>
        <w:t>表。本期合并财务报表范围及其变化情况详见“合并范围的变更”和“在其他主体中的权</w:t>
      </w:r>
      <w:r>
        <w:rPr>
          <w:spacing w:val="-91"/>
        </w:rPr>
        <w:t> </w:t>
      </w:r>
      <w:r>
        <w:rPr>
          <w:spacing w:val="-91"/>
        </w:rPr>
      </w:r>
      <w:r>
        <w:rPr/>
        <w:t>益”。</w:t>
      </w:r>
    </w:p>
    <w:p>
      <w:pPr>
        <w:spacing w:line="240" w:lineRule="auto" w:before="11"/>
        <w:rPr>
          <w:rFonts w:ascii="宋体" w:hAnsi="宋体" w:cs="宋体" w:eastAsia="宋体" w:hint="default"/>
          <w:sz w:val="19"/>
          <w:szCs w:val="19"/>
        </w:rPr>
      </w:pPr>
    </w:p>
    <w:p>
      <w:pPr>
        <w:pStyle w:val="Heading2"/>
        <w:spacing w:line="240" w:lineRule="auto"/>
        <w:ind w:right="982"/>
        <w:jc w:val="left"/>
        <w:rPr>
          <w:b w:val="0"/>
          <w:bCs w:val="0"/>
        </w:rPr>
      </w:pPr>
      <w:r>
        <w:rPr/>
        <w:t>四、财务报表的编制基础</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、编制基础</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right="1139" w:firstLine="480"/>
        <w:jc w:val="both"/>
      </w:pPr>
      <w:r>
        <w:rPr/>
        <w:t>公司以持续经营为财务报表的编制基础，以权责发生制为记账基础。公司一般采用历史 成本对会计要素进行计量，在保证所确定的会计要素金额能够取得并可靠计量的前提下采用</w:t>
      </w:r>
      <w:r>
        <w:rPr>
          <w:spacing w:val="-91"/>
        </w:rPr>
        <w:t> </w:t>
      </w:r>
      <w:r>
        <w:rPr>
          <w:spacing w:val="-91"/>
        </w:rPr>
      </w:r>
      <w:r>
        <w:rPr/>
        <w:t>重置成本、可变现净值、现值及公允价值进行计量。</w:t>
      </w:r>
    </w:p>
    <w:p>
      <w:pPr>
        <w:spacing w:line="240" w:lineRule="auto" w:before="10"/>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、持续经营</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138" w:firstLine="480"/>
        <w:jc w:val="both"/>
      </w:pPr>
      <w:r>
        <w:rPr/>
        <w:t>公司不存在可能导致对公司自报告期末起</w:t>
      </w:r>
      <w:r>
        <w:rPr>
          <w:rFonts w:ascii="宋体" w:hAnsi="宋体" w:cs="宋体" w:eastAsia="宋体" w:hint="default"/>
        </w:rPr>
        <w:t>12</w:t>
      </w:r>
      <w:r>
        <w:rPr/>
        <w:t>个月的持续经营能力产生重大疑虑的事项或 情况。</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19"/>
          <w:szCs w:val="19"/>
        </w:rPr>
      </w:pPr>
    </w:p>
    <w:p>
      <w:pPr>
        <w:pStyle w:val="Heading2"/>
        <w:spacing w:line="240" w:lineRule="auto"/>
        <w:ind w:right="982"/>
        <w:jc w:val="left"/>
        <w:rPr>
          <w:b w:val="0"/>
          <w:bCs w:val="0"/>
        </w:rPr>
      </w:pPr>
      <w:r>
        <w:rPr/>
        <w:t>五、重要会计政策及会计估计</w:t>
      </w:r>
      <w:r>
        <w:rPr>
          <w:b w:val="0"/>
          <w:bCs w:val="0"/>
        </w:rPr>
      </w:r>
    </w:p>
    <w:p>
      <w:pPr>
        <w:spacing w:line="240" w:lineRule="auto" w:before="4"/>
        <w:rPr>
          <w:rFonts w:ascii="宋体" w:hAnsi="宋体" w:cs="宋体" w:eastAsia="宋体" w:hint="default"/>
          <w:b/>
          <w:bCs/>
          <w:sz w:val="26"/>
          <w:szCs w:val="26"/>
        </w:rPr>
      </w:pPr>
    </w:p>
    <w:p>
      <w:pPr>
        <w:spacing w:line="360" w:lineRule="auto" w:before="0"/>
        <w:ind w:left="152" w:right="7694"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line="360" w:lineRule="auto" w:before="25"/>
        <w:ind w:left="152" w:right="7694" w:firstLine="0"/>
        <w:jc w:val="left"/>
        <w:rPr>
          <w:rFonts w:ascii="宋体" w:hAnsi="宋体" w:cs="宋体" w:eastAsia="宋体" w:hint="default"/>
          <w:sz w:val="18"/>
          <w:szCs w:val="18"/>
        </w:rPr>
      </w:pPr>
      <w:r>
        <w:rPr>
          <w:rFonts w:ascii="宋体" w:hAnsi="宋体" w:cs="宋体" w:eastAsia="宋体" w:hint="default"/>
          <w:sz w:val="18"/>
          <w:szCs w:val="18"/>
        </w:rPr>
        <w:t>软件与信息技术服务业 具体会计政策和会计估计提示：</w:t>
      </w:r>
    </w:p>
    <w:p>
      <w:pPr>
        <w:spacing w:line="240" w:lineRule="auto" w:before="5"/>
        <w:rPr>
          <w:rFonts w:ascii="宋体" w:hAnsi="宋体" w:cs="宋体" w:eastAsia="宋体" w:hint="default"/>
          <w:sz w:val="20"/>
          <w:szCs w:val="20"/>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、遵循企业会计准则的声明</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133" w:firstLine="480"/>
        <w:jc w:val="both"/>
      </w:pPr>
      <w:r>
        <w:rPr/>
        <w:t>公司财务报表及附注系按财政部颁布的《企业会计准则》、应用指南、企业会计准则解</w:t>
      </w:r>
      <w:hyperlink r:id="rId36">
        <w:r>
          <w:rPr/>
          <w:t> 释、中国证券监督管理委员会</w:t>
        </w:r>
      </w:hyperlink>
      <w:r>
        <w:rPr/>
        <w:t>发布的《公开发行证券的公司信息披露编报规则第</w:t>
      </w:r>
      <w:r>
        <w:rPr>
          <w:rFonts w:ascii="宋体" w:hAnsi="宋体" w:cs="宋体" w:eastAsia="宋体" w:hint="default"/>
        </w:rPr>
        <w:t>15</w:t>
      </w:r>
      <w:r>
        <w:rPr/>
        <w:t>号—财务</w:t>
      </w:r>
      <w:r>
        <w:rPr>
          <w:spacing w:val="-88"/>
        </w:rPr>
        <w:t> </w:t>
      </w:r>
      <w:r>
        <w:rPr>
          <w:spacing w:val="-88"/>
        </w:rPr>
      </w:r>
      <w:r>
        <w:rPr/>
        <w:t>报告的一般规定</w:t>
      </w:r>
      <w:r>
        <w:rPr>
          <w:rFonts w:ascii="宋体" w:hAnsi="宋体" w:cs="宋体" w:eastAsia="宋体" w:hint="default"/>
        </w:rPr>
        <w:t>[2014</w:t>
      </w:r>
      <w:r>
        <w:rPr/>
        <w:t>年修订</w:t>
      </w:r>
      <w:r>
        <w:rPr>
          <w:rFonts w:ascii="宋体" w:hAnsi="宋体" w:cs="宋体" w:eastAsia="宋体" w:hint="default"/>
        </w:rPr>
        <w:t>]</w:t>
      </w:r>
      <w:r>
        <w:rPr/>
        <w:t>》以及相关补充规定的要求编制，真实、完整地反映了本公司</w:t>
      </w:r>
      <w:r>
        <w:rPr>
          <w:spacing w:val="-90"/>
        </w:rPr>
        <w:t> </w:t>
      </w:r>
      <w:r>
        <w:rPr>
          <w:spacing w:val="-90"/>
        </w:rPr>
      </w:r>
      <w:r>
        <w:rPr/>
        <w:t>的财务状况、经营成果和现金流量等有关信息。</w:t>
      </w:r>
    </w:p>
    <w:p>
      <w:pPr>
        <w:spacing w:line="240" w:lineRule="auto" w:before="10"/>
        <w:rPr>
          <w:rFonts w:ascii="宋体" w:hAnsi="宋体" w:cs="宋体" w:eastAsia="宋体" w:hint="default"/>
          <w:sz w:val="21"/>
          <w:szCs w:val="21"/>
        </w:rPr>
      </w:pPr>
    </w:p>
    <w:p>
      <w:pPr>
        <w:spacing w:line="506" w:lineRule="auto" w:before="0"/>
        <w:ind w:left="152" w:right="647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、会计期间</w:t>
      </w:r>
      <w:r>
        <w:rPr>
          <w:rFonts w:ascii="宋体" w:hAnsi="宋体" w:cs="宋体" w:eastAsia="宋体" w:hint="default"/>
          <w:b/>
          <w:bCs/>
          <w:spacing w:val="-104"/>
          <w:sz w:val="21"/>
          <w:szCs w:val="21"/>
        </w:rPr>
        <w:t> </w:t>
      </w:r>
      <w:r>
        <w:rPr>
          <w:rFonts w:ascii="宋体" w:hAnsi="宋体" w:cs="宋体" w:eastAsia="宋体" w:hint="default"/>
          <w:spacing w:val="-2"/>
          <w:sz w:val="21"/>
          <w:szCs w:val="21"/>
        </w:rPr>
        <w:t>会计年度自公历</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日起至</w:t>
      </w:r>
      <w:r>
        <w:rPr>
          <w:rFonts w:ascii="Times New Roman" w:hAnsi="Times New Roman" w:cs="Times New Roman" w:eastAsia="Times New Roman" w:hint="default"/>
          <w:spacing w:val="-2"/>
          <w:sz w:val="21"/>
          <w:szCs w:val="21"/>
        </w:rPr>
        <w:t>12</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31</w:t>
      </w:r>
      <w:r>
        <w:rPr>
          <w:rFonts w:ascii="宋体" w:hAnsi="宋体" w:cs="宋体" w:eastAsia="宋体" w:hint="default"/>
          <w:spacing w:val="-2"/>
          <w:sz w:val="21"/>
          <w:szCs w:val="21"/>
        </w:rPr>
        <w:t>日止。</w:t>
      </w:r>
    </w:p>
    <w:p>
      <w:pPr>
        <w:spacing w:after="0" w:line="506" w:lineRule="auto"/>
        <w:jc w:val="left"/>
        <w:rPr>
          <w:rFonts w:ascii="宋体" w:hAnsi="宋体" w:cs="宋体" w:eastAsia="宋体" w:hint="default"/>
          <w:sz w:val="21"/>
          <w:szCs w:val="21"/>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506" w:lineRule="auto" w:before="187"/>
        <w:ind w:left="152" w:right="769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、营业周期</w:t>
      </w:r>
      <w:r>
        <w:rPr>
          <w:rFonts w:ascii="宋体" w:hAnsi="宋体" w:cs="宋体" w:eastAsia="宋体" w:hint="default"/>
          <w:b/>
          <w:bCs/>
          <w:spacing w:val="-104"/>
          <w:sz w:val="21"/>
          <w:szCs w:val="21"/>
        </w:rPr>
        <w:t> </w:t>
      </w:r>
      <w:r>
        <w:rPr>
          <w:rFonts w:ascii="宋体" w:hAnsi="宋体" w:cs="宋体" w:eastAsia="宋体" w:hint="default"/>
          <w:spacing w:val="-2"/>
          <w:sz w:val="21"/>
          <w:szCs w:val="21"/>
        </w:rPr>
        <w:t>本公司营业周期为</w:t>
      </w:r>
      <w:r>
        <w:rPr>
          <w:rFonts w:ascii="Times New Roman" w:hAnsi="Times New Roman" w:cs="Times New Roman" w:eastAsia="Times New Roman" w:hint="default"/>
          <w:spacing w:val="-2"/>
          <w:sz w:val="21"/>
          <w:szCs w:val="21"/>
        </w:rPr>
        <w:t>12</w:t>
      </w:r>
      <w:r>
        <w:rPr>
          <w:rFonts w:ascii="宋体" w:hAnsi="宋体" w:cs="宋体" w:eastAsia="宋体" w:hint="default"/>
          <w:spacing w:val="-2"/>
          <w:sz w:val="21"/>
          <w:szCs w:val="21"/>
        </w:rPr>
        <w:t>个月。</w:t>
      </w:r>
    </w:p>
    <w:p>
      <w:pPr>
        <w:spacing w:line="240" w:lineRule="auto" w:before="9"/>
        <w:rPr>
          <w:rFonts w:ascii="宋体" w:hAnsi="宋体" w:cs="宋体" w:eastAsia="宋体" w:hint="default"/>
          <w:sz w:val="28"/>
          <w:szCs w:val="28"/>
        </w:rPr>
      </w:pPr>
    </w:p>
    <w:p>
      <w:pPr>
        <w:spacing w:line="506" w:lineRule="auto" w:before="0"/>
        <w:ind w:left="152" w:right="938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、记账本位币</w:t>
      </w:r>
      <w:r>
        <w:rPr>
          <w:rFonts w:ascii="宋体" w:hAnsi="宋体" w:cs="宋体" w:eastAsia="宋体" w:hint="default"/>
          <w:b/>
          <w:bCs/>
          <w:spacing w:val="-103"/>
          <w:sz w:val="21"/>
          <w:szCs w:val="21"/>
        </w:rPr>
        <w:t> </w:t>
      </w:r>
      <w:r>
        <w:rPr>
          <w:rFonts w:ascii="宋体" w:hAnsi="宋体" w:cs="宋体" w:eastAsia="宋体" w:hint="default"/>
          <w:sz w:val="21"/>
          <w:szCs w:val="21"/>
        </w:rPr>
        <w:t>人民币元。</w:t>
      </w:r>
    </w:p>
    <w:p>
      <w:pPr>
        <w:spacing w:line="240" w:lineRule="auto" w:before="0"/>
        <w:rPr>
          <w:rFonts w:ascii="宋体" w:hAnsi="宋体" w:cs="宋体" w:eastAsia="宋体" w:hint="default"/>
          <w:sz w:val="20"/>
          <w:szCs w:val="20"/>
        </w:rPr>
      </w:pPr>
    </w:p>
    <w:p>
      <w:pPr>
        <w:spacing w:before="155"/>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、同一控制下和非同一控制下企业合并的会计处理方法</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996" w:firstLine="480"/>
        <w:jc w:val="left"/>
      </w:pPr>
      <w:r>
        <w:rPr/>
        <w:t>在同一控制下的企业合并中，公司作为购买方取得对其他参与合并企业的控制权，</w:t>
      </w:r>
      <w:r>
        <w:rPr>
          <w:spacing w:val="-56"/>
        </w:rPr>
        <w:t> </w:t>
      </w:r>
      <w:r>
        <w:rPr/>
        <w:t>如以</w:t>
      </w:r>
      <w:r>
        <w:rPr/>
        <w:t> 支付现金、转让非现金资产或承担债务方式作为合并对价的，在合并日按照被合并方所有者</w:t>
      </w:r>
      <w:r>
        <w:rPr>
          <w:spacing w:val="-91"/>
        </w:rPr>
        <w:t> </w:t>
      </w:r>
      <w:r>
        <w:rPr>
          <w:spacing w:val="-91"/>
        </w:rPr>
      </w:r>
      <w:r>
        <w:rPr/>
        <w:t>权益在最终控制方合并财务报表中的账面价值的份额作为长期股权投资的初始投资成本，长</w:t>
      </w:r>
      <w:r>
        <w:rPr>
          <w:spacing w:val="-91"/>
        </w:rPr>
        <w:t> </w:t>
      </w:r>
      <w:r>
        <w:rPr>
          <w:spacing w:val="-91"/>
        </w:rPr>
      </w:r>
      <w:r>
        <w:rPr/>
        <w:t>期股权投资初始投资成本与支付的现金、转让的非现金资产以及所承担债务账面价值之间的</w:t>
      </w:r>
      <w:r>
        <w:rPr>
          <w:spacing w:val="-91"/>
        </w:rPr>
        <w:t> </w:t>
      </w:r>
      <w:r>
        <w:rPr>
          <w:spacing w:val="-91"/>
        </w:rPr>
      </w:r>
      <w:r>
        <w:rPr/>
        <w:t>差额，调整资本公积；资本公积不足冲减的，调整留存收益；如以发行权益性证券作为合并</w:t>
      </w:r>
      <w:r>
        <w:rPr>
          <w:spacing w:val="-91"/>
        </w:rPr>
        <w:t> </w:t>
      </w:r>
      <w:r>
        <w:rPr>
          <w:spacing w:val="-91"/>
        </w:rPr>
      </w:r>
      <w:r>
        <w:rPr/>
        <w:t>对价的，在合并日按照被合并方所有者权益在最终控制方合并财务报表中的账面价值的份额</w:t>
      </w:r>
      <w:r>
        <w:rPr>
          <w:spacing w:val="-91"/>
        </w:rPr>
        <w:t> </w:t>
      </w:r>
      <w:r>
        <w:rPr>
          <w:spacing w:val="-91"/>
        </w:rPr>
      </w:r>
      <w:r>
        <w:rPr/>
        <w:t>作为长期股权投资的初始投资成本，按照发行股份的面值总额作为股本，长期股权投资初始</w:t>
      </w:r>
      <w:r>
        <w:rPr>
          <w:spacing w:val="-91"/>
        </w:rPr>
        <w:t> </w:t>
      </w:r>
      <w:r>
        <w:rPr>
          <w:spacing w:val="-91"/>
        </w:rPr>
      </w:r>
      <w:r>
        <w:rPr/>
        <w:t>投资成本与所发行股份面值总额之间的差额，调整资本公积，资本公积不足冲减的，调整留</w:t>
      </w:r>
      <w:r>
        <w:rPr>
          <w:spacing w:val="-89"/>
        </w:rPr>
        <w:t> </w:t>
      </w:r>
      <w:r>
        <w:rPr>
          <w:spacing w:val="-89"/>
        </w:rPr>
      </w:r>
      <w:r>
        <w:rPr/>
        <w:t>存收益。为进行企业合并发生的审计、法律服务、评估咨询等中介费用以及其他相关管理费</w:t>
      </w:r>
      <w:r>
        <w:rPr>
          <w:spacing w:val="-91"/>
        </w:rPr>
        <w:t> </w:t>
      </w:r>
      <w:r>
        <w:rPr>
          <w:spacing w:val="-91"/>
        </w:rPr>
      </w:r>
      <w:r>
        <w:rPr>
          <w:spacing w:val="-2"/>
        </w:rPr>
        <w:t>用，于发生时计入当期损益。为企业合并发行的债券或承担其他债务支付的手续费、佣金等，</w:t>
      </w:r>
      <w:r>
        <w:rPr/>
        <w:t> </w:t>
      </w:r>
      <w:r>
        <w:rPr>
          <w:spacing w:val="-2"/>
        </w:rPr>
        <w:t>应当计入所发行债券及其他债务的初始计量金额。企业合并中发行权益性证券发生的手续费、</w:t>
      </w:r>
      <w:r>
        <w:rPr/>
        <w:t> 佣金等费用，应当抵减权益性证券溢价收入，溢价收入不足冲减的，冲减留存收益。</w:t>
      </w:r>
    </w:p>
    <w:p>
      <w:pPr>
        <w:pStyle w:val="BodyText"/>
        <w:spacing w:line="357" w:lineRule="auto" w:before="37"/>
        <w:ind w:right="982" w:firstLine="480"/>
        <w:jc w:val="left"/>
      </w:pPr>
      <w:r>
        <w:rPr/>
        <w:t>公司对外合并如属非同一控制下的企业合并，按下列情况确定长期股权投资的初始投资 成本：</w:t>
      </w:r>
    </w:p>
    <w:p>
      <w:pPr>
        <w:pStyle w:val="BodyText"/>
        <w:spacing w:line="357" w:lineRule="auto"/>
        <w:ind w:right="1137" w:firstLine="480"/>
        <w:jc w:val="right"/>
      </w:pPr>
      <w:r>
        <w:rPr/>
        <w:t>一次交换交易实现的企业合并，长期股权投资的初始投资成本为购买方在购买日为取得 对被购买方的控制权而付出的资产、发生或承担的负债以及发行的权益性证券的公允价值； 通过多次交换交易分步实现的企业合并，长期股权投资的初始投资成本为每一单项交易</w:t>
      </w:r>
    </w:p>
    <w:p>
      <w:pPr>
        <w:pStyle w:val="BodyText"/>
        <w:spacing w:line="240" w:lineRule="auto"/>
        <w:ind w:right="982"/>
        <w:jc w:val="left"/>
      </w:pPr>
      <w:r>
        <w:rPr/>
        <w:t>成本之和；</w:t>
      </w:r>
    </w:p>
    <w:p>
      <w:pPr>
        <w:pStyle w:val="BodyText"/>
        <w:spacing w:line="357" w:lineRule="auto" w:before="154"/>
        <w:ind w:right="982" w:firstLine="480"/>
        <w:jc w:val="left"/>
      </w:pPr>
      <w:r>
        <w:rPr/>
        <w:t>为进行企业合并发生的审计、法律服务、评估咨询等中介费用以及其他相关管理费用， 于发生时计入当期损益；作为合并对价发行的权益性证券或债务性证券的交易费用，计入权</w:t>
      </w:r>
    </w:p>
    <w:p>
      <w:pPr>
        <w:spacing w:after="0" w:line="357"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left="633" w:right="982" w:hanging="481"/>
        <w:jc w:val="left"/>
      </w:pPr>
      <w:r>
        <w:rPr/>
        <w:t>益性证券或债务性证券的初始确认金额； 在合并合同或协议中对可能影响合并成本的未来事项作出约定的，在购买日如果估计未</w:t>
      </w:r>
    </w:p>
    <w:p>
      <w:pPr>
        <w:pStyle w:val="BodyText"/>
        <w:spacing w:line="357" w:lineRule="auto"/>
        <w:ind w:right="1135"/>
        <w:jc w:val="both"/>
      </w:pPr>
      <w:r>
        <w:rPr/>
        <w:t>来事项很可能发生并且对合并成本的影响金额能够可靠计量的，将其计入长期股权投资的初</w:t>
      </w:r>
      <w:r>
        <w:rPr>
          <w:spacing w:val="-88"/>
        </w:rPr>
        <w:t> </w:t>
      </w:r>
      <w:r>
        <w:rPr>
          <w:spacing w:val="-88"/>
        </w:rPr>
      </w:r>
      <w:r>
        <w:rPr/>
        <w:t>始投资成本。</w:t>
      </w:r>
    </w:p>
    <w:p>
      <w:pPr>
        <w:pStyle w:val="BodyText"/>
        <w:spacing w:line="357" w:lineRule="auto"/>
        <w:ind w:right="982" w:firstLine="480"/>
        <w:jc w:val="left"/>
      </w:pPr>
      <w:r>
        <w:rPr/>
        <w:t>公司对外合并如属非同一控制下的企业合并，对长期股权投资的初始投资成本大于合并 中取得的被购买方可辨认净资产公允价值份额的差额，确认为商誉。</w:t>
      </w:r>
    </w:p>
    <w:p>
      <w:pPr>
        <w:pStyle w:val="BodyText"/>
        <w:spacing w:line="357" w:lineRule="auto"/>
        <w:ind w:right="982" w:firstLine="480"/>
        <w:jc w:val="left"/>
      </w:pPr>
      <w:r>
        <w:rPr/>
        <w:t>对长期股权投资的初始投资成本小于合并中取得的被购买方可辨认净资产公允价值份额 的差额，按照下列方法处理：</w:t>
      </w:r>
    </w:p>
    <w:p>
      <w:pPr>
        <w:pStyle w:val="BodyText"/>
        <w:spacing w:line="357" w:lineRule="auto"/>
        <w:ind w:right="982" w:firstLine="480"/>
        <w:jc w:val="left"/>
      </w:pPr>
      <w:r>
        <w:rPr/>
        <w:t>对取得的被购买方各项可辨认资产、负债及或有负债的公允价值以及合并成本的计量进 行复核；</w:t>
      </w:r>
    </w:p>
    <w:p>
      <w:pPr>
        <w:pStyle w:val="BodyText"/>
        <w:spacing w:line="357" w:lineRule="auto"/>
        <w:ind w:right="982" w:firstLine="480"/>
        <w:jc w:val="left"/>
      </w:pPr>
      <w:r>
        <w:rPr/>
        <w:t>经复核后合并成本仍小于合并中取得的被购买方可辨认净资产公允价值份额的，其差额 应当计入当期损益。</w:t>
      </w:r>
    </w:p>
    <w:p>
      <w:pPr>
        <w:spacing w:line="240" w:lineRule="auto" w:before="10"/>
        <w:rPr>
          <w:rFonts w:ascii="宋体" w:hAnsi="宋体" w:cs="宋体" w:eastAsia="宋体" w:hint="default"/>
          <w:sz w:val="21"/>
          <w:szCs w:val="21"/>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、合并财务报表的编制方法</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132" w:firstLine="480"/>
        <w:jc w:val="both"/>
      </w:pPr>
      <w:r>
        <w:rPr/>
        <w:t>合并财务报表的合并范围以控制为基础予以确定。控制，是指投资方拥有对被投资方的 </w:t>
      </w:r>
      <w:r>
        <w:rPr>
          <w:spacing w:val="-2"/>
        </w:rPr>
        <w:t>权力</w:t>
      </w:r>
      <w:r>
        <w:rPr>
          <w:rFonts w:ascii="宋体" w:hAnsi="宋体" w:cs="宋体" w:eastAsia="宋体" w:hint="default"/>
          <w:spacing w:val="-2"/>
        </w:rPr>
        <w:t>,</w:t>
      </w:r>
      <w:r>
        <w:rPr>
          <w:spacing w:val="-2"/>
        </w:rPr>
        <w:t>通过参与被投资方的相关活动而享有可变回报，并且有能力运用对被投资方的权力影响</w:t>
      </w:r>
      <w:r>
        <w:rPr/>
        <w:t> 其回报金额。</w:t>
      </w:r>
    </w:p>
    <w:p>
      <w:pPr>
        <w:pStyle w:val="BodyText"/>
        <w:spacing w:line="357" w:lineRule="auto" w:before="34"/>
        <w:ind w:right="982" w:firstLine="480"/>
        <w:jc w:val="left"/>
      </w:pPr>
      <w:r>
        <w:rPr/>
        <w:t>母公司应当将其全部子公司纳入合并财务报表的合并范围。子公司，是指被公司控制的 主体</w:t>
      </w:r>
      <w:r>
        <w:rPr>
          <w:rFonts w:ascii="宋体" w:hAnsi="宋体" w:cs="宋体" w:eastAsia="宋体" w:hint="default"/>
        </w:rPr>
        <w:t>(</w:t>
      </w:r>
      <w:r>
        <w:rPr/>
        <w:t>含企业、被投资单位中可分割的部分，以及企业所控制的结构化主体等。</w:t>
      </w:r>
    </w:p>
    <w:p>
      <w:pPr>
        <w:pStyle w:val="BodyText"/>
        <w:spacing w:line="357" w:lineRule="auto"/>
        <w:ind w:right="982" w:firstLine="480"/>
        <w:jc w:val="left"/>
      </w:pPr>
      <w:r>
        <w:rPr>
          <w:spacing w:val="-3"/>
        </w:rPr>
        <w:t>如果母公司是投资性主体，则母公司应当仅将为其投资活动提供相关服务的子公司</w:t>
      </w:r>
      <w:r>
        <w:rPr>
          <w:rFonts w:ascii="宋体" w:hAnsi="宋体" w:cs="宋体" w:eastAsia="宋体" w:hint="default"/>
          <w:spacing w:val="-3"/>
        </w:rPr>
        <w:t>(</w:t>
      </w:r>
      <w:r>
        <w:rPr>
          <w:spacing w:val="-3"/>
        </w:rPr>
        <w:t>如有</w:t>
      </w:r>
      <w:r>
        <w:rPr>
          <w:rFonts w:ascii="宋体" w:hAnsi="宋体" w:cs="宋体" w:eastAsia="宋体" w:hint="default"/>
          <w:spacing w:val="-3"/>
        </w:rPr>
        <w:t>)</w:t>
      </w:r>
      <w:r>
        <w:rPr>
          <w:rFonts w:ascii="宋体" w:hAnsi="宋体" w:cs="宋体" w:eastAsia="宋体" w:hint="default"/>
        </w:rPr>
        <w:t> </w:t>
      </w:r>
      <w:r>
        <w:rPr/>
        <w:t>纳入合并范围并编制合并财务报表；其他子公司不应当予以合并，母公司对其他子公司的投</w:t>
      </w:r>
      <w:r>
        <w:rPr>
          <w:spacing w:val="-91"/>
        </w:rPr>
        <w:t> </w:t>
      </w:r>
      <w:r>
        <w:rPr>
          <w:spacing w:val="-91"/>
        </w:rPr>
      </w:r>
      <w:r>
        <w:rPr/>
        <w:t>资应当按照公允价值计量且其变动计入当期损益。当母公司同时满足下列条件时，该母公司</w:t>
      </w:r>
      <w:r>
        <w:rPr>
          <w:spacing w:val="-89"/>
        </w:rPr>
        <w:t> </w:t>
      </w:r>
      <w:r>
        <w:rPr>
          <w:spacing w:val="-89"/>
        </w:rPr>
      </w:r>
      <w:r>
        <w:rPr/>
        <w:t>属于投资性主体：</w:t>
      </w:r>
    </w:p>
    <w:p>
      <w:pPr>
        <w:pStyle w:val="BodyText"/>
        <w:spacing w:line="357" w:lineRule="auto"/>
        <w:ind w:left="633" w:right="982"/>
        <w:jc w:val="left"/>
      </w:pPr>
      <w:r>
        <w:rPr/>
        <w:t>该母公司是以向投资者提供投资管理服务为目的，从一个或多个投资者处获取资金； </w:t>
      </w:r>
      <w:r>
        <w:rPr>
          <w:spacing w:val="-3"/>
        </w:rPr>
        <w:t>该母公司的唯一经营目的，是通过资本增值、投资收益或两者兼有而让投资者获得回报；</w:t>
      </w:r>
      <w:r>
        <w:rPr>
          <w:spacing w:val="-85"/>
        </w:rPr>
        <w:t> </w:t>
      </w:r>
      <w:r>
        <w:rPr>
          <w:spacing w:val="-85"/>
        </w:rPr>
      </w:r>
      <w:r>
        <w:rPr/>
        <w:t>该母公司按照公允价值对几乎所有投资的业绩进行考量和评价。 编制合并报表时，公司与被合并子公司采用的统一的会计政策和期间。合并财务报表以</w:t>
      </w:r>
    </w:p>
    <w:p>
      <w:pPr>
        <w:pStyle w:val="BodyText"/>
        <w:spacing w:line="357" w:lineRule="auto"/>
        <w:ind w:right="1133"/>
        <w:jc w:val="both"/>
      </w:pPr>
      <w:r>
        <w:rPr/>
        <w:t>公司和子公司的财务报表为基础，在抵销公司与子公司、子公司相互之间发生的内部交易对</w:t>
      </w:r>
      <w:r>
        <w:rPr>
          <w:spacing w:val="-91"/>
        </w:rPr>
        <w:t> </w:t>
      </w:r>
      <w:r>
        <w:rPr>
          <w:spacing w:val="-91"/>
        </w:rPr>
      </w:r>
      <w:r>
        <w:rPr/>
        <w:t>合并财务报表的影响后，由公司合并编制。公司在报告期内因同一控制下企业合并增加的子</w:t>
      </w:r>
      <w:r>
        <w:rPr>
          <w:spacing w:val="-86"/>
        </w:rPr>
        <w:t> </w:t>
      </w:r>
      <w:r>
        <w:rPr>
          <w:spacing w:val="-86"/>
        </w:rPr>
      </w:r>
      <w:r>
        <w:rPr/>
        <w:t>公司，编制合并资产负债表时，调整合并资产负债表的年初数。因非同一控制下企业合并增</w:t>
      </w:r>
    </w:p>
    <w:p>
      <w:pPr>
        <w:spacing w:after="0" w:line="357" w:lineRule="auto"/>
        <w:jc w:val="both"/>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39"/>
        <w:jc w:val="both"/>
      </w:pPr>
      <w:r>
        <w:rPr/>
        <w:t>加的子公司，编制合并资产负债表时，不调整合并资产负债表的年初数。公司在报告期内因</w:t>
      </w:r>
      <w:r>
        <w:rPr>
          <w:spacing w:val="-91"/>
        </w:rPr>
        <w:t> </w:t>
      </w:r>
      <w:r>
        <w:rPr>
          <w:spacing w:val="-91"/>
        </w:rPr>
      </w:r>
      <w:r>
        <w:rPr/>
        <w:t>同一控制下企业合并增加的子公司，将该子公司合并当期年初至报告期末的收入、费用、利</w:t>
      </w:r>
      <w:r>
        <w:rPr>
          <w:spacing w:val="-91"/>
        </w:rPr>
        <w:t> </w:t>
      </w:r>
      <w:r>
        <w:rPr>
          <w:spacing w:val="-91"/>
        </w:rPr>
      </w:r>
      <w:r>
        <w:rPr/>
        <w:t>润及现金流量纳入合并利润表及现金流量表。因非同一控制下企业合并增加的子公司，将该</w:t>
      </w:r>
      <w:r>
        <w:rPr>
          <w:spacing w:val="-91"/>
        </w:rPr>
        <w:t> </w:t>
      </w:r>
      <w:r>
        <w:rPr>
          <w:spacing w:val="-91"/>
        </w:rPr>
      </w:r>
      <w:r>
        <w:rPr/>
        <w:t>子公司购买日至报告期末的收入、费用、利润及现金流量纳入合并利润表及现金流量表。公</w:t>
      </w:r>
      <w:r>
        <w:rPr>
          <w:spacing w:val="-91"/>
        </w:rPr>
        <w:t> </w:t>
      </w:r>
      <w:r>
        <w:rPr>
          <w:spacing w:val="-91"/>
        </w:rPr>
      </w:r>
      <w:r>
        <w:rPr/>
        <w:t>司在报告期内处置子公司，将该子公司年初至处置日的收入、费用、利润及现金流量纳入合</w:t>
      </w:r>
      <w:r>
        <w:rPr>
          <w:spacing w:val="-91"/>
        </w:rPr>
        <w:t> </w:t>
      </w:r>
      <w:r>
        <w:rPr>
          <w:spacing w:val="-91"/>
        </w:rPr>
      </w:r>
      <w:r>
        <w:rPr/>
        <w:t>并利润表及现金流量表。</w:t>
      </w:r>
    </w:p>
    <w:p>
      <w:pPr>
        <w:pStyle w:val="BodyText"/>
        <w:spacing w:line="357" w:lineRule="auto"/>
        <w:ind w:right="998" w:firstLine="480"/>
        <w:jc w:val="left"/>
      </w:pPr>
      <w:r>
        <w:rPr/>
        <w:t>母公司购买子公司少数股东拥有的子公司股权，在合并财务报表中，因购买少数股权新 取得的长期股权投资与按照新增持股比例计算应享有子公司自购买日或合并日开始持续计算</w:t>
      </w:r>
      <w:r>
        <w:rPr>
          <w:spacing w:val="-91"/>
        </w:rPr>
        <w:t> </w:t>
      </w:r>
      <w:r>
        <w:rPr>
          <w:spacing w:val="-91"/>
        </w:rPr>
      </w:r>
      <w:r>
        <w:rPr>
          <w:spacing w:val="-2"/>
        </w:rPr>
        <w:t>的净资产份额之间的差额，应当调整资本公积</w:t>
      </w:r>
      <w:r>
        <w:rPr>
          <w:rFonts w:ascii="宋体" w:hAnsi="宋体" w:cs="宋体" w:eastAsia="宋体" w:hint="default"/>
          <w:spacing w:val="-2"/>
        </w:rPr>
        <w:t>(</w:t>
      </w:r>
      <w:r>
        <w:rPr>
          <w:spacing w:val="-2"/>
        </w:rPr>
        <w:t>资本溢价或股本溢价</w:t>
      </w:r>
      <w:r>
        <w:rPr>
          <w:rFonts w:ascii="宋体" w:hAnsi="宋体" w:cs="宋体" w:eastAsia="宋体" w:hint="default"/>
          <w:spacing w:val="-2"/>
        </w:rPr>
        <w:t>)</w:t>
      </w:r>
      <w:r>
        <w:rPr>
          <w:spacing w:val="-2"/>
        </w:rPr>
        <w:t>，资本公积不足冲减的，</w:t>
      </w:r>
      <w:r>
        <w:rPr>
          <w:spacing w:val="-117"/>
        </w:rPr>
        <w:t> </w:t>
      </w:r>
      <w:r>
        <w:rPr>
          <w:spacing w:val="-117"/>
        </w:rPr>
      </w:r>
      <w:r>
        <w:rPr/>
        <w:t>调整留存收益。</w:t>
      </w:r>
    </w:p>
    <w:p>
      <w:pPr>
        <w:pStyle w:val="BodyText"/>
        <w:spacing w:line="357" w:lineRule="auto"/>
        <w:ind w:right="982" w:firstLine="480"/>
        <w:jc w:val="left"/>
      </w:pPr>
      <w:r>
        <w:rPr>
          <w:spacing w:val="-3"/>
        </w:rPr>
        <w:t>母公司在不丧失控制权的情况下部分处置对子公司的长期股权投资，在合并财务报表中，</w:t>
      </w:r>
      <w:r>
        <w:rPr/>
        <w:t> 处置价款与处置长期股权投资相对应享有子公司自购买日或合并日开始持续计算的净资产份</w:t>
      </w:r>
      <w:r>
        <w:rPr>
          <w:spacing w:val="-91"/>
        </w:rPr>
        <w:t> </w:t>
      </w:r>
      <w:r>
        <w:rPr>
          <w:spacing w:val="-91"/>
        </w:rPr>
      </w:r>
      <w:r>
        <w:rPr/>
        <w:t>额之间的差额，应当调整资本公积</w:t>
      </w:r>
      <w:r>
        <w:rPr>
          <w:rFonts w:ascii="宋体" w:hAnsi="宋体" w:cs="宋体" w:eastAsia="宋体" w:hint="default"/>
        </w:rPr>
        <w:t>(</w:t>
      </w:r>
      <w:r>
        <w:rPr/>
        <w:t>资本溢价或股本溢价</w:t>
      </w:r>
      <w:r>
        <w:rPr>
          <w:rFonts w:ascii="宋体" w:hAnsi="宋体" w:cs="宋体" w:eastAsia="宋体" w:hint="default"/>
        </w:rPr>
        <w:t>)</w:t>
      </w:r>
      <w:r>
        <w:rPr/>
        <w:t>，资本公积不足冲减的，调整留存</w:t>
      </w:r>
      <w:r>
        <w:rPr>
          <w:spacing w:val="-86"/>
        </w:rPr>
        <w:t> </w:t>
      </w:r>
      <w:r>
        <w:rPr>
          <w:spacing w:val="-86"/>
        </w:rPr>
      </w:r>
      <w:r>
        <w:rPr/>
        <w:t>收益。</w:t>
      </w:r>
    </w:p>
    <w:p>
      <w:pPr>
        <w:pStyle w:val="BodyText"/>
        <w:spacing w:line="357" w:lineRule="auto"/>
        <w:ind w:right="982" w:firstLine="480"/>
        <w:jc w:val="left"/>
      </w:pPr>
      <w:r>
        <w:rPr>
          <w:spacing w:val="-3"/>
        </w:rPr>
        <w:t>企业因处置部分股权投资等原因丧失了对被投资方的控制权的，在编制合并财务报表时，</w:t>
      </w:r>
      <w:r>
        <w:rPr/>
        <w:t> 对于剩余股权，应当按照其在丧失控制权日的公允价值进行重新计量。处置股权取得的对价</w:t>
      </w:r>
      <w:r>
        <w:rPr>
          <w:spacing w:val="-91"/>
        </w:rPr>
        <w:t> </w:t>
      </w:r>
      <w:r>
        <w:rPr>
          <w:spacing w:val="-91"/>
        </w:rPr>
      </w:r>
      <w:r>
        <w:rPr/>
        <w:t>与剩余股权公允价值之和，减去按原持股比例计算应享有原有子公司自购买日或合并日开始</w:t>
      </w:r>
      <w:r>
        <w:rPr>
          <w:spacing w:val="-91"/>
        </w:rPr>
        <w:t> </w:t>
      </w:r>
      <w:r>
        <w:rPr>
          <w:spacing w:val="-91"/>
        </w:rPr>
      </w:r>
      <w:r>
        <w:rPr/>
        <w:t>持续计算的净资产的份额之间的差额，计入丧失控制权当期的投资收益，同时冲减商誉。与</w:t>
      </w:r>
      <w:r>
        <w:rPr>
          <w:spacing w:val="-91"/>
        </w:rPr>
        <w:t> </w:t>
      </w:r>
      <w:r>
        <w:rPr>
          <w:spacing w:val="-91"/>
        </w:rPr>
      </w:r>
      <w:r>
        <w:rPr/>
        <w:t>原有子公司股权投资相关的其他综合收益等，应当在丧失控制权时转为当期投资收益，由于</w:t>
      </w:r>
      <w:r>
        <w:rPr>
          <w:spacing w:val="-91"/>
        </w:rPr>
        <w:t> </w:t>
      </w:r>
      <w:r>
        <w:rPr>
          <w:spacing w:val="-91"/>
        </w:rPr>
      </w:r>
      <w:r>
        <w:rPr/>
        <w:t>被投资方重新计量设定受益计划净负债或净资产变动而产生的其他综合收益除外。</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、合营安排分类及共同经营会计处理方法</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left="633" w:right="982"/>
        <w:jc w:val="left"/>
      </w:pPr>
      <w:r>
        <w:rPr/>
        <w:t>合营安排分为共同经营和合营企业。 共同经营，是指合营方享有该安排相关资产且承担该安排相关负债的合营安排。公司确</w:t>
      </w:r>
    </w:p>
    <w:p>
      <w:pPr>
        <w:pStyle w:val="BodyText"/>
        <w:spacing w:line="357" w:lineRule="auto"/>
        <w:ind w:left="633" w:right="996" w:hanging="481"/>
        <w:jc w:val="left"/>
      </w:pPr>
      <w:r>
        <w:rPr>
          <w:spacing w:val="-2"/>
        </w:rPr>
        <w:t>认其与共同经营中利益份额相关的下列项目，并按照相关企业会计准则的规定进行会计处理：</w:t>
      </w:r>
      <w:r>
        <w:rPr/>
        <w:t> 确认单独所持有的资产，以及按其份额确认共同持有的资产； 确认单独所承担的负债，以及按其份额确认共同承担的负债； 确认出售其享有的共同经营产出份额所产生的收入； 按其份额确认共同经营因出售产出所产生的收入；</w:t>
      </w:r>
    </w:p>
    <w:p>
      <w:pPr>
        <w:spacing w:after="0" w:line="357" w:lineRule="auto"/>
        <w:jc w:val="left"/>
        <w:sectPr>
          <w:footerReference w:type="default" r:id="rId37"/>
          <w:pgSz w:w="11910" w:h="16840"/>
          <w:pgMar w:footer="979" w:header="745" w:top="1060" w:bottom="1160" w:left="980" w:right="0"/>
          <w:pgNumType w:start="110"/>
        </w:sectPr>
      </w:pPr>
    </w:p>
    <w:p>
      <w:pPr>
        <w:spacing w:line="240" w:lineRule="auto" w:before="7"/>
        <w:rPr>
          <w:rFonts w:ascii="宋体" w:hAnsi="宋体" w:cs="宋体" w:eastAsia="宋体" w:hint="default"/>
          <w:sz w:val="29"/>
          <w:szCs w:val="29"/>
        </w:rPr>
      </w:pPr>
    </w:p>
    <w:p>
      <w:pPr>
        <w:pStyle w:val="BodyText"/>
        <w:spacing w:line="357" w:lineRule="auto" w:before="26"/>
        <w:ind w:left="633" w:right="982"/>
        <w:jc w:val="left"/>
      </w:pPr>
      <w:r>
        <w:rPr/>
        <w:t>确认单独所发生的费用，以及按其份额确认共同经营发生的费用。 合营企业，是指合营方仅对该安排的净资产享有权利的合营安排。公司按照权益法对合</w:t>
      </w:r>
    </w:p>
    <w:p>
      <w:pPr>
        <w:pStyle w:val="BodyText"/>
        <w:spacing w:line="240" w:lineRule="auto"/>
        <w:ind w:right="982"/>
        <w:jc w:val="left"/>
      </w:pPr>
      <w:r>
        <w:rPr/>
        <w:t>营企业的投资进行会计处理。</w:t>
      </w:r>
    </w:p>
    <w:p>
      <w:pPr>
        <w:spacing w:line="240" w:lineRule="auto" w:before="10"/>
        <w:rPr>
          <w:rFonts w:ascii="宋体" w:hAnsi="宋体" w:cs="宋体" w:eastAsia="宋体" w:hint="default"/>
          <w:sz w:val="30"/>
          <w:szCs w:val="30"/>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、现金及现金等价物的确定标准</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982" w:firstLine="480"/>
        <w:jc w:val="left"/>
      </w:pPr>
      <w:r>
        <w:rPr>
          <w:spacing w:val="-3"/>
        </w:rPr>
        <w:t>现金是指库存现金以及可以随时用于支付的存款。现金等价物，是指公司持有的期限短、</w:t>
      </w:r>
      <w:r>
        <w:rPr/>
        <w:t> 流动性强、易于转换为已知金额现金、价值变动风险很小的投资。</w:t>
      </w:r>
    </w:p>
    <w:p>
      <w:pPr>
        <w:spacing w:line="240" w:lineRule="auto" w:before="11"/>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、外币业务和外币报表折算</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right="982" w:firstLine="480"/>
        <w:jc w:val="left"/>
      </w:pPr>
      <w:r>
        <w:rPr/>
        <w:t>外币交易在初始确认时，采用交易发生当日中国人民银行公布的人民币外汇牌价中间价 将外币金额折算为人民币金额。</w:t>
      </w:r>
    </w:p>
    <w:p>
      <w:pPr>
        <w:pStyle w:val="BodyText"/>
        <w:spacing w:line="357" w:lineRule="auto"/>
        <w:ind w:left="633" w:right="982"/>
        <w:jc w:val="left"/>
      </w:pPr>
      <w:r>
        <w:rPr/>
        <w:t>于资产负债表日，按照下列方法对外币货币性项目和外币非货币性项目进行处理： 外币货币性项目，采用资产负债表日中国人民银行公布的人民币外汇牌价中间价折算。</w:t>
      </w:r>
    </w:p>
    <w:p>
      <w:pPr>
        <w:pStyle w:val="BodyText"/>
        <w:spacing w:line="357" w:lineRule="auto"/>
        <w:ind w:right="982"/>
        <w:jc w:val="left"/>
      </w:pPr>
      <w:r>
        <w:rPr/>
        <w:t>因资产负债表日即期汇率与初始确认时或者前一资产负债表日即期汇率不同而产生的汇兑差</w:t>
      </w:r>
      <w:r>
        <w:rPr>
          <w:spacing w:val="-91"/>
        </w:rPr>
        <w:t> </w:t>
      </w:r>
      <w:r>
        <w:rPr>
          <w:spacing w:val="-91"/>
        </w:rPr>
      </w:r>
      <w:r>
        <w:rPr/>
        <w:t>额，计入当期损益。</w:t>
      </w:r>
    </w:p>
    <w:p>
      <w:pPr>
        <w:pStyle w:val="BodyText"/>
        <w:spacing w:line="357" w:lineRule="auto"/>
        <w:ind w:right="996" w:firstLine="480"/>
        <w:jc w:val="left"/>
      </w:pPr>
      <w:r>
        <w:rPr/>
        <w:t>以历史成本计量的外币非货币性项目，仍采用交易发生日的即期汇率折算，不改变其记 </w:t>
      </w:r>
      <w:r>
        <w:rPr>
          <w:spacing w:val="-2"/>
        </w:rPr>
        <w:t>账本位币金额；以公允价值计量的外币非货币性项目，采用公允价值确定日的即期汇率折算，</w:t>
      </w:r>
      <w:r>
        <w:rPr/>
        <w:t> </w:t>
      </w:r>
      <w:r>
        <w:rPr>
          <w:spacing w:val="-2"/>
        </w:rPr>
        <w:t>折算后的记账本位币金额与原记账本位币金额的差额，作为公允价值变动</w:t>
      </w:r>
      <w:r>
        <w:rPr>
          <w:rFonts w:ascii="宋体" w:hAnsi="宋体" w:cs="宋体" w:eastAsia="宋体" w:hint="default"/>
          <w:spacing w:val="-2"/>
        </w:rPr>
        <w:t>(</w:t>
      </w:r>
      <w:r>
        <w:rPr>
          <w:spacing w:val="-2"/>
        </w:rPr>
        <w:t>含汇率变动</w:t>
      </w:r>
      <w:r>
        <w:rPr>
          <w:rFonts w:ascii="宋体" w:hAnsi="宋体" w:cs="宋体" w:eastAsia="宋体" w:hint="default"/>
          <w:spacing w:val="-2"/>
        </w:rPr>
        <w:t>)</w:t>
      </w:r>
      <w:r>
        <w:rPr>
          <w:spacing w:val="-2"/>
        </w:rPr>
        <w:t>处理，</w:t>
      </w:r>
      <w:r>
        <w:rPr>
          <w:spacing w:val="-117"/>
        </w:rPr>
        <w:t> </w:t>
      </w:r>
      <w:r>
        <w:rPr/>
        <w:t>并根据非货币性项目的性质计入当期损益或其他综合收益。</w:t>
      </w:r>
    </w:p>
    <w:p>
      <w:pPr>
        <w:pStyle w:val="BodyText"/>
        <w:spacing w:line="357" w:lineRule="auto"/>
        <w:ind w:right="982" w:firstLine="480"/>
        <w:jc w:val="left"/>
      </w:pPr>
      <w:r>
        <w:rPr/>
        <w:t>货币性项目，是指公司持有的货币资金和将以固定或可确定的金额收取的资产或者偿付 的负债。</w:t>
      </w:r>
    </w:p>
    <w:p>
      <w:pPr>
        <w:pStyle w:val="BodyText"/>
        <w:spacing w:line="357" w:lineRule="auto" w:before="37"/>
        <w:ind w:left="633" w:right="982"/>
        <w:jc w:val="left"/>
      </w:pPr>
      <w:r>
        <w:rPr/>
        <w:t>非货币性项目，是指货币性项目以外的项目。 境外经营实体的外币财务报表的折算方法： 资产负债表中的资产和负债项目，采用资产负债表日的即期汇率折算，所有者权益项目</w:t>
      </w:r>
    </w:p>
    <w:p>
      <w:pPr>
        <w:pStyle w:val="BodyText"/>
        <w:spacing w:line="357" w:lineRule="auto"/>
        <w:ind w:left="633" w:right="982" w:hanging="481"/>
        <w:jc w:val="left"/>
      </w:pPr>
      <w:r>
        <w:rPr/>
        <w:t>除“未分配利润”项目外，其他项目采用发生时的即期汇率折算； </w:t>
      </w:r>
      <w:r>
        <w:rPr>
          <w:spacing w:val="-3"/>
        </w:rPr>
        <w:t>利润表中的收入和费用项目，采用交易发生日的即期汇率折算</w:t>
      </w:r>
      <w:r>
        <w:rPr>
          <w:rFonts w:ascii="宋体" w:hAnsi="宋体" w:cs="宋体" w:eastAsia="宋体" w:hint="default"/>
          <w:spacing w:val="-3"/>
        </w:rPr>
        <w:t>(</w:t>
      </w:r>
      <w:r>
        <w:rPr>
          <w:spacing w:val="-3"/>
        </w:rPr>
        <w:t>或采用按照系统合理的方</w:t>
      </w:r>
    </w:p>
    <w:p>
      <w:pPr>
        <w:pStyle w:val="BodyText"/>
        <w:spacing w:line="357" w:lineRule="auto"/>
        <w:ind w:left="633" w:right="982" w:hanging="481"/>
        <w:jc w:val="left"/>
      </w:pPr>
      <w:r>
        <w:rPr/>
        <w:t>法确定的、与交易发生日即期汇率近似的汇率折算</w:t>
      </w:r>
      <w:r>
        <w:rPr>
          <w:rFonts w:ascii="宋体" w:hAnsi="宋体" w:cs="宋体" w:eastAsia="宋体" w:hint="default"/>
        </w:rPr>
        <w:t>)</w:t>
      </w:r>
      <w:r>
        <w:rPr/>
        <w:t>； 按照上述①、②折算产生的外币财务报表折算差额，在资产负债表中所有者权益项目下</w:t>
      </w:r>
    </w:p>
    <w:p>
      <w:pPr>
        <w:pStyle w:val="BodyText"/>
        <w:spacing w:line="240" w:lineRule="auto"/>
        <w:ind w:right="982"/>
        <w:jc w:val="left"/>
      </w:pPr>
      <w:r>
        <w:rPr/>
        <w:t>单独列示。</w:t>
      </w:r>
    </w:p>
    <w:p>
      <w:pPr>
        <w:pStyle w:val="BodyText"/>
        <w:spacing w:line="240" w:lineRule="auto" w:before="154"/>
        <w:ind w:left="633" w:right="982"/>
        <w:jc w:val="left"/>
      </w:pPr>
      <w:r>
        <w:rPr/>
        <w:t>公司对处于恶性通货膨胀经济中的境外经营的财务报表，按照下列方法进行折算：</w:t>
      </w:r>
    </w:p>
    <w:p>
      <w:pPr>
        <w:spacing w:after="0" w:line="240"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40" w:firstLine="480"/>
        <w:jc w:val="both"/>
      </w:pPr>
      <w:r>
        <w:rPr/>
        <w:t>对资产负债表项目运用一般物价指数予以重述，对利润表项目运用一般物价指数变动予 以重述，再按照最近资产负债表日的即期汇率进行折算。</w:t>
      </w:r>
    </w:p>
    <w:p>
      <w:pPr>
        <w:pStyle w:val="BodyText"/>
        <w:spacing w:line="357" w:lineRule="auto"/>
        <w:ind w:right="1140" w:firstLine="480"/>
        <w:jc w:val="both"/>
      </w:pPr>
      <w:r>
        <w:rPr/>
        <w:t>在境外经营不再处于恶性通货膨胀经济中时，停止重述，按照停止之日的价格水平重述 的财务报表进行折算。</w:t>
      </w:r>
    </w:p>
    <w:p>
      <w:pPr>
        <w:pStyle w:val="BodyText"/>
        <w:spacing w:line="357" w:lineRule="auto"/>
        <w:ind w:right="1139" w:firstLine="480"/>
        <w:jc w:val="both"/>
      </w:pPr>
      <w:r>
        <w:rPr/>
        <w:t>公司在处置境外经营时，将资产负债表中所有者权益项目下列示的、与该境外经营相关 的外币财务报表折算差额，自所有者权益项目转入处置当期损益；部分处置境外经营的，按</w:t>
      </w:r>
      <w:r>
        <w:rPr>
          <w:spacing w:val="-91"/>
        </w:rPr>
        <w:t> </w:t>
      </w:r>
      <w:r>
        <w:rPr>
          <w:spacing w:val="-91"/>
        </w:rPr>
      </w:r>
      <w:r>
        <w:rPr/>
        <w:t>处置的比例计算处置部分的外币财务报表折算差额，转入处置当期损益。</w:t>
      </w:r>
    </w:p>
    <w:p>
      <w:pPr>
        <w:spacing w:line="240" w:lineRule="auto" w:before="11"/>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、金融工具</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left="633" w:right="5953"/>
        <w:jc w:val="left"/>
      </w:pPr>
      <w:r>
        <w:rPr/>
        <w:t>金融工具的分类、确认依据和计量方法 金融资产在初始确认时划分为下列四类：</w:t>
      </w:r>
    </w:p>
    <w:p>
      <w:pPr>
        <w:pStyle w:val="BodyText"/>
        <w:spacing w:line="357" w:lineRule="auto"/>
        <w:ind w:right="1140" w:firstLine="480"/>
        <w:jc w:val="both"/>
      </w:pPr>
      <w:r>
        <w:rPr/>
        <w:t>以公允价值计量且其变动计入当期损益的金融资产，包括交易性金融资产和指定为以公 允价值计量且其变动计入当期损益的金融资产；</w:t>
      </w:r>
    </w:p>
    <w:p>
      <w:pPr>
        <w:pStyle w:val="BodyText"/>
        <w:spacing w:line="357" w:lineRule="auto"/>
        <w:ind w:left="633" w:right="8113"/>
        <w:jc w:val="left"/>
      </w:pPr>
      <w:r>
        <w:rPr/>
        <w:t>持有至到期投资； 应收款项； 可供出售金融资产。</w:t>
      </w:r>
    </w:p>
    <w:p>
      <w:pPr>
        <w:pStyle w:val="BodyText"/>
        <w:spacing w:line="355" w:lineRule="auto"/>
        <w:ind w:left="633" w:right="982"/>
        <w:jc w:val="left"/>
      </w:pPr>
      <w:r>
        <w:rPr/>
        <w:t>金融负债在初始确认时划分为下列两类： 以公允价值计量且其变动计入当期损益的金融负债，包括交易性金融负债和指定为以公</w:t>
      </w:r>
    </w:p>
    <w:p>
      <w:pPr>
        <w:pStyle w:val="BodyText"/>
        <w:spacing w:line="357" w:lineRule="auto" w:before="38"/>
        <w:ind w:left="633" w:right="5714" w:hanging="481"/>
        <w:jc w:val="left"/>
      </w:pPr>
      <w:r>
        <w:rPr/>
        <w:t>允价值计量且其变动计入当期损益的金融负债； 其他金融负债。</w:t>
      </w:r>
    </w:p>
    <w:p>
      <w:pPr>
        <w:spacing w:line="240" w:lineRule="auto" w:before="0"/>
        <w:rPr>
          <w:rFonts w:ascii="宋体" w:hAnsi="宋体" w:cs="宋体" w:eastAsia="宋体" w:hint="default"/>
          <w:sz w:val="24"/>
          <w:szCs w:val="24"/>
        </w:rPr>
      </w:pPr>
    </w:p>
    <w:p>
      <w:pPr>
        <w:pStyle w:val="BodyText"/>
        <w:spacing w:line="357" w:lineRule="auto" w:before="191"/>
        <w:ind w:left="633" w:right="982"/>
        <w:jc w:val="left"/>
      </w:pPr>
      <w:r>
        <w:rPr/>
        <w:t>以公允价值计量且其变动计入当期损益的金融资产或金融负债 此类金融资产或金融负债进一步分为交易性金融资产或金融负债和直接指定为以公允价</w:t>
      </w:r>
    </w:p>
    <w:p>
      <w:pPr>
        <w:pStyle w:val="BodyText"/>
        <w:spacing w:line="357" w:lineRule="auto"/>
        <w:ind w:left="633" w:right="982" w:hanging="481"/>
        <w:jc w:val="left"/>
      </w:pPr>
      <w:r>
        <w:rPr/>
        <w:t>值计量且其变动计入当期损益的金融资产或金融负债。 交易性金融资产或金融负债，主要是指公司为了近期内出售而持有的金融资产或近期内</w:t>
      </w:r>
    </w:p>
    <w:p>
      <w:pPr>
        <w:pStyle w:val="BodyText"/>
        <w:spacing w:line="357" w:lineRule="auto"/>
        <w:ind w:left="633" w:right="982" w:hanging="481"/>
        <w:jc w:val="left"/>
      </w:pPr>
      <w:r>
        <w:rPr/>
        <w:t>回购而承担的金融负债。 直接指定为以公允价值计量且其变动计入当期损益的金融资产或金融负债，主要是指公</w:t>
      </w:r>
    </w:p>
    <w:p>
      <w:pPr>
        <w:pStyle w:val="BodyText"/>
        <w:spacing w:line="357" w:lineRule="auto"/>
        <w:ind w:left="633" w:right="982" w:hanging="481"/>
        <w:jc w:val="left"/>
      </w:pPr>
      <w:r>
        <w:rPr/>
        <w:t>司基于风险管理、战略投资需要等所作的指定。 以公允价值计量且其变动计入当期损益的金融资产按照取得时的公允价值作为初始确认</w:t>
      </w:r>
    </w:p>
    <w:p>
      <w:pPr>
        <w:pStyle w:val="BodyText"/>
        <w:spacing w:line="240" w:lineRule="auto"/>
        <w:ind w:right="982"/>
        <w:jc w:val="left"/>
      </w:pPr>
      <w:r>
        <w:rPr/>
        <w:t>金额，相关的交易费用在发生时计入当期损益。支付的价款中包含已宣告但尚未发放的现金</w:t>
      </w:r>
    </w:p>
    <w:p>
      <w:pPr>
        <w:spacing w:after="0" w:line="240"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left="633" w:right="982" w:hanging="481"/>
        <w:jc w:val="left"/>
      </w:pPr>
      <w:r>
        <w:rPr/>
        <w:t>股利或已到付息期但尚未领取的债券利息，单独确认为应收项目。 在持有以公允价值计量且其变动计入当期损益的金融资产期间取得的利息或现金股利，</w:t>
      </w:r>
    </w:p>
    <w:p>
      <w:pPr>
        <w:pStyle w:val="BodyText"/>
        <w:spacing w:line="357" w:lineRule="auto"/>
        <w:ind w:right="1139"/>
        <w:jc w:val="both"/>
      </w:pPr>
      <w:r>
        <w:rPr/>
        <w:t>确认为投资收益。资产负债表日，将以公允价值计量且其变动计入当期损益的金融资产或金</w:t>
      </w:r>
      <w:r>
        <w:rPr>
          <w:spacing w:val="-91"/>
        </w:rPr>
        <w:t> </w:t>
      </w:r>
      <w:r>
        <w:rPr>
          <w:spacing w:val="-91"/>
        </w:rPr>
      </w:r>
      <w:r>
        <w:rPr/>
        <w:t>融负债的公允价值变动计入当期损益。</w:t>
      </w:r>
    </w:p>
    <w:p>
      <w:pPr>
        <w:pStyle w:val="BodyText"/>
        <w:spacing w:line="357" w:lineRule="auto"/>
        <w:ind w:right="1140" w:firstLine="480"/>
        <w:jc w:val="both"/>
      </w:pPr>
      <w:r>
        <w:rPr/>
        <w:t>处置以公允价值计量且其变动计入当期损益的金融资产或金融负债时，其公允价值与初 始入账金额之间的差额确认为投资收益，同时调整公允价值变动损益。</w:t>
      </w:r>
    </w:p>
    <w:p>
      <w:pPr>
        <w:pStyle w:val="BodyText"/>
        <w:spacing w:line="357" w:lineRule="auto"/>
        <w:ind w:left="633" w:right="982"/>
        <w:jc w:val="left"/>
      </w:pPr>
      <w:r>
        <w:rPr/>
        <w:t>持有至到期投资 此类金融资产是指到期日固定、回收金额固定或可确定，且公司有明确意图和能力持有</w:t>
      </w:r>
    </w:p>
    <w:p>
      <w:pPr>
        <w:pStyle w:val="BodyText"/>
        <w:spacing w:line="357" w:lineRule="auto"/>
        <w:ind w:left="633" w:right="982" w:hanging="481"/>
        <w:jc w:val="left"/>
      </w:pPr>
      <w:r>
        <w:rPr/>
        <w:t>至到期的非衍生金融资产 持有至到期投资按取得时的公允价值和相关交易费用之和作为初始确认金额。支付的价</w:t>
      </w:r>
    </w:p>
    <w:p>
      <w:pPr>
        <w:pStyle w:val="BodyText"/>
        <w:spacing w:line="357" w:lineRule="auto"/>
        <w:ind w:left="633" w:right="982" w:hanging="481"/>
        <w:jc w:val="left"/>
      </w:pPr>
      <w:r>
        <w:rPr/>
        <w:t>款中包含的已到付息期但尚未领取的债券利息，应单独确认为应收项目。 </w:t>
      </w:r>
      <w:r>
        <w:rPr>
          <w:spacing w:val="-3"/>
        </w:rPr>
        <w:t>持有至到期投资在持有期间按照摊余成本和实际利率计算确认利息收入，计入投资收益。</w:t>
      </w:r>
    </w:p>
    <w:p>
      <w:pPr>
        <w:pStyle w:val="BodyText"/>
        <w:spacing w:line="357" w:lineRule="auto"/>
        <w:ind w:right="1130"/>
        <w:jc w:val="both"/>
        <w:rPr>
          <w:rFonts w:ascii="宋体" w:hAnsi="宋体" w:cs="宋体" w:eastAsia="宋体" w:hint="default"/>
        </w:rPr>
      </w:pPr>
      <w:r>
        <w:rPr/>
        <w:t>实际利率应当在取得持有至到期投资时确定，在该持有至到期投资预期存续期间或适用的更</w:t>
      </w:r>
      <w:r>
        <w:rPr>
          <w:spacing w:val="-91"/>
        </w:rPr>
        <w:t> </w:t>
      </w:r>
      <w:r>
        <w:rPr>
          <w:spacing w:val="-91"/>
        </w:rPr>
      </w:r>
      <w:r>
        <w:rPr>
          <w:spacing w:val="-2"/>
        </w:rPr>
        <w:t>短期间内保持不变。</w:t>
      </w:r>
      <w:r>
        <w:rPr>
          <w:rFonts w:ascii="宋体" w:hAnsi="宋体" w:cs="宋体" w:eastAsia="宋体" w:hint="default"/>
          <w:spacing w:val="-2"/>
        </w:rPr>
        <w:t>(</w:t>
      </w:r>
      <w:r>
        <w:rPr>
          <w:spacing w:val="-2"/>
        </w:rPr>
        <w:t>实际利率与票面利率差别较小的，也可按票面利率计算利息收入，计入</w:t>
      </w:r>
      <w:r>
        <w:rPr>
          <w:spacing w:val="-118"/>
        </w:rPr>
        <w:t> </w:t>
      </w:r>
      <w:r>
        <w:rPr>
          <w:spacing w:val="-118"/>
        </w:rPr>
      </w:r>
      <w:r>
        <w:rPr/>
        <w:t>投资收益。</w:t>
      </w:r>
      <w:r>
        <w:rPr>
          <w:rFonts w:ascii="宋体" w:hAnsi="宋体" w:cs="宋体" w:eastAsia="宋体" w:hint="default"/>
        </w:rPr>
        <w:t>)</w:t>
      </w:r>
    </w:p>
    <w:p>
      <w:pPr>
        <w:pStyle w:val="BodyText"/>
        <w:spacing w:line="240" w:lineRule="auto"/>
        <w:ind w:left="633" w:right="982"/>
        <w:jc w:val="left"/>
      </w:pPr>
      <w:r>
        <w:rPr/>
        <w:t>处置持有至到期投资时，应将所取得价款与该投资账面价值之间的差额计入投资收益。</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spacing w:line="357" w:lineRule="auto" w:before="0"/>
        <w:ind w:left="633" w:right="982"/>
        <w:jc w:val="left"/>
      </w:pPr>
      <w:r>
        <w:rPr/>
        <w:t>贷款和应收款项 贷款主要是指金融企业发放的贷款，金融企业按当前市场条件发放的贷款，按发放贷款</w:t>
      </w:r>
    </w:p>
    <w:p>
      <w:pPr>
        <w:pStyle w:val="BodyText"/>
        <w:spacing w:line="357" w:lineRule="auto"/>
        <w:ind w:right="1139"/>
        <w:jc w:val="both"/>
      </w:pPr>
      <w:r>
        <w:rPr/>
        <w:t>的本金和相关交易费用之和作为初始确认金额。贷款持有期间所确认的利息收入，应当根据</w:t>
      </w:r>
      <w:r>
        <w:rPr>
          <w:spacing w:val="-91"/>
        </w:rPr>
        <w:t> </w:t>
      </w:r>
      <w:r>
        <w:rPr>
          <w:spacing w:val="-91"/>
        </w:rPr>
      </w:r>
      <w:r>
        <w:rPr/>
        <w:t>实际利率计算。实际利率应在取得贷款时确定，在该贷款预期存续期间或适用的更短期间内</w:t>
      </w:r>
      <w:r>
        <w:rPr>
          <w:spacing w:val="-91"/>
        </w:rPr>
        <w:t> </w:t>
      </w:r>
      <w:r>
        <w:rPr>
          <w:spacing w:val="-91"/>
        </w:rPr>
      </w:r>
      <w:r>
        <w:rPr/>
        <w:t>保持不变。实际利率与合同利率差别较小的，也可按合同利率计算利息收入。</w:t>
      </w:r>
    </w:p>
    <w:p>
      <w:pPr>
        <w:pStyle w:val="BodyText"/>
        <w:spacing w:line="357" w:lineRule="auto"/>
        <w:ind w:right="1139" w:firstLine="480"/>
        <w:jc w:val="both"/>
      </w:pPr>
      <w:r>
        <w:rPr/>
        <w:t>应收款项主要是指公司销售商品或提供劳务形成的应收款项等债权，通常应按从购货方 应收的合同或协议价款作为初始确认金额。收回或处置贷款和应收款项时，应将取得的价款</w:t>
      </w:r>
      <w:r>
        <w:rPr>
          <w:spacing w:val="-91"/>
        </w:rPr>
        <w:t> </w:t>
      </w:r>
      <w:r>
        <w:rPr>
          <w:spacing w:val="-91"/>
        </w:rPr>
      </w:r>
      <w:r>
        <w:rPr/>
        <w:t>与该贷款和应收款项账面价值之间的差额计入当期损益。</w:t>
      </w:r>
    </w:p>
    <w:p>
      <w:pPr>
        <w:spacing w:line="240" w:lineRule="auto" w:before="0"/>
        <w:rPr>
          <w:rFonts w:ascii="宋体" w:hAnsi="宋体" w:cs="宋体" w:eastAsia="宋体" w:hint="default"/>
          <w:sz w:val="24"/>
          <w:szCs w:val="24"/>
        </w:rPr>
      </w:pPr>
    </w:p>
    <w:p>
      <w:pPr>
        <w:pStyle w:val="BodyText"/>
        <w:spacing w:line="357" w:lineRule="auto" w:before="190"/>
        <w:ind w:left="633" w:right="982"/>
        <w:jc w:val="left"/>
      </w:pPr>
      <w:r>
        <w:rPr/>
        <w:t>可供出售金融资产 可供出售金融资产通常是指企业没有划分为以公允价值计量且其变动计入当期损益的金</w:t>
      </w:r>
    </w:p>
    <w:p>
      <w:pPr>
        <w:pStyle w:val="BodyText"/>
        <w:spacing w:line="240" w:lineRule="auto"/>
        <w:ind w:right="0"/>
        <w:jc w:val="both"/>
      </w:pPr>
      <w:r>
        <w:rPr/>
        <w:t>融资产、持有至到期投资、贷款和应收款项的金融资产。</w:t>
      </w:r>
    </w:p>
    <w:p>
      <w:pPr>
        <w:spacing w:after="0" w:line="240" w:lineRule="auto"/>
        <w:jc w:val="both"/>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996" w:firstLine="480"/>
        <w:jc w:val="left"/>
      </w:pPr>
      <w:r>
        <w:rPr>
          <w:spacing w:val="6"/>
        </w:rPr>
        <w:t>可供出售金融资产按取得该金融资产的公允价值和相关交易费用之和作为初始确认金</w:t>
      </w:r>
      <w:r>
        <w:rPr/>
        <w:t> </w:t>
      </w:r>
      <w:r>
        <w:rPr>
          <w:spacing w:val="-2"/>
        </w:rPr>
        <w:t>额。支付的价款中包含的已到付息期但尚未领取的债券利息或已宣告但尚未发放的现金股利，</w:t>
      </w:r>
      <w:r>
        <w:rPr/>
        <w:t> 应单独确认为应收项目。</w:t>
      </w:r>
    </w:p>
    <w:p>
      <w:pPr>
        <w:pStyle w:val="BodyText"/>
        <w:spacing w:line="357" w:lineRule="auto"/>
        <w:ind w:right="982" w:firstLine="480"/>
        <w:jc w:val="left"/>
      </w:pPr>
      <w:r>
        <w:rPr>
          <w:spacing w:val="-3"/>
        </w:rPr>
        <w:t>可供出售金融资产持有期间取得的利息或现金股利，应当计入投资收益。资产负债表日，</w:t>
      </w:r>
      <w:r>
        <w:rPr/>
        <w:t> 可供出售金融资产应当以公允价值计量，且公允价值变动计入其他综合收益。</w:t>
      </w:r>
    </w:p>
    <w:p>
      <w:pPr>
        <w:pStyle w:val="BodyText"/>
        <w:spacing w:line="357" w:lineRule="auto"/>
        <w:ind w:right="1137" w:firstLine="480"/>
        <w:jc w:val="both"/>
      </w:pPr>
      <w:r>
        <w:rPr/>
        <w:t>处置可供出售金融资产时，应将取得的价款与该金融资产账面价值之间的差额，计入投 资损益；同时，将原直接计入所有者权益的公允价值变动累计额对应处置部分的金额转出，</w:t>
      </w:r>
      <w:r>
        <w:rPr>
          <w:spacing w:val="-91"/>
        </w:rPr>
        <w:t> </w:t>
      </w:r>
      <w:r>
        <w:rPr>
          <w:spacing w:val="-91"/>
        </w:rPr>
      </w:r>
      <w:r>
        <w:rPr/>
        <w:t>计入投资损益。</w:t>
      </w:r>
    </w:p>
    <w:p>
      <w:pPr>
        <w:spacing w:line="240" w:lineRule="auto" w:before="0"/>
        <w:rPr>
          <w:rFonts w:ascii="宋体" w:hAnsi="宋体" w:cs="宋体" w:eastAsia="宋体" w:hint="default"/>
          <w:sz w:val="24"/>
          <w:szCs w:val="24"/>
        </w:rPr>
      </w:pPr>
    </w:p>
    <w:p>
      <w:pPr>
        <w:pStyle w:val="BodyText"/>
        <w:spacing w:line="357" w:lineRule="auto" w:before="190"/>
        <w:ind w:left="633" w:right="982"/>
        <w:jc w:val="left"/>
      </w:pPr>
      <w:r>
        <w:rPr/>
        <w:t>其他金融负债 </w:t>
      </w:r>
      <w:r>
        <w:rPr>
          <w:spacing w:val="6"/>
        </w:rPr>
        <w:t>其他金融负债是指除以公允价值计量且其变动计入当期损益的金融负债以外的金融负</w:t>
      </w:r>
    </w:p>
    <w:p>
      <w:pPr>
        <w:pStyle w:val="BodyText"/>
        <w:spacing w:line="357" w:lineRule="auto"/>
        <w:ind w:right="982"/>
        <w:jc w:val="left"/>
      </w:pPr>
      <w:r>
        <w:rPr/>
        <w:t>债。通常情况下，公司发行的债券、因购买商品产生的应付账款、长期应付款等，应当划分</w:t>
      </w:r>
      <w:r>
        <w:rPr>
          <w:spacing w:val="-91"/>
        </w:rPr>
        <w:t> </w:t>
      </w:r>
      <w:r>
        <w:rPr>
          <w:spacing w:val="-91"/>
        </w:rPr>
      </w:r>
      <w:r>
        <w:rPr/>
        <w:t>为其他金融负债。</w:t>
      </w:r>
    </w:p>
    <w:p>
      <w:pPr>
        <w:pStyle w:val="BodyText"/>
        <w:spacing w:line="357" w:lineRule="auto"/>
        <w:ind w:right="1140" w:firstLine="480"/>
        <w:jc w:val="both"/>
      </w:pPr>
      <w:r>
        <w:rPr/>
        <w:t>其他金融负债应当按其公允价值和相关交易费用之和作为初始确认金额。其他金融负债 通常采用摊余成本进行后续计量。</w:t>
      </w:r>
    </w:p>
    <w:p>
      <w:pPr>
        <w:pStyle w:val="BodyText"/>
        <w:spacing w:line="357" w:lineRule="auto"/>
        <w:ind w:left="633" w:right="982"/>
        <w:jc w:val="left"/>
      </w:pPr>
      <w:r>
        <w:rPr/>
        <w:t>金融资产转移的确认依据和计量方法 公司已将金融资产所有权上几乎所有的风险和报酬转移给转入方的，终止确认该金融资</w:t>
      </w:r>
    </w:p>
    <w:p>
      <w:pPr>
        <w:pStyle w:val="BodyText"/>
        <w:spacing w:line="357" w:lineRule="auto"/>
        <w:ind w:right="998"/>
        <w:jc w:val="left"/>
      </w:pPr>
      <w:r>
        <w:rPr>
          <w:spacing w:val="-4"/>
        </w:rPr>
        <w:t>产；保留了金融资产所有权上几乎所有的风险和报酬的，不终止确认该金融资产。</w:t>
      </w:r>
      <w:r>
        <w:rPr>
          <w:spacing w:val="-60"/>
        </w:rPr>
        <w:t> </w:t>
      </w:r>
      <w:r>
        <w:rPr/>
        <w:t>终止确认，</w:t>
      </w:r>
      <w:r>
        <w:rPr/>
        <w:t> 是指将金融资产或金融负债从公司的账户和资产负债表内予以转销。金融资产整体转移满足</w:t>
      </w:r>
      <w:r>
        <w:rPr>
          <w:spacing w:val="-91"/>
        </w:rPr>
        <w:t> </w:t>
      </w:r>
      <w:r>
        <w:rPr>
          <w:spacing w:val="-91"/>
        </w:rPr>
      </w:r>
      <w:r>
        <w:rPr/>
        <w:t>终止确认条件的，应当将下列两项金额的差额计入当期损益：</w:t>
      </w:r>
    </w:p>
    <w:p>
      <w:pPr>
        <w:pStyle w:val="BodyText"/>
        <w:spacing w:line="357" w:lineRule="auto"/>
        <w:ind w:left="633" w:right="982"/>
        <w:jc w:val="left"/>
      </w:pPr>
      <w:r>
        <w:rPr/>
        <w:t>所转移金融资产的账面价值； </w:t>
      </w:r>
      <w:r>
        <w:rPr>
          <w:spacing w:val="-3"/>
        </w:rPr>
        <w:t>因转移而收到的对价，与原直接计入所有者权益的公允价值变动累计额</w:t>
      </w:r>
      <w:r>
        <w:rPr>
          <w:rFonts w:ascii="宋体" w:hAnsi="宋体" w:cs="宋体" w:eastAsia="宋体" w:hint="default"/>
          <w:spacing w:val="-3"/>
        </w:rPr>
        <w:t>(</w:t>
      </w:r>
      <w:r>
        <w:rPr>
          <w:spacing w:val="-3"/>
        </w:rPr>
        <w:t>涉及转移的金融</w:t>
      </w:r>
    </w:p>
    <w:p>
      <w:pPr>
        <w:pStyle w:val="BodyText"/>
        <w:spacing w:line="240" w:lineRule="auto"/>
        <w:ind w:right="982"/>
        <w:jc w:val="left"/>
      </w:pPr>
      <w:r>
        <w:rPr/>
        <w:t>资产为可供出售金融资产的情形</w:t>
      </w:r>
      <w:r>
        <w:rPr>
          <w:rFonts w:ascii="宋体" w:hAnsi="宋体" w:cs="宋体" w:eastAsia="宋体" w:hint="default"/>
        </w:rPr>
        <w:t>)</w:t>
      </w:r>
      <w:r>
        <w:rPr/>
        <w:t>之和。</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spacing w:line="357" w:lineRule="auto" w:before="0"/>
        <w:ind w:right="1051" w:firstLine="480"/>
        <w:jc w:val="both"/>
      </w:pPr>
      <w:r>
        <w:rPr/>
        <w:t>金融资产部分转移满足终止确认条件的，将所转移金融资产整体的账面价值，在终止确 </w:t>
      </w:r>
      <w:r>
        <w:rPr>
          <w:spacing w:val="-2"/>
        </w:rPr>
        <w:t>认部分和未终止确认部分</w:t>
      </w:r>
      <w:r>
        <w:rPr>
          <w:rFonts w:ascii="宋体" w:hAnsi="宋体" w:cs="宋体" w:eastAsia="宋体" w:hint="default"/>
          <w:spacing w:val="-2"/>
        </w:rPr>
        <w:t>(</w:t>
      </w:r>
      <w:r>
        <w:rPr>
          <w:spacing w:val="-2"/>
        </w:rPr>
        <w:t>在此种情况下，所保留的服务资产应当视同未终止确认金融资产的</w:t>
      </w:r>
      <w:r>
        <w:rPr/>
        <w:t> 一部分</w:t>
      </w:r>
      <w:r>
        <w:rPr>
          <w:rFonts w:ascii="宋体" w:hAnsi="宋体" w:cs="宋体" w:eastAsia="宋体" w:hint="default"/>
        </w:rPr>
        <w:t>)</w:t>
      </w:r>
      <w:r>
        <w:rPr/>
        <w:t>之间，按照各自的相对公允价值进行分摊，并将下列两项金额的差额计入当期损益：</w:t>
      </w:r>
    </w:p>
    <w:p>
      <w:pPr>
        <w:pStyle w:val="BodyText"/>
        <w:spacing w:line="357" w:lineRule="auto"/>
        <w:ind w:left="633" w:right="982"/>
        <w:jc w:val="left"/>
      </w:pPr>
      <w:r>
        <w:rPr/>
        <w:t>终止确认部分的账面价值； 终止确认部分的对价，与原直接计入所有者权益的公允价值变动累计额中对应终止确认</w:t>
      </w:r>
    </w:p>
    <w:p>
      <w:pPr>
        <w:spacing w:after="0" w:line="357"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left="633" w:right="982" w:hanging="481"/>
        <w:jc w:val="left"/>
      </w:pPr>
      <w:r>
        <w:rPr/>
        <w:t>部分的金额</w:t>
      </w:r>
      <w:r>
        <w:rPr>
          <w:rFonts w:ascii="宋体" w:hAnsi="宋体" w:cs="宋体" w:eastAsia="宋体" w:hint="default"/>
        </w:rPr>
        <w:t>(</w:t>
      </w:r>
      <w:r>
        <w:rPr/>
        <w:t>涉及转移的金融资产为可供出售金融资产的情形</w:t>
      </w:r>
      <w:r>
        <w:rPr>
          <w:rFonts w:ascii="宋体" w:hAnsi="宋体" w:cs="宋体" w:eastAsia="宋体" w:hint="default"/>
        </w:rPr>
        <w:t>)</w:t>
      </w:r>
      <w:r>
        <w:rPr/>
        <w:t>之和。 公司仍保留与所转移金融资产所有权上几乎所有的风险和报酬的，则继续确认所转移金</w:t>
      </w:r>
    </w:p>
    <w:p>
      <w:pPr>
        <w:pStyle w:val="BodyText"/>
        <w:spacing w:line="357" w:lineRule="auto"/>
        <w:ind w:left="633" w:right="5234" w:hanging="481"/>
        <w:jc w:val="left"/>
      </w:pPr>
      <w:r>
        <w:rPr/>
        <w:t>融资产整体，并将收到的对价确认为一项金融负债。 金融负债终止确认条件</w:t>
      </w:r>
    </w:p>
    <w:p>
      <w:pPr>
        <w:pStyle w:val="BodyText"/>
        <w:spacing w:line="357" w:lineRule="auto"/>
        <w:ind w:left="633" w:right="982"/>
        <w:jc w:val="left"/>
      </w:pPr>
      <w:r>
        <w:rPr/>
        <w:t>金融负债的现时义务全部或部分已经解除的，则应终止确认该金融负债或其一部分。 金融资产和金融负债的公允价值确定方法 公允价值，是指市场参与者在计量日发生的有序交易中，出售一项资产所能收到或者转</w:t>
      </w:r>
    </w:p>
    <w:p>
      <w:pPr>
        <w:pStyle w:val="BodyText"/>
        <w:spacing w:line="357" w:lineRule="auto" w:before="37"/>
        <w:ind w:right="982"/>
        <w:jc w:val="left"/>
      </w:pPr>
      <w:r>
        <w:rPr/>
        <w:t>移一项负债所需支付的价格。公司将公允价值计量所使用的输入值划分为三个层次，并首先</w:t>
      </w:r>
      <w:r>
        <w:rPr>
          <w:spacing w:val="-91"/>
        </w:rPr>
        <w:t> </w:t>
      </w:r>
      <w:r>
        <w:rPr>
          <w:spacing w:val="-91"/>
        </w:rPr>
      </w:r>
      <w:r>
        <w:rPr/>
        <w:t>使用第一层次输入值，其次使用第二层次输入值，最后使用第三层次输入值。</w:t>
      </w:r>
    </w:p>
    <w:p>
      <w:pPr>
        <w:pStyle w:val="BodyText"/>
        <w:spacing w:line="357" w:lineRule="auto"/>
        <w:ind w:right="982" w:firstLine="480"/>
        <w:jc w:val="left"/>
      </w:pPr>
      <w:r>
        <w:rPr/>
        <w:t>第一层次输入值是在计量日能够取得的相同资产或负债在活跃市场上未经调整的报价。 活跃市场，是指相关资产或负债的交易量和交易频率足以持续提供定价信息的市场。</w:t>
      </w:r>
    </w:p>
    <w:p>
      <w:pPr>
        <w:pStyle w:val="BodyText"/>
        <w:spacing w:line="357" w:lineRule="auto"/>
        <w:ind w:left="633" w:right="982"/>
        <w:jc w:val="left"/>
      </w:pPr>
      <w:r>
        <w:rPr/>
        <w:t>第二层次输入值是除第一层次输入值外相关资产或负债直接或间接可观察的输入值。 第三层次输入值是相关资产或负债的不可观察输入值。 金融资产</w:t>
      </w:r>
      <w:r>
        <w:rPr>
          <w:rFonts w:ascii="宋体" w:hAnsi="宋体" w:cs="宋体" w:eastAsia="宋体" w:hint="default"/>
        </w:rPr>
        <w:t>(</w:t>
      </w:r>
      <w:r>
        <w:rPr/>
        <w:t>此处不含应收款项</w:t>
      </w:r>
      <w:r>
        <w:rPr>
          <w:rFonts w:ascii="宋体" w:hAnsi="宋体" w:cs="宋体" w:eastAsia="宋体" w:hint="default"/>
        </w:rPr>
        <w:t>)</w:t>
      </w:r>
      <w:r>
        <w:rPr/>
        <w:t>减值测试方法、减值准备计提方法 对于持有至到期投资和贷款，有客观证据表明其发生了减值的，应当根据其账面价值与</w:t>
      </w:r>
    </w:p>
    <w:p>
      <w:pPr>
        <w:pStyle w:val="BodyText"/>
        <w:spacing w:line="357" w:lineRule="auto"/>
        <w:ind w:left="633" w:right="982" w:hanging="481"/>
        <w:jc w:val="left"/>
      </w:pPr>
      <w:r>
        <w:rPr/>
        <w:t>预计未来现金流量现值之间的差额计算确认减值损失。 通常情况下，如果可供出售金融资产的公允价值发生较大幅度下降，或在综合考虑各种</w:t>
      </w:r>
    </w:p>
    <w:p>
      <w:pPr>
        <w:pStyle w:val="BodyText"/>
        <w:spacing w:line="357" w:lineRule="auto"/>
        <w:ind w:right="996"/>
        <w:jc w:val="left"/>
      </w:pPr>
      <w:r>
        <w:rPr>
          <w:spacing w:val="-2"/>
        </w:rPr>
        <w:t>相关因素后，预期这种下降趋势属于非暂时性的，可以认定该可供出售金融资产已发生减值，</w:t>
      </w:r>
      <w:r>
        <w:rPr/>
        <w:t> 应当确认减值损失。可供出售金融资产发生减值的，在确认减值损失时，将原直接计入所有</w:t>
      </w:r>
      <w:r>
        <w:rPr>
          <w:spacing w:val="-91"/>
        </w:rPr>
        <w:t> </w:t>
      </w:r>
      <w:r>
        <w:rPr>
          <w:spacing w:val="-91"/>
        </w:rPr>
      </w:r>
      <w:r>
        <w:rPr/>
        <w:t>者权益的公允价值下降形成的累计损失一并转出，计入减值损失。</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11</w:t>
      </w:r>
      <w:r>
        <w:rPr>
          <w:rFonts w:ascii="宋体" w:hAnsi="宋体" w:cs="宋体" w:eastAsia="宋体" w:hint="default"/>
          <w:b/>
          <w:bCs/>
          <w:sz w:val="21"/>
          <w:szCs w:val="21"/>
        </w:rPr>
        <w:t>、应收票据及应收账款</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240" w:lineRule="auto" w:before="0"/>
        <w:ind w:left="633" w:right="982"/>
        <w:jc w:val="left"/>
      </w:pPr>
      <w:r>
        <w:rPr/>
        <w:t>应收款项包括应收票据、应收账款、应收利息、应收股利、其他应收款等。</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spacing w:line="357" w:lineRule="auto" w:before="0"/>
        <w:ind w:left="633" w:right="982"/>
        <w:jc w:val="left"/>
      </w:pPr>
      <w:r>
        <w:rPr/>
        <w:t>单项金额重大并单项计提坏账准备的应收款项 本公司将金额为人民币</w:t>
      </w:r>
      <w:r>
        <w:rPr>
          <w:rFonts w:ascii="宋体" w:hAnsi="宋体" w:cs="宋体" w:eastAsia="宋体" w:hint="default"/>
        </w:rPr>
        <w:t>50</w:t>
      </w:r>
      <w:r>
        <w:rPr/>
        <w:t>万元以上的应收款项确认为单项金额重大的应收款项。 </w:t>
      </w:r>
      <w:r>
        <w:rPr>
          <w:spacing w:val="-3"/>
        </w:rPr>
        <w:t>本公司对单项金额重大的应收款项单独进行减值测试，单独测试未发生减值的金融资产，</w:t>
      </w:r>
    </w:p>
    <w:p>
      <w:pPr>
        <w:pStyle w:val="BodyText"/>
        <w:spacing w:line="357" w:lineRule="auto"/>
        <w:ind w:right="982"/>
        <w:jc w:val="left"/>
      </w:pPr>
      <w:r>
        <w:rPr/>
        <w:t>包括在具有类似信用风险特征的金融资产组合中进行减值测试。单项测试已确认减值损失的</w:t>
      </w:r>
      <w:r>
        <w:rPr>
          <w:spacing w:val="-91"/>
        </w:rPr>
        <w:t> </w:t>
      </w:r>
      <w:r>
        <w:rPr>
          <w:spacing w:val="-91"/>
        </w:rPr>
      </w:r>
      <w:r>
        <w:rPr/>
        <w:t>应收款项，不再包括在具有类似信用风险特征的应收款项组合中进行减值测试。</w:t>
      </w:r>
    </w:p>
    <w:p>
      <w:pPr>
        <w:spacing w:after="0" w:line="357"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5"/>
          <w:szCs w:val="25"/>
        </w:rPr>
      </w:pPr>
    </w:p>
    <w:p>
      <w:pPr>
        <w:pStyle w:val="BodyText"/>
        <w:spacing w:line="357" w:lineRule="auto" w:before="26"/>
        <w:ind w:left="773" w:right="1034"/>
        <w:jc w:val="left"/>
      </w:pPr>
      <w:r>
        <w:rPr/>
        <w:t>按组合计提坏账准备应收款项 确定组合的依据：本公司对单项金额不重大以及金额重大但单项测试未发生减值的应收</w:t>
      </w:r>
    </w:p>
    <w:p>
      <w:pPr>
        <w:pStyle w:val="BodyText"/>
        <w:spacing w:line="357" w:lineRule="auto"/>
        <w:ind w:left="292" w:right="1139"/>
        <w:jc w:val="both"/>
      </w:pPr>
      <w:r>
        <w:rPr/>
        <w:t>款项，按信用风险特征的相似性和相关性对金融资产进行分组。这些信用风险通常反映债务</w:t>
      </w:r>
      <w:r>
        <w:rPr>
          <w:spacing w:val="-91"/>
        </w:rPr>
        <w:t> </w:t>
      </w:r>
      <w:r>
        <w:rPr>
          <w:spacing w:val="-91"/>
        </w:rPr>
      </w:r>
      <w:r>
        <w:rPr/>
        <w:t>人按照该等资产的合同条款偿还所有到期金额的能力，并且与被检查资产的未来现金流量测</w:t>
      </w:r>
      <w:r>
        <w:rPr>
          <w:spacing w:val="-91"/>
        </w:rPr>
        <w:t> </w:t>
      </w:r>
      <w:r>
        <w:rPr>
          <w:spacing w:val="-91"/>
        </w:rPr>
      </w:r>
      <w:r>
        <w:rPr/>
        <w:t>算相关。</w:t>
      </w:r>
    </w:p>
    <w:p>
      <w:pPr>
        <w:spacing w:line="240" w:lineRule="auto" w:before="2"/>
        <w:rPr>
          <w:rFonts w:ascii="宋体" w:hAnsi="宋体" w:cs="宋体" w:eastAsia="宋体" w:hint="default"/>
          <w:sz w:val="9"/>
          <w:szCs w:val="9"/>
        </w:rPr>
      </w:pPr>
    </w:p>
    <w:tbl>
      <w:tblPr>
        <w:tblW w:w="0" w:type="auto"/>
        <w:jc w:val="left"/>
        <w:tblInd w:w="104" w:type="dxa"/>
        <w:tblLayout w:type="fixed"/>
        <w:tblCellMar>
          <w:top w:w="0" w:type="dxa"/>
          <w:left w:w="0" w:type="dxa"/>
          <w:bottom w:w="0" w:type="dxa"/>
          <w:right w:w="0" w:type="dxa"/>
        </w:tblCellMar>
        <w:tblLook w:val="01E0"/>
      </w:tblPr>
      <w:tblGrid>
        <w:gridCol w:w="9167"/>
      </w:tblGrid>
      <w:tr>
        <w:trPr>
          <w:trHeight w:val="364" w:hRule="exact"/>
        </w:trPr>
        <w:tc>
          <w:tcPr>
            <w:tcW w:w="9167" w:type="dxa"/>
            <w:tcBorders>
              <w:top w:val="nil" w:sz="6" w:space="0" w:color="auto"/>
              <w:left w:val="nil" w:sz="6" w:space="0" w:color="auto"/>
              <w:bottom w:val="nil" w:sz="6" w:space="0" w:color="auto"/>
              <w:right w:val="nil" w:sz="6" w:space="0" w:color="auto"/>
            </w:tcBorders>
          </w:tcPr>
          <w:p>
            <w:pPr>
              <w:pStyle w:val="TableParagraph"/>
              <w:spacing w:line="240" w:lineRule="exact"/>
              <w:ind w:left="680" w:right="0"/>
              <w:jc w:val="left"/>
              <w:rPr>
                <w:rFonts w:ascii="宋体" w:hAnsi="宋体" w:cs="宋体" w:eastAsia="宋体" w:hint="default"/>
                <w:sz w:val="24"/>
                <w:szCs w:val="24"/>
              </w:rPr>
            </w:pPr>
            <w:r>
              <w:rPr>
                <w:rFonts w:ascii="宋体" w:hAnsi="宋体" w:cs="宋体" w:eastAsia="宋体" w:hint="default"/>
                <w:sz w:val="24"/>
                <w:szCs w:val="24"/>
              </w:rPr>
              <w:t>组合</w:t>
            </w:r>
            <w:r>
              <w:rPr>
                <w:rFonts w:ascii="宋体" w:hAnsi="宋体" w:cs="宋体" w:eastAsia="宋体" w:hint="default"/>
                <w:sz w:val="24"/>
                <w:szCs w:val="24"/>
              </w:rPr>
              <w:t>1</w:t>
            </w:r>
            <w:r>
              <w:rPr>
                <w:rFonts w:ascii="宋体" w:hAnsi="宋体" w:cs="宋体" w:eastAsia="宋体" w:hint="default"/>
                <w:sz w:val="24"/>
                <w:szCs w:val="24"/>
              </w:rPr>
              <w:t>：账龄组合，本组合为与本公司无关联关系的国内客户的应收款项。</w:t>
            </w:r>
          </w:p>
        </w:tc>
      </w:tr>
      <w:tr>
        <w:trPr>
          <w:trHeight w:val="489" w:hRule="exact"/>
        </w:trPr>
        <w:tc>
          <w:tcPr>
            <w:tcW w:w="916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80" w:right="0"/>
              <w:jc w:val="left"/>
              <w:rPr>
                <w:rFonts w:ascii="宋体" w:hAnsi="宋体" w:cs="宋体" w:eastAsia="宋体" w:hint="default"/>
                <w:sz w:val="24"/>
                <w:szCs w:val="24"/>
              </w:rPr>
            </w:pPr>
            <w:r>
              <w:rPr>
                <w:rFonts w:ascii="宋体" w:hAnsi="宋体" w:cs="宋体" w:eastAsia="宋体" w:hint="default"/>
                <w:sz w:val="24"/>
                <w:szCs w:val="24"/>
              </w:rPr>
              <w:t>组合</w:t>
            </w:r>
            <w:r>
              <w:rPr>
                <w:rFonts w:ascii="宋体" w:hAnsi="宋体" w:cs="宋体" w:eastAsia="宋体" w:hint="default"/>
                <w:sz w:val="24"/>
                <w:szCs w:val="24"/>
              </w:rPr>
              <w:t>2</w:t>
            </w:r>
            <w:r>
              <w:rPr>
                <w:rFonts w:ascii="宋体" w:hAnsi="宋体" w:cs="宋体" w:eastAsia="宋体" w:hint="default"/>
                <w:sz w:val="24"/>
                <w:szCs w:val="24"/>
              </w:rPr>
              <w:t>：关联方组合，本组合为与本公司存在关联关系的应收款项。</w:t>
            </w:r>
          </w:p>
        </w:tc>
      </w:tr>
      <w:tr>
        <w:trPr>
          <w:trHeight w:val="833" w:hRule="exact"/>
        </w:trPr>
        <w:tc>
          <w:tcPr>
            <w:tcW w:w="916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680" w:right="0"/>
              <w:jc w:val="left"/>
              <w:rPr>
                <w:rFonts w:ascii="宋体" w:hAnsi="宋体" w:cs="宋体" w:eastAsia="宋体" w:hint="default"/>
                <w:sz w:val="24"/>
                <w:szCs w:val="24"/>
              </w:rPr>
            </w:pPr>
            <w:r>
              <w:rPr>
                <w:rFonts w:ascii="宋体" w:hAnsi="宋体" w:cs="宋体" w:eastAsia="宋体" w:hint="default"/>
                <w:sz w:val="24"/>
                <w:szCs w:val="24"/>
              </w:rPr>
              <w:t>组合</w:t>
            </w:r>
            <w:r>
              <w:rPr>
                <w:rFonts w:ascii="宋体" w:hAnsi="宋体" w:cs="宋体" w:eastAsia="宋体" w:hint="default"/>
                <w:sz w:val="24"/>
                <w:szCs w:val="24"/>
              </w:rPr>
              <w:t>3</w:t>
            </w:r>
            <w:r>
              <w:rPr>
                <w:rFonts w:ascii="宋体" w:hAnsi="宋体" w:cs="宋体" w:eastAsia="宋体" w:hint="default"/>
                <w:sz w:val="24"/>
                <w:szCs w:val="24"/>
              </w:rPr>
              <w:t>：备用金、押金及保证金组合，本组合为款项性质为备用金、押金及保证</w:t>
            </w:r>
          </w:p>
          <w:p>
            <w:pPr>
              <w:pStyle w:val="TableParagraph"/>
              <w:spacing w:line="240" w:lineRule="auto" w:before="154"/>
              <w:ind w:left="200" w:right="0"/>
              <w:jc w:val="left"/>
              <w:rPr>
                <w:rFonts w:ascii="宋体" w:hAnsi="宋体" w:cs="宋体" w:eastAsia="宋体" w:hint="default"/>
                <w:sz w:val="24"/>
                <w:szCs w:val="24"/>
              </w:rPr>
            </w:pPr>
            <w:r>
              <w:rPr>
                <w:rFonts w:ascii="宋体" w:hAnsi="宋体" w:cs="宋体" w:eastAsia="宋体" w:hint="default"/>
                <w:sz w:val="24"/>
                <w:szCs w:val="24"/>
              </w:rPr>
              <w:t>金等的应收款项。</w:t>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6"/>
          <w:szCs w:val="26"/>
        </w:rPr>
      </w:pPr>
    </w:p>
    <w:p>
      <w:pPr>
        <w:pStyle w:val="BodyText"/>
        <w:spacing w:line="240" w:lineRule="auto" w:before="26"/>
        <w:ind w:left="773" w:right="1034"/>
        <w:jc w:val="left"/>
      </w:pPr>
      <w:r>
        <w:rPr/>
        <w:t>按组合计提坏账准备的计提方法：</w:t>
      </w:r>
    </w:p>
    <w:p>
      <w:pPr>
        <w:spacing w:line="240" w:lineRule="auto" w:before="2"/>
        <w:rPr>
          <w:rFonts w:ascii="宋体" w:hAnsi="宋体" w:cs="宋体" w:eastAsia="宋体" w:hint="default"/>
          <w:sz w:val="18"/>
          <w:szCs w:val="18"/>
        </w:rPr>
      </w:pPr>
    </w:p>
    <w:tbl>
      <w:tblPr>
        <w:tblW w:w="0" w:type="auto"/>
        <w:jc w:val="left"/>
        <w:tblInd w:w="585" w:type="dxa"/>
        <w:tblLayout w:type="fixed"/>
        <w:tblCellMar>
          <w:top w:w="0" w:type="dxa"/>
          <w:left w:w="0" w:type="dxa"/>
          <w:bottom w:w="0" w:type="dxa"/>
          <w:right w:w="0" w:type="dxa"/>
        </w:tblCellMar>
        <w:tblLook w:val="01E0"/>
      </w:tblPr>
      <w:tblGrid>
        <w:gridCol w:w="6280"/>
      </w:tblGrid>
      <w:tr>
        <w:trPr>
          <w:trHeight w:val="364" w:hRule="exact"/>
        </w:trPr>
        <w:tc>
          <w:tcPr>
            <w:tcW w:w="6280" w:type="dxa"/>
            <w:tcBorders>
              <w:top w:val="nil" w:sz="6" w:space="0" w:color="auto"/>
              <w:left w:val="nil" w:sz="6" w:space="0" w:color="auto"/>
              <w:bottom w:val="nil" w:sz="6" w:space="0" w:color="auto"/>
              <w:right w:val="nil" w:sz="6" w:space="0" w:color="auto"/>
            </w:tcBorders>
          </w:tcPr>
          <w:p>
            <w:pPr>
              <w:pStyle w:val="TableParagraph"/>
              <w:spacing w:line="240" w:lineRule="exact"/>
              <w:ind w:left="200" w:right="0"/>
              <w:jc w:val="left"/>
              <w:rPr>
                <w:rFonts w:ascii="宋体" w:hAnsi="宋体" w:cs="宋体" w:eastAsia="宋体" w:hint="default"/>
                <w:sz w:val="24"/>
                <w:szCs w:val="24"/>
              </w:rPr>
            </w:pPr>
            <w:r>
              <w:rPr>
                <w:rFonts w:ascii="宋体" w:hAnsi="宋体" w:cs="宋体" w:eastAsia="宋体" w:hint="default"/>
                <w:sz w:val="24"/>
                <w:szCs w:val="24"/>
              </w:rPr>
              <w:t>组合</w:t>
            </w:r>
            <w:r>
              <w:rPr>
                <w:rFonts w:ascii="宋体" w:hAnsi="宋体" w:cs="宋体" w:eastAsia="宋体" w:hint="default"/>
                <w:sz w:val="24"/>
                <w:szCs w:val="24"/>
              </w:rPr>
              <w:t>1</w:t>
            </w:r>
            <w:r>
              <w:rPr>
                <w:rFonts w:ascii="宋体" w:hAnsi="宋体" w:cs="宋体" w:eastAsia="宋体" w:hint="default"/>
                <w:sz w:val="24"/>
                <w:szCs w:val="24"/>
              </w:rPr>
              <w:t>：账龄分析法。</w:t>
            </w:r>
          </w:p>
        </w:tc>
      </w:tr>
      <w:tr>
        <w:trPr>
          <w:trHeight w:val="489" w:hRule="exact"/>
        </w:trPr>
        <w:tc>
          <w:tcPr>
            <w:tcW w:w="628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200" w:right="0"/>
              <w:jc w:val="left"/>
              <w:rPr>
                <w:rFonts w:ascii="宋体" w:hAnsi="宋体" w:cs="宋体" w:eastAsia="宋体" w:hint="default"/>
                <w:sz w:val="24"/>
                <w:szCs w:val="24"/>
              </w:rPr>
            </w:pPr>
            <w:r>
              <w:rPr>
                <w:rFonts w:ascii="宋体" w:hAnsi="宋体" w:cs="宋体" w:eastAsia="宋体" w:hint="default"/>
                <w:sz w:val="24"/>
                <w:szCs w:val="24"/>
              </w:rPr>
              <w:t>组合</w:t>
            </w:r>
            <w:r>
              <w:rPr>
                <w:rFonts w:ascii="宋体" w:hAnsi="宋体" w:cs="宋体" w:eastAsia="宋体" w:hint="default"/>
                <w:sz w:val="24"/>
                <w:szCs w:val="24"/>
              </w:rPr>
              <w:t>2</w:t>
            </w:r>
            <w:r>
              <w:rPr>
                <w:rFonts w:ascii="宋体" w:hAnsi="宋体" w:cs="宋体" w:eastAsia="宋体" w:hint="default"/>
                <w:sz w:val="24"/>
                <w:szCs w:val="24"/>
              </w:rPr>
              <w:t>：应收关联方款项如无减值迹象不计提坏账准备。</w:t>
            </w:r>
          </w:p>
        </w:tc>
      </w:tr>
      <w:tr>
        <w:trPr>
          <w:trHeight w:val="365" w:hRule="exact"/>
        </w:trPr>
        <w:tc>
          <w:tcPr>
            <w:tcW w:w="6280" w:type="dxa"/>
            <w:tcBorders>
              <w:top w:val="nil" w:sz="6" w:space="0" w:color="auto"/>
              <w:left w:val="nil" w:sz="6" w:space="0" w:color="auto"/>
              <w:bottom w:val="nil" w:sz="6" w:space="0" w:color="auto"/>
              <w:right w:val="nil" w:sz="6" w:space="0" w:color="auto"/>
            </w:tcBorders>
          </w:tcPr>
          <w:p>
            <w:pPr>
              <w:pStyle w:val="TableParagraph"/>
              <w:spacing w:line="240" w:lineRule="auto" w:before="51"/>
              <w:ind w:left="200" w:right="0"/>
              <w:jc w:val="left"/>
              <w:rPr>
                <w:rFonts w:ascii="宋体" w:hAnsi="宋体" w:cs="宋体" w:eastAsia="宋体" w:hint="default"/>
                <w:sz w:val="24"/>
                <w:szCs w:val="24"/>
              </w:rPr>
            </w:pPr>
            <w:r>
              <w:rPr>
                <w:rFonts w:ascii="宋体" w:hAnsi="宋体" w:cs="宋体" w:eastAsia="宋体" w:hint="default"/>
                <w:sz w:val="24"/>
                <w:szCs w:val="24"/>
              </w:rPr>
              <w:t>组合</w:t>
            </w:r>
            <w:r>
              <w:rPr>
                <w:rFonts w:ascii="宋体" w:hAnsi="宋体" w:cs="宋体" w:eastAsia="宋体" w:hint="default"/>
                <w:sz w:val="24"/>
                <w:szCs w:val="24"/>
              </w:rPr>
              <w:t>3</w:t>
            </w:r>
            <w:r>
              <w:rPr>
                <w:rFonts w:ascii="宋体" w:hAnsi="宋体" w:cs="宋体" w:eastAsia="宋体" w:hint="default"/>
                <w:sz w:val="24"/>
                <w:szCs w:val="24"/>
              </w:rPr>
              <w:t>：不计提坏账准备。</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spacing w:before="36"/>
        <w:ind w:left="292" w:right="1034" w:firstLine="0"/>
        <w:jc w:val="left"/>
        <w:rPr>
          <w:rFonts w:ascii="宋体" w:hAnsi="宋体" w:cs="宋体" w:eastAsia="宋体" w:hint="default"/>
          <w:sz w:val="21"/>
          <w:szCs w:val="21"/>
        </w:rPr>
      </w:pPr>
      <w:r>
        <w:rPr>
          <w:rFonts w:ascii="宋体" w:hAnsi="宋体" w:cs="宋体" w:eastAsia="宋体" w:hint="default"/>
          <w:sz w:val="21"/>
          <w:szCs w:val="21"/>
        </w:rPr>
        <w:t>组合中，采用账龄分析法计提坏账准备的：</w:t>
      </w:r>
    </w:p>
    <w:p>
      <w:pPr>
        <w:spacing w:line="240" w:lineRule="auto" w:before="6"/>
        <w:rPr>
          <w:rFonts w:ascii="宋体" w:hAnsi="宋体" w:cs="宋体" w:eastAsia="宋体" w:hint="default"/>
          <w:sz w:val="8"/>
          <w:szCs w:val="8"/>
        </w:rPr>
      </w:pPr>
    </w:p>
    <w:tbl>
      <w:tblPr>
        <w:tblW w:w="0" w:type="auto"/>
        <w:jc w:val="left"/>
        <w:tblInd w:w="104" w:type="dxa"/>
        <w:tblLayout w:type="fixed"/>
        <w:tblCellMar>
          <w:top w:w="0" w:type="dxa"/>
          <w:left w:w="0" w:type="dxa"/>
          <w:bottom w:w="0" w:type="dxa"/>
          <w:right w:w="0" w:type="dxa"/>
        </w:tblCellMar>
        <w:tblLook w:val="01E0"/>
      </w:tblPr>
      <w:tblGrid>
        <w:gridCol w:w="3327"/>
        <w:gridCol w:w="3594"/>
        <w:gridCol w:w="2281"/>
      </w:tblGrid>
      <w:tr>
        <w:trPr>
          <w:trHeight w:val="271" w:hRule="exact"/>
        </w:trPr>
        <w:tc>
          <w:tcPr>
            <w:tcW w:w="3327" w:type="dxa"/>
            <w:tcBorders>
              <w:top w:val="nil" w:sz="6" w:space="0" w:color="auto"/>
              <w:left w:val="nil" w:sz="6" w:space="0" w:color="auto"/>
              <w:bottom w:val="nil" w:sz="6" w:space="0" w:color="auto"/>
              <w:right w:val="nil" w:sz="6" w:space="0" w:color="auto"/>
            </w:tcBorders>
          </w:tcPr>
          <w:p>
            <w:pPr>
              <w:pStyle w:val="TableParagraph"/>
              <w:spacing w:line="211" w:lineRule="exact"/>
              <w:ind w:left="200" w:right="0"/>
              <w:jc w:val="left"/>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u w:val="single" w:color="000000"/>
              </w:rPr>
              <w:t>账龄</w:t>
            </w:r>
            <w:r>
              <w:rPr>
                <w:rFonts w:ascii="宋体" w:hAnsi="宋体" w:cs="宋体" w:eastAsia="宋体" w:hint="default"/>
                <w:sz w:val="21"/>
                <w:szCs w:val="21"/>
              </w:rPr>
            </w:r>
          </w:p>
        </w:tc>
        <w:tc>
          <w:tcPr>
            <w:tcW w:w="3594" w:type="dxa"/>
            <w:tcBorders>
              <w:top w:val="nil" w:sz="6" w:space="0" w:color="auto"/>
              <w:left w:val="nil" w:sz="6" w:space="0" w:color="auto"/>
              <w:bottom w:val="nil" w:sz="6" w:space="0" w:color="auto"/>
              <w:right w:val="nil" w:sz="6" w:space="0" w:color="auto"/>
            </w:tcBorders>
          </w:tcPr>
          <w:p>
            <w:pPr>
              <w:pStyle w:val="TableParagraph"/>
              <w:spacing w:line="211" w:lineRule="exact"/>
              <w:ind w:right="184"/>
              <w:jc w:val="right"/>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pacing w:val="-2"/>
                <w:sz w:val="21"/>
                <w:szCs w:val="21"/>
                <w:u w:val="single" w:color="000000"/>
              </w:rPr>
              <w:t>应收账款计提比例</w:t>
            </w:r>
            <w:r>
              <w:rPr>
                <w:rFonts w:ascii="宋体" w:hAnsi="宋体" w:cs="宋体" w:eastAsia="宋体" w:hint="default"/>
                <w:spacing w:val="-2"/>
                <w:sz w:val="21"/>
                <w:szCs w:val="21"/>
              </w:rPr>
            </w:r>
          </w:p>
        </w:tc>
        <w:tc>
          <w:tcPr>
            <w:tcW w:w="2281" w:type="dxa"/>
            <w:tcBorders>
              <w:top w:val="nil" w:sz="6" w:space="0" w:color="auto"/>
              <w:left w:val="nil" w:sz="6" w:space="0" w:color="auto"/>
              <w:bottom w:val="nil" w:sz="6" w:space="0" w:color="auto"/>
              <w:right w:val="nil" w:sz="6" w:space="0" w:color="auto"/>
            </w:tcBorders>
          </w:tcPr>
          <w:p>
            <w:pPr>
              <w:pStyle w:val="TableParagraph"/>
              <w:spacing w:line="211" w:lineRule="exact"/>
              <w:ind w:right="199"/>
              <w:jc w:val="right"/>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pacing w:val="-1"/>
                <w:sz w:val="21"/>
                <w:szCs w:val="21"/>
                <w:u w:val="single" w:color="000000"/>
              </w:rPr>
              <w:t>其他应收款计提比例</w:t>
            </w:r>
            <w:r>
              <w:rPr>
                <w:rFonts w:ascii="宋体" w:hAnsi="宋体" w:cs="宋体" w:eastAsia="宋体" w:hint="default"/>
                <w:spacing w:val="-1"/>
                <w:sz w:val="21"/>
                <w:szCs w:val="21"/>
              </w:rPr>
            </w:r>
          </w:p>
        </w:tc>
      </w:tr>
      <w:tr>
        <w:trPr>
          <w:trHeight w:val="338" w:hRule="exact"/>
        </w:trPr>
        <w:tc>
          <w:tcPr>
            <w:tcW w:w="3327" w:type="dxa"/>
            <w:tcBorders>
              <w:top w:val="nil" w:sz="6" w:space="0" w:color="auto"/>
              <w:left w:val="nil" w:sz="6" w:space="0" w:color="auto"/>
              <w:bottom w:val="nil" w:sz="6" w:space="0" w:color="auto"/>
              <w:right w:val="nil" w:sz="6" w:space="0" w:color="auto"/>
            </w:tcBorders>
          </w:tcPr>
          <w:p>
            <w:pPr>
              <w:pStyle w:val="TableParagraph"/>
              <w:spacing w:line="287" w:lineRule="exact"/>
              <w:ind w:left="2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年以内</w:t>
            </w:r>
            <w:r>
              <w:rPr>
                <w:rFonts w:ascii="Times New Roman" w:hAnsi="Times New Roman" w:cs="Times New Roman" w:eastAsia="Times New Roman" w:hint="default"/>
                <w:sz w:val="21"/>
                <w:szCs w:val="21"/>
              </w:rPr>
              <w:t>(</w:t>
            </w:r>
            <w:r>
              <w:rPr>
                <w:rFonts w:ascii="宋体" w:hAnsi="宋体" w:cs="宋体" w:eastAsia="宋体" w:hint="default"/>
                <w:sz w:val="21"/>
                <w:szCs w:val="21"/>
              </w:rPr>
              <w:t>含</w:t>
            </w:r>
            <w:r>
              <w:rPr>
                <w:rFonts w:ascii="Times New Roman" w:hAnsi="Times New Roman" w:cs="Times New Roman" w:eastAsia="Times New Roman" w:hint="default"/>
                <w:sz w:val="21"/>
                <w:szCs w:val="21"/>
              </w:rPr>
              <w:t>1</w:t>
            </w:r>
            <w:r>
              <w:rPr>
                <w:rFonts w:ascii="宋体" w:hAnsi="宋体" w:cs="宋体" w:eastAsia="宋体" w:hint="default"/>
                <w:sz w:val="21"/>
                <w:szCs w:val="21"/>
              </w:rPr>
              <w:t>年</w:t>
            </w:r>
            <w:r>
              <w:rPr>
                <w:rFonts w:ascii="Times New Roman" w:hAnsi="Times New Roman" w:cs="Times New Roman" w:eastAsia="Times New Roman" w:hint="default"/>
                <w:sz w:val="21"/>
                <w:szCs w:val="21"/>
              </w:rPr>
              <w:t>)</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86"/>
              <w:jc w:val="right"/>
              <w:rPr>
                <w:rFonts w:ascii="Times New Roman" w:hAnsi="Times New Roman" w:cs="Times New Roman" w:eastAsia="Times New Roman" w:hint="default"/>
                <w:sz w:val="21"/>
                <w:szCs w:val="21"/>
              </w:rPr>
            </w:pPr>
            <w:r>
              <w:rPr>
                <w:rFonts w:ascii="Times New Roman"/>
                <w:sz w:val="21"/>
              </w:rPr>
              <w:t>5%</w:t>
            </w:r>
          </w:p>
        </w:tc>
        <w:tc>
          <w:tcPr>
            <w:tcW w:w="2281"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00"/>
              <w:jc w:val="right"/>
              <w:rPr>
                <w:rFonts w:ascii="Times New Roman" w:hAnsi="Times New Roman" w:cs="Times New Roman" w:eastAsia="Times New Roman" w:hint="default"/>
                <w:sz w:val="21"/>
                <w:szCs w:val="21"/>
              </w:rPr>
            </w:pPr>
            <w:r>
              <w:rPr>
                <w:rFonts w:ascii="Times New Roman"/>
                <w:sz w:val="21"/>
              </w:rPr>
              <w:t>5%</w:t>
            </w:r>
          </w:p>
        </w:tc>
      </w:tr>
      <w:tr>
        <w:trPr>
          <w:trHeight w:val="332" w:hRule="exact"/>
        </w:trPr>
        <w:tc>
          <w:tcPr>
            <w:tcW w:w="3327" w:type="dxa"/>
            <w:tcBorders>
              <w:top w:val="nil" w:sz="6" w:space="0" w:color="auto"/>
              <w:left w:val="nil" w:sz="6" w:space="0" w:color="auto"/>
              <w:bottom w:val="nil" w:sz="6" w:space="0" w:color="auto"/>
              <w:right w:val="nil" w:sz="6" w:space="0" w:color="auto"/>
            </w:tcBorders>
          </w:tcPr>
          <w:p>
            <w:pPr>
              <w:pStyle w:val="TableParagraph"/>
              <w:spacing w:line="282" w:lineRule="exact"/>
              <w:ind w:left="2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1-2</w:t>
            </w:r>
            <w:r>
              <w:rPr>
                <w:rFonts w:ascii="宋体" w:hAnsi="宋体" w:cs="宋体" w:eastAsia="宋体" w:hint="default"/>
                <w:sz w:val="21"/>
                <w:szCs w:val="21"/>
              </w:rPr>
              <w:t>年</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3"/>
              <w:jc w:val="right"/>
              <w:rPr>
                <w:rFonts w:ascii="Times New Roman" w:hAnsi="Times New Roman" w:cs="Times New Roman" w:eastAsia="Times New Roman" w:hint="default"/>
                <w:sz w:val="21"/>
                <w:szCs w:val="21"/>
              </w:rPr>
            </w:pPr>
            <w:r>
              <w:rPr>
                <w:rFonts w:ascii="Times New Roman"/>
                <w:sz w:val="21"/>
              </w:rPr>
              <w:t>10%</w:t>
            </w:r>
          </w:p>
        </w:tc>
        <w:tc>
          <w:tcPr>
            <w:tcW w:w="228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8"/>
              <w:jc w:val="right"/>
              <w:rPr>
                <w:rFonts w:ascii="Times New Roman" w:hAnsi="Times New Roman" w:cs="Times New Roman" w:eastAsia="Times New Roman" w:hint="default"/>
                <w:sz w:val="21"/>
                <w:szCs w:val="21"/>
              </w:rPr>
            </w:pPr>
            <w:r>
              <w:rPr>
                <w:rFonts w:ascii="Times New Roman"/>
                <w:sz w:val="21"/>
              </w:rPr>
              <w:t>10%</w:t>
            </w:r>
          </w:p>
        </w:tc>
      </w:tr>
      <w:tr>
        <w:trPr>
          <w:trHeight w:val="331" w:hRule="exact"/>
        </w:trPr>
        <w:tc>
          <w:tcPr>
            <w:tcW w:w="3327" w:type="dxa"/>
            <w:tcBorders>
              <w:top w:val="nil" w:sz="6" w:space="0" w:color="auto"/>
              <w:left w:val="nil" w:sz="6" w:space="0" w:color="auto"/>
              <w:bottom w:val="nil" w:sz="6" w:space="0" w:color="auto"/>
              <w:right w:val="nil" w:sz="6" w:space="0" w:color="auto"/>
            </w:tcBorders>
          </w:tcPr>
          <w:p>
            <w:pPr>
              <w:pStyle w:val="TableParagraph"/>
              <w:spacing w:line="281" w:lineRule="exact"/>
              <w:ind w:left="2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w:t>
            </w:r>
            <w:r>
              <w:rPr>
                <w:rFonts w:ascii="宋体" w:hAnsi="宋体" w:cs="宋体" w:eastAsia="宋体" w:hint="default"/>
                <w:sz w:val="21"/>
                <w:szCs w:val="21"/>
              </w:rPr>
              <w:t>年</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83"/>
              <w:jc w:val="right"/>
              <w:rPr>
                <w:rFonts w:ascii="Times New Roman" w:hAnsi="Times New Roman" w:cs="Times New Roman" w:eastAsia="Times New Roman" w:hint="default"/>
                <w:sz w:val="21"/>
                <w:szCs w:val="21"/>
              </w:rPr>
            </w:pPr>
            <w:r>
              <w:rPr>
                <w:rFonts w:ascii="Times New Roman"/>
                <w:sz w:val="21"/>
              </w:rPr>
              <w:t>30%</w:t>
            </w:r>
          </w:p>
        </w:tc>
        <w:tc>
          <w:tcPr>
            <w:tcW w:w="228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98"/>
              <w:jc w:val="right"/>
              <w:rPr>
                <w:rFonts w:ascii="Times New Roman" w:hAnsi="Times New Roman" w:cs="Times New Roman" w:eastAsia="Times New Roman" w:hint="default"/>
                <w:sz w:val="21"/>
                <w:szCs w:val="21"/>
              </w:rPr>
            </w:pPr>
            <w:r>
              <w:rPr>
                <w:rFonts w:ascii="Times New Roman"/>
                <w:sz w:val="21"/>
              </w:rPr>
              <w:t>30%</w:t>
            </w:r>
          </w:p>
        </w:tc>
      </w:tr>
      <w:tr>
        <w:trPr>
          <w:trHeight w:val="332" w:hRule="exact"/>
        </w:trPr>
        <w:tc>
          <w:tcPr>
            <w:tcW w:w="3327" w:type="dxa"/>
            <w:tcBorders>
              <w:top w:val="nil" w:sz="6" w:space="0" w:color="auto"/>
              <w:left w:val="nil" w:sz="6" w:space="0" w:color="auto"/>
              <w:bottom w:val="nil" w:sz="6" w:space="0" w:color="auto"/>
              <w:right w:val="nil" w:sz="6" w:space="0" w:color="auto"/>
            </w:tcBorders>
          </w:tcPr>
          <w:p>
            <w:pPr>
              <w:pStyle w:val="TableParagraph"/>
              <w:spacing w:line="281" w:lineRule="exact"/>
              <w:ind w:left="2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3-4</w:t>
            </w:r>
            <w:r>
              <w:rPr>
                <w:rFonts w:ascii="宋体" w:hAnsi="宋体" w:cs="宋体" w:eastAsia="宋体" w:hint="default"/>
                <w:sz w:val="21"/>
                <w:szCs w:val="21"/>
              </w:rPr>
              <w:t>年</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83"/>
              <w:jc w:val="right"/>
              <w:rPr>
                <w:rFonts w:ascii="Times New Roman" w:hAnsi="Times New Roman" w:cs="Times New Roman" w:eastAsia="Times New Roman" w:hint="default"/>
                <w:sz w:val="21"/>
                <w:szCs w:val="21"/>
              </w:rPr>
            </w:pPr>
            <w:r>
              <w:rPr>
                <w:rFonts w:ascii="Times New Roman"/>
                <w:sz w:val="21"/>
              </w:rPr>
              <w:t>50%</w:t>
            </w:r>
          </w:p>
        </w:tc>
        <w:tc>
          <w:tcPr>
            <w:tcW w:w="228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98"/>
              <w:jc w:val="right"/>
              <w:rPr>
                <w:rFonts w:ascii="Times New Roman" w:hAnsi="Times New Roman" w:cs="Times New Roman" w:eastAsia="Times New Roman" w:hint="default"/>
                <w:sz w:val="21"/>
                <w:szCs w:val="21"/>
              </w:rPr>
            </w:pPr>
            <w:r>
              <w:rPr>
                <w:rFonts w:ascii="Times New Roman"/>
                <w:sz w:val="21"/>
              </w:rPr>
              <w:t>50%</w:t>
            </w:r>
          </w:p>
        </w:tc>
      </w:tr>
      <w:tr>
        <w:trPr>
          <w:trHeight w:val="333" w:hRule="exact"/>
        </w:trPr>
        <w:tc>
          <w:tcPr>
            <w:tcW w:w="3327" w:type="dxa"/>
            <w:tcBorders>
              <w:top w:val="nil" w:sz="6" w:space="0" w:color="auto"/>
              <w:left w:val="nil" w:sz="6" w:space="0" w:color="auto"/>
              <w:bottom w:val="nil" w:sz="6" w:space="0" w:color="auto"/>
              <w:right w:val="nil" w:sz="6" w:space="0" w:color="auto"/>
            </w:tcBorders>
          </w:tcPr>
          <w:p>
            <w:pPr>
              <w:pStyle w:val="TableParagraph"/>
              <w:spacing w:line="282" w:lineRule="exact"/>
              <w:ind w:left="2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4-5</w:t>
            </w:r>
            <w:r>
              <w:rPr>
                <w:rFonts w:ascii="宋体" w:hAnsi="宋体" w:cs="宋体" w:eastAsia="宋体" w:hint="default"/>
                <w:sz w:val="21"/>
                <w:szCs w:val="21"/>
              </w:rPr>
              <w:t>年</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3"/>
              <w:jc w:val="right"/>
              <w:rPr>
                <w:rFonts w:ascii="Times New Roman" w:hAnsi="Times New Roman" w:cs="Times New Roman" w:eastAsia="Times New Roman" w:hint="default"/>
                <w:sz w:val="21"/>
                <w:szCs w:val="21"/>
              </w:rPr>
            </w:pPr>
            <w:r>
              <w:rPr>
                <w:rFonts w:ascii="Times New Roman"/>
                <w:sz w:val="21"/>
              </w:rPr>
              <w:t>80%</w:t>
            </w:r>
          </w:p>
        </w:tc>
        <w:tc>
          <w:tcPr>
            <w:tcW w:w="2281"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8"/>
              <w:jc w:val="right"/>
              <w:rPr>
                <w:rFonts w:ascii="Times New Roman" w:hAnsi="Times New Roman" w:cs="Times New Roman" w:eastAsia="Times New Roman" w:hint="default"/>
                <w:sz w:val="21"/>
                <w:szCs w:val="21"/>
              </w:rPr>
            </w:pPr>
            <w:r>
              <w:rPr>
                <w:rFonts w:ascii="Times New Roman"/>
                <w:sz w:val="21"/>
              </w:rPr>
              <w:t>80%</w:t>
            </w:r>
          </w:p>
        </w:tc>
      </w:tr>
      <w:tr>
        <w:trPr>
          <w:trHeight w:val="277" w:hRule="exact"/>
        </w:trPr>
        <w:tc>
          <w:tcPr>
            <w:tcW w:w="3327" w:type="dxa"/>
            <w:tcBorders>
              <w:top w:val="nil" w:sz="6" w:space="0" w:color="auto"/>
              <w:left w:val="nil" w:sz="6" w:space="0" w:color="auto"/>
              <w:bottom w:val="nil" w:sz="6" w:space="0" w:color="auto"/>
              <w:right w:val="nil" w:sz="6" w:space="0" w:color="auto"/>
            </w:tcBorders>
          </w:tcPr>
          <w:p>
            <w:pPr>
              <w:pStyle w:val="TableParagraph"/>
              <w:spacing w:line="281" w:lineRule="exact"/>
              <w:ind w:left="2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年以上</w:t>
            </w:r>
          </w:p>
        </w:tc>
        <w:tc>
          <w:tcPr>
            <w:tcW w:w="3594"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83"/>
              <w:jc w:val="right"/>
              <w:rPr>
                <w:rFonts w:ascii="Times New Roman" w:hAnsi="Times New Roman" w:cs="Times New Roman" w:eastAsia="Times New Roman" w:hint="default"/>
                <w:sz w:val="21"/>
                <w:szCs w:val="21"/>
              </w:rPr>
            </w:pPr>
            <w:r>
              <w:rPr>
                <w:rFonts w:ascii="Times New Roman"/>
                <w:sz w:val="21"/>
              </w:rPr>
              <w:t>100%</w:t>
            </w:r>
          </w:p>
        </w:tc>
        <w:tc>
          <w:tcPr>
            <w:tcW w:w="2281"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99"/>
              <w:jc w:val="right"/>
              <w:rPr>
                <w:rFonts w:ascii="Times New Roman" w:hAnsi="Times New Roman" w:cs="Times New Roman" w:eastAsia="Times New Roman" w:hint="default"/>
                <w:sz w:val="21"/>
                <w:szCs w:val="21"/>
              </w:rPr>
            </w:pPr>
            <w:r>
              <w:rPr>
                <w:rFonts w:ascii="Times New Roman"/>
                <w:sz w:val="21"/>
              </w:rPr>
              <w:t>100%</w:t>
            </w:r>
          </w:p>
        </w:tc>
      </w:tr>
    </w:tbl>
    <w:p>
      <w:pPr>
        <w:spacing w:line="240" w:lineRule="auto" w:before="11"/>
        <w:rPr>
          <w:rFonts w:ascii="宋体" w:hAnsi="宋体" w:cs="宋体" w:eastAsia="宋体" w:hint="default"/>
          <w:sz w:val="22"/>
          <w:szCs w:val="22"/>
        </w:rPr>
      </w:pPr>
    </w:p>
    <w:p>
      <w:pPr>
        <w:spacing w:before="36"/>
        <w:ind w:left="292" w:right="1034"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）单项金额不重大但单独计提坏账准备的应收款项</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289" w:type="dxa"/>
        <w:tblLayout w:type="fixed"/>
        <w:tblCellMar>
          <w:top w:w="0" w:type="dxa"/>
          <w:left w:w="0" w:type="dxa"/>
          <w:bottom w:w="0" w:type="dxa"/>
          <w:right w:w="0" w:type="dxa"/>
        </w:tblCellMar>
        <w:tblLook w:val="01E0"/>
      </w:tblPr>
      <w:tblGrid>
        <w:gridCol w:w="4783"/>
        <w:gridCol w:w="4787"/>
      </w:tblGrid>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有客观证据表明发生了减值</w:t>
            </w:r>
          </w:p>
        </w:tc>
      </w:tr>
      <w:tr>
        <w:trPr>
          <w:trHeight w:val="715"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2"/>
              <w:jc w:val="left"/>
              <w:rPr>
                <w:rFonts w:ascii="宋体" w:hAnsi="宋体" w:cs="宋体" w:eastAsia="宋体" w:hint="default"/>
                <w:sz w:val="18"/>
                <w:szCs w:val="18"/>
              </w:rPr>
            </w:pPr>
            <w:r>
              <w:rPr>
                <w:rFonts w:ascii="宋体" w:hAnsi="宋体" w:cs="宋体" w:eastAsia="宋体" w:hint="default"/>
                <w:sz w:val="18"/>
                <w:szCs w:val="18"/>
              </w:rPr>
              <w:t>根据其未来现金流量现值低于其账面价值的差额计提坏账准 备</w:t>
            </w:r>
          </w:p>
        </w:tc>
      </w:tr>
    </w:tbl>
    <w:p>
      <w:pPr>
        <w:spacing w:line="240" w:lineRule="auto" w:before="3"/>
        <w:rPr>
          <w:rFonts w:ascii="宋体" w:hAnsi="宋体" w:cs="宋体" w:eastAsia="宋体" w:hint="default"/>
          <w:b/>
          <w:bCs/>
          <w:sz w:val="19"/>
          <w:szCs w:val="19"/>
        </w:rPr>
      </w:pPr>
    </w:p>
    <w:p>
      <w:pPr>
        <w:spacing w:before="36"/>
        <w:ind w:left="292" w:right="103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12</w:t>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line="357" w:lineRule="auto" w:before="0"/>
        <w:ind w:left="292" w:right="7694"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after="0" w:line="357" w:lineRule="auto"/>
        <w:jc w:val="left"/>
        <w:rPr>
          <w:rFonts w:ascii="宋体" w:hAnsi="宋体" w:cs="宋体" w:eastAsia="宋体" w:hint="default"/>
          <w:sz w:val="18"/>
          <w:szCs w:val="18"/>
        </w:rPr>
        <w:sectPr>
          <w:pgSz w:w="11910" w:h="16840"/>
          <w:pgMar w:header="745" w:footer="979" w:top="1060" w:bottom="1160" w:left="840" w:right="0"/>
        </w:sectPr>
      </w:pPr>
    </w:p>
    <w:p>
      <w:pPr>
        <w:spacing w:line="240" w:lineRule="auto" w:before="10"/>
        <w:rPr>
          <w:rFonts w:ascii="宋体" w:hAnsi="宋体" w:cs="宋体" w:eastAsia="宋体" w:hint="default"/>
          <w:sz w:val="25"/>
          <w:szCs w:val="25"/>
        </w:rPr>
      </w:pPr>
    </w:p>
    <w:p>
      <w:pPr>
        <w:spacing w:before="44"/>
        <w:ind w:left="152" w:right="982" w:firstLine="0"/>
        <w:jc w:val="left"/>
        <w:rPr>
          <w:rFonts w:ascii="宋体" w:hAnsi="宋体" w:cs="宋体" w:eastAsia="宋体" w:hint="default"/>
          <w:sz w:val="18"/>
          <w:szCs w:val="18"/>
        </w:rPr>
      </w:pPr>
      <w:r>
        <w:rPr>
          <w:rFonts w:ascii="宋体" w:hAnsi="宋体" w:cs="宋体" w:eastAsia="宋体" w:hint="default"/>
          <w:sz w:val="18"/>
          <w:szCs w:val="18"/>
        </w:rPr>
        <w:t>软件与信息技术服务业</w:t>
      </w:r>
    </w:p>
    <w:p>
      <w:pPr>
        <w:pStyle w:val="BodyText"/>
        <w:spacing w:line="357" w:lineRule="auto" w:before="148"/>
        <w:ind w:left="633" w:right="4753"/>
        <w:jc w:val="left"/>
      </w:pPr>
      <w:r>
        <w:rPr/>
        <w:t>存货的分类 存货包括原材料、在产品、库存商品以及周转材料。</w:t>
      </w:r>
    </w:p>
    <w:p>
      <w:pPr>
        <w:spacing w:line="240" w:lineRule="auto" w:before="0"/>
        <w:rPr>
          <w:rFonts w:ascii="宋体" w:hAnsi="宋体" w:cs="宋体" w:eastAsia="宋体" w:hint="default"/>
          <w:sz w:val="24"/>
          <w:szCs w:val="24"/>
        </w:rPr>
      </w:pPr>
    </w:p>
    <w:p>
      <w:pPr>
        <w:pStyle w:val="BodyText"/>
        <w:spacing w:line="357" w:lineRule="auto" w:before="190"/>
        <w:ind w:left="633" w:right="6913"/>
        <w:jc w:val="left"/>
      </w:pPr>
      <w:r>
        <w:rPr/>
        <w:t>发出存货的计价方法 发出存货时按个别计价法计价。</w:t>
      </w:r>
    </w:p>
    <w:p>
      <w:pPr>
        <w:spacing w:line="240" w:lineRule="auto" w:before="0"/>
        <w:rPr>
          <w:rFonts w:ascii="宋体" w:hAnsi="宋体" w:cs="宋体" w:eastAsia="宋体" w:hint="default"/>
          <w:sz w:val="24"/>
          <w:szCs w:val="24"/>
        </w:rPr>
      </w:pPr>
    </w:p>
    <w:p>
      <w:pPr>
        <w:pStyle w:val="BodyText"/>
        <w:spacing w:line="357" w:lineRule="auto" w:before="191"/>
        <w:ind w:left="633" w:right="982"/>
        <w:jc w:val="left"/>
      </w:pPr>
      <w:r>
        <w:rPr/>
        <w:t>存货可变现净值的确定依据及存货跌价准备的计提方法 </w:t>
      </w:r>
      <w:r>
        <w:rPr>
          <w:spacing w:val="-3"/>
        </w:rPr>
        <w:t>于资产负债表日，存货按照成本与可变现净值孰低计量，存货成本高于其可变现净值的，</w:t>
      </w:r>
    </w:p>
    <w:p>
      <w:pPr>
        <w:pStyle w:val="BodyText"/>
        <w:spacing w:line="357" w:lineRule="auto"/>
        <w:ind w:right="982"/>
        <w:jc w:val="left"/>
      </w:pPr>
      <w:r>
        <w:rPr/>
        <w:t>应当计提存货跌价准备，计入当期损益。可变现净值，是指在日常活动中，存货的估计售价</w:t>
      </w:r>
      <w:r>
        <w:rPr>
          <w:spacing w:val="-91"/>
        </w:rPr>
        <w:t> </w:t>
      </w:r>
      <w:r>
        <w:rPr>
          <w:spacing w:val="-91"/>
        </w:rPr>
      </w:r>
      <w:r>
        <w:rPr/>
        <w:t>减去至完工时估计将要发生的成本、估计的销售费用以及相关税费后的金额。</w:t>
      </w:r>
    </w:p>
    <w:p>
      <w:pPr>
        <w:pStyle w:val="BodyText"/>
        <w:spacing w:line="357" w:lineRule="auto"/>
        <w:ind w:left="633" w:right="982"/>
        <w:jc w:val="left"/>
      </w:pPr>
      <w:r>
        <w:rPr/>
        <w:t>各类存货可变现净值的确定依据如下： 产成品、商品和用于出售的材料等直接用于出售的商品存货，在正常生产经营过程中，</w:t>
      </w:r>
    </w:p>
    <w:p>
      <w:pPr>
        <w:pStyle w:val="BodyText"/>
        <w:spacing w:line="357" w:lineRule="auto"/>
        <w:ind w:left="633" w:right="982" w:hanging="481"/>
        <w:jc w:val="left"/>
      </w:pPr>
      <w:r>
        <w:rPr/>
        <w:t>以该存货的估计售价减去估计的销售费用和相关税费后的金额，确定其可变现净值。 需要经过加工的材料存货，在正常生产经营过程中，以所生产的产成品的估计售价减去</w:t>
      </w:r>
    </w:p>
    <w:p>
      <w:pPr>
        <w:pStyle w:val="BodyText"/>
        <w:spacing w:line="357" w:lineRule="auto"/>
        <w:ind w:left="0" w:right="1139"/>
        <w:jc w:val="right"/>
      </w:pPr>
      <w:r>
        <w:rPr/>
        <w:t>至完工时估计将要发生的成本、估计的销售费用和相关税费后的金额，确定其可变现净值。 资产负债表日，同一项存货中一部分有合同价格约定、其他部分不存在合同价格的，应 当分别确定其可变现净值，并与其相对应的成本进行比较，分别确定存货跌价准备的计提或</w:t>
      </w:r>
    </w:p>
    <w:p>
      <w:pPr>
        <w:pStyle w:val="BodyText"/>
        <w:spacing w:line="240" w:lineRule="auto"/>
        <w:ind w:right="982"/>
        <w:jc w:val="left"/>
      </w:pPr>
      <w:r>
        <w:rPr/>
        <w:t>转回的金额。</w:t>
      </w:r>
    </w:p>
    <w:p>
      <w:pPr>
        <w:pStyle w:val="BodyText"/>
        <w:spacing w:line="357" w:lineRule="auto" w:before="154"/>
        <w:ind w:right="1136" w:firstLine="480"/>
        <w:jc w:val="both"/>
      </w:pPr>
      <w:r>
        <w:rPr/>
        <w:t>存货跌价准备按单个存货项目</w:t>
      </w:r>
      <w:r>
        <w:rPr>
          <w:rFonts w:ascii="宋体" w:hAnsi="宋体" w:cs="宋体" w:eastAsia="宋体" w:hint="default"/>
        </w:rPr>
        <w:t>(</w:t>
      </w:r>
      <w:r>
        <w:rPr/>
        <w:t>或存货类别</w:t>
      </w:r>
      <w:r>
        <w:rPr>
          <w:rFonts w:ascii="宋体" w:hAnsi="宋体" w:cs="宋体" w:eastAsia="宋体" w:hint="default"/>
        </w:rPr>
        <w:t>)</w:t>
      </w:r>
      <w:r>
        <w:rPr/>
        <w:t>计提，与在同一地区生产和销售的产品系列 相关、具有相同或类似最终用途或目的，且难以与其他项目分开计量的存货，合并计提存货</w:t>
      </w:r>
      <w:r>
        <w:rPr>
          <w:spacing w:val="-91"/>
        </w:rPr>
        <w:t> </w:t>
      </w:r>
      <w:r>
        <w:rPr>
          <w:spacing w:val="-91"/>
        </w:rPr>
      </w:r>
      <w:r>
        <w:rPr/>
        <w:t>跌价准备。</w:t>
      </w:r>
    </w:p>
    <w:p>
      <w:pPr>
        <w:pStyle w:val="BodyText"/>
        <w:spacing w:line="357" w:lineRule="auto"/>
        <w:ind w:left="633" w:right="5233"/>
        <w:jc w:val="left"/>
      </w:pPr>
      <w:r>
        <w:rPr/>
        <w:t>存货的盘存制度 存货的盘存制度采用永续盘存制。 低值易耗品和包装物的摊销方法 对低值易耗品采用领用时一次转销法进行摊销。 对包装物采用领用时一次转销法。</w:t>
      </w:r>
    </w:p>
    <w:p>
      <w:pPr>
        <w:spacing w:after="0" w:line="357" w:lineRule="auto"/>
        <w:jc w:val="left"/>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spacing w:before="36"/>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13</w:t>
      </w:r>
      <w:r>
        <w:rPr>
          <w:rFonts w:ascii="宋体" w:hAnsi="宋体" w:cs="宋体" w:eastAsia="宋体" w:hint="default"/>
          <w:b/>
          <w:bCs/>
          <w:sz w:val="21"/>
          <w:szCs w:val="21"/>
        </w:rPr>
        <w:t>、持有待售资产</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left="633" w:right="982"/>
        <w:jc w:val="left"/>
      </w:pPr>
      <w:r>
        <w:rPr/>
        <w:t>持有待售的非流动资产和处置组确认标准 公司若主要通过出售（包括具有商业实质的非货币性资产交换，下同）而非持续使用一</w:t>
      </w:r>
    </w:p>
    <w:p>
      <w:pPr>
        <w:pStyle w:val="BodyText"/>
        <w:spacing w:line="357" w:lineRule="auto"/>
        <w:ind w:right="1139"/>
        <w:jc w:val="both"/>
      </w:pPr>
      <w:r>
        <w:rPr/>
        <w:t>项非流动资产或处置组收回其账面价值的，则将其划分为持有待售类别。具体标准为同时满</w:t>
      </w:r>
      <w:r>
        <w:rPr>
          <w:spacing w:val="-91"/>
        </w:rPr>
        <w:t> </w:t>
      </w:r>
      <w:r>
        <w:rPr>
          <w:spacing w:val="-91"/>
        </w:rPr>
      </w:r>
      <w:r>
        <w:rPr/>
        <w:t>足以下条件：</w:t>
      </w:r>
    </w:p>
    <w:p>
      <w:pPr>
        <w:pStyle w:val="BodyText"/>
        <w:spacing w:line="240" w:lineRule="auto"/>
        <w:ind w:left="633" w:right="982"/>
        <w:jc w:val="left"/>
      </w:pPr>
      <w:r>
        <w:rPr>
          <w:rFonts w:ascii="宋体" w:hAnsi="宋体" w:cs="宋体" w:eastAsia="宋体" w:hint="default"/>
        </w:rPr>
        <w:t>1.</w:t>
      </w:r>
      <w:r>
        <w:rPr/>
        <w:t>根据类似交易中出售此类资产或处置组的惯例，在当前状况下即可立即出售；</w:t>
      </w:r>
    </w:p>
    <w:p>
      <w:pPr>
        <w:pStyle w:val="BodyText"/>
        <w:spacing w:line="357" w:lineRule="auto" w:before="154"/>
        <w:ind w:right="1140" w:firstLine="480"/>
        <w:jc w:val="both"/>
      </w:pPr>
      <w:r>
        <w:rPr>
          <w:rFonts w:ascii="宋体" w:hAnsi="宋体" w:cs="宋体" w:eastAsia="宋体" w:hint="default"/>
        </w:rPr>
        <w:t>2.</w:t>
      </w:r>
      <w:r>
        <w:rPr/>
        <w:t>出售极可能发生，即企业已经就一项出售计划作出决议且获得确定的购买承诺，预计 出售将在一年内完成。</w:t>
      </w:r>
    </w:p>
    <w:p>
      <w:pPr>
        <w:pStyle w:val="BodyText"/>
        <w:spacing w:line="357" w:lineRule="auto"/>
        <w:ind w:right="1132" w:firstLine="480"/>
        <w:jc w:val="both"/>
      </w:pPr>
      <w:r>
        <w:rPr/>
        <w:t>其中，处置组是指在一项交易中作为整体通过出售或其他方式一并处置的一组资产，以 </w:t>
      </w:r>
      <w:r>
        <w:rPr>
          <w:spacing w:val="-5"/>
        </w:rPr>
        <w:t>及在该交易中转让的与这些资产直接相关的负债。处置组所属的资产组或资产组组合按照《企</w:t>
      </w:r>
      <w:r>
        <w:rPr>
          <w:spacing w:val="-117"/>
        </w:rPr>
        <w:t> </w:t>
      </w:r>
      <w:r>
        <w:rPr>
          <w:spacing w:val="-117"/>
        </w:rPr>
      </w:r>
      <w:r>
        <w:rPr/>
        <w:t>业会计准则第 </w:t>
      </w:r>
      <w:r>
        <w:rPr>
          <w:rFonts w:ascii="宋体" w:hAnsi="宋体" w:cs="宋体" w:eastAsia="宋体" w:hint="default"/>
        </w:rPr>
        <w:t>8</w:t>
      </w:r>
      <w:r>
        <w:rPr>
          <w:rFonts w:ascii="宋体" w:hAnsi="宋体" w:cs="宋体" w:eastAsia="宋体" w:hint="default"/>
          <w:spacing w:val="16"/>
        </w:rPr>
        <w:t> </w:t>
      </w:r>
      <w:r>
        <w:rPr>
          <w:spacing w:val="-3"/>
        </w:rPr>
        <w:t>号—资产减值》分摊了企业合并中取得的商誉的，该处置组应当包含分摊至</w:t>
      </w:r>
      <w:r>
        <w:rPr/>
        <w:t> 处置组的商誉。</w:t>
      </w:r>
    </w:p>
    <w:p>
      <w:pPr>
        <w:pStyle w:val="BodyText"/>
        <w:spacing w:line="357" w:lineRule="auto"/>
        <w:ind w:right="1139" w:firstLine="480"/>
        <w:jc w:val="both"/>
      </w:pPr>
      <w:r>
        <w:rPr/>
        <w:t>因出售对子公司的投资等原因导致丧失对子公司控制权的，无论出售后是否保留部分权 益性投资，在拟出售的对子公司投资满足持有待售类别划分条件时，在母公司个别财务报表</w:t>
      </w:r>
      <w:r>
        <w:rPr>
          <w:spacing w:val="-91"/>
        </w:rPr>
        <w:t> </w:t>
      </w:r>
      <w:r>
        <w:rPr>
          <w:spacing w:val="-91"/>
        </w:rPr>
      </w:r>
      <w:r>
        <w:rPr/>
        <w:t>中将对子公司投资整体划分为持有待售类别，在合并财务报表中将子公司所有资产和负债划</w:t>
      </w:r>
      <w:r>
        <w:rPr>
          <w:spacing w:val="-91"/>
        </w:rPr>
        <w:t> </w:t>
      </w:r>
      <w:r>
        <w:rPr>
          <w:spacing w:val="-91"/>
        </w:rPr>
      </w:r>
      <w:r>
        <w:rPr/>
        <w:t>分为持有待售类别。</w:t>
      </w:r>
    </w:p>
    <w:p>
      <w:pPr>
        <w:spacing w:line="240" w:lineRule="auto" w:before="0"/>
        <w:rPr>
          <w:rFonts w:ascii="宋体" w:hAnsi="宋体" w:cs="宋体" w:eastAsia="宋体" w:hint="default"/>
          <w:sz w:val="24"/>
          <w:szCs w:val="24"/>
        </w:rPr>
      </w:pPr>
    </w:p>
    <w:p>
      <w:pPr>
        <w:pStyle w:val="BodyText"/>
        <w:spacing w:line="357" w:lineRule="auto" w:before="188"/>
        <w:ind w:left="633" w:right="982"/>
        <w:jc w:val="left"/>
      </w:pPr>
      <w:r>
        <w:rPr/>
        <w:t>会计处理方法 初始计量或在资产负债表日重新计量划分为持有待售的非流动资产和处置组时，其账面</w:t>
      </w:r>
    </w:p>
    <w:p>
      <w:pPr>
        <w:pStyle w:val="BodyText"/>
        <w:spacing w:line="357" w:lineRule="auto"/>
        <w:ind w:right="1131"/>
        <w:jc w:val="both"/>
      </w:pPr>
      <w:r>
        <w:rPr/>
        <w:t>价值高于公允价值减去出售费用后的净额的，将账面价值减记至公允价值减去出售费用后的</w:t>
      </w:r>
      <w:r>
        <w:rPr>
          <w:spacing w:val="-91"/>
        </w:rPr>
        <w:t> </w:t>
      </w:r>
      <w:r>
        <w:rPr>
          <w:spacing w:val="-91"/>
        </w:rPr>
      </w:r>
      <w:r>
        <w:rPr/>
        <w:t>净额，减记的金额确认为资产减值损失，计入当期损益，同时计提持有待售资产减值准备。</w:t>
      </w:r>
      <w:r>
        <w:rPr>
          <w:spacing w:val="-91"/>
        </w:rPr>
        <w:t> </w:t>
      </w:r>
      <w:r>
        <w:rPr>
          <w:spacing w:val="-91"/>
        </w:rPr>
      </w:r>
      <w:r>
        <w:rPr/>
        <w:t>对于处置组，所确认的资产减值损失先抵减处置组中商誉的账面价值，再按比例抵减该处置</w:t>
      </w:r>
      <w:r>
        <w:rPr>
          <w:spacing w:val="-91"/>
        </w:rPr>
        <w:t> </w:t>
      </w:r>
      <w:r>
        <w:rPr>
          <w:spacing w:val="-91"/>
        </w:rPr>
      </w:r>
      <w:r>
        <w:rPr/>
        <w:t>组内适用《企业会计准则第</w:t>
      </w:r>
      <w:r>
        <w:rPr>
          <w:rFonts w:ascii="宋体" w:hAnsi="宋体" w:cs="宋体" w:eastAsia="宋体" w:hint="default"/>
        </w:rPr>
        <w:t>42</w:t>
      </w:r>
      <w:r>
        <w:rPr/>
        <w:t>号—持有待售的非流动资产、处置组和终止经营》（以下简称</w:t>
      </w:r>
      <w:r>
        <w:rPr>
          <w:spacing w:val="-90"/>
        </w:rPr>
        <w:t> </w:t>
      </w:r>
      <w:r>
        <w:rPr>
          <w:spacing w:val="-90"/>
        </w:rPr>
      </w:r>
      <w:r>
        <w:rPr/>
        <w:t>“持有待售准则”）的计量规定的各项非流动资产的账面价值。后续资产负债表日持有待售</w:t>
      </w:r>
      <w:r>
        <w:rPr>
          <w:spacing w:val="-91"/>
        </w:rPr>
        <w:t> </w:t>
      </w:r>
      <w:r>
        <w:rPr>
          <w:spacing w:val="-91"/>
        </w:rPr>
      </w:r>
      <w:r>
        <w:rPr/>
        <w:t>的处置组公允价值减去出售费用后的净额增加的，以前减记的金额应当予以恢复，并在划分</w:t>
      </w:r>
      <w:r>
        <w:rPr>
          <w:spacing w:val="-90"/>
        </w:rPr>
        <w:t> </w:t>
      </w:r>
      <w:r>
        <w:rPr>
          <w:spacing w:val="-90"/>
        </w:rPr>
      </w:r>
      <w:r>
        <w:rPr>
          <w:spacing w:val="6"/>
        </w:rPr>
        <w:t>为持有待售类别后适用持有待售准则计量规定的非流动资产确认的资产减值损失金额内转</w:t>
      </w:r>
      <w:r>
        <w:rPr>
          <w:spacing w:val="-84"/>
        </w:rPr>
        <w:t> </w:t>
      </w:r>
      <w:r>
        <w:rPr>
          <w:spacing w:val="-84"/>
        </w:rPr>
      </w:r>
      <w:r>
        <w:rPr/>
        <w:t>回，转回金额计入当期损益，并根据处置组中除商誉外适用持有待售准则计量规定的各项非</w:t>
      </w:r>
      <w:r>
        <w:rPr>
          <w:spacing w:val="-91"/>
        </w:rPr>
        <w:t> </w:t>
      </w:r>
      <w:r>
        <w:rPr>
          <w:spacing w:val="-91"/>
        </w:rPr>
      </w:r>
      <w:r>
        <w:rPr/>
        <w:t>流动资产账面价值所占比重按比例增加其账面价值；已抵减的商誉账面价值，以及适用持有</w:t>
      </w:r>
      <w:r>
        <w:rPr>
          <w:spacing w:val="-91"/>
        </w:rPr>
        <w:t> </w:t>
      </w:r>
      <w:r>
        <w:rPr>
          <w:spacing w:val="-91"/>
        </w:rPr>
      </w:r>
      <w:r>
        <w:rPr/>
        <w:t>待售准则计量规定的非流动资产在划分为持有待售类别前确认的资产减值损失不得转回。</w:t>
      </w:r>
    </w:p>
    <w:p>
      <w:pPr>
        <w:spacing w:after="0" w:line="357" w:lineRule="auto"/>
        <w:jc w:val="both"/>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982" w:firstLine="480"/>
        <w:jc w:val="left"/>
      </w:pPr>
      <w:r>
        <w:rPr/>
        <w:t>持有待售的非流动资产或处置组中的非流动资产不计提折旧或摊销，持有待售的处置组 中负债的利息和其他费用继续予以确认。</w:t>
      </w:r>
    </w:p>
    <w:p>
      <w:pPr>
        <w:pStyle w:val="BodyText"/>
        <w:spacing w:line="357" w:lineRule="auto"/>
        <w:ind w:right="982" w:firstLine="480"/>
        <w:jc w:val="left"/>
      </w:pPr>
      <w:r>
        <w:rPr/>
        <w:t>非流动资产或处置组不再满足持有待售类别的划分条件时，不再将其继续划分为持有待 售类别或将非流动资产从持有待售的处置组中移除，并按照以下两者孰低计量：</w:t>
      </w:r>
    </w:p>
    <w:p>
      <w:pPr>
        <w:pStyle w:val="BodyText"/>
        <w:spacing w:line="357" w:lineRule="auto"/>
        <w:ind w:right="982" w:firstLine="480"/>
        <w:jc w:val="left"/>
      </w:pPr>
      <w:r>
        <w:rPr>
          <w:rFonts w:ascii="宋体" w:hAnsi="宋体" w:cs="宋体" w:eastAsia="宋体" w:hint="default"/>
        </w:rPr>
        <w:t>1.</w:t>
      </w:r>
      <w:r>
        <w:rPr/>
        <w:t>划分为持有待售类别前的账面价值，按照假定不划分为持有待售类别情况下本应确认 的折旧、摊销或减值等进行调整后的金额；</w:t>
      </w:r>
    </w:p>
    <w:p>
      <w:pPr>
        <w:pStyle w:val="BodyText"/>
        <w:spacing w:line="240" w:lineRule="auto"/>
        <w:ind w:left="633" w:right="982"/>
        <w:jc w:val="left"/>
      </w:pPr>
      <w:r>
        <w:rPr>
          <w:rFonts w:ascii="宋体" w:hAnsi="宋体" w:cs="宋体" w:eastAsia="宋体" w:hint="default"/>
        </w:rPr>
        <w:t>2.</w:t>
      </w:r>
      <w:r>
        <w:rPr/>
        <w:t>可收回金额。</w:t>
      </w:r>
    </w:p>
    <w:p>
      <w:pPr>
        <w:spacing w:line="240" w:lineRule="auto" w:before="11"/>
        <w:rPr>
          <w:rFonts w:ascii="宋体" w:hAnsi="宋体" w:cs="宋体" w:eastAsia="宋体" w:hint="default"/>
          <w:sz w:val="30"/>
          <w:szCs w:val="30"/>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14</w:t>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982" w:firstLine="480"/>
        <w:jc w:val="left"/>
      </w:pPr>
      <w:r>
        <w:rPr/>
        <w:t>长期股权投资是指公司对被投资单位实施控制、重大影响的权益性投资，以及对其合营 企业的投资。</w:t>
      </w:r>
    </w:p>
    <w:p>
      <w:pPr>
        <w:spacing w:line="240" w:lineRule="auto" w:before="0"/>
        <w:rPr>
          <w:rFonts w:ascii="宋体" w:hAnsi="宋体" w:cs="宋体" w:eastAsia="宋体" w:hint="default"/>
          <w:sz w:val="24"/>
          <w:szCs w:val="24"/>
        </w:rPr>
      </w:pPr>
    </w:p>
    <w:p>
      <w:pPr>
        <w:pStyle w:val="BodyText"/>
        <w:spacing w:line="357" w:lineRule="auto" w:before="190"/>
        <w:ind w:left="633" w:right="982"/>
        <w:jc w:val="left"/>
      </w:pPr>
      <w:r>
        <w:rPr/>
        <w:t>投资成本确定 除对外合并形成的长期股权投资以外，其他方式取得的长期股权投资，按照下列规定确</w:t>
      </w:r>
    </w:p>
    <w:p>
      <w:pPr>
        <w:pStyle w:val="BodyText"/>
        <w:spacing w:line="357" w:lineRule="auto"/>
        <w:ind w:left="633" w:right="982" w:hanging="481"/>
        <w:jc w:val="left"/>
      </w:pPr>
      <w:r>
        <w:rPr/>
        <w:t>定其初始投资成本： 以支付现金取得的长期股权投资，按照实际支付的购买价款作为初始投资成本。初始投</w:t>
      </w:r>
    </w:p>
    <w:p>
      <w:pPr>
        <w:pStyle w:val="BodyText"/>
        <w:spacing w:line="355" w:lineRule="auto"/>
        <w:ind w:left="633" w:right="982" w:hanging="481"/>
        <w:jc w:val="left"/>
      </w:pPr>
      <w:r>
        <w:rPr/>
        <w:t>资成本包括与取得长期股权投资直接相关的费用、税金及其他必要支出； 以发行权益性证券取得的长期股权投资，按照发行权益性证券的公允价值作为初始投资</w:t>
      </w:r>
    </w:p>
    <w:p>
      <w:pPr>
        <w:pStyle w:val="BodyText"/>
        <w:spacing w:line="240" w:lineRule="auto" w:before="38"/>
        <w:ind w:right="982"/>
        <w:jc w:val="left"/>
      </w:pPr>
      <w:r>
        <w:rPr/>
        <w:t>成本；</w:t>
      </w:r>
    </w:p>
    <w:p>
      <w:pPr>
        <w:pStyle w:val="BodyText"/>
        <w:spacing w:line="357" w:lineRule="auto" w:before="154"/>
        <w:ind w:right="982" w:firstLine="480"/>
        <w:jc w:val="left"/>
      </w:pPr>
      <w:r>
        <w:rPr/>
        <w:t>通过非货币性资产交换取得的长期股权投资，其初始投资成本应当按照《企业会计准则 第</w:t>
      </w:r>
      <w:r>
        <w:rPr>
          <w:rFonts w:ascii="宋体" w:hAnsi="宋体" w:cs="宋体" w:eastAsia="宋体" w:hint="default"/>
        </w:rPr>
        <w:t>7</w:t>
      </w:r>
      <w:r>
        <w:rPr/>
        <w:t>号—非货币性资产交换》确定；</w:t>
      </w:r>
    </w:p>
    <w:p>
      <w:pPr>
        <w:pStyle w:val="BodyText"/>
        <w:spacing w:line="357" w:lineRule="auto" w:before="37"/>
        <w:ind w:right="982" w:firstLine="480"/>
        <w:jc w:val="left"/>
      </w:pPr>
      <w:r>
        <w:rPr/>
        <w:t>通过债务重组取得的长期股权投资，其初始投资成本应当按照《企业会计准则第</w:t>
      </w:r>
      <w:r>
        <w:rPr>
          <w:rFonts w:ascii="宋体" w:hAnsi="宋体" w:cs="宋体" w:eastAsia="宋体" w:hint="default"/>
        </w:rPr>
        <w:t>12</w:t>
      </w:r>
      <w:r>
        <w:rPr/>
        <w:t>号— 债务重组》确定。</w:t>
      </w:r>
    </w:p>
    <w:p>
      <w:pPr>
        <w:spacing w:line="240" w:lineRule="auto" w:before="0"/>
        <w:rPr>
          <w:rFonts w:ascii="宋体" w:hAnsi="宋体" w:cs="宋体" w:eastAsia="宋体" w:hint="default"/>
          <w:sz w:val="24"/>
          <w:szCs w:val="24"/>
        </w:rPr>
      </w:pPr>
    </w:p>
    <w:p>
      <w:pPr>
        <w:pStyle w:val="BodyText"/>
        <w:spacing w:line="357" w:lineRule="auto" w:before="190"/>
        <w:ind w:left="633" w:right="4993"/>
        <w:jc w:val="left"/>
      </w:pPr>
      <w:r>
        <w:rPr/>
        <w:t>后续计量及损益确认方法 下列长期股权投资采用成本法核算： 公司能够对被投资单位实施控制的长期股权投资。</w:t>
      </w:r>
    </w:p>
    <w:p>
      <w:pPr>
        <w:pStyle w:val="BodyText"/>
        <w:spacing w:line="357" w:lineRule="auto"/>
        <w:ind w:right="982" w:firstLine="480"/>
        <w:jc w:val="left"/>
      </w:pPr>
      <w:r>
        <w:rPr/>
        <w:t>采用成本法核算的长期股权投资按照初始投资成本计价。追加或收回投资应当调整长期 股权投资的成本。被投资单位宣告分派的现金股利或利润，确认为当期投资收益。</w:t>
      </w:r>
    </w:p>
    <w:p>
      <w:pPr>
        <w:spacing w:after="0" w:line="357"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36" w:firstLine="480"/>
        <w:jc w:val="both"/>
      </w:pPr>
      <w:r>
        <w:rPr/>
        <w:t>对被投资单位具有共同控制</w:t>
      </w:r>
      <w:r>
        <w:rPr>
          <w:rFonts w:ascii="宋体" w:hAnsi="宋体" w:cs="宋体" w:eastAsia="宋体" w:hint="default"/>
        </w:rPr>
        <w:t>(</w:t>
      </w:r>
      <w:r>
        <w:rPr/>
        <w:t>指合营企业</w:t>
      </w:r>
      <w:r>
        <w:rPr>
          <w:rFonts w:ascii="宋体" w:hAnsi="宋体" w:cs="宋体" w:eastAsia="宋体" w:hint="default"/>
        </w:rPr>
        <w:t>)</w:t>
      </w:r>
      <w:r>
        <w:rPr/>
        <w:t>或重大影响的长期股权投资，按照采用权益法 核算。</w:t>
      </w:r>
    </w:p>
    <w:p>
      <w:pPr>
        <w:pStyle w:val="BodyText"/>
        <w:spacing w:line="357" w:lineRule="auto"/>
        <w:ind w:right="1139" w:firstLine="480"/>
        <w:jc w:val="both"/>
      </w:pPr>
      <w:r>
        <w:rPr/>
        <w:t>长期股权投资采用权益法核算时，对长期股权投资的投资成本大于投资时应享有被投资 单位可辨认净资产公允价值份额的，不调整长期股权投资的投资成本；对长期股权投资的投</w:t>
      </w:r>
      <w:r>
        <w:rPr>
          <w:spacing w:val="-91"/>
        </w:rPr>
        <w:t> </w:t>
      </w:r>
      <w:r>
        <w:rPr>
          <w:spacing w:val="-91"/>
        </w:rPr>
      </w:r>
      <w:r>
        <w:rPr/>
        <w:t>资成本小于投资时应享有被投资单位可辨认净资产公允价值份额的，对长期股权投资的账面</w:t>
      </w:r>
      <w:r>
        <w:rPr>
          <w:spacing w:val="-91"/>
        </w:rPr>
        <w:t> </w:t>
      </w:r>
      <w:r>
        <w:rPr>
          <w:spacing w:val="-91"/>
        </w:rPr>
      </w:r>
      <w:r>
        <w:rPr/>
        <w:t>价值进行调整，差额计入投资当期的损益。</w:t>
      </w:r>
    </w:p>
    <w:p>
      <w:pPr>
        <w:pStyle w:val="BodyText"/>
        <w:spacing w:line="357" w:lineRule="auto"/>
        <w:ind w:right="1139" w:firstLine="480"/>
        <w:jc w:val="both"/>
      </w:pPr>
      <w:r>
        <w:rPr/>
        <w:t>在权益法核算时，当取得长期股权投资后，按照应享有或应分担的被投资单位实现的净 损益和其他综合收益的份额，分别确认投资损益和其他综合收益，并调整长期股权投资的账</w:t>
      </w:r>
      <w:r>
        <w:rPr>
          <w:spacing w:val="-91"/>
        </w:rPr>
        <w:t> </w:t>
      </w:r>
      <w:r>
        <w:rPr>
          <w:spacing w:val="-91"/>
        </w:rPr>
      </w:r>
      <w:r>
        <w:rPr/>
        <w:t>面价值。投资企业按照被投资单位宣告分派的利润或现金股利计算应分得的部分，相应减少</w:t>
      </w:r>
      <w:r>
        <w:rPr>
          <w:spacing w:val="-91"/>
        </w:rPr>
        <w:t> </w:t>
      </w:r>
      <w:r>
        <w:rPr>
          <w:spacing w:val="-91"/>
        </w:rPr>
      </w:r>
      <w:r>
        <w:rPr/>
        <w:t>长期股权投资的账面价值。投资方对于被投资单位除净损益、其他综合收益和利润分配以外</w:t>
      </w:r>
      <w:r>
        <w:rPr>
          <w:spacing w:val="-91"/>
        </w:rPr>
        <w:t> </w:t>
      </w:r>
      <w:r>
        <w:rPr>
          <w:spacing w:val="-91"/>
        </w:rPr>
      </w:r>
      <w:r>
        <w:rPr/>
        <w:t>所有者权益的其他变动，应当调整长期股权投资的账面价值并计入所有者权益。</w:t>
      </w:r>
    </w:p>
    <w:p>
      <w:pPr>
        <w:pStyle w:val="BodyText"/>
        <w:spacing w:line="357" w:lineRule="auto"/>
        <w:ind w:right="1135" w:firstLine="480"/>
        <w:jc w:val="both"/>
      </w:pPr>
      <w:r>
        <w:rPr/>
        <w:t>确认被投资单位发生的净亏损，以长期股权投资的账面价值以及其他实质上构成对被投 资单位净投资的长期权益减记至零为限，公司对被投资企业负有承担额外损失义务的除外。</w:t>
      </w:r>
      <w:r>
        <w:rPr>
          <w:spacing w:val="-88"/>
        </w:rPr>
        <w:t> </w:t>
      </w:r>
      <w:r>
        <w:rPr>
          <w:spacing w:val="-88"/>
        </w:rPr>
      </w:r>
      <w:r>
        <w:rPr/>
        <w:t>被投资单位以后实现净利润的，投资企业在其收益分享额弥补未确认的亏损分担额后，恢复</w:t>
      </w:r>
      <w:r>
        <w:rPr>
          <w:spacing w:val="-91"/>
        </w:rPr>
        <w:t> </w:t>
      </w:r>
      <w:r>
        <w:rPr>
          <w:spacing w:val="-91"/>
        </w:rPr>
      </w:r>
      <w:r>
        <w:rPr/>
        <w:t>确认收益分享额。</w:t>
      </w:r>
    </w:p>
    <w:p>
      <w:pPr>
        <w:pStyle w:val="BodyText"/>
        <w:spacing w:line="357" w:lineRule="auto"/>
        <w:ind w:right="1140" w:firstLine="480"/>
        <w:jc w:val="both"/>
      </w:pPr>
      <w:r>
        <w:rPr/>
        <w:t>对于被投资单位除净损益、其他综合收益和利润分配以外所有者权益的其他变动，调整 长期股权投资的账面价值并计入所有者权益。</w:t>
      </w:r>
    </w:p>
    <w:p>
      <w:pPr>
        <w:pStyle w:val="BodyText"/>
        <w:spacing w:line="357" w:lineRule="auto"/>
        <w:ind w:right="1139" w:firstLine="480"/>
        <w:jc w:val="both"/>
      </w:pPr>
      <w:r>
        <w:rPr/>
        <w:t>长期股权投资按照权益法核算在确认投资损益时，先对被投资单位的净利润进行取得投 资时被投资单位各项可辨认资产等的公允价值、会计政策和会计期间方面的调整，再按应享</w:t>
      </w:r>
      <w:r>
        <w:rPr>
          <w:spacing w:val="-91"/>
        </w:rPr>
        <w:t> </w:t>
      </w:r>
      <w:r>
        <w:rPr>
          <w:spacing w:val="-91"/>
        </w:rPr>
      </w:r>
      <w:r>
        <w:rPr/>
        <w:t>有或应分担的被投资单位的净损益份额确认当期投资损益。</w:t>
      </w:r>
    </w:p>
    <w:p>
      <w:pPr>
        <w:pStyle w:val="BodyText"/>
        <w:spacing w:line="357" w:lineRule="auto"/>
        <w:ind w:right="1137" w:firstLine="480"/>
        <w:jc w:val="both"/>
      </w:pPr>
      <w:r>
        <w:rPr/>
        <w:t>与联营企业及合营企业之间发生的未实现内部交易损益按照持股比例计算归属于公司的 部分，在抵销基础上确认投资损益。</w:t>
      </w:r>
    </w:p>
    <w:p>
      <w:pPr>
        <w:spacing w:line="240" w:lineRule="auto" w:before="0"/>
        <w:rPr>
          <w:rFonts w:ascii="宋体" w:hAnsi="宋体" w:cs="宋体" w:eastAsia="宋体" w:hint="default"/>
          <w:sz w:val="24"/>
          <w:szCs w:val="24"/>
        </w:rPr>
      </w:pPr>
    </w:p>
    <w:p>
      <w:pPr>
        <w:pStyle w:val="BodyText"/>
        <w:spacing w:line="357" w:lineRule="auto" w:before="190"/>
        <w:ind w:left="633" w:right="982"/>
        <w:jc w:val="left"/>
      </w:pPr>
      <w:r>
        <w:rPr/>
        <w:t>确定对被投资单位具有共同控制、重大影响的依据 共同控制，是指按照相关约定对某项安排所共有的控制，并且该安排的相关活动必须经</w:t>
      </w:r>
    </w:p>
    <w:p>
      <w:pPr>
        <w:pStyle w:val="BodyText"/>
        <w:spacing w:line="357" w:lineRule="auto"/>
        <w:ind w:right="1139"/>
        <w:jc w:val="both"/>
      </w:pPr>
      <w:r>
        <w:rPr/>
        <w:t>过分享控制权的参与方一致同意后才能决策。在判断是否存在共同控制时，首先判断所有参</w:t>
      </w:r>
      <w:r>
        <w:rPr>
          <w:spacing w:val="-91"/>
        </w:rPr>
        <w:t> </w:t>
      </w:r>
      <w:r>
        <w:rPr>
          <w:spacing w:val="-91"/>
        </w:rPr>
      </w:r>
      <w:r>
        <w:rPr/>
        <w:t>与方或参与方组合是否集体控制该安排，如果所有参与方或一组参与方必须一致行动才能决</w:t>
      </w:r>
      <w:r>
        <w:rPr>
          <w:spacing w:val="-91"/>
        </w:rPr>
        <w:t> </w:t>
      </w:r>
      <w:r>
        <w:rPr>
          <w:spacing w:val="-91"/>
        </w:rPr>
      </w:r>
      <w:r>
        <w:rPr/>
        <w:t>定某项安排的相关活动，则认为所有参与方或一组参与方集体控制该安排。其次再判断该安</w:t>
      </w:r>
      <w:r>
        <w:rPr>
          <w:spacing w:val="-91"/>
        </w:rPr>
        <w:t> </w:t>
      </w:r>
      <w:r>
        <w:rPr>
          <w:spacing w:val="-91"/>
        </w:rPr>
      </w:r>
      <w:r>
        <w:rPr/>
        <w:t>排相关活动的决策是否必须经过这些集体控制该安排的参与方一致同意。如果存在两个或两</w:t>
      </w:r>
    </w:p>
    <w:p>
      <w:pPr>
        <w:spacing w:after="0" w:line="357" w:lineRule="auto"/>
        <w:jc w:val="both"/>
        <w:sectPr>
          <w:footerReference w:type="default" r:id="rId38"/>
          <w:pgSz w:w="11910" w:h="16840"/>
          <w:pgMar w:footer="979" w:header="745" w:top="1060" w:bottom="1160" w:left="980" w:right="0"/>
          <w:pgNumType w:start="120"/>
        </w:sectPr>
      </w:pPr>
    </w:p>
    <w:p>
      <w:pPr>
        <w:spacing w:line="240" w:lineRule="auto" w:before="7"/>
        <w:rPr>
          <w:rFonts w:ascii="宋体" w:hAnsi="宋体" w:cs="宋体" w:eastAsia="宋体" w:hint="default"/>
          <w:sz w:val="29"/>
          <w:szCs w:val="29"/>
        </w:rPr>
      </w:pPr>
    </w:p>
    <w:p>
      <w:pPr>
        <w:pStyle w:val="BodyText"/>
        <w:spacing w:line="357" w:lineRule="auto" w:before="26"/>
        <w:ind w:right="996"/>
        <w:jc w:val="left"/>
      </w:pPr>
      <w:r>
        <w:rPr>
          <w:spacing w:val="-2"/>
        </w:rPr>
        <w:t>个以上的参与方组合能够集体控制某项安排的，不构成共同控制。判断是否存在共同控制时，</w:t>
      </w:r>
      <w:r>
        <w:rPr/>
        <w:t> 不考虑享有的保护性权利。</w:t>
      </w:r>
    </w:p>
    <w:p>
      <w:pPr>
        <w:spacing w:line="240" w:lineRule="auto" w:before="0"/>
        <w:rPr>
          <w:rFonts w:ascii="宋体" w:hAnsi="宋体" w:cs="宋体" w:eastAsia="宋体" w:hint="default"/>
          <w:sz w:val="24"/>
          <w:szCs w:val="24"/>
        </w:rPr>
      </w:pPr>
    </w:p>
    <w:p>
      <w:pPr>
        <w:pStyle w:val="BodyText"/>
        <w:spacing w:line="357" w:lineRule="auto" w:before="190"/>
        <w:ind w:right="1139" w:firstLine="480"/>
        <w:jc w:val="both"/>
      </w:pPr>
      <w:r>
        <w:rPr/>
        <w:t>重大影响，是指对一个企业的财务和经营政策有参与决策的权力，但并不能够控制或者 与其他方一起共同控制这些政策的制定。在确定能否对被投资单位施加重大影响时，考虑投</w:t>
      </w:r>
      <w:r>
        <w:rPr>
          <w:spacing w:val="-91"/>
        </w:rPr>
        <w:t> </w:t>
      </w:r>
      <w:r>
        <w:rPr>
          <w:spacing w:val="-91"/>
        </w:rPr>
      </w:r>
      <w:r>
        <w:rPr/>
        <w:t>资方直接或间接持有被投资单位的表决权股份以及投资方及其他方持有的当期可执行潜在表</w:t>
      </w:r>
      <w:r>
        <w:rPr>
          <w:spacing w:val="-91"/>
        </w:rPr>
        <w:t> </w:t>
      </w:r>
      <w:r>
        <w:rPr>
          <w:spacing w:val="-91"/>
        </w:rPr>
      </w:r>
      <w:r>
        <w:rPr/>
        <w:t>决权在假定转换为对被投资方单位的股权后产生的影响，包括被投资单位发行的当期可转换</w:t>
      </w:r>
      <w:r>
        <w:rPr>
          <w:spacing w:val="-91"/>
        </w:rPr>
        <w:t> </w:t>
      </w:r>
      <w:r>
        <w:rPr>
          <w:spacing w:val="-91"/>
        </w:rPr>
      </w:r>
      <w:r>
        <w:rPr/>
        <w:t>的认股权证、股份期权及可转换公司债券等的影响。</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3"/>
          <w:szCs w:val="33"/>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15</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57" w:lineRule="auto" w:before="0"/>
        <w:ind w:left="152" w:right="8954" w:firstLine="0"/>
        <w:jc w:val="left"/>
        <w:rPr>
          <w:rFonts w:ascii="宋体" w:hAnsi="宋体" w:cs="宋体" w:eastAsia="宋体" w:hint="default"/>
          <w:sz w:val="18"/>
          <w:szCs w:val="18"/>
        </w:rPr>
      </w:pPr>
      <w:r>
        <w:rPr>
          <w:rFonts w:ascii="宋体" w:hAnsi="宋体" w:cs="宋体" w:eastAsia="宋体" w:hint="default"/>
          <w:sz w:val="18"/>
          <w:szCs w:val="18"/>
        </w:rPr>
        <w:t>投资性房地产计量模式 成本法计量 折旧或摊销方法</w:t>
      </w:r>
    </w:p>
    <w:p>
      <w:pPr>
        <w:spacing w:line="273" w:lineRule="auto" w:before="8"/>
        <w:ind w:left="152" w:right="982" w:firstLine="0"/>
        <w:jc w:val="left"/>
        <w:rPr>
          <w:rFonts w:ascii="宋体" w:hAnsi="宋体" w:cs="宋体" w:eastAsia="宋体" w:hint="default"/>
          <w:sz w:val="21"/>
          <w:szCs w:val="21"/>
        </w:rPr>
      </w:pPr>
      <w:r>
        <w:rPr>
          <w:rFonts w:ascii="宋体" w:hAnsi="宋体" w:cs="宋体" w:eastAsia="宋体" w:hint="default"/>
          <w:spacing w:val="-2"/>
          <w:sz w:val="21"/>
          <w:szCs w:val="21"/>
        </w:rPr>
        <w:t>本公司采用成本模式对投资性房地产进行后续计量，并按照与房屋建筑物或土地使用权一致的政策进行折</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旧或摊销</w:t>
      </w:r>
    </w:p>
    <w:p>
      <w:pPr>
        <w:spacing w:line="240" w:lineRule="auto" w:before="7"/>
        <w:rPr>
          <w:rFonts w:ascii="宋体" w:hAnsi="宋体" w:cs="宋体" w:eastAsia="宋体" w:hint="default"/>
          <w:sz w:val="23"/>
          <w:szCs w:val="23"/>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16</w:t>
      </w:r>
      <w:r>
        <w:rPr>
          <w:rFonts w:ascii="宋体" w:hAnsi="宋体" w:cs="宋体" w:eastAsia="宋体" w:hint="default"/>
          <w:b/>
          <w:bCs/>
          <w:sz w:val="21"/>
          <w:szCs w:val="21"/>
        </w:rPr>
        <w:t>、固定资产</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）确认条件</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131" w:firstLine="480"/>
        <w:jc w:val="both"/>
      </w:pPr>
      <w:r>
        <w:rPr/>
        <w:t>固定资产指为生产商品、提供劳务、出租或经营管理而持有，并且使用寿命超过一个会 </w:t>
      </w:r>
      <w:r>
        <w:rPr>
          <w:spacing w:val="-3"/>
        </w:rPr>
        <w:t>计年度的有形资产。固定资产同时满足下列条件的，才能予以确认：①</w:t>
      </w:r>
      <w:r>
        <w:rPr>
          <w:spacing w:val="10"/>
        </w:rPr>
        <w:t> </w:t>
      </w:r>
      <w:r>
        <w:rPr/>
        <w:t>与该固定资产有关的</w:t>
      </w:r>
      <w:r>
        <w:rPr/>
        <w:t> 经济利益很可能流入企业；②</w:t>
      </w:r>
      <w:r>
        <w:rPr>
          <w:spacing w:val="1"/>
        </w:rPr>
        <w:t> </w:t>
      </w:r>
      <w:r>
        <w:rPr/>
        <w:t>该固定资产的成本能够可靠地计量。</w:t>
      </w:r>
    </w:p>
    <w:p>
      <w:pPr>
        <w:spacing w:line="240" w:lineRule="auto" w:before="11"/>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）折旧方法</w:t>
      </w:r>
      <w:r>
        <w:rPr>
          <w:rFonts w:ascii="宋体" w:hAnsi="宋体" w:cs="宋体" w:eastAsia="宋体" w:hint="default"/>
          <w:sz w:val="21"/>
          <w:szCs w:val="21"/>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916"/>
        <w:gridCol w:w="1913"/>
        <w:gridCol w:w="1916"/>
        <w:gridCol w:w="1913"/>
        <w:gridCol w:w="1916"/>
      </w:tblGrid>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25-50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1.90-3.88</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3-10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9.50-32.33</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19.00-32.33</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19.00-32.33</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13.57-32.33</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b/>
          <w:bCs/>
          <w:sz w:val="24"/>
          <w:szCs w:val="24"/>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）融资租入固定资产的认定依据、计价和折旧方法</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033" w:firstLine="480"/>
        <w:jc w:val="left"/>
      </w:pPr>
      <w:r>
        <w:rPr/>
        <w:t>融资租入固定资产的认定依据：实质上转移了与资产所有权有关的全部风险和报酬的租 </w:t>
      </w:r>
      <w:r>
        <w:rPr>
          <w:spacing w:val="-3"/>
        </w:rPr>
        <w:t>赁。具体认定依据为符合下列一项或数项条件的：①</w:t>
      </w:r>
      <w:r>
        <w:rPr>
          <w:spacing w:val="-6"/>
        </w:rPr>
        <w:t> </w:t>
      </w:r>
      <w:r>
        <w:rPr/>
        <w:t>在租赁期届满时，租赁资产的所有权转</w:t>
      </w:r>
      <w:r>
        <w:rPr/>
        <w:t> </w:t>
      </w:r>
      <w:r>
        <w:rPr>
          <w:spacing w:val="-6"/>
        </w:rPr>
        <w:t>移给承租人；②</w:t>
      </w:r>
      <w:r>
        <w:rPr>
          <w:spacing w:val="-23"/>
        </w:rPr>
        <w:t> </w:t>
      </w:r>
      <w:r>
        <w:rPr/>
        <w:t>承租人有购买租赁资产的选择权，所订立的购买价款预计将远低于行使选择</w:t>
      </w:r>
      <w:r>
        <w:rPr/>
        <w:t> 权时租赁资产的公允价值，因而在租赁开始日就可以合理确定承租人会行使这种选择权；③</w:t>
      </w:r>
      <w:r>
        <w:rPr>
          <w:spacing w:val="-91"/>
        </w:rPr>
        <w:t> </w:t>
      </w:r>
      <w:r>
        <w:rPr>
          <w:spacing w:val="-91"/>
        </w:rPr>
      </w:r>
      <w:r>
        <w:rPr>
          <w:spacing w:val="-3"/>
        </w:rPr>
        <w:t>即使资产的所有权不转移，但租赁期占租赁资产使用寿命的大部分；④ </w:t>
      </w:r>
      <w:r>
        <w:rPr/>
        <w:t>承租人在租赁开始日</w:t>
      </w:r>
      <w:r>
        <w:rPr>
          <w:spacing w:val="-105"/>
        </w:rPr>
        <w:t> </w:t>
      </w:r>
      <w:r>
        <w:rPr>
          <w:spacing w:val="-105"/>
        </w:rPr>
      </w:r>
      <w:r>
        <w:rPr/>
        <w:t>的最低租赁付款额现值，几乎相当于租赁开始日租赁资产公允价值；⑤</w:t>
      </w:r>
      <w:r>
        <w:rPr>
          <w:spacing w:val="1"/>
        </w:rPr>
        <w:t> </w:t>
      </w:r>
      <w:r>
        <w:rPr/>
        <w:t>租赁资产性质特殊，</w:t>
      </w:r>
      <w:r>
        <w:rPr/>
        <w:t> 如不作较大改造只有承租人才能使用。融资租入固定资产的计价方法：融资租入固定资产初</w:t>
      </w:r>
      <w:r>
        <w:rPr>
          <w:spacing w:val="-91"/>
        </w:rPr>
        <w:t> </w:t>
      </w:r>
      <w:r>
        <w:rPr>
          <w:spacing w:val="-91"/>
        </w:rPr>
      </w:r>
      <w:r>
        <w:rPr/>
        <w:t>始计价为租赁期开始日租赁资产公允价值与最低租赁付款额现值较低者作为入账价值。融资</w:t>
      </w:r>
      <w:r>
        <w:rPr>
          <w:spacing w:val="-91"/>
        </w:rPr>
        <w:t> </w:t>
      </w:r>
      <w:r>
        <w:rPr>
          <w:spacing w:val="-91"/>
        </w:rPr>
      </w:r>
      <w:r>
        <w:rPr/>
        <w:t>租入固定资产后续计价采用与自有固定资产相一致的折旧政策计提折旧及减值准备。</w:t>
      </w:r>
    </w:p>
    <w:p>
      <w:pPr>
        <w:spacing w:line="240" w:lineRule="auto" w:before="10"/>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17</w:t>
      </w:r>
      <w:r>
        <w:rPr>
          <w:rFonts w:ascii="宋体" w:hAnsi="宋体" w:cs="宋体" w:eastAsia="宋体" w:hint="default"/>
          <w:b/>
          <w:bCs/>
          <w:sz w:val="21"/>
          <w:szCs w:val="21"/>
        </w:rPr>
        <w:t>、在建工程</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60" w:lineRule="auto" w:before="0"/>
        <w:ind w:left="152" w:right="7694"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5"/>
        <w:ind w:left="152" w:right="982" w:firstLine="0"/>
        <w:jc w:val="left"/>
        <w:rPr>
          <w:rFonts w:ascii="宋体" w:hAnsi="宋体" w:cs="宋体" w:eastAsia="宋体" w:hint="default"/>
          <w:sz w:val="18"/>
          <w:szCs w:val="18"/>
        </w:rPr>
      </w:pPr>
      <w:r>
        <w:rPr>
          <w:rFonts w:ascii="宋体" w:hAnsi="宋体" w:cs="宋体" w:eastAsia="宋体" w:hint="default"/>
          <w:sz w:val="18"/>
          <w:szCs w:val="18"/>
        </w:rPr>
        <w:t>软件与信息技术服务业</w:t>
      </w:r>
    </w:p>
    <w:p>
      <w:pPr>
        <w:pStyle w:val="BodyText"/>
        <w:spacing w:line="357" w:lineRule="auto" w:before="148"/>
        <w:ind w:left="633" w:right="3313"/>
        <w:jc w:val="left"/>
      </w:pPr>
      <w:r>
        <w:rPr/>
        <w:t>包括公司基建、更新改造等发生的支出，该项支出包含工程物资； 在建工程达到预定可使用状态时转入固定资产。</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18</w:t>
      </w:r>
      <w:r>
        <w:rPr>
          <w:rFonts w:ascii="宋体" w:hAnsi="宋体" w:cs="宋体" w:eastAsia="宋体" w:hint="default"/>
          <w:b/>
          <w:bCs/>
          <w:sz w:val="21"/>
          <w:szCs w:val="21"/>
        </w:rPr>
        <w:t>、借款费用</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right="1013" w:firstLine="480"/>
        <w:jc w:val="both"/>
      </w:pPr>
      <w:r>
        <w:rPr/>
        <w:t>公司发生的借款费用，可直接归属于符合资本化条件的资产的购建或者生产的，予以资 本化，计入相关资产成本。符合资本化条件的资产，是指需要经过相当长的时间的</w:t>
      </w:r>
      <w:r>
        <w:rPr>
          <w:rFonts w:ascii="宋体" w:hAnsi="宋体" w:cs="宋体" w:eastAsia="宋体" w:hint="default"/>
        </w:rPr>
        <w:t>(</w:t>
      </w:r>
      <w:r>
        <w:rPr/>
        <w:t>通常是指 </w:t>
      </w:r>
      <w:r>
        <w:rPr>
          <w:rFonts w:ascii="宋体" w:hAnsi="宋体" w:cs="宋体" w:eastAsia="宋体" w:hint="default"/>
        </w:rPr>
        <w:t>1</w:t>
      </w:r>
      <w:r>
        <w:rPr/>
        <w:t>年及</w:t>
      </w:r>
      <w:r>
        <w:rPr>
          <w:rFonts w:ascii="宋体" w:hAnsi="宋体" w:cs="宋体" w:eastAsia="宋体" w:hint="default"/>
        </w:rPr>
        <w:t>1</w:t>
      </w:r>
      <w:r>
        <w:rPr/>
        <w:t>年以上</w:t>
      </w:r>
      <w:r>
        <w:rPr>
          <w:rFonts w:ascii="宋体" w:hAnsi="宋体" w:cs="宋体" w:eastAsia="宋体" w:hint="default"/>
        </w:rPr>
        <w:t>)</w:t>
      </w:r>
      <w:r>
        <w:rPr/>
        <w:t>购建或者生产活动才能达到预定可使用可销售状态的固定资产、投资性房地产 和存货等资产。其他借款费用，应当在发生时根据其发生额确认为费用，计入当期损益。借</w:t>
      </w:r>
      <w:r>
        <w:rPr>
          <w:spacing w:val="-91"/>
        </w:rPr>
        <w:t> </w:t>
      </w:r>
      <w:r>
        <w:rPr>
          <w:spacing w:val="-91"/>
        </w:rPr>
      </w:r>
      <w:r>
        <w:rPr>
          <w:spacing w:val="-2"/>
        </w:rPr>
        <w:t>款费用包括借款利息、折价或者溢价的摊销、辅助费用以及因外币借款而发生的汇况差额等。</w:t>
      </w:r>
    </w:p>
    <w:p>
      <w:pPr>
        <w:spacing w:line="240" w:lineRule="auto" w:before="0"/>
        <w:rPr>
          <w:rFonts w:ascii="宋体" w:hAnsi="宋体" w:cs="宋体" w:eastAsia="宋体" w:hint="default"/>
          <w:sz w:val="24"/>
          <w:szCs w:val="24"/>
        </w:rPr>
      </w:pPr>
    </w:p>
    <w:p>
      <w:pPr>
        <w:pStyle w:val="BodyText"/>
        <w:spacing w:line="357" w:lineRule="auto" w:before="190"/>
        <w:ind w:left="633" w:right="982"/>
        <w:jc w:val="left"/>
      </w:pPr>
      <w:r>
        <w:rPr/>
        <w:t>借款费用同时满足下列条件的，开始资本化： 资产支出已发生，资产支出包括为购建或者生产符合资本化条件的资产而支付的现金、</w:t>
      </w:r>
    </w:p>
    <w:p>
      <w:pPr>
        <w:pStyle w:val="BodyText"/>
        <w:spacing w:line="357" w:lineRule="auto"/>
        <w:ind w:left="633" w:right="5234" w:hanging="481"/>
        <w:jc w:val="left"/>
      </w:pPr>
      <w:r>
        <w:rPr/>
        <w:t>转移非现金资产或者承担带息债务形式发生的支出； 借款费用已经发生；</w:t>
      </w:r>
    </w:p>
    <w:p>
      <w:pPr>
        <w:spacing w:after="0" w:line="357"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left="633" w:right="982"/>
        <w:jc w:val="left"/>
      </w:pPr>
      <w:r>
        <w:rPr/>
        <w:t>为使资产达到预定可使用或者可销售状态所必要的购建或者生产活动已经开始。 购建或者生产符合资本化条件的资产达到预定可使用或者可销售状态时，借款费用停止</w:t>
      </w:r>
    </w:p>
    <w:p>
      <w:pPr>
        <w:pStyle w:val="BodyText"/>
        <w:spacing w:line="240" w:lineRule="auto"/>
        <w:ind w:right="982"/>
        <w:jc w:val="left"/>
      </w:pPr>
      <w:r>
        <w:rPr/>
        <w:t>资本化。</w:t>
      </w:r>
    </w:p>
    <w:p>
      <w:pPr>
        <w:pStyle w:val="BodyText"/>
        <w:spacing w:line="357" w:lineRule="auto" w:before="154"/>
        <w:ind w:right="1126" w:firstLine="480"/>
        <w:jc w:val="both"/>
      </w:pPr>
      <w:r>
        <w:rPr>
          <w:spacing w:val="3"/>
        </w:rPr>
        <w:t>符合资本化条件的资产在购建或者生产过程中发生非正常中断，且中断时间连续超过</w:t>
      </w:r>
      <w:r>
        <w:rPr>
          <w:rFonts w:ascii="宋体" w:hAnsi="宋体" w:cs="宋体" w:eastAsia="宋体" w:hint="default"/>
          <w:spacing w:val="3"/>
        </w:rPr>
        <w:t>3</w:t>
      </w:r>
      <w:r>
        <w:rPr>
          <w:rFonts w:ascii="宋体" w:hAnsi="宋体" w:cs="宋体" w:eastAsia="宋体" w:hint="default"/>
        </w:rPr>
        <w:t> </w:t>
      </w:r>
      <w:r>
        <w:rPr/>
        <w:t>个月的，暂停借款费用的资本化。在中断期间发生的借款费用确认为费用，计入当期损益，</w:t>
      </w:r>
      <w:r>
        <w:rPr>
          <w:spacing w:val="-91"/>
        </w:rPr>
        <w:t> </w:t>
      </w:r>
      <w:r>
        <w:rPr>
          <w:spacing w:val="-91"/>
        </w:rPr>
      </w:r>
      <w:r>
        <w:rPr/>
        <w:t>直至资产的购建或者生产活动重新开始。如果中断是所购建或者生产的符合资本化条件的资</w:t>
      </w:r>
      <w:r>
        <w:rPr>
          <w:spacing w:val="-91"/>
        </w:rPr>
        <w:t> </w:t>
      </w:r>
      <w:r>
        <w:rPr>
          <w:spacing w:val="-91"/>
        </w:rPr>
      </w:r>
      <w:r>
        <w:rPr/>
        <w:t>产达到预定可使用或可销售状态必要的程序，借款费用的资本化则继续进行。</w:t>
      </w:r>
    </w:p>
    <w:p>
      <w:pPr>
        <w:spacing w:line="240" w:lineRule="auto" w:before="0"/>
        <w:rPr>
          <w:rFonts w:ascii="宋体" w:hAnsi="宋体" w:cs="宋体" w:eastAsia="宋体" w:hint="default"/>
          <w:sz w:val="24"/>
          <w:szCs w:val="24"/>
        </w:rPr>
      </w:pPr>
    </w:p>
    <w:p>
      <w:pPr>
        <w:pStyle w:val="BodyText"/>
        <w:spacing w:line="357" w:lineRule="auto" w:before="191"/>
        <w:ind w:right="1137" w:firstLine="480"/>
        <w:jc w:val="both"/>
      </w:pPr>
      <w:r>
        <w:rPr/>
        <w:t>在资本化期间内，每一会计期间的利息</w:t>
      </w:r>
      <w:r>
        <w:rPr>
          <w:rFonts w:ascii="宋体" w:hAnsi="宋体" w:cs="宋体" w:eastAsia="宋体" w:hint="default"/>
        </w:rPr>
        <w:t>(</w:t>
      </w:r>
      <w:r>
        <w:rPr/>
        <w:t>包括折价或溢价的摊销</w:t>
      </w:r>
      <w:r>
        <w:rPr>
          <w:rFonts w:ascii="宋体" w:hAnsi="宋体" w:cs="宋体" w:eastAsia="宋体" w:hint="default"/>
        </w:rPr>
        <w:t>)</w:t>
      </w:r>
      <w:r>
        <w:rPr/>
        <w:t>资本化金额，按照下列 规定确定：</w:t>
      </w:r>
    </w:p>
    <w:p>
      <w:pPr>
        <w:pStyle w:val="BodyText"/>
        <w:spacing w:line="357" w:lineRule="auto"/>
        <w:ind w:right="1139" w:firstLine="480"/>
        <w:jc w:val="both"/>
      </w:pPr>
      <w:r>
        <w:rPr/>
        <w:t>为购建或者生产符合资本化条件的资产而借入专门借款的，以专门借款当期实际发生的 利息费用，减去尚未动用的借款资金存入银行取得的利息收入或进行暂时性投资取得的投资</w:t>
      </w:r>
      <w:r>
        <w:rPr>
          <w:spacing w:val="-91"/>
        </w:rPr>
        <w:t> </w:t>
      </w:r>
      <w:r>
        <w:rPr>
          <w:spacing w:val="-91"/>
        </w:rPr>
      </w:r>
      <w:r>
        <w:rPr/>
        <w:t>收益后的金额确定。</w:t>
      </w:r>
    </w:p>
    <w:p>
      <w:pPr>
        <w:pStyle w:val="BodyText"/>
        <w:spacing w:line="357" w:lineRule="auto"/>
        <w:ind w:right="1139" w:firstLine="480"/>
        <w:jc w:val="both"/>
      </w:pPr>
      <w:r>
        <w:rPr/>
        <w:t>为购建或者生产符合资本化条件的资产而占用了一般借款的，根据累计资产支出超过专 门借款部分的资产支出加权平均数乘以所占用的一般借款的资本化率，计算确定一般借款应</w:t>
      </w:r>
      <w:r>
        <w:rPr>
          <w:spacing w:val="-91"/>
        </w:rPr>
        <w:t> </w:t>
      </w:r>
      <w:r>
        <w:rPr>
          <w:spacing w:val="-91"/>
        </w:rPr>
      </w:r>
      <w:r>
        <w:rPr/>
        <w:t>予资本化的利息金额。资本化率根据一般借款加权平均利率确定。</w:t>
      </w:r>
    </w:p>
    <w:p>
      <w:pPr>
        <w:pStyle w:val="BodyText"/>
        <w:spacing w:line="357" w:lineRule="auto"/>
        <w:ind w:right="1140" w:firstLine="480"/>
        <w:jc w:val="both"/>
      </w:pPr>
      <w:r>
        <w:rPr/>
        <w:t>借款存在折价或溢价的，按照实际利率法确定每一会计期间相应摊销的折价或者溢价的 金额，调整每期利息金额。</w:t>
      </w:r>
    </w:p>
    <w:p>
      <w:pPr>
        <w:pStyle w:val="BodyText"/>
        <w:spacing w:line="357" w:lineRule="auto"/>
        <w:ind w:right="1137" w:firstLine="480"/>
        <w:jc w:val="both"/>
      </w:pPr>
      <w:r>
        <w:rPr/>
        <w:t>在资本化期间内，每一会计期间的利息资本化金额，不超过当期相关借款实际发生的利 息金额。</w:t>
      </w:r>
    </w:p>
    <w:p>
      <w:pPr>
        <w:spacing w:line="240" w:lineRule="auto" w:before="0"/>
        <w:rPr>
          <w:rFonts w:ascii="宋体" w:hAnsi="宋体" w:cs="宋体" w:eastAsia="宋体" w:hint="default"/>
          <w:sz w:val="24"/>
          <w:szCs w:val="24"/>
        </w:rPr>
      </w:pPr>
    </w:p>
    <w:p>
      <w:pPr>
        <w:pStyle w:val="BodyText"/>
        <w:spacing w:line="357" w:lineRule="auto" w:before="191"/>
        <w:ind w:right="1139" w:firstLine="480"/>
        <w:jc w:val="both"/>
      </w:pPr>
      <w:r>
        <w:rPr/>
        <w:t>专门借款发生的辅助费用，在所购建或者生产的符合资本化条件的资产达到预定可使用 或者可销售状态之前发生的，在发生时根据其发生额予以资本化，计入符合资本化条件的资</w:t>
      </w:r>
      <w:r>
        <w:rPr>
          <w:spacing w:val="-91"/>
        </w:rPr>
        <w:t> </w:t>
      </w:r>
      <w:r>
        <w:rPr>
          <w:spacing w:val="-91"/>
        </w:rPr>
      </w:r>
      <w:r>
        <w:rPr/>
        <w:t>产的成本；在所购建或者生产的符合资本化条件的资产达到预定可使用或者可销售状态之后</w:t>
      </w:r>
      <w:r>
        <w:rPr>
          <w:spacing w:val="-91"/>
        </w:rPr>
        <w:t> </w:t>
      </w:r>
      <w:r>
        <w:rPr>
          <w:spacing w:val="-91"/>
        </w:rPr>
      </w:r>
      <w:r>
        <w:rPr/>
        <w:t>发生的，在发生时根据其发生额确认为费用，计入当期损益。一般借款发生的辅助费用，在</w:t>
      </w:r>
      <w:r>
        <w:rPr>
          <w:spacing w:val="-91"/>
        </w:rPr>
        <w:t> </w:t>
      </w:r>
      <w:r>
        <w:rPr>
          <w:spacing w:val="-91"/>
        </w:rPr>
      </w:r>
      <w:r>
        <w:rPr/>
        <w:t>发生时根据其发生额确认为费用，计入当期损益。</w:t>
      </w:r>
    </w:p>
    <w:p>
      <w:pPr>
        <w:spacing w:after="0" w:line="357" w:lineRule="auto"/>
        <w:jc w:val="both"/>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19</w:t>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）计价方法、使用寿命、减值测试</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60" w:lineRule="auto" w:before="0"/>
        <w:ind w:left="152" w:right="7694"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5"/>
        <w:ind w:left="152" w:right="982" w:firstLine="0"/>
        <w:jc w:val="left"/>
        <w:rPr>
          <w:rFonts w:ascii="宋体" w:hAnsi="宋体" w:cs="宋体" w:eastAsia="宋体" w:hint="default"/>
          <w:sz w:val="18"/>
          <w:szCs w:val="18"/>
        </w:rPr>
      </w:pPr>
      <w:r>
        <w:rPr>
          <w:rFonts w:ascii="宋体" w:hAnsi="宋体" w:cs="宋体" w:eastAsia="宋体" w:hint="default"/>
          <w:sz w:val="18"/>
          <w:szCs w:val="18"/>
        </w:rPr>
        <w:t>软件与信息技术服务业</w:t>
      </w:r>
    </w:p>
    <w:p>
      <w:pPr>
        <w:pStyle w:val="BodyText"/>
        <w:spacing w:line="357" w:lineRule="auto" w:before="148"/>
        <w:ind w:right="1140" w:firstLine="480"/>
        <w:jc w:val="both"/>
      </w:pPr>
      <w:r>
        <w:rPr/>
        <w:t>无形资产，是指企业拥有或者控制的没有实物形态的可辨认非货币性资产。无形资产按 照成本进行初始计量。于取得无形资产时分析判断其使用寿命。</w:t>
      </w:r>
    </w:p>
    <w:p>
      <w:pPr>
        <w:spacing w:line="240" w:lineRule="auto" w:before="0"/>
        <w:rPr>
          <w:rFonts w:ascii="宋体" w:hAnsi="宋体" w:cs="宋体" w:eastAsia="宋体" w:hint="default"/>
          <w:sz w:val="24"/>
          <w:szCs w:val="24"/>
        </w:rPr>
      </w:pPr>
    </w:p>
    <w:p>
      <w:pPr>
        <w:pStyle w:val="BodyText"/>
        <w:spacing w:line="357" w:lineRule="auto" w:before="191"/>
        <w:ind w:left="633" w:right="982"/>
        <w:jc w:val="left"/>
      </w:pPr>
      <w:r>
        <w:rPr/>
        <w:t>公司确定无形资产使用寿命通常考虑的因素： 运用该资产生产的产品通常的寿命周期、可获得的类似资产使用寿命的信息； 技术、工艺等方面的现阶段情况及对未来发展趋势的估计； 以该资产生产的产品或提供服务的市场需求情况； 现在或潜在的竞争者预期采取的行动； 为维持该资产带来经济利益能力的预期维护支出，以及公司预计支付有关支出的能力； 对该资产控制期限的相关法律规定或类似限制，如特许使用期、租赁期等； 与企业持有其他资产使用寿命的关联性等。 无法预见无形资产为公司带来经济利益期限的，视为使用寿命不确定的无形资产。</w:t>
      </w:r>
    </w:p>
    <w:p>
      <w:pPr>
        <w:spacing w:line="240" w:lineRule="auto" w:before="0"/>
        <w:rPr>
          <w:rFonts w:ascii="宋体" w:hAnsi="宋体" w:cs="宋体" w:eastAsia="宋体" w:hint="default"/>
          <w:sz w:val="24"/>
          <w:szCs w:val="24"/>
        </w:rPr>
      </w:pPr>
    </w:p>
    <w:p>
      <w:pPr>
        <w:pStyle w:val="BodyText"/>
        <w:spacing w:line="357" w:lineRule="auto" w:before="190"/>
        <w:ind w:right="1134" w:firstLine="480"/>
        <w:jc w:val="both"/>
      </w:pPr>
      <w:r>
        <w:rPr/>
        <w:t>对于使用寿命有限的无形资产，在使用寿命内系统合理</w:t>
      </w:r>
      <w:r>
        <w:rPr>
          <w:rFonts w:ascii="宋体" w:hAnsi="宋体" w:cs="宋体" w:eastAsia="宋体" w:hint="default"/>
        </w:rPr>
        <w:t>(</w:t>
      </w:r>
      <w:r>
        <w:rPr/>
        <w:t>或者直线法</w:t>
      </w:r>
      <w:r>
        <w:rPr>
          <w:rFonts w:ascii="宋体" w:hAnsi="宋体" w:cs="宋体" w:eastAsia="宋体" w:hint="default"/>
        </w:rPr>
        <w:t>)</w:t>
      </w:r>
      <w:r>
        <w:rPr/>
        <w:t>摊销。公司于每年 年度终了，对使用寿命有限的无形资产的使用寿命及摊销方法进行复核。无形资产的使用寿</w:t>
      </w:r>
      <w:r>
        <w:rPr>
          <w:spacing w:val="-91"/>
        </w:rPr>
        <w:t> </w:t>
      </w:r>
      <w:r>
        <w:rPr>
          <w:spacing w:val="-91"/>
        </w:rPr>
      </w:r>
      <w:r>
        <w:rPr/>
        <w:t>命及摊销方法与以前估计不同的，将改变摊销期限和摊销方法。</w:t>
      </w:r>
    </w:p>
    <w:p>
      <w:pPr>
        <w:pStyle w:val="BodyText"/>
        <w:spacing w:line="357" w:lineRule="auto" w:before="37"/>
        <w:ind w:right="1139" w:firstLine="480"/>
        <w:jc w:val="both"/>
      </w:pPr>
      <w:r>
        <w:rPr/>
        <w:t>使用寿命有限的无形资产自可供使用时起，对其原值减去预计净残值和已计提的减值准 备累计金额在其预计使用寿命内采用直线法分期平均摊销。使用寿命不确定的无形资产不予</w:t>
      </w:r>
      <w:r>
        <w:rPr>
          <w:spacing w:val="-91"/>
        </w:rPr>
        <w:t> </w:t>
      </w:r>
      <w:r>
        <w:rPr>
          <w:spacing w:val="-91"/>
        </w:rPr>
      </w:r>
      <w:r>
        <w:rPr/>
        <w:t>摊销。</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）内部研究开发支出会计政策</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left="633" w:right="2833"/>
        <w:jc w:val="left"/>
      </w:pPr>
      <w:r>
        <w:rPr/>
        <w:t>内部研究开发 内部研究开发项目的支出，包括研究阶段支出与开发阶段支出，其中：</w:t>
      </w:r>
    </w:p>
    <w:p>
      <w:pPr>
        <w:spacing w:after="0" w:line="357"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left="633" w:right="982"/>
        <w:jc w:val="left"/>
      </w:pPr>
      <w:r>
        <w:rPr/>
        <w:t>研究是指为获取并理解新的科学或技术知识而进行的独创性的有计划调查。 开发是指在进行商业性生产或使用前，将研究成果或其他知识应用于某项计划或设计，</w:t>
      </w:r>
    </w:p>
    <w:p>
      <w:pPr>
        <w:pStyle w:val="BodyText"/>
        <w:spacing w:line="240" w:lineRule="auto"/>
        <w:ind w:right="982"/>
        <w:jc w:val="left"/>
      </w:pPr>
      <w:r>
        <w:rPr/>
        <w:t>以生产出新的或具有实质性改进的材料、装置、产品等。</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3"/>
          <w:szCs w:val="23"/>
        </w:rPr>
      </w:pPr>
    </w:p>
    <w:p>
      <w:pPr>
        <w:pStyle w:val="BodyText"/>
        <w:spacing w:line="357" w:lineRule="auto" w:before="0"/>
        <w:ind w:right="1138" w:firstLine="480"/>
        <w:jc w:val="both"/>
      </w:pPr>
      <w:r>
        <w:rPr/>
        <w:t>内部研究开发项目在研究阶段的支出于发生时计入当期损益；开发阶段的支出，同时满 足下列条件的，确认为无形资产：</w:t>
      </w:r>
    </w:p>
    <w:p>
      <w:pPr>
        <w:pStyle w:val="BodyText"/>
        <w:spacing w:line="357" w:lineRule="auto"/>
        <w:ind w:left="633" w:right="982"/>
        <w:jc w:val="left"/>
      </w:pPr>
      <w:r>
        <w:rPr/>
        <w:t>完成该无形资产以使其能够使用或出售在技术上具有可行性； 具有完成该无形资产并使用或出售的意图； 无形资产产生经济利益的方式，包括能够证明运用该无形资产生产的产品存在市场或无</w:t>
      </w:r>
    </w:p>
    <w:p>
      <w:pPr>
        <w:pStyle w:val="BodyText"/>
        <w:spacing w:line="357" w:lineRule="auto"/>
        <w:ind w:left="633" w:right="982" w:hanging="481"/>
        <w:jc w:val="left"/>
      </w:pPr>
      <w:r>
        <w:rPr/>
        <w:t>形资产自身存在市场，无形资产将在内部使用的，应当证明其有用性； 有足够的技术、财务资源和其他资源支持，以完成该无形资产的开发，并有能力使用或</w:t>
      </w:r>
    </w:p>
    <w:p>
      <w:pPr>
        <w:pStyle w:val="BodyText"/>
        <w:spacing w:line="357" w:lineRule="auto"/>
        <w:ind w:left="633" w:right="4753" w:hanging="481"/>
        <w:jc w:val="left"/>
      </w:pPr>
      <w:r>
        <w:rPr/>
        <w:t>出售该无形资产； 归属于该无形资产开发阶段的支出能够可靠地计量。</w:t>
      </w:r>
    </w:p>
    <w:p>
      <w:pPr>
        <w:spacing w:line="240" w:lineRule="auto" w:before="0"/>
        <w:rPr>
          <w:rFonts w:ascii="宋体" w:hAnsi="宋体" w:cs="宋体" w:eastAsia="宋体" w:hint="default"/>
          <w:sz w:val="24"/>
          <w:szCs w:val="24"/>
        </w:rPr>
      </w:pPr>
    </w:p>
    <w:p>
      <w:pPr>
        <w:pStyle w:val="BodyText"/>
        <w:spacing w:line="357" w:lineRule="auto" w:before="190"/>
        <w:ind w:left="633" w:right="982"/>
        <w:jc w:val="left"/>
      </w:pPr>
      <w:r>
        <w:rPr>
          <w:rFonts w:ascii="宋体" w:hAnsi="宋体" w:cs="宋体" w:eastAsia="宋体" w:hint="default"/>
        </w:rPr>
        <w:t>20</w:t>
      </w:r>
      <w:r>
        <w:rPr/>
        <w:t>、长期资产减值 对于固定资产、在建工程、使用寿命有限的无形资产、以成本模式计量的投资性房地产</w:t>
      </w:r>
    </w:p>
    <w:p>
      <w:pPr>
        <w:pStyle w:val="BodyText"/>
        <w:spacing w:line="357" w:lineRule="auto"/>
        <w:ind w:right="996"/>
        <w:jc w:val="left"/>
      </w:pPr>
      <w:r>
        <w:rPr/>
        <w:t>及对子公司、合营企业、联营企业的长期股权投资等非流动非金融资产，公司于资产负债表</w:t>
      </w:r>
      <w:r>
        <w:rPr>
          <w:spacing w:val="-91"/>
        </w:rPr>
        <w:t> </w:t>
      </w:r>
      <w:r>
        <w:rPr>
          <w:spacing w:val="-91"/>
        </w:rPr>
      </w:r>
      <w:r>
        <w:rPr>
          <w:spacing w:val="-2"/>
        </w:rPr>
        <w:t>日判断是否存在减值迹象。如存在减值迹象的，则估计其可收回金额，进行减值测试。商誉、</w:t>
      </w:r>
      <w:r>
        <w:rPr/>
        <w:t> 使用寿命不确定的无形资产和尚未达到可使用状态的无形资产，无论是否存在减值迹象，每</w:t>
      </w:r>
      <w:r>
        <w:rPr>
          <w:spacing w:val="-91"/>
        </w:rPr>
        <w:t> </w:t>
      </w:r>
      <w:r>
        <w:rPr>
          <w:spacing w:val="-91"/>
        </w:rPr>
      </w:r>
      <w:r>
        <w:rPr/>
        <w:t>年均进行减值测试。</w:t>
      </w:r>
    </w:p>
    <w:p>
      <w:pPr>
        <w:pStyle w:val="BodyText"/>
        <w:spacing w:line="357" w:lineRule="auto"/>
        <w:ind w:right="1135" w:firstLine="480"/>
        <w:jc w:val="both"/>
      </w:pPr>
      <w:r>
        <w:rPr/>
        <w:t>减值测试结果表明资产的可收回金额低于其账面价值的，按其差额计提减值准备并计入 减值损失。可收回金额为资产的公允价值减去处置费用后的净额与资产预计未来现金流量的</w:t>
      </w:r>
      <w:r>
        <w:rPr>
          <w:spacing w:val="-91"/>
        </w:rPr>
        <w:t> </w:t>
      </w:r>
      <w:r>
        <w:rPr>
          <w:spacing w:val="-91"/>
        </w:rPr>
      </w:r>
      <w:r>
        <w:rPr/>
        <w:t>现值两者之间的较高者。资产的公允价值根据公平交易中销售协议价格确定；不存在销售协</w:t>
      </w:r>
      <w:r>
        <w:rPr>
          <w:spacing w:val="-90"/>
        </w:rPr>
        <w:t> </w:t>
      </w:r>
      <w:r>
        <w:rPr>
          <w:spacing w:val="-90"/>
        </w:rPr>
      </w:r>
      <w:r>
        <w:rPr/>
        <w:t>议但存在资产活跃市场的，公允价值按照该资产的买方出价确定；不存在销售协议和资产活</w:t>
      </w:r>
      <w:r>
        <w:rPr>
          <w:spacing w:val="-91"/>
        </w:rPr>
        <w:t> </w:t>
      </w:r>
      <w:r>
        <w:rPr>
          <w:spacing w:val="-91"/>
        </w:rPr>
      </w:r>
      <w:r>
        <w:rPr/>
        <w:t>跃市场的，则以可获取的最佳信息为基础估计资产的公允价值。处置费用包括与资产处置有</w:t>
      </w:r>
      <w:r>
        <w:rPr>
          <w:spacing w:val="-91"/>
        </w:rPr>
        <w:t> </w:t>
      </w:r>
      <w:r>
        <w:rPr>
          <w:spacing w:val="-91"/>
        </w:rPr>
      </w:r>
      <w:r>
        <w:rPr/>
        <w:t>关的法律费用、相关税费、搬运费以及为使资产达到可销售状态所发生的直接费用。资产预</w:t>
      </w:r>
      <w:r>
        <w:rPr>
          <w:spacing w:val="-91"/>
        </w:rPr>
        <w:t> </w:t>
      </w:r>
      <w:r>
        <w:rPr>
          <w:spacing w:val="-91"/>
        </w:rPr>
      </w:r>
      <w:r>
        <w:rPr/>
        <w:t>计未来现金流量的现值，按照资产在持续使用过程中和最终处置时所产生的预计未来现金流</w:t>
      </w:r>
      <w:r>
        <w:rPr>
          <w:spacing w:val="-91"/>
        </w:rPr>
        <w:t> </w:t>
      </w:r>
      <w:r>
        <w:rPr>
          <w:spacing w:val="-91"/>
        </w:rPr>
      </w:r>
      <w:r>
        <w:rPr/>
        <w:t>量，选择恰当的折现率对其进行折现后的金额加以确定。资产减值准备按单项资产为基础计</w:t>
      </w:r>
      <w:r>
        <w:rPr>
          <w:spacing w:val="-91"/>
        </w:rPr>
        <w:t> </w:t>
      </w:r>
      <w:r>
        <w:rPr>
          <w:spacing w:val="-91"/>
        </w:rPr>
      </w:r>
      <w:r>
        <w:rPr/>
        <w:t>算并确认，如果难以对单项资产的可收回金额进行估计的，以该资产所属的资产组确定资产</w:t>
      </w:r>
    </w:p>
    <w:p>
      <w:pPr>
        <w:spacing w:after="0" w:line="357" w:lineRule="auto"/>
        <w:jc w:val="both"/>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left="633" w:right="982" w:hanging="481"/>
        <w:jc w:val="left"/>
      </w:pPr>
      <w:r>
        <w:rPr/>
        <w:t>组的可收回金额。资产组是能够独立产生现金流入的最小资产组合。 就商誉的减值测试而言，对于因企业合并形成的商誉的账面价值，自购买日起按照合理</w:t>
      </w:r>
    </w:p>
    <w:p>
      <w:pPr>
        <w:pStyle w:val="BodyText"/>
        <w:spacing w:line="357" w:lineRule="auto"/>
        <w:ind w:right="996"/>
        <w:jc w:val="left"/>
      </w:pPr>
      <w:r>
        <w:rPr/>
        <w:t>的方法分摊至相关的资产组；难以分摊至相关的资产组的，将其分摊至相关的资产组组合。</w:t>
      </w:r>
      <w:r>
        <w:rPr>
          <w:spacing w:val="-91"/>
        </w:rPr>
        <w:t> </w:t>
      </w:r>
      <w:r>
        <w:rPr>
          <w:spacing w:val="-91"/>
        </w:rPr>
      </w:r>
      <w:r>
        <w:rPr>
          <w:spacing w:val="-2"/>
        </w:rPr>
        <w:t>相关的资产组或资产组组合，是能够从企业合并的协同效应中受益的资产组或者资产组组合，</w:t>
      </w:r>
      <w:r>
        <w:rPr/>
        <w:t> 且不大于本公司确定的报告分部。</w:t>
      </w:r>
    </w:p>
    <w:p>
      <w:pPr>
        <w:pStyle w:val="BodyText"/>
        <w:spacing w:line="357" w:lineRule="auto"/>
        <w:ind w:right="1133" w:firstLine="480"/>
        <w:jc w:val="both"/>
      </w:pPr>
      <w:r>
        <w:rPr/>
        <w:t>对包含商誉的相关资产组或者资产组组合进行减值测试时，如与商誉相关的资产组或者 资产组组合存在减值迹象的，首先对不包含商誉的资产组或者资产组组合进行减值测试，计</w:t>
      </w:r>
      <w:r>
        <w:rPr>
          <w:spacing w:val="-86"/>
        </w:rPr>
        <w:t> </w:t>
      </w:r>
      <w:r>
        <w:rPr>
          <w:spacing w:val="-86"/>
        </w:rPr>
      </w:r>
      <w:r>
        <w:rPr/>
        <w:t>算可收回金额，确认相应的减值损失。然后对包含商誉的资产组或者资产组组合进行减值测</w:t>
      </w:r>
      <w:r>
        <w:rPr>
          <w:spacing w:val="-91"/>
        </w:rPr>
        <w:t> </w:t>
      </w:r>
      <w:r>
        <w:rPr>
          <w:spacing w:val="-91"/>
        </w:rPr>
      </w:r>
      <w:r>
        <w:rPr/>
        <w:t>试，比较其账面价值与可收回金额，如可收回金额低于账面价值的，减值损失金额首先抵减</w:t>
      </w:r>
      <w:r>
        <w:rPr>
          <w:spacing w:val="-91"/>
        </w:rPr>
        <w:t> </w:t>
      </w:r>
      <w:r>
        <w:rPr>
          <w:spacing w:val="-91"/>
        </w:rPr>
      </w:r>
      <w:r>
        <w:rPr/>
        <w:t>分摊至资产组或资产组组合中商誉的账面价值，再根据资产组或资产组组合中除商誉之外的</w:t>
      </w:r>
      <w:r>
        <w:rPr>
          <w:spacing w:val="-91"/>
        </w:rPr>
        <w:t> </w:t>
      </w:r>
      <w:r>
        <w:rPr>
          <w:spacing w:val="-91"/>
        </w:rPr>
      </w:r>
      <w:r>
        <w:rPr/>
        <w:t>其他各项资产的账面价值所占比重，按比例抵减其他各项资产的账面价值，但抵减后的各资</w:t>
      </w:r>
      <w:r>
        <w:rPr>
          <w:spacing w:val="-91"/>
        </w:rPr>
        <w:t> </w:t>
      </w:r>
      <w:r>
        <w:rPr>
          <w:spacing w:val="-91"/>
        </w:rPr>
      </w:r>
      <w:r>
        <w:rPr/>
        <w:t>产的账面价值不得低于该资产的公允价值减去处置费用后的净额和该资产预计未来现金流量</w:t>
      </w:r>
      <w:r>
        <w:rPr>
          <w:spacing w:val="-91"/>
        </w:rPr>
        <w:t> </w:t>
      </w:r>
      <w:r>
        <w:rPr>
          <w:spacing w:val="-91"/>
        </w:rPr>
      </w:r>
      <w:r>
        <w:rPr/>
        <w:t>的现值两者之间较高者，同时也不低于零。</w:t>
      </w:r>
    </w:p>
    <w:p>
      <w:pPr>
        <w:spacing w:line="240" w:lineRule="auto" w:before="0"/>
        <w:rPr>
          <w:rFonts w:ascii="宋体" w:hAnsi="宋体" w:cs="宋体" w:eastAsia="宋体" w:hint="default"/>
          <w:sz w:val="24"/>
          <w:szCs w:val="24"/>
        </w:rPr>
      </w:pPr>
    </w:p>
    <w:p>
      <w:pPr>
        <w:pStyle w:val="BodyText"/>
        <w:spacing w:line="240" w:lineRule="auto" w:before="190"/>
        <w:ind w:left="633" w:right="982"/>
        <w:jc w:val="left"/>
      </w:pPr>
      <w:r>
        <w:rPr/>
        <w:t>上述资产减值损失一经确认，以后期间不予转回价值得以恢复的部分。</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30"/>
          <w:szCs w:val="30"/>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21</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6"/>
        <w:rPr>
          <w:rFonts w:ascii="宋体" w:hAnsi="宋体" w:cs="宋体" w:eastAsia="宋体" w:hint="default"/>
          <w:b/>
          <w:bCs/>
          <w:sz w:val="28"/>
          <w:szCs w:val="28"/>
        </w:rPr>
      </w:pPr>
    </w:p>
    <w:p>
      <w:pPr>
        <w:pStyle w:val="BodyText"/>
        <w:spacing w:line="357" w:lineRule="auto" w:before="0"/>
        <w:ind w:right="1131" w:firstLine="480"/>
        <w:jc w:val="both"/>
      </w:pPr>
      <w:r>
        <w:rPr>
          <w:spacing w:val="3"/>
        </w:rPr>
        <w:t>长期待摊费用是公司已经发生但应由本期和以后各期负担的分摊期限在</w:t>
      </w:r>
      <w:r>
        <w:rPr>
          <w:rFonts w:ascii="宋体" w:hAnsi="宋体" w:cs="宋体" w:eastAsia="宋体" w:hint="default"/>
          <w:spacing w:val="3"/>
        </w:rPr>
        <w:t>1</w:t>
      </w:r>
      <w:r>
        <w:rPr>
          <w:spacing w:val="3"/>
        </w:rPr>
        <w:t>年以上</w:t>
      </w:r>
      <w:r>
        <w:rPr>
          <w:rFonts w:ascii="宋体" w:hAnsi="宋体" w:cs="宋体" w:eastAsia="宋体" w:hint="default"/>
          <w:spacing w:val="3"/>
        </w:rPr>
        <w:t>(</w:t>
      </w:r>
      <w:r>
        <w:rPr>
          <w:spacing w:val="3"/>
        </w:rPr>
        <w:t>不含</w:t>
      </w:r>
      <w:r>
        <w:rPr>
          <w:rFonts w:ascii="宋体" w:hAnsi="宋体" w:cs="宋体" w:eastAsia="宋体" w:hint="default"/>
          <w:spacing w:val="3"/>
        </w:rPr>
        <w:t>1</w:t>
      </w:r>
      <w:r>
        <w:rPr>
          <w:rFonts w:ascii="宋体" w:hAnsi="宋体" w:cs="宋体" w:eastAsia="宋体" w:hint="default"/>
        </w:rPr>
        <w:t> </w:t>
      </w:r>
      <w:r>
        <w:rPr>
          <w:spacing w:val="-2"/>
        </w:rPr>
        <w:t>年</w:t>
      </w:r>
      <w:r>
        <w:rPr>
          <w:rFonts w:ascii="宋体" w:hAnsi="宋体" w:cs="宋体" w:eastAsia="宋体" w:hint="default"/>
          <w:spacing w:val="-2"/>
        </w:rPr>
        <w:t>)</w:t>
      </w:r>
      <w:r>
        <w:rPr>
          <w:spacing w:val="-2"/>
        </w:rPr>
        <w:t>的各项费用。长期待摊费用在受益期内平均摊销，如果长期待摊费用项目不能使以后会计</w:t>
      </w:r>
      <w:r>
        <w:rPr/>
        <w:t> 期间受益的，则将其尚未摊销的摊余价值全部转入当期损益</w:t>
      </w:r>
    </w:p>
    <w:p>
      <w:pPr>
        <w:spacing w:line="240" w:lineRule="auto" w:before="11"/>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22</w:t>
      </w:r>
      <w:r>
        <w:rPr>
          <w:rFonts w:ascii="宋体" w:hAnsi="宋体" w:cs="宋体" w:eastAsia="宋体" w:hint="default"/>
          <w:b/>
          <w:bCs/>
          <w:sz w:val="21"/>
          <w:szCs w:val="21"/>
        </w:rPr>
        <w:t>、职工薪酬</w:t>
      </w:r>
      <w:r>
        <w:rPr>
          <w:rFonts w:ascii="宋体" w:hAnsi="宋体" w:cs="宋体" w:eastAsia="宋体" w:hint="default"/>
          <w:sz w:val="21"/>
          <w:szCs w:val="21"/>
        </w:rPr>
      </w:r>
    </w:p>
    <w:p>
      <w:pPr>
        <w:spacing w:line="240" w:lineRule="auto" w:before="8"/>
        <w:rPr>
          <w:rFonts w:ascii="宋体" w:hAnsi="宋体" w:cs="宋体" w:eastAsia="宋体" w:hint="default"/>
          <w:b/>
          <w:bCs/>
          <w:sz w:val="30"/>
          <w:szCs w:val="30"/>
        </w:rPr>
      </w:pPr>
    </w:p>
    <w:p>
      <w:pPr>
        <w:spacing w:line="408" w:lineRule="auto"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职工薪酬的范围</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2"/>
          <w:sz w:val="21"/>
          <w:szCs w:val="21"/>
        </w:rPr>
        <w:t>职工薪酬，是指公司为获得职工提供的服务或解除劳动关系而给予的各种形式的报酬或补偿。职工薪</w:t>
      </w:r>
    </w:p>
    <w:p>
      <w:pPr>
        <w:spacing w:line="408" w:lineRule="auto" w:before="46"/>
        <w:ind w:left="152" w:right="982" w:firstLine="0"/>
        <w:jc w:val="left"/>
        <w:rPr>
          <w:rFonts w:ascii="宋体" w:hAnsi="宋体" w:cs="宋体" w:eastAsia="宋体" w:hint="default"/>
          <w:sz w:val="21"/>
          <w:szCs w:val="21"/>
        </w:rPr>
      </w:pPr>
      <w:r>
        <w:rPr>
          <w:rFonts w:ascii="宋体" w:hAnsi="宋体" w:cs="宋体" w:eastAsia="宋体" w:hint="default"/>
          <w:spacing w:val="-2"/>
          <w:sz w:val="21"/>
          <w:szCs w:val="21"/>
        </w:rPr>
        <w:t>酬包括短期薪酬、离职后福利、辞退福利和其他长期职工福利。公司提供给职工配偶、子女、受赡养人、</w:t>
      </w:r>
      <w:r>
        <w:rPr>
          <w:rFonts w:ascii="宋体" w:hAnsi="宋体" w:cs="宋体" w:eastAsia="宋体" w:hint="default"/>
          <w:spacing w:val="-21"/>
          <w:sz w:val="21"/>
          <w:szCs w:val="21"/>
        </w:rPr>
        <w:t> </w:t>
      </w:r>
      <w:r>
        <w:rPr>
          <w:rFonts w:ascii="宋体" w:hAnsi="宋体" w:cs="宋体" w:eastAsia="宋体" w:hint="default"/>
          <w:spacing w:val="-21"/>
          <w:sz w:val="21"/>
          <w:szCs w:val="21"/>
        </w:rPr>
      </w:r>
      <w:r>
        <w:rPr>
          <w:rFonts w:ascii="宋体" w:hAnsi="宋体" w:cs="宋体" w:eastAsia="宋体" w:hint="default"/>
          <w:sz w:val="21"/>
          <w:szCs w:val="21"/>
        </w:rPr>
        <w:t>已故员工遗属及其他受益人等的福利，也属于职工薪酬。</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152" w:right="1137" w:firstLine="420"/>
        <w:jc w:val="both"/>
        <w:rPr>
          <w:rFonts w:ascii="宋体" w:hAnsi="宋体" w:cs="宋体" w:eastAsia="宋体" w:hint="default"/>
          <w:sz w:val="21"/>
          <w:szCs w:val="21"/>
        </w:rPr>
      </w:pPr>
      <w:r>
        <w:rPr>
          <w:rFonts w:ascii="宋体" w:hAnsi="宋体" w:cs="宋体" w:eastAsia="宋体" w:hint="default"/>
          <w:spacing w:val="2"/>
          <w:sz w:val="21"/>
          <w:szCs w:val="21"/>
        </w:rPr>
        <w:t>2.</w:t>
      </w:r>
      <w:r>
        <w:rPr>
          <w:rFonts w:ascii="宋体" w:hAnsi="宋体" w:cs="宋体" w:eastAsia="宋体" w:hint="default"/>
          <w:spacing w:val="2"/>
          <w:sz w:val="21"/>
          <w:szCs w:val="21"/>
        </w:rPr>
        <w:t>短期薪酬是指公司在职工提供相关服务的年度报告期间结束后十二个月内需要全部予以支付的职</w:t>
      </w:r>
      <w:r>
        <w:rPr>
          <w:rFonts w:ascii="宋体" w:hAnsi="宋体" w:cs="宋体" w:eastAsia="宋体" w:hint="default"/>
          <w:w w:val="100"/>
          <w:sz w:val="21"/>
          <w:szCs w:val="21"/>
        </w:rPr>
        <w:t> </w:t>
      </w:r>
      <w:r>
        <w:rPr>
          <w:rFonts w:ascii="宋体" w:hAnsi="宋体" w:cs="宋体" w:eastAsia="宋体" w:hint="default"/>
          <w:sz w:val="21"/>
          <w:szCs w:val="21"/>
        </w:rPr>
        <w:t>工薪酬。</w:t>
      </w:r>
    </w:p>
    <w:p>
      <w:pPr>
        <w:spacing w:after="0" w:line="408" w:lineRule="auto"/>
        <w:jc w:val="both"/>
        <w:rPr>
          <w:rFonts w:ascii="宋体" w:hAnsi="宋体" w:cs="宋体" w:eastAsia="宋体" w:hint="default"/>
          <w:sz w:val="21"/>
          <w:szCs w:val="21"/>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408" w:lineRule="auto" w:before="176"/>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短期薪酬包括职工工资、奖金、津贴和补贴，职工福利费、医疗保险费、工伤保险费和生育保险费等</w:t>
      </w:r>
      <w:r>
        <w:rPr>
          <w:rFonts w:ascii="宋体" w:hAnsi="宋体" w:cs="宋体" w:eastAsia="宋体" w:hint="default"/>
          <w:w w:val="100"/>
          <w:sz w:val="21"/>
          <w:szCs w:val="21"/>
        </w:rPr>
        <w:t> </w:t>
      </w:r>
      <w:r>
        <w:rPr>
          <w:rFonts w:ascii="宋体" w:hAnsi="宋体" w:cs="宋体" w:eastAsia="宋体" w:hint="default"/>
          <w:spacing w:val="-2"/>
          <w:sz w:val="21"/>
          <w:szCs w:val="21"/>
        </w:rPr>
        <w:t>社会保险费，住房公积金、工会经费和职工教育经费，短期带薪缺勤、短期利润分享计划，非货币性福利</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以及其他短期薪酬。</w:t>
      </w:r>
    </w:p>
    <w:p>
      <w:pPr>
        <w:spacing w:line="408" w:lineRule="auto" w:before="46"/>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短期薪酬在职工为公司提供服务的会计期间，将实际发生的短期薪酬确认为负债，并计入当期损益或</w:t>
      </w:r>
      <w:r>
        <w:rPr>
          <w:rFonts w:ascii="宋体" w:hAnsi="宋体" w:cs="宋体" w:eastAsia="宋体" w:hint="default"/>
          <w:w w:val="100"/>
          <w:sz w:val="21"/>
          <w:szCs w:val="21"/>
        </w:rPr>
        <w:t> </w:t>
      </w:r>
      <w:r>
        <w:rPr>
          <w:rFonts w:ascii="宋体" w:hAnsi="宋体" w:cs="宋体" w:eastAsia="宋体" w:hint="default"/>
          <w:sz w:val="21"/>
          <w:szCs w:val="21"/>
        </w:rPr>
        <w:t>相关资产成本。</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10" w:lineRule="auto" w:before="0"/>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3.</w:t>
      </w:r>
      <w:r>
        <w:rPr>
          <w:rFonts w:ascii="宋体" w:hAnsi="宋体" w:cs="宋体" w:eastAsia="宋体" w:hint="default"/>
          <w:spacing w:val="-2"/>
          <w:sz w:val="21"/>
          <w:szCs w:val="21"/>
        </w:rPr>
        <w:t>离职后福利是指公司为获得员工提供的服务而在职工退休或与公司解除劳动关系后，提供的各种形</w:t>
      </w:r>
      <w:r>
        <w:rPr>
          <w:rFonts w:ascii="宋体" w:hAnsi="宋体" w:cs="宋体" w:eastAsia="宋体" w:hint="default"/>
          <w:w w:val="100"/>
          <w:sz w:val="21"/>
          <w:szCs w:val="21"/>
        </w:rPr>
        <w:t> </w:t>
      </w:r>
      <w:r>
        <w:rPr>
          <w:rFonts w:ascii="宋体" w:hAnsi="宋体" w:cs="宋体" w:eastAsia="宋体" w:hint="default"/>
          <w:sz w:val="21"/>
          <w:szCs w:val="21"/>
        </w:rPr>
        <w:t>式的报酬和福利，短期薪酬和辞退福利除外。</w:t>
      </w:r>
    </w:p>
    <w:p>
      <w:pPr>
        <w:spacing w:line="408" w:lineRule="auto" w:before="44"/>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离职后福利计划包括设定提存计划和设定受益计划。其中，设定提存计划，是指向独立的基金缴存固</w:t>
      </w:r>
      <w:r>
        <w:rPr>
          <w:rFonts w:ascii="宋体" w:hAnsi="宋体" w:cs="宋体" w:eastAsia="宋体" w:hint="default"/>
          <w:w w:val="100"/>
          <w:sz w:val="21"/>
          <w:szCs w:val="21"/>
        </w:rPr>
        <w:t> </w:t>
      </w:r>
      <w:r>
        <w:rPr>
          <w:rFonts w:ascii="宋体" w:hAnsi="宋体" w:cs="宋体" w:eastAsia="宋体" w:hint="default"/>
          <w:spacing w:val="-2"/>
          <w:sz w:val="21"/>
          <w:szCs w:val="21"/>
        </w:rPr>
        <w:t>定费用后，公司不再承担进一步支付义务的离职后福利计划；设定受益计划，是指除设定提存计划以外的</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z w:val="21"/>
          <w:szCs w:val="21"/>
        </w:rPr>
        <w:t>离职后福利计划。</w:t>
      </w:r>
    </w:p>
    <w:p>
      <w:pPr>
        <w:spacing w:line="408" w:lineRule="auto" w:before="46"/>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设定提存计划包括基本养老保险、失业保险等。在职工提供服务的会计期间，根据设定提存计划计算</w:t>
      </w:r>
      <w:r>
        <w:rPr>
          <w:rFonts w:ascii="宋体" w:hAnsi="宋体" w:cs="宋体" w:eastAsia="宋体" w:hint="default"/>
          <w:w w:val="100"/>
          <w:sz w:val="21"/>
          <w:szCs w:val="21"/>
        </w:rPr>
        <w:t> </w:t>
      </w:r>
      <w:r>
        <w:rPr>
          <w:rFonts w:ascii="宋体" w:hAnsi="宋体" w:cs="宋体" w:eastAsia="宋体" w:hint="default"/>
          <w:sz w:val="21"/>
          <w:szCs w:val="21"/>
        </w:rPr>
        <w:t>的应缴存金额确认为负债，并计入当期损益或相关资产成本。</w:t>
      </w:r>
    </w:p>
    <w:p>
      <w:pPr>
        <w:spacing w:line="408" w:lineRule="auto" w:before="46"/>
        <w:ind w:left="573" w:right="982" w:firstLine="0"/>
        <w:jc w:val="left"/>
        <w:rPr>
          <w:rFonts w:ascii="宋体" w:hAnsi="宋体" w:cs="宋体" w:eastAsia="宋体" w:hint="default"/>
          <w:sz w:val="21"/>
          <w:szCs w:val="21"/>
        </w:rPr>
      </w:pPr>
      <w:r>
        <w:rPr>
          <w:rFonts w:ascii="宋体" w:hAnsi="宋体" w:cs="宋体" w:eastAsia="宋体" w:hint="default"/>
          <w:spacing w:val="-2"/>
          <w:sz w:val="21"/>
          <w:szCs w:val="21"/>
        </w:rPr>
        <w:t>于报告期末，将设定受益计划产生的职工薪酬成本确认为下列组成部分：</w:t>
      </w:r>
      <w:r>
        <w:rPr>
          <w:rFonts w:ascii="宋体" w:hAnsi="宋体" w:cs="宋体" w:eastAsia="宋体" w:hint="default"/>
          <w:spacing w:val="-46"/>
          <w:sz w:val="21"/>
          <w:szCs w:val="21"/>
        </w:rPr>
        <w:t> </w:t>
      </w:r>
      <w:r>
        <w:rPr>
          <w:rFonts w:ascii="宋体" w:hAnsi="宋体" w:cs="宋体" w:eastAsia="宋体" w:hint="default"/>
          <w:spacing w:val="-46"/>
          <w:sz w:val="21"/>
          <w:szCs w:val="21"/>
        </w:rPr>
      </w:r>
      <w:r>
        <w:rPr>
          <w:rFonts w:ascii="宋体" w:hAnsi="宋体" w:cs="宋体" w:eastAsia="宋体" w:hint="default"/>
          <w:sz w:val="21"/>
          <w:szCs w:val="21"/>
        </w:rPr>
        <w:t>4.</w:t>
      </w:r>
      <w:r>
        <w:rPr>
          <w:rFonts w:ascii="宋体" w:hAnsi="宋体" w:cs="宋体" w:eastAsia="宋体" w:hint="default"/>
          <w:sz w:val="21"/>
          <w:szCs w:val="21"/>
        </w:rPr>
        <w:t>服务成本，包括当期服务成本、过去服务成本和结算利得或损失。</w:t>
      </w:r>
    </w:p>
    <w:p>
      <w:pPr>
        <w:spacing w:line="408" w:lineRule="auto" w:before="46"/>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5.</w:t>
      </w:r>
      <w:r>
        <w:rPr>
          <w:rFonts w:ascii="宋体" w:hAnsi="宋体" w:cs="宋体" w:eastAsia="宋体" w:hint="default"/>
          <w:spacing w:val="-2"/>
          <w:sz w:val="21"/>
          <w:szCs w:val="21"/>
        </w:rPr>
        <w:t>设定受益计划净负债或净资产的利息净额，包括计划资产的利息收益、设定受益计划义务的利息费</w:t>
      </w:r>
      <w:r>
        <w:rPr>
          <w:rFonts w:ascii="宋体" w:hAnsi="宋体" w:cs="宋体" w:eastAsia="宋体" w:hint="default"/>
          <w:w w:val="100"/>
          <w:sz w:val="21"/>
          <w:szCs w:val="21"/>
        </w:rPr>
        <w:t> </w:t>
      </w:r>
      <w:r>
        <w:rPr>
          <w:rFonts w:ascii="宋体" w:hAnsi="宋体" w:cs="宋体" w:eastAsia="宋体" w:hint="default"/>
          <w:sz w:val="21"/>
          <w:szCs w:val="21"/>
        </w:rPr>
        <w:t>用以及资产上限影响的利息。</w:t>
      </w:r>
    </w:p>
    <w:p>
      <w:pPr>
        <w:spacing w:line="408" w:lineRule="auto" w:before="46"/>
        <w:ind w:left="573" w:right="982" w:firstLine="0"/>
        <w:jc w:val="left"/>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z w:val="21"/>
          <w:szCs w:val="21"/>
        </w:rPr>
        <w:t>重新计量设定受益计划净负债或净资产所产生的变动。</w:t>
      </w:r>
      <w:r>
        <w:rPr>
          <w:rFonts w:ascii="宋体" w:hAnsi="宋体" w:cs="宋体" w:eastAsia="宋体" w:hint="default"/>
          <w:w w:val="100"/>
          <w:sz w:val="21"/>
          <w:szCs w:val="21"/>
        </w:rPr>
        <w:t> </w:t>
      </w:r>
      <w:r>
        <w:rPr>
          <w:rFonts w:ascii="宋体" w:hAnsi="宋体" w:cs="宋体" w:eastAsia="宋体" w:hint="default"/>
          <w:spacing w:val="-2"/>
          <w:sz w:val="21"/>
          <w:szCs w:val="21"/>
        </w:rPr>
        <w:t>除非其他会计准则要求或允许职工福利成本计入资产成本，上述第①项和第②项应计入当期损益；第</w:t>
      </w:r>
    </w:p>
    <w:p>
      <w:pPr>
        <w:spacing w:line="408" w:lineRule="auto" w:before="46"/>
        <w:ind w:left="152" w:right="982" w:firstLine="0"/>
        <w:jc w:val="left"/>
        <w:rPr>
          <w:rFonts w:ascii="宋体" w:hAnsi="宋体" w:cs="宋体" w:eastAsia="宋体" w:hint="default"/>
          <w:sz w:val="21"/>
          <w:szCs w:val="21"/>
        </w:rPr>
      </w:pPr>
      <w:r>
        <w:rPr>
          <w:rFonts w:ascii="宋体" w:hAnsi="宋体" w:cs="宋体" w:eastAsia="宋体" w:hint="default"/>
          <w:spacing w:val="-2"/>
          <w:sz w:val="21"/>
          <w:szCs w:val="21"/>
        </w:rPr>
        <w:t>③项应计入其他综合收益，并且在后续会计期间不允许转回至损益，但可以在权益范围内转移这些在其他</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综合收益中确认的金额。</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573" w:right="2352" w:firstLine="0"/>
        <w:jc w:val="left"/>
        <w:rPr>
          <w:rFonts w:ascii="宋体" w:hAnsi="宋体" w:cs="宋体" w:eastAsia="宋体" w:hint="default"/>
          <w:sz w:val="21"/>
          <w:szCs w:val="21"/>
        </w:rPr>
      </w:pPr>
      <w:r>
        <w:rPr>
          <w:rFonts w:ascii="宋体" w:hAnsi="宋体" w:cs="宋体" w:eastAsia="宋体" w:hint="default"/>
          <w:spacing w:val="-2"/>
          <w:sz w:val="21"/>
          <w:szCs w:val="21"/>
        </w:rPr>
        <w:t>在设定受益计划下，在下列日期孰早日将过去服务成本确认为当期费用：</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z w:val="21"/>
          <w:szCs w:val="21"/>
        </w:rPr>
        <w:t>7.</w:t>
      </w:r>
      <w:r>
        <w:rPr>
          <w:rFonts w:ascii="宋体" w:hAnsi="宋体" w:cs="宋体" w:eastAsia="宋体" w:hint="default"/>
          <w:sz w:val="21"/>
          <w:szCs w:val="21"/>
        </w:rPr>
        <w:t>修改设定受益计划时。</w:t>
      </w:r>
    </w:p>
    <w:p>
      <w:pPr>
        <w:spacing w:line="408" w:lineRule="auto" w:before="46"/>
        <w:ind w:left="573" w:right="2352" w:firstLine="0"/>
        <w:jc w:val="left"/>
        <w:rPr>
          <w:rFonts w:ascii="宋体" w:hAnsi="宋体" w:cs="宋体" w:eastAsia="宋体" w:hint="default"/>
          <w:sz w:val="21"/>
          <w:szCs w:val="21"/>
        </w:rPr>
      </w:pPr>
      <w:r>
        <w:rPr>
          <w:rFonts w:ascii="宋体" w:hAnsi="宋体" w:cs="宋体" w:eastAsia="宋体" w:hint="default"/>
          <w:sz w:val="21"/>
          <w:szCs w:val="21"/>
        </w:rPr>
        <w:t>8.</w:t>
      </w:r>
      <w:r>
        <w:rPr>
          <w:rFonts w:ascii="宋体" w:hAnsi="宋体" w:cs="宋体" w:eastAsia="宋体" w:hint="default"/>
          <w:sz w:val="21"/>
          <w:szCs w:val="21"/>
        </w:rPr>
        <w:t>企业确认相关重组费用或辞退福利时。</w:t>
      </w:r>
      <w:r>
        <w:rPr>
          <w:rFonts w:ascii="宋体" w:hAnsi="宋体" w:cs="宋体" w:eastAsia="宋体" w:hint="default"/>
          <w:w w:val="100"/>
          <w:sz w:val="21"/>
          <w:szCs w:val="21"/>
        </w:rPr>
        <w:t> </w:t>
      </w:r>
      <w:r>
        <w:rPr>
          <w:rFonts w:ascii="宋体" w:hAnsi="宋体" w:cs="宋体" w:eastAsia="宋体" w:hint="default"/>
          <w:spacing w:val="-2"/>
          <w:sz w:val="21"/>
          <w:szCs w:val="21"/>
        </w:rPr>
        <w:t>在设定受益计划结算时，确认一项结算利得或损失。</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9.</w:t>
      </w:r>
      <w:r>
        <w:rPr>
          <w:rFonts w:ascii="宋体" w:hAnsi="宋体" w:cs="宋体" w:eastAsia="宋体" w:hint="default"/>
          <w:sz w:val="21"/>
          <w:szCs w:val="21"/>
        </w:rPr>
        <w:t>辞退福利</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2"/>
          <w:sz w:val="21"/>
          <w:szCs w:val="21"/>
        </w:rPr>
        <w:t>是指公司在职工劳动合同到期之前解除与职工的劳动关系，或者为鼓励职工自愿接受裁减而给予职工</w:t>
      </w:r>
    </w:p>
    <w:p>
      <w:pPr>
        <w:spacing w:before="46"/>
        <w:ind w:left="152" w:right="982" w:firstLine="0"/>
        <w:jc w:val="left"/>
        <w:rPr>
          <w:rFonts w:ascii="宋体" w:hAnsi="宋体" w:cs="宋体" w:eastAsia="宋体" w:hint="default"/>
          <w:sz w:val="21"/>
          <w:szCs w:val="21"/>
        </w:rPr>
      </w:pPr>
      <w:r>
        <w:rPr>
          <w:rFonts w:ascii="宋体" w:hAnsi="宋体" w:cs="宋体" w:eastAsia="宋体" w:hint="default"/>
          <w:sz w:val="21"/>
          <w:szCs w:val="21"/>
        </w:rPr>
        <w:t>的补偿。</w:t>
      </w:r>
    </w:p>
    <w:p>
      <w:pPr>
        <w:spacing w:after="0"/>
        <w:jc w:val="left"/>
        <w:rPr>
          <w:rFonts w:ascii="宋体" w:hAnsi="宋体" w:cs="宋体" w:eastAsia="宋体" w:hint="default"/>
          <w:sz w:val="21"/>
          <w:szCs w:val="21"/>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408" w:lineRule="auto" w:before="176"/>
        <w:ind w:left="152" w:right="982" w:firstLine="420"/>
        <w:jc w:val="left"/>
        <w:rPr>
          <w:rFonts w:ascii="宋体" w:hAnsi="宋体" w:cs="宋体" w:eastAsia="宋体" w:hint="default"/>
          <w:sz w:val="21"/>
          <w:szCs w:val="21"/>
        </w:rPr>
      </w:pPr>
      <w:r>
        <w:rPr>
          <w:rFonts w:ascii="宋体" w:hAnsi="宋体" w:cs="宋体" w:eastAsia="宋体" w:hint="default"/>
          <w:spacing w:val="-5"/>
          <w:sz w:val="21"/>
          <w:szCs w:val="21"/>
        </w:rPr>
        <w:t>公司向职工提供辞退福利的，在下列两者孰早日确认辞退福利产生的职工薪酬负债，并计入当期损益：</w:t>
      </w:r>
      <w:r>
        <w:rPr>
          <w:rFonts w:ascii="宋体" w:hAnsi="宋体" w:cs="宋体" w:eastAsia="宋体" w:hint="default"/>
          <w:w w:val="100"/>
          <w:sz w:val="21"/>
          <w:szCs w:val="21"/>
        </w:rPr>
        <w:t> </w:t>
      </w:r>
      <w:r>
        <w:rPr>
          <w:rFonts w:ascii="宋体" w:hAnsi="宋体" w:cs="宋体" w:eastAsia="宋体" w:hint="default"/>
          <w:sz w:val="21"/>
          <w:szCs w:val="21"/>
        </w:rPr>
        <w:t>公司不能单方面撤回因解除劳动关系计划或裁减建议所提供的辞退福利时；公司确认与涉及支付辞退福利</w:t>
      </w:r>
      <w:r>
        <w:rPr>
          <w:rFonts w:ascii="宋体" w:hAnsi="宋体" w:cs="宋体" w:eastAsia="宋体" w:hint="default"/>
          <w:w w:val="100"/>
          <w:sz w:val="21"/>
          <w:szCs w:val="21"/>
        </w:rPr>
        <w:t> </w:t>
      </w:r>
      <w:r>
        <w:rPr>
          <w:rFonts w:ascii="宋体" w:hAnsi="宋体" w:cs="宋体" w:eastAsia="宋体" w:hint="default"/>
          <w:sz w:val="21"/>
          <w:szCs w:val="21"/>
        </w:rPr>
        <w:t>的重组相关的成本或费用时。</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z w:val="21"/>
          <w:szCs w:val="21"/>
        </w:rPr>
        <w:t>其他长期职工福利</w:t>
      </w:r>
      <w:r>
        <w:rPr>
          <w:rFonts w:ascii="宋体" w:hAnsi="宋体" w:cs="宋体" w:eastAsia="宋体" w:hint="default"/>
          <w:w w:val="100"/>
          <w:sz w:val="21"/>
          <w:szCs w:val="21"/>
        </w:rPr>
        <w:t> </w:t>
      </w:r>
      <w:r>
        <w:rPr>
          <w:rFonts w:ascii="宋体" w:hAnsi="宋体" w:cs="宋体" w:eastAsia="宋体" w:hint="default"/>
          <w:spacing w:val="-2"/>
          <w:sz w:val="21"/>
          <w:szCs w:val="21"/>
        </w:rPr>
        <w:t>是指除短期薪酬、离职后福利、辞退福利之外所有的职工薪酬，包括长期带薪缺勤、长期残疾福利、</w:t>
      </w:r>
    </w:p>
    <w:p>
      <w:pPr>
        <w:spacing w:line="410" w:lineRule="auto" w:before="46"/>
        <w:ind w:left="573" w:right="982" w:hanging="421"/>
        <w:jc w:val="left"/>
        <w:rPr>
          <w:rFonts w:ascii="宋体" w:hAnsi="宋体" w:cs="宋体" w:eastAsia="宋体" w:hint="default"/>
          <w:sz w:val="21"/>
          <w:szCs w:val="21"/>
        </w:rPr>
      </w:pPr>
      <w:r>
        <w:rPr>
          <w:rFonts w:ascii="宋体" w:hAnsi="宋体" w:cs="宋体" w:eastAsia="宋体" w:hint="default"/>
          <w:sz w:val="21"/>
          <w:szCs w:val="21"/>
        </w:rPr>
        <w:t>长期利润分享计划等。</w:t>
      </w:r>
      <w:r>
        <w:rPr>
          <w:rFonts w:ascii="宋体" w:hAnsi="宋体" w:cs="宋体" w:eastAsia="宋体" w:hint="default"/>
          <w:w w:val="100"/>
          <w:sz w:val="21"/>
          <w:szCs w:val="21"/>
        </w:rPr>
        <w:t> </w:t>
      </w:r>
      <w:r>
        <w:rPr>
          <w:rFonts w:ascii="宋体" w:hAnsi="宋体" w:cs="宋体" w:eastAsia="宋体" w:hint="default"/>
          <w:spacing w:val="-2"/>
          <w:sz w:val="21"/>
          <w:szCs w:val="21"/>
        </w:rPr>
        <w:t>企业向职工提供的其他长期职工福利，符合设定提存计划条件的，适用于上述设定提存计划的有关规</w:t>
      </w:r>
    </w:p>
    <w:p>
      <w:pPr>
        <w:spacing w:before="44"/>
        <w:ind w:left="152" w:right="982" w:firstLine="0"/>
        <w:jc w:val="left"/>
        <w:rPr>
          <w:rFonts w:ascii="宋体" w:hAnsi="宋体" w:cs="宋体" w:eastAsia="宋体" w:hint="default"/>
          <w:sz w:val="21"/>
          <w:szCs w:val="21"/>
        </w:rPr>
      </w:pPr>
      <w:r>
        <w:rPr>
          <w:rFonts w:ascii="宋体" w:hAnsi="宋体" w:cs="宋体" w:eastAsia="宋体" w:hint="default"/>
          <w:sz w:val="21"/>
          <w:szCs w:val="21"/>
        </w:rPr>
        <w:t>定进行处理。</w:t>
      </w:r>
    </w:p>
    <w:p>
      <w:pPr>
        <w:spacing w:line="240" w:lineRule="auto" w:before="10"/>
        <w:rPr>
          <w:rFonts w:ascii="宋体" w:hAnsi="宋体" w:cs="宋体" w:eastAsia="宋体" w:hint="default"/>
          <w:sz w:val="14"/>
          <w:szCs w:val="14"/>
        </w:rPr>
      </w:pPr>
    </w:p>
    <w:p>
      <w:pPr>
        <w:spacing w:line="408" w:lineRule="auto" w:before="0"/>
        <w:ind w:left="152" w:right="982" w:firstLine="420"/>
        <w:jc w:val="left"/>
        <w:rPr>
          <w:rFonts w:ascii="宋体" w:hAnsi="宋体" w:cs="宋体" w:eastAsia="宋体" w:hint="default"/>
          <w:sz w:val="21"/>
          <w:szCs w:val="21"/>
        </w:rPr>
      </w:pPr>
      <w:r>
        <w:rPr>
          <w:rFonts w:ascii="宋体" w:hAnsi="宋体" w:cs="宋体" w:eastAsia="宋体" w:hint="default"/>
          <w:spacing w:val="-2"/>
          <w:sz w:val="21"/>
          <w:szCs w:val="21"/>
        </w:rPr>
        <w:t>除符合设定提存计划条件的情形外，按照设定受益计划的有关规定，确认和计量其他长期职工福利净</w:t>
      </w:r>
      <w:r>
        <w:rPr>
          <w:rFonts w:ascii="宋体" w:hAnsi="宋体" w:cs="宋体" w:eastAsia="宋体" w:hint="default"/>
          <w:w w:val="100"/>
          <w:sz w:val="21"/>
          <w:szCs w:val="21"/>
        </w:rPr>
        <w:t> </w:t>
      </w:r>
      <w:r>
        <w:rPr>
          <w:rFonts w:ascii="宋体" w:hAnsi="宋体" w:cs="宋体" w:eastAsia="宋体" w:hint="default"/>
          <w:sz w:val="21"/>
          <w:szCs w:val="21"/>
        </w:rPr>
        <w:t>负债或净资产。在报告期末，企业应当将其他长期职工福利产生的职工薪酬成本确认为下列组成部分：</w:t>
      </w:r>
    </w:p>
    <w:p>
      <w:pPr>
        <w:spacing w:before="46"/>
        <w:ind w:left="573" w:right="982" w:firstLine="0"/>
        <w:jc w:val="left"/>
        <w:rPr>
          <w:rFonts w:ascii="宋体" w:hAnsi="宋体" w:cs="宋体" w:eastAsia="宋体" w:hint="default"/>
          <w:sz w:val="21"/>
          <w:szCs w:val="21"/>
        </w:rPr>
      </w:pPr>
      <w:r>
        <w:rPr>
          <w:rFonts w:ascii="宋体" w:hAnsi="宋体" w:cs="宋体" w:eastAsia="宋体" w:hint="default"/>
          <w:sz w:val="21"/>
          <w:szCs w:val="21"/>
        </w:rPr>
        <w:t>11.</w:t>
      </w:r>
      <w:r>
        <w:rPr>
          <w:rFonts w:ascii="宋体" w:hAnsi="宋体" w:cs="宋体" w:eastAsia="宋体" w:hint="default"/>
          <w:sz w:val="21"/>
          <w:szCs w:val="21"/>
        </w:rPr>
        <w:t>服务成本。</w:t>
      </w:r>
    </w:p>
    <w:p>
      <w:pPr>
        <w:spacing w:line="240" w:lineRule="auto" w:before="10"/>
        <w:rPr>
          <w:rFonts w:ascii="宋体" w:hAnsi="宋体" w:cs="宋体" w:eastAsia="宋体" w:hint="default"/>
          <w:sz w:val="14"/>
          <w:szCs w:val="14"/>
        </w:rPr>
      </w:pPr>
    </w:p>
    <w:p>
      <w:pPr>
        <w:spacing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z w:val="21"/>
          <w:szCs w:val="21"/>
        </w:rPr>
        <w:t>其他长期职工福利净负债或净资产的利息净额。</w:t>
      </w:r>
    </w:p>
    <w:p>
      <w:pPr>
        <w:spacing w:line="240" w:lineRule="auto" w:before="10"/>
        <w:rPr>
          <w:rFonts w:ascii="宋体" w:hAnsi="宋体" w:cs="宋体" w:eastAsia="宋体" w:hint="default"/>
          <w:sz w:val="14"/>
          <w:szCs w:val="14"/>
        </w:rPr>
      </w:pPr>
    </w:p>
    <w:p>
      <w:pPr>
        <w:spacing w:line="408" w:lineRule="auto"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z w:val="21"/>
          <w:szCs w:val="21"/>
        </w:rPr>
        <w:t>重新计量其他长期职工福利净负债或净资产所产生的变动。</w:t>
      </w:r>
      <w:r>
        <w:rPr>
          <w:rFonts w:ascii="宋体" w:hAnsi="宋体" w:cs="宋体" w:eastAsia="宋体" w:hint="default"/>
          <w:w w:val="100"/>
          <w:sz w:val="21"/>
          <w:szCs w:val="21"/>
        </w:rPr>
        <w:t> </w:t>
      </w:r>
      <w:r>
        <w:rPr>
          <w:rFonts w:ascii="宋体" w:hAnsi="宋体" w:cs="宋体" w:eastAsia="宋体" w:hint="default"/>
          <w:spacing w:val="-2"/>
          <w:sz w:val="21"/>
          <w:szCs w:val="21"/>
        </w:rPr>
        <w:t>为简化相关会计处理，上述项目的总净额计入当期损益或相关资产成本。</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23</w:t>
      </w:r>
      <w:r>
        <w:rPr>
          <w:rFonts w:ascii="宋体" w:hAnsi="宋体" w:cs="宋体" w:eastAsia="宋体" w:hint="default"/>
          <w:b/>
          <w:bCs/>
          <w:sz w:val="21"/>
          <w:szCs w:val="21"/>
        </w:rPr>
        <w:t>、预计负债</w:t>
      </w:r>
      <w:r>
        <w:rPr>
          <w:rFonts w:ascii="宋体" w:hAnsi="宋体" w:cs="宋体" w:eastAsia="宋体" w:hint="default"/>
          <w:sz w:val="21"/>
          <w:szCs w:val="21"/>
        </w:rPr>
      </w:r>
    </w:p>
    <w:p>
      <w:pPr>
        <w:spacing w:line="240" w:lineRule="auto" w:before="6"/>
        <w:rPr>
          <w:rFonts w:ascii="宋体" w:hAnsi="宋体" w:cs="宋体" w:eastAsia="宋体" w:hint="default"/>
          <w:b/>
          <w:bCs/>
          <w:sz w:val="30"/>
          <w:szCs w:val="30"/>
        </w:rPr>
      </w:pPr>
    </w:p>
    <w:p>
      <w:pPr>
        <w:spacing w:line="408" w:lineRule="auto" w:before="0"/>
        <w:ind w:left="573" w:right="3423" w:firstLine="0"/>
        <w:jc w:val="left"/>
        <w:rPr>
          <w:rFonts w:ascii="宋体" w:hAnsi="宋体" w:cs="宋体" w:eastAsia="宋体" w:hint="default"/>
          <w:sz w:val="21"/>
          <w:szCs w:val="21"/>
        </w:rPr>
      </w:pPr>
      <w:r>
        <w:rPr>
          <w:rFonts w:ascii="宋体" w:hAnsi="宋体" w:cs="宋体" w:eastAsia="宋体" w:hint="default"/>
          <w:sz w:val="21"/>
          <w:szCs w:val="21"/>
        </w:rPr>
        <w:t>与或有事项相关的义务同时满足下列条件的，确认为预计负债：</w:t>
      </w:r>
      <w:r>
        <w:rPr>
          <w:rFonts w:ascii="宋体" w:hAnsi="宋体" w:cs="宋体" w:eastAsia="宋体" w:hint="default"/>
          <w:w w:val="100"/>
          <w:sz w:val="21"/>
          <w:szCs w:val="21"/>
        </w:rPr>
        <w:t> </w:t>
      </w:r>
      <w:r>
        <w:rPr>
          <w:rFonts w:ascii="宋体" w:hAnsi="宋体" w:cs="宋体" w:eastAsia="宋体" w:hint="default"/>
          <w:sz w:val="21"/>
          <w:szCs w:val="21"/>
        </w:rPr>
        <w:t>该义务是企业承担的现时义务；</w:t>
      </w:r>
      <w:r>
        <w:rPr>
          <w:rFonts w:ascii="宋体" w:hAnsi="宋体" w:cs="宋体" w:eastAsia="宋体" w:hint="default"/>
          <w:w w:val="100"/>
          <w:sz w:val="21"/>
          <w:szCs w:val="21"/>
        </w:rPr>
        <w:t> </w:t>
      </w:r>
      <w:r>
        <w:rPr>
          <w:rFonts w:ascii="宋体" w:hAnsi="宋体" w:cs="宋体" w:eastAsia="宋体" w:hint="default"/>
          <w:sz w:val="21"/>
          <w:szCs w:val="21"/>
        </w:rPr>
        <w:t>履行该义务很可能导致经济利益流出企业；</w:t>
      </w:r>
      <w:r>
        <w:rPr>
          <w:rFonts w:ascii="宋体" w:hAnsi="宋体" w:cs="宋体" w:eastAsia="宋体" w:hint="default"/>
          <w:w w:val="100"/>
          <w:sz w:val="21"/>
          <w:szCs w:val="21"/>
        </w:rPr>
        <w:t> </w:t>
      </w:r>
      <w:r>
        <w:rPr>
          <w:rFonts w:ascii="宋体" w:hAnsi="宋体" w:cs="宋体" w:eastAsia="宋体" w:hint="default"/>
          <w:sz w:val="21"/>
          <w:szCs w:val="21"/>
        </w:rPr>
        <w:t>该义务的金额能够可靠地计量。</w:t>
      </w:r>
      <w:r>
        <w:rPr>
          <w:rFonts w:ascii="宋体" w:hAnsi="宋体" w:cs="宋体" w:eastAsia="宋体" w:hint="default"/>
          <w:w w:val="100"/>
          <w:sz w:val="21"/>
          <w:szCs w:val="21"/>
        </w:rPr>
        <w:t> </w:t>
      </w:r>
      <w:r>
        <w:rPr>
          <w:rFonts w:ascii="宋体" w:hAnsi="宋体" w:cs="宋体" w:eastAsia="宋体" w:hint="default"/>
          <w:spacing w:val="-2"/>
          <w:sz w:val="21"/>
          <w:szCs w:val="21"/>
        </w:rPr>
        <w:t>预计负债应当按照履行相关现时义务所需支出的最佳估计数进行初始计量。</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24</w:t>
      </w:r>
      <w:r>
        <w:rPr>
          <w:rFonts w:ascii="宋体" w:hAnsi="宋体" w:cs="宋体" w:eastAsia="宋体" w:hint="default"/>
          <w:b/>
          <w:bCs/>
          <w:sz w:val="21"/>
          <w:szCs w:val="21"/>
        </w:rPr>
        <w:t>、股份支付</w:t>
      </w:r>
      <w:r>
        <w:rPr>
          <w:rFonts w:ascii="宋体" w:hAnsi="宋体" w:cs="宋体" w:eastAsia="宋体" w:hint="default"/>
          <w:sz w:val="21"/>
          <w:szCs w:val="21"/>
        </w:rPr>
      </w:r>
    </w:p>
    <w:p>
      <w:pPr>
        <w:spacing w:line="240" w:lineRule="auto" w:before="8"/>
        <w:rPr>
          <w:rFonts w:ascii="宋体" w:hAnsi="宋体" w:cs="宋体" w:eastAsia="宋体" w:hint="default"/>
          <w:b/>
          <w:bCs/>
          <w:sz w:val="30"/>
          <w:szCs w:val="30"/>
        </w:rPr>
      </w:pPr>
    </w:p>
    <w:p>
      <w:pPr>
        <w:spacing w:line="408" w:lineRule="auto" w:before="0"/>
        <w:ind w:left="573" w:right="4274" w:firstLine="0"/>
        <w:jc w:val="left"/>
        <w:rPr>
          <w:rFonts w:ascii="宋体" w:hAnsi="宋体" w:cs="宋体" w:eastAsia="宋体" w:hint="default"/>
          <w:sz w:val="21"/>
          <w:szCs w:val="21"/>
        </w:rPr>
      </w:pPr>
      <w:r>
        <w:rPr>
          <w:rFonts w:ascii="宋体" w:hAnsi="宋体" w:cs="宋体" w:eastAsia="宋体" w:hint="default"/>
          <w:sz w:val="21"/>
          <w:szCs w:val="21"/>
        </w:rPr>
        <w:t>股份支付的种类</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2"/>
          <w:sz w:val="21"/>
          <w:szCs w:val="21"/>
        </w:rPr>
        <w:t>股份支付分为以权益结算的股份支付和以现金结算的股份支付。</w:t>
      </w:r>
    </w:p>
    <w:p>
      <w:pPr>
        <w:spacing w:line="408" w:lineRule="auto" w:before="46"/>
        <w:ind w:left="152" w:right="982" w:firstLine="420"/>
        <w:jc w:val="left"/>
        <w:rPr>
          <w:rFonts w:ascii="宋体" w:hAnsi="宋体" w:cs="宋体" w:eastAsia="宋体" w:hint="default"/>
          <w:sz w:val="21"/>
          <w:szCs w:val="21"/>
        </w:rPr>
      </w:pPr>
      <w:r>
        <w:rPr>
          <w:rFonts w:ascii="宋体" w:hAnsi="宋体" w:cs="宋体" w:eastAsia="宋体" w:hint="default"/>
          <w:spacing w:val="-2"/>
          <w:sz w:val="21"/>
          <w:szCs w:val="21"/>
        </w:rPr>
        <w:t>以权益结算的股份支付，是指企业为获取服务以股份或其他权益工具作为对价进行结算的交易，这里</w:t>
      </w:r>
      <w:r>
        <w:rPr>
          <w:rFonts w:ascii="宋体" w:hAnsi="宋体" w:cs="宋体" w:eastAsia="宋体" w:hint="default"/>
          <w:w w:val="100"/>
          <w:sz w:val="21"/>
          <w:szCs w:val="21"/>
        </w:rPr>
        <w:t> </w:t>
      </w:r>
      <w:r>
        <w:rPr>
          <w:rFonts w:ascii="宋体" w:hAnsi="宋体" w:cs="宋体" w:eastAsia="宋体" w:hint="default"/>
          <w:sz w:val="21"/>
          <w:szCs w:val="21"/>
        </w:rPr>
        <w:t>所指的权益工具是企业自身权益工具。</w:t>
      </w:r>
    </w:p>
    <w:p>
      <w:pPr>
        <w:spacing w:after="0" w:line="408" w:lineRule="auto"/>
        <w:jc w:val="left"/>
        <w:rPr>
          <w:rFonts w:ascii="宋体" w:hAnsi="宋体" w:cs="宋体" w:eastAsia="宋体" w:hint="default"/>
          <w:sz w:val="21"/>
          <w:szCs w:val="21"/>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408" w:lineRule="auto" w:before="176"/>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以现金结算的股份支付，是指企业为获取服务承担以股份或其他权益工具为基础计算确定的交付现金</w:t>
      </w:r>
      <w:r>
        <w:rPr>
          <w:rFonts w:ascii="宋体" w:hAnsi="宋体" w:cs="宋体" w:eastAsia="宋体" w:hint="default"/>
          <w:w w:val="100"/>
          <w:sz w:val="21"/>
          <w:szCs w:val="21"/>
        </w:rPr>
        <w:t> </w:t>
      </w:r>
      <w:r>
        <w:rPr>
          <w:rFonts w:ascii="宋体" w:hAnsi="宋体" w:cs="宋体" w:eastAsia="宋体" w:hint="default"/>
          <w:sz w:val="21"/>
          <w:szCs w:val="21"/>
        </w:rPr>
        <w:t>或其他资产义务的交易。</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授予后立即可行权的换取职工服务的以权益结算的股份支付，在授予日按照权益工具的公允价值计入</w:t>
      </w:r>
      <w:r>
        <w:rPr>
          <w:rFonts w:ascii="宋体" w:hAnsi="宋体" w:cs="宋体" w:eastAsia="宋体" w:hint="default"/>
          <w:w w:val="100"/>
          <w:sz w:val="21"/>
          <w:szCs w:val="21"/>
        </w:rPr>
        <w:t> </w:t>
      </w:r>
      <w:r>
        <w:rPr>
          <w:rFonts w:ascii="宋体" w:hAnsi="宋体" w:cs="宋体" w:eastAsia="宋体" w:hint="default"/>
          <w:sz w:val="21"/>
          <w:szCs w:val="21"/>
        </w:rPr>
        <w:t>相关成本或费用，相应增加资本公积。权益工具的公允价值采用布莱克</w:t>
      </w:r>
      <w:r>
        <w:rPr>
          <w:rFonts w:ascii="Times New Roman" w:hAnsi="Times New Roman" w:cs="Times New Roman" w:eastAsia="Times New Roman" w:hint="default"/>
          <w:sz w:val="21"/>
          <w:szCs w:val="21"/>
        </w:rPr>
        <w:t>-</w:t>
      </w:r>
      <w:r>
        <w:rPr>
          <w:rFonts w:ascii="宋体" w:hAnsi="宋体" w:cs="宋体" w:eastAsia="宋体" w:hint="default"/>
          <w:sz w:val="21"/>
          <w:szCs w:val="21"/>
        </w:rPr>
        <w:t>斯克尔期权定价模型确定。</w:t>
      </w:r>
    </w:p>
    <w:p>
      <w:pPr>
        <w:spacing w:line="408" w:lineRule="auto" w:before="14"/>
        <w:ind w:left="152" w:right="982" w:firstLine="420"/>
        <w:jc w:val="left"/>
        <w:rPr>
          <w:rFonts w:ascii="宋体" w:hAnsi="宋体" w:cs="宋体" w:eastAsia="宋体" w:hint="default"/>
          <w:sz w:val="21"/>
          <w:szCs w:val="21"/>
        </w:rPr>
      </w:pPr>
      <w:r>
        <w:rPr>
          <w:rFonts w:ascii="宋体" w:hAnsi="宋体" w:cs="宋体" w:eastAsia="宋体" w:hint="default"/>
          <w:sz w:val="21"/>
          <w:szCs w:val="21"/>
        </w:rPr>
        <w:t>完成等待期内的服务或达到规定业绩条件才可行权的换取职工服务的以权益结算的股份支付，在等待</w:t>
      </w:r>
      <w:r>
        <w:rPr>
          <w:rFonts w:ascii="宋体" w:hAnsi="宋体" w:cs="宋体" w:eastAsia="宋体" w:hint="default"/>
          <w:w w:val="100"/>
          <w:sz w:val="21"/>
          <w:szCs w:val="21"/>
        </w:rPr>
        <w:t> </w:t>
      </w:r>
      <w:r>
        <w:rPr>
          <w:rFonts w:ascii="宋体" w:hAnsi="宋体" w:cs="宋体" w:eastAsia="宋体" w:hint="default"/>
          <w:spacing w:val="-5"/>
          <w:sz w:val="21"/>
          <w:szCs w:val="21"/>
        </w:rPr>
        <w:t>期内的每个资产负债表日，以对可行权权益工具数量的最佳估计为基础，按照权益工具授予日的公允价值， </w:t>
      </w:r>
      <w:r>
        <w:rPr>
          <w:rFonts w:ascii="宋体" w:hAnsi="宋体" w:cs="宋体" w:eastAsia="宋体" w:hint="default"/>
          <w:spacing w:val="-5"/>
          <w:sz w:val="21"/>
          <w:szCs w:val="21"/>
        </w:rPr>
      </w:r>
      <w:r>
        <w:rPr>
          <w:rFonts w:ascii="宋体" w:hAnsi="宋体" w:cs="宋体" w:eastAsia="宋体" w:hint="default"/>
          <w:sz w:val="21"/>
          <w:szCs w:val="21"/>
        </w:rPr>
        <w:t>将当期取得的服务计入相关成本或费用和资本公积。</w:t>
      </w:r>
    </w:p>
    <w:p>
      <w:pPr>
        <w:spacing w:line="408" w:lineRule="auto" w:before="46"/>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在资产负债表日，后续信息表明可行权权益工具的数量与以前估计不同的，进行调整，并在可行权日</w:t>
      </w:r>
      <w:r>
        <w:rPr>
          <w:rFonts w:ascii="宋体" w:hAnsi="宋体" w:cs="宋体" w:eastAsia="宋体" w:hint="default"/>
          <w:w w:val="100"/>
          <w:sz w:val="21"/>
          <w:szCs w:val="21"/>
        </w:rPr>
        <w:t> </w:t>
      </w:r>
      <w:r>
        <w:rPr>
          <w:rFonts w:ascii="宋体" w:hAnsi="宋体" w:cs="宋体" w:eastAsia="宋体" w:hint="default"/>
          <w:sz w:val="21"/>
          <w:szCs w:val="21"/>
        </w:rPr>
        <w:t>调整至实际可行权的权益工具数量。</w:t>
      </w:r>
    </w:p>
    <w:p>
      <w:pPr>
        <w:spacing w:line="408" w:lineRule="auto" w:before="46"/>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对于权益结算的股份支付，在可行权日之后不再对已确认的成本费用和所有者权益总额进行调整。在</w:t>
      </w:r>
      <w:r>
        <w:rPr>
          <w:rFonts w:ascii="宋体" w:hAnsi="宋体" w:cs="宋体" w:eastAsia="宋体" w:hint="default"/>
          <w:w w:val="100"/>
          <w:sz w:val="21"/>
          <w:szCs w:val="21"/>
        </w:rPr>
        <w:t> </w:t>
      </w:r>
      <w:r>
        <w:rPr>
          <w:rFonts w:ascii="宋体" w:hAnsi="宋体" w:cs="宋体" w:eastAsia="宋体" w:hint="default"/>
          <w:sz w:val="21"/>
          <w:szCs w:val="21"/>
        </w:rPr>
        <w:t>行权日根据行权情况，确认股本和股本溢价，同时结转等待期内确认的资本公积</w:t>
      </w:r>
      <w:r>
        <w:rPr>
          <w:rFonts w:ascii="Times New Roman" w:hAnsi="Times New Roman" w:cs="Times New Roman" w:eastAsia="Times New Roman" w:hint="default"/>
          <w:sz w:val="21"/>
          <w:szCs w:val="21"/>
        </w:rPr>
        <w:t>(</w:t>
      </w:r>
      <w:r>
        <w:rPr>
          <w:rFonts w:ascii="宋体" w:hAnsi="宋体" w:cs="宋体" w:eastAsia="宋体" w:hint="default"/>
          <w:sz w:val="21"/>
          <w:szCs w:val="21"/>
        </w:rPr>
        <w:t>其他资本公积</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p>
      <w:pPr>
        <w:spacing w:line="408" w:lineRule="auto" w:before="14"/>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对于最终未能达到可行权条件的股份支付，不确认成本费用，除非可行权条件是市场条件或非可行权</w:t>
      </w:r>
      <w:r>
        <w:rPr>
          <w:rFonts w:ascii="宋体" w:hAnsi="宋体" w:cs="宋体" w:eastAsia="宋体" w:hint="default"/>
          <w:w w:val="100"/>
          <w:sz w:val="21"/>
          <w:szCs w:val="21"/>
        </w:rPr>
        <w:t> </w:t>
      </w:r>
      <w:r>
        <w:rPr>
          <w:rFonts w:ascii="宋体" w:hAnsi="宋体" w:cs="宋体" w:eastAsia="宋体" w:hint="default"/>
          <w:spacing w:val="-2"/>
          <w:sz w:val="21"/>
          <w:szCs w:val="21"/>
        </w:rPr>
        <w:t>条件，此时无论是否满足市场条件或非可行权条件，只要满足所有可行权条件中的非市场条件，即视为可</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行权。</w:t>
      </w:r>
    </w:p>
    <w:p>
      <w:pPr>
        <w:spacing w:line="408" w:lineRule="auto" w:before="46"/>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公司若以不利于职工的方式修改条款和条件，公司仍应继续对取得的服务进行会计处理，如同该变更</w:t>
      </w:r>
      <w:r>
        <w:rPr>
          <w:rFonts w:ascii="宋体" w:hAnsi="宋体" w:cs="宋体" w:eastAsia="宋体" w:hint="default"/>
          <w:w w:val="100"/>
          <w:sz w:val="21"/>
          <w:szCs w:val="21"/>
        </w:rPr>
        <w:t> </w:t>
      </w:r>
      <w:r>
        <w:rPr>
          <w:rFonts w:ascii="宋体" w:hAnsi="宋体" w:cs="宋体" w:eastAsia="宋体" w:hint="default"/>
          <w:spacing w:val="-2"/>
          <w:sz w:val="21"/>
          <w:szCs w:val="21"/>
        </w:rPr>
        <w:t>从未发生，除非公司取消了部分或全部已授予的权益工具。此外，任何增加所授予权益工具公允价值的修</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改，或在修改日对职工有利的变更，均确认取得服务的增加。</w:t>
      </w:r>
    </w:p>
    <w:p>
      <w:pPr>
        <w:spacing w:line="408" w:lineRule="auto" w:before="46"/>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如果取消了以权益结算的股份支付，则于取消日作为加速行权处理，立即确认尚未确认的金额。职工</w:t>
      </w:r>
      <w:r>
        <w:rPr>
          <w:rFonts w:ascii="宋体" w:hAnsi="宋体" w:cs="宋体" w:eastAsia="宋体" w:hint="default"/>
          <w:w w:val="100"/>
          <w:sz w:val="21"/>
          <w:szCs w:val="21"/>
        </w:rPr>
        <w:t> </w:t>
      </w:r>
      <w:r>
        <w:rPr>
          <w:rFonts w:ascii="宋体" w:hAnsi="宋体" w:cs="宋体" w:eastAsia="宋体" w:hint="default"/>
          <w:spacing w:val="-2"/>
          <w:sz w:val="21"/>
          <w:szCs w:val="21"/>
        </w:rPr>
        <w:t>或其他方能够选择满足非可行权条件但在等待期内未满足的，作为取消以权益结算的股份支付处理。但是</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2"/>
          <w:sz w:val="21"/>
          <w:szCs w:val="21"/>
        </w:rPr>
        <w:t>如果授予新的权益工具，并在新权益工具授予日认定所授予的新权益工具是用于替代被取消的权益工具</w:t>
      </w:r>
      <w:r>
        <w:rPr>
          <w:rFonts w:ascii="宋体" w:hAnsi="宋体" w:cs="宋体" w:eastAsia="宋体" w:hint="default"/>
          <w:spacing w:val="-30"/>
          <w:sz w:val="21"/>
          <w:szCs w:val="21"/>
        </w:rPr>
        <w:t> </w:t>
      </w:r>
      <w:r>
        <w:rPr>
          <w:rFonts w:ascii="宋体" w:hAnsi="宋体" w:cs="宋体" w:eastAsia="宋体" w:hint="default"/>
          <w:spacing w:val="-30"/>
          <w:sz w:val="21"/>
          <w:szCs w:val="21"/>
        </w:rPr>
      </w:r>
      <w:r>
        <w:rPr>
          <w:rFonts w:ascii="宋体" w:hAnsi="宋体" w:cs="宋体" w:eastAsia="宋体" w:hint="default"/>
          <w:sz w:val="21"/>
          <w:szCs w:val="21"/>
        </w:rPr>
        <w:t>的，则以与处理原权益工具条款和条件修改相同的方式，对所授予的替代权益工具进行处理。</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授予后立即可行权的以现金结算的股份支付，应当在授予日以企业承担负债的公允价值计入相关成本</w:t>
      </w:r>
      <w:r>
        <w:rPr>
          <w:rFonts w:ascii="宋体" w:hAnsi="宋体" w:cs="宋体" w:eastAsia="宋体" w:hint="default"/>
          <w:w w:val="100"/>
          <w:sz w:val="21"/>
          <w:szCs w:val="21"/>
        </w:rPr>
        <w:t> </w:t>
      </w:r>
      <w:r>
        <w:rPr>
          <w:rFonts w:ascii="宋体" w:hAnsi="宋体" w:cs="宋体" w:eastAsia="宋体" w:hint="default"/>
          <w:sz w:val="21"/>
          <w:szCs w:val="21"/>
        </w:rPr>
        <w:t>或费用，相应增加负债。</w:t>
      </w:r>
    </w:p>
    <w:p>
      <w:pPr>
        <w:spacing w:line="408" w:lineRule="auto" w:before="46"/>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完成等待期内的服务或达到规定业绩条件以后才可行权的以现金结算的股份支付，在等待期内的每个</w:t>
      </w:r>
      <w:r>
        <w:rPr>
          <w:rFonts w:ascii="宋体" w:hAnsi="宋体" w:cs="宋体" w:eastAsia="宋体" w:hint="default"/>
          <w:w w:val="100"/>
          <w:sz w:val="21"/>
          <w:szCs w:val="21"/>
        </w:rPr>
        <w:t> </w:t>
      </w:r>
      <w:r>
        <w:rPr>
          <w:rFonts w:ascii="宋体" w:hAnsi="宋体" w:cs="宋体" w:eastAsia="宋体" w:hint="default"/>
          <w:spacing w:val="-2"/>
          <w:sz w:val="21"/>
          <w:szCs w:val="21"/>
        </w:rPr>
        <w:t>资产负债表日，对可行权情况的最佳估计为基础，按照企业承担负债的公允价值金额，将当期取得的服务</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计入成本或费用和相应的负债。</w:t>
      </w:r>
    </w:p>
    <w:p>
      <w:pPr>
        <w:spacing w:line="408" w:lineRule="auto" w:before="46"/>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在相关负债结算前的每个资产负债表日以及结算日，对负债的公允价值重新计量，其变动计入当期损</w:t>
      </w:r>
      <w:r>
        <w:rPr>
          <w:rFonts w:ascii="宋体" w:hAnsi="宋体" w:cs="宋体" w:eastAsia="宋体" w:hint="default"/>
          <w:w w:val="100"/>
          <w:sz w:val="21"/>
          <w:szCs w:val="21"/>
        </w:rPr>
        <w:t> </w:t>
      </w:r>
      <w:r>
        <w:rPr>
          <w:rFonts w:ascii="宋体" w:hAnsi="宋体" w:cs="宋体" w:eastAsia="宋体" w:hint="default"/>
          <w:sz w:val="21"/>
          <w:szCs w:val="21"/>
        </w:rPr>
        <w:t>益。</w:t>
      </w:r>
    </w:p>
    <w:p>
      <w:pPr>
        <w:spacing w:after="0" w:line="408" w:lineRule="auto"/>
        <w:jc w:val="both"/>
        <w:rPr>
          <w:rFonts w:ascii="宋体" w:hAnsi="宋体" w:cs="宋体" w:eastAsia="宋体" w:hint="default"/>
          <w:sz w:val="21"/>
          <w:szCs w:val="21"/>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87"/>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25</w:t>
      </w:r>
      <w:r>
        <w:rPr>
          <w:rFonts w:ascii="宋体" w:hAnsi="宋体" w:cs="宋体" w:eastAsia="宋体" w:hint="default"/>
          <w:b/>
          <w:bCs/>
          <w:sz w:val="21"/>
          <w:szCs w:val="21"/>
        </w:rPr>
        <w:t>、收入</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line="357" w:lineRule="auto" w:before="0"/>
        <w:ind w:left="152" w:right="7694"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9"/>
        <w:ind w:left="152" w:right="982" w:firstLine="0"/>
        <w:jc w:val="left"/>
        <w:rPr>
          <w:rFonts w:ascii="宋体" w:hAnsi="宋体" w:cs="宋体" w:eastAsia="宋体" w:hint="default"/>
          <w:sz w:val="18"/>
          <w:szCs w:val="18"/>
        </w:rPr>
      </w:pPr>
      <w:r>
        <w:rPr>
          <w:rFonts w:ascii="宋体" w:hAnsi="宋体" w:cs="宋体" w:eastAsia="宋体" w:hint="default"/>
          <w:sz w:val="18"/>
          <w:szCs w:val="18"/>
        </w:rPr>
        <w:t>软件与信息技术服务业</w:t>
      </w:r>
    </w:p>
    <w:p>
      <w:pPr>
        <w:spacing w:before="117"/>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上市公司从事软件与信息技术服务业务》的披露要求</w:t>
      </w:r>
    </w:p>
    <w:p>
      <w:pPr>
        <w:spacing w:before="157"/>
        <w:ind w:left="573" w:right="982"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4"/>
          <w:sz w:val="21"/>
          <w:szCs w:val="21"/>
        </w:rPr>
        <w:t> </w:t>
      </w:r>
      <w:r>
        <w:rPr>
          <w:rFonts w:ascii="宋体" w:hAnsi="宋体" w:cs="宋体" w:eastAsia="宋体" w:hint="default"/>
          <w:sz w:val="21"/>
          <w:szCs w:val="21"/>
        </w:rPr>
        <w:t>营业收入包括销售商品收入、提供劳务收入、建造合同收入以及让渡资产使用权收入。</w:t>
      </w:r>
    </w:p>
    <w:p>
      <w:pPr>
        <w:spacing w:line="240" w:lineRule="auto" w:before="10"/>
        <w:rPr>
          <w:rFonts w:ascii="宋体" w:hAnsi="宋体" w:cs="宋体" w:eastAsia="宋体" w:hint="default"/>
          <w:sz w:val="14"/>
          <w:szCs w:val="14"/>
        </w:rPr>
      </w:pPr>
    </w:p>
    <w:p>
      <w:pPr>
        <w:spacing w:line="410" w:lineRule="auto" w:before="0"/>
        <w:ind w:left="573" w:right="4274" w:firstLine="0"/>
        <w:jc w:val="left"/>
        <w:rPr>
          <w:rFonts w:ascii="宋体" w:hAnsi="宋体" w:cs="宋体" w:eastAsia="宋体" w:hint="default"/>
          <w:sz w:val="21"/>
          <w:szCs w:val="21"/>
        </w:rPr>
      </w:pPr>
      <w:r>
        <w:rPr>
          <w:rFonts w:ascii="宋体" w:hAnsi="宋体" w:cs="宋体" w:eastAsia="宋体" w:hint="default"/>
          <w:sz w:val="21"/>
          <w:szCs w:val="21"/>
        </w:rPr>
        <w:t>(2) </w:t>
      </w:r>
      <w:r>
        <w:rPr>
          <w:rFonts w:ascii="宋体" w:hAnsi="宋体" w:cs="宋体" w:eastAsia="宋体" w:hint="default"/>
          <w:sz w:val="21"/>
          <w:szCs w:val="21"/>
        </w:rPr>
        <w:t>销售商品收入的确认</w:t>
      </w:r>
      <w:r>
        <w:rPr>
          <w:rFonts w:ascii="宋体" w:hAnsi="宋体" w:cs="宋体" w:eastAsia="宋体" w:hint="default"/>
          <w:w w:val="100"/>
          <w:sz w:val="21"/>
          <w:szCs w:val="21"/>
        </w:rPr>
        <w:t> </w:t>
      </w:r>
      <w:r>
        <w:rPr>
          <w:rFonts w:ascii="宋体" w:hAnsi="宋体" w:cs="宋体" w:eastAsia="宋体" w:hint="default"/>
          <w:spacing w:val="-2"/>
          <w:sz w:val="21"/>
          <w:szCs w:val="21"/>
        </w:rPr>
        <w:t>销售商品收入同时满足下列条件的，予以确认：</w:t>
      </w:r>
    </w:p>
    <w:p>
      <w:pPr>
        <w:spacing w:before="44"/>
        <w:ind w:left="573" w:right="982" w:firstLine="0"/>
        <w:jc w:val="left"/>
        <w:rPr>
          <w:rFonts w:ascii="宋体" w:hAnsi="宋体" w:cs="宋体" w:eastAsia="宋体" w:hint="default"/>
          <w:sz w:val="21"/>
          <w:szCs w:val="21"/>
        </w:rPr>
      </w:pPr>
      <w:r>
        <w:rPr>
          <w:rFonts w:ascii="宋体" w:hAnsi="宋体" w:cs="宋体" w:eastAsia="宋体" w:hint="default"/>
          <w:sz w:val="21"/>
          <w:szCs w:val="21"/>
        </w:rPr>
        <w:t>①</w:t>
      </w:r>
      <w:r>
        <w:rPr>
          <w:rFonts w:ascii="宋体" w:hAnsi="宋体" w:cs="宋体" w:eastAsia="宋体" w:hint="default"/>
          <w:spacing w:val="-5"/>
          <w:sz w:val="21"/>
          <w:szCs w:val="21"/>
        </w:rPr>
        <w:t> </w:t>
      </w:r>
      <w:r>
        <w:rPr>
          <w:rFonts w:ascii="宋体" w:hAnsi="宋体" w:cs="宋体" w:eastAsia="宋体" w:hint="default"/>
          <w:sz w:val="21"/>
          <w:szCs w:val="21"/>
        </w:rPr>
        <w:t>企业已将商品所有权上的主要风险和报酬转移给购货方；</w:t>
      </w:r>
    </w:p>
    <w:p>
      <w:pPr>
        <w:spacing w:line="240" w:lineRule="auto" w:before="10"/>
        <w:rPr>
          <w:rFonts w:ascii="宋体" w:hAnsi="宋体" w:cs="宋体" w:eastAsia="宋体" w:hint="default"/>
          <w:sz w:val="14"/>
          <w:szCs w:val="14"/>
        </w:rPr>
      </w:pPr>
    </w:p>
    <w:p>
      <w:pPr>
        <w:spacing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②</w:t>
      </w:r>
      <w:r>
        <w:rPr>
          <w:rFonts w:ascii="宋体" w:hAnsi="宋体" w:cs="宋体" w:eastAsia="宋体" w:hint="default"/>
          <w:spacing w:val="-8"/>
          <w:sz w:val="21"/>
          <w:szCs w:val="21"/>
        </w:rPr>
        <w:t> </w:t>
      </w:r>
      <w:r>
        <w:rPr>
          <w:rFonts w:ascii="宋体" w:hAnsi="宋体" w:cs="宋体" w:eastAsia="宋体" w:hint="default"/>
          <w:sz w:val="21"/>
          <w:szCs w:val="21"/>
        </w:rPr>
        <w:t>企业既没有保留通常与所有权相联系的继续管理权，也没有对已售出的商品实施有效控制；</w:t>
      </w:r>
    </w:p>
    <w:p>
      <w:pPr>
        <w:spacing w:line="240" w:lineRule="auto" w:before="10"/>
        <w:rPr>
          <w:rFonts w:ascii="宋体" w:hAnsi="宋体" w:cs="宋体" w:eastAsia="宋体" w:hint="default"/>
          <w:sz w:val="14"/>
          <w:szCs w:val="14"/>
        </w:rPr>
      </w:pPr>
    </w:p>
    <w:p>
      <w:pPr>
        <w:spacing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③</w:t>
      </w:r>
      <w:r>
        <w:rPr>
          <w:rFonts w:ascii="宋体" w:hAnsi="宋体" w:cs="宋体" w:eastAsia="宋体" w:hint="default"/>
          <w:spacing w:val="-2"/>
          <w:sz w:val="21"/>
          <w:szCs w:val="21"/>
        </w:rPr>
        <w:t> </w:t>
      </w:r>
      <w:r>
        <w:rPr>
          <w:rFonts w:ascii="宋体" w:hAnsi="宋体" w:cs="宋体" w:eastAsia="宋体" w:hint="default"/>
          <w:sz w:val="21"/>
          <w:szCs w:val="21"/>
        </w:rPr>
        <w:t>收入的金额能够可靠地计量；</w:t>
      </w:r>
    </w:p>
    <w:p>
      <w:pPr>
        <w:spacing w:line="240" w:lineRule="auto" w:before="10"/>
        <w:rPr>
          <w:rFonts w:ascii="宋体" w:hAnsi="宋体" w:cs="宋体" w:eastAsia="宋体" w:hint="default"/>
          <w:sz w:val="14"/>
          <w:szCs w:val="14"/>
        </w:rPr>
      </w:pPr>
    </w:p>
    <w:p>
      <w:pPr>
        <w:spacing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④</w:t>
      </w:r>
      <w:r>
        <w:rPr>
          <w:rFonts w:ascii="宋体" w:hAnsi="宋体" w:cs="宋体" w:eastAsia="宋体" w:hint="default"/>
          <w:spacing w:val="-2"/>
          <w:sz w:val="21"/>
          <w:szCs w:val="21"/>
        </w:rPr>
        <w:t> </w:t>
      </w:r>
      <w:r>
        <w:rPr>
          <w:rFonts w:ascii="宋体" w:hAnsi="宋体" w:cs="宋体" w:eastAsia="宋体" w:hint="default"/>
          <w:sz w:val="21"/>
          <w:szCs w:val="21"/>
        </w:rPr>
        <w:t>相关的经济利益很可能流入企业；</w:t>
      </w:r>
    </w:p>
    <w:p>
      <w:pPr>
        <w:spacing w:line="240" w:lineRule="auto" w:before="10"/>
        <w:rPr>
          <w:rFonts w:ascii="宋体" w:hAnsi="宋体" w:cs="宋体" w:eastAsia="宋体" w:hint="default"/>
          <w:sz w:val="14"/>
          <w:szCs w:val="14"/>
        </w:rPr>
      </w:pPr>
    </w:p>
    <w:p>
      <w:pPr>
        <w:spacing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⑤</w:t>
      </w:r>
      <w:r>
        <w:rPr>
          <w:rFonts w:ascii="宋体" w:hAnsi="宋体" w:cs="宋体" w:eastAsia="宋体" w:hint="default"/>
          <w:spacing w:val="-4"/>
          <w:sz w:val="21"/>
          <w:szCs w:val="21"/>
        </w:rPr>
        <w:t> </w:t>
      </w:r>
      <w:r>
        <w:rPr>
          <w:rFonts w:ascii="宋体" w:hAnsi="宋体" w:cs="宋体" w:eastAsia="宋体" w:hint="default"/>
          <w:sz w:val="21"/>
          <w:szCs w:val="21"/>
        </w:rPr>
        <w:t>相关的已发生或将发生的成本能够可靠地计量。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08" w:lineRule="auto" w:before="138"/>
        <w:ind w:left="573" w:right="982" w:firstLine="0"/>
        <w:jc w:val="left"/>
        <w:rPr>
          <w:rFonts w:ascii="宋体" w:hAnsi="宋体" w:cs="宋体" w:eastAsia="宋体" w:hint="default"/>
          <w:sz w:val="21"/>
          <w:szCs w:val="21"/>
        </w:rPr>
      </w:pPr>
      <w:r>
        <w:rPr>
          <w:rFonts w:ascii="宋体" w:hAnsi="宋体" w:cs="宋体" w:eastAsia="宋体" w:hint="default"/>
          <w:sz w:val="21"/>
          <w:szCs w:val="21"/>
        </w:rPr>
        <w:t>(3) </w:t>
      </w:r>
      <w:r>
        <w:rPr>
          <w:rFonts w:ascii="宋体" w:hAnsi="宋体" w:cs="宋体" w:eastAsia="宋体" w:hint="default"/>
          <w:sz w:val="21"/>
          <w:szCs w:val="21"/>
        </w:rPr>
        <w:t>提供劳务收入的确认</w:t>
      </w:r>
      <w:r>
        <w:rPr>
          <w:rFonts w:ascii="宋体" w:hAnsi="宋体" w:cs="宋体" w:eastAsia="宋体" w:hint="default"/>
          <w:w w:val="100"/>
          <w:sz w:val="21"/>
          <w:szCs w:val="21"/>
        </w:rPr>
        <w:t> </w:t>
      </w:r>
      <w:r>
        <w:rPr>
          <w:rFonts w:ascii="宋体" w:hAnsi="宋体" w:cs="宋体" w:eastAsia="宋体" w:hint="default"/>
          <w:spacing w:val="-2"/>
          <w:sz w:val="21"/>
          <w:szCs w:val="21"/>
        </w:rPr>
        <w:t>在资产负债表日提供劳务交易的结果能够可靠估计的，采用完工百分比法确认提供劳务收入。</w:t>
      </w:r>
      <w:r>
        <w:rPr>
          <w:rFonts w:ascii="宋体" w:hAnsi="宋体" w:cs="宋体" w:eastAsia="宋体" w:hint="default"/>
          <w:spacing w:val="-28"/>
          <w:sz w:val="21"/>
          <w:szCs w:val="21"/>
        </w:rPr>
        <w:t> </w:t>
      </w:r>
      <w:r>
        <w:rPr>
          <w:rFonts w:ascii="宋体" w:hAnsi="宋体" w:cs="宋体" w:eastAsia="宋体" w:hint="default"/>
          <w:spacing w:val="-28"/>
          <w:sz w:val="21"/>
          <w:szCs w:val="21"/>
        </w:rPr>
      </w:r>
      <w:r>
        <w:rPr>
          <w:rFonts w:ascii="宋体" w:hAnsi="宋体" w:cs="宋体" w:eastAsia="宋体" w:hint="default"/>
          <w:sz w:val="21"/>
          <w:szCs w:val="21"/>
        </w:rPr>
        <w:t>提供劳务交易的结果能够可靠估计，是指同时满足下列条件：</w:t>
      </w:r>
    </w:p>
    <w:p>
      <w:pPr>
        <w:spacing w:before="46"/>
        <w:ind w:left="573" w:right="982" w:firstLine="0"/>
        <w:jc w:val="left"/>
        <w:rPr>
          <w:rFonts w:ascii="宋体" w:hAnsi="宋体" w:cs="宋体" w:eastAsia="宋体" w:hint="default"/>
          <w:sz w:val="21"/>
          <w:szCs w:val="21"/>
        </w:rPr>
      </w:pPr>
      <w:r>
        <w:rPr>
          <w:rFonts w:ascii="宋体" w:hAnsi="宋体" w:cs="宋体" w:eastAsia="宋体" w:hint="default"/>
          <w:sz w:val="21"/>
          <w:szCs w:val="21"/>
        </w:rPr>
        <w:t>①</w:t>
      </w:r>
      <w:r>
        <w:rPr>
          <w:rFonts w:ascii="宋体" w:hAnsi="宋体" w:cs="宋体" w:eastAsia="宋体" w:hint="default"/>
          <w:spacing w:val="-2"/>
          <w:sz w:val="21"/>
          <w:szCs w:val="21"/>
        </w:rPr>
        <w:t> </w:t>
      </w:r>
      <w:r>
        <w:rPr>
          <w:rFonts w:ascii="宋体" w:hAnsi="宋体" w:cs="宋体" w:eastAsia="宋体" w:hint="default"/>
          <w:sz w:val="21"/>
          <w:szCs w:val="21"/>
        </w:rPr>
        <w:t>收入的金额能够可靠地计量；</w:t>
      </w:r>
    </w:p>
    <w:p>
      <w:pPr>
        <w:spacing w:line="240" w:lineRule="auto" w:before="10"/>
        <w:rPr>
          <w:rFonts w:ascii="宋体" w:hAnsi="宋体" w:cs="宋体" w:eastAsia="宋体" w:hint="default"/>
          <w:sz w:val="14"/>
          <w:szCs w:val="14"/>
        </w:rPr>
      </w:pPr>
    </w:p>
    <w:p>
      <w:pPr>
        <w:spacing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②</w:t>
      </w:r>
      <w:r>
        <w:rPr>
          <w:rFonts w:ascii="宋体" w:hAnsi="宋体" w:cs="宋体" w:eastAsia="宋体" w:hint="default"/>
          <w:spacing w:val="-2"/>
          <w:sz w:val="21"/>
          <w:szCs w:val="21"/>
        </w:rPr>
        <w:t> </w:t>
      </w:r>
      <w:r>
        <w:rPr>
          <w:rFonts w:ascii="宋体" w:hAnsi="宋体" w:cs="宋体" w:eastAsia="宋体" w:hint="default"/>
          <w:sz w:val="21"/>
          <w:szCs w:val="21"/>
        </w:rPr>
        <w:t>相关的经济利益很可能流入企业；</w:t>
      </w:r>
    </w:p>
    <w:p>
      <w:pPr>
        <w:spacing w:line="240" w:lineRule="auto" w:before="10"/>
        <w:rPr>
          <w:rFonts w:ascii="宋体" w:hAnsi="宋体" w:cs="宋体" w:eastAsia="宋体" w:hint="default"/>
          <w:sz w:val="14"/>
          <w:szCs w:val="14"/>
        </w:rPr>
      </w:pPr>
    </w:p>
    <w:p>
      <w:pPr>
        <w:spacing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③</w:t>
      </w:r>
      <w:r>
        <w:rPr>
          <w:rFonts w:ascii="宋体" w:hAnsi="宋体" w:cs="宋体" w:eastAsia="宋体" w:hint="default"/>
          <w:spacing w:val="-2"/>
          <w:sz w:val="21"/>
          <w:szCs w:val="21"/>
        </w:rPr>
        <w:t> </w:t>
      </w:r>
      <w:r>
        <w:rPr>
          <w:rFonts w:ascii="宋体" w:hAnsi="宋体" w:cs="宋体" w:eastAsia="宋体" w:hint="default"/>
          <w:sz w:val="21"/>
          <w:szCs w:val="21"/>
        </w:rPr>
        <w:t>交易的完工进度能够可靠地确定；</w:t>
      </w:r>
    </w:p>
    <w:p>
      <w:pPr>
        <w:spacing w:line="240" w:lineRule="auto" w:before="11"/>
        <w:rPr>
          <w:rFonts w:ascii="宋体" w:hAnsi="宋体" w:cs="宋体" w:eastAsia="宋体" w:hint="default"/>
          <w:sz w:val="14"/>
          <w:szCs w:val="14"/>
        </w:rPr>
      </w:pPr>
    </w:p>
    <w:p>
      <w:pPr>
        <w:spacing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④</w:t>
      </w:r>
      <w:r>
        <w:rPr>
          <w:rFonts w:ascii="宋体" w:hAnsi="宋体" w:cs="宋体" w:eastAsia="宋体" w:hint="default"/>
          <w:spacing w:val="-5"/>
          <w:sz w:val="21"/>
          <w:szCs w:val="21"/>
        </w:rPr>
        <w:t> </w:t>
      </w:r>
      <w:r>
        <w:rPr>
          <w:rFonts w:ascii="宋体" w:hAnsi="宋体" w:cs="宋体" w:eastAsia="宋体" w:hint="default"/>
          <w:sz w:val="21"/>
          <w:szCs w:val="21"/>
        </w:rPr>
        <w:t>交易中已发生和将发生的成本能够可靠地计量。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08" w:lineRule="auto" w:before="137"/>
        <w:ind w:left="573" w:right="982" w:firstLine="0"/>
        <w:jc w:val="left"/>
        <w:rPr>
          <w:rFonts w:ascii="宋体" w:hAnsi="宋体" w:cs="宋体" w:eastAsia="宋体" w:hint="default"/>
          <w:sz w:val="21"/>
          <w:szCs w:val="21"/>
        </w:rPr>
      </w:pPr>
      <w:r>
        <w:rPr>
          <w:rFonts w:ascii="宋体" w:hAnsi="宋体" w:cs="宋体" w:eastAsia="宋体" w:hint="default"/>
          <w:sz w:val="21"/>
          <w:szCs w:val="21"/>
        </w:rPr>
        <w:t>(4) </w:t>
      </w:r>
      <w:r>
        <w:rPr>
          <w:rFonts w:ascii="宋体" w:hAnsi="宋体" w:cs="宋体" w:eastAsia="宋体" w:hint="default"/>
          <w:sz w:val="21"/>
          <w:szCs w:val="21"/>
        </w:rPr>
        <w:t>建造合同收入的确认</w:t>
      </w:r>
      <w:r>
        <w:rPr>
          <w:rFonts w:ascii="宋体" w:hAnsi="宋体" w:cs="宋体" w:eastAsia="宋体" w:hint="default"/>
          <w:w w:val="100"/>
          <w:sz w:val="21"/>
          <w:szCs w:val="21"/>
        </w:rPr>
        <w:t> </w:t>
      </w:r>
      <w:r>
        <w:rPr>
          <w:rFonts w:ascii="宋体" w:hAnsi="宋体" w:cs="宋体" w:eastAsia="宋体" w:hint="default"/>
          <w:spacing w:val="-2"/>
          <w:sz w:val="21"/>
          <w:szCs w:val="21"/>
        </w:rPr>
        <w:t>资产负债表日按照完工百分比法确认合同收入和合同费用，合同完工进度按累计实际发生的合同成本</w:t>
      </w:r>
    </w:p>
    <w:p>
      <w:pPr>
        <w:spacing w:line="408" w:lineRule="auto" w:before="46"/>
        <w:ind w:left="573" w:right="982" w:hanging="421"/>
        <w:jc w:val="left"/>
        <w:rPr>
          <w:rFonts w:ascii="宋体" w:hAnsi="宋体" w:cs="宋体" w:eastAsia="宋体" w:hint="default"/>
          <w:sz w:val="21"/>
          <w:szCs w:val="21"/>
        </w:rPr>
      </w:pPr>
      <w:r>
        <w:rPr>
          <w:rFonts w:ascii="宋体" w:hAnsi="宋体" w:cs="宋体" w:eastAsia="宋体" w:hint="default"/>
          <w:spacing w:val="-2"/>
          <w:sz w:val="21"/>
          <w:szCs w:val="21"/>
        </w:rPr>
        <w:t>占合同预计总成本的比例确定。完工百分比法是指根据合同完工进度确认合同收入和合同费用的方法。</w:t>
      </w:r>
      <w:r>
        <w:rPr>
          <w:rFonts w:ascii="宋体" w:hAnsi="宋体" w:cs="宋体" w:eastAsia="宋体" w:hint="default"/>
          <w:spacing w:val="-21"/>
          <w:sz w:val="21"/>
          <w:szCs w:val="21"/>
        </w:rPr>
        <w:t> </w:t>
      </w:r>
      <w:r>
        <w:rPr>
          <w:rFonts w:ascii="宋体" w:hAnsi="宋体" w:cs="宋体" w:eastAsia="宋体" w:hint="default"/>
          <w:spacing w:val="-21"/>
          <w:sz w:val="21"/>
          <w:szCs w:val="21"/>
        </w:rPr>
      </w:r>
      <w:r>
        <w:rPr>
          <w:rFonts w:ascii="宋体" w:hAnsi="宋体" w:cs="宋体" w:eastAsia="宋体" w:hint="default"/>
          <w:sz w:val="21"/>
          <w:szCs w:val="21"/>
        </w:rPr>
        <w:t>建造合同收入同时满足下列条件的才能予以确认：</w:t>
      </w:r>
    </w:p>
    <w:p>
      <w:pPr>
        <w:spacing w:before="46"/>
        <w:ind w:left="573" w:right="982" w:firstLine="0"/>
        <w:jc w:val="left"/>
        <w:rPr>
          <w:rFonts w:ascii="宋体" w:hAnsi="宋体" w:cs="宋体" w:eastAsia="宋体" w:hint="default"/>
          <w:sz w:val="21"/>
          <w:szCs w:val="21"/>
        </w:rPr>
      </w:pPr>
      <w:r>
        <w:rPr>
          <w:rFonts w:ascii="宋体" w:hAnsi="宋体" w:cs="宋体" w:eastAsia="宋体" w:hint="default"/>
          <w:sz w:val="21"/>
          <w:szCs w:val="21"/>
        </w:rPr>
        <w:t>①相关的经济利益很可能流入企业；</w:t>
      </w:r>
    </w:p>
    <w:p>
      <w:pPr>
        <w:spacing w:line="240" w:lineRule="auto" w:before="10"/>
        <w:rPr>
          <w:rFonts w:ascii="宋体" w:hAnsi="宋体" w:cs="宋体" w:eastAsia="宋体" w:hint="default"/>
          <w:sz w:val="14"/>
          <w:szCs w:val="14"/>
        </w:rPr>
      </w:pPr>
    </w:p>
    <w:p>
      <w:pPr>
        <w:spacing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②实际发生的合同成本能够可靠地计量。</w:t>
      </w:r>
    </w:p>
    <w:p>
      <w:pPr>
        <w:spacing w:after="0"/>
        <w:jc w:val="left"/>
        <w:rPr>
          <w:rFonts w:ascii="宋体" w:hAnsi="宋体" w:cs="宋体" w:eastAsia="宋体" w:hint="default"/>
          <w:sz w:val="21"/>
          <w:szCs w:val="21"/>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408" w:lineRule="auto" w:before="176"/>
        <w:ind w:left="573" w:right="982" w:firstLine="0"/>
        <w:jc w:val="left"/>
        <w:rPr>
          <w:rFonts w:ascii="宋体" w:hAnsi="宋体" w:cs="宋体" w:eastAsia="宋体" w:hint="default"/>
          <w:sz w:val="21"/>
          <w:szCs w:val="21"/>
        </w:rPr>
      </w:pPr>
      <w:r>
        <w:rPr>
          <w:rFonts w:ascii="宋体" w:hAnsi="宋体" w:cs="宋体" w:eastAsia="宋体" w:hint="default"/>
          <w:sz w:val="21"/>
          <w:szCs w:val="21"/>
        </w:rPr>
        <w:t>(5) </w:t>
      </w:r>
      <w:r>
        <w:rPr>
          <w:rFonts w:ascii="宋体" w:hAnsi="宋体" w:cs="宋体" w:eastAsia="宋体" w:hint="default"/>
          <w:sz w:val="21"/>
          <w:szCs w:val="21"/>
        </w:rPr>
        <w:t>让渡资产使用权收入的确认</w:t>
      </w:r>
      <w:r>
        <w:rPr>
          <w:rFonts w:ascii="宋体" w:hAnsi="宋体" w:cs="宋体" w:eastAsia="宋体" w:hint="default"/>
          <w:w w:val="100"/>
          <w:sz w:val="21"/>
          <w:szCs w:val="21"/>
        </w:rPr>
        <w:t> </w:t>
      </w:r>
      <w:r>
        <w:rPr>
          <w:rFonts w:ascii="宋体" w:hAnsi="宋体" w:cs="宋体" w:eastAsia="宋体" w:hint="default"/>
          <w:spacing w:val="-2"/>
          <w:sz w:val="21"/>
          <w:szCs w:val="21"/>
        </w:rPr>
        <w:t>让渡资产使用权收入包括利息收入、使用费收入等。让渡资产使用权收入同时满足下列条件的，才能</w:t>
      </w:r>
    </w:p>
    <w:p>
      <w:pPr>
        <w:spacing w:before="46"/>
        <w:ind w:left="152" w:right="982" w:firstLine="0"/>
        <w:jc w:val="left"/>
        <w:rPr>
          <w:rFonts w:ascii="宋体" w:hAnsi="宋体" w:cs="宋体" w:eastAsia="宋体" w:hint="default"/>
          <w:sz w:val="21"/>
          <w:szCs w:val="21"/>
        </w:rPr>
      </w:pPr>
      <w:r>
        <w:rPr>
          <w:rFonts w:ascii="宋体" w:hAnsi="宋体" w:cs="宋体" w:eastAsia="宋体" w:hint="default"/>
          <w:sz w:val="21"/>
          <w:szCs w:val="21"/>
        </w:rPr>
        <w:t>予以确认：</w:t>
      </w:r>
    </w:p>
    <w:p>
      <w:pPr>
        <w:spacing w:line="240" w:lineRule="auto" w:before="10"/>
        <w:rPr>
          <w:rFonts w:ascii="宋体" w:hAnsi="宋体" w:cs="宋体" w:eastAsia="宋体" w:hint="default"/>
          <w:sz w:val="14"/>
          <w:szCs w:val="14"/>
        </w:rPr>
      </w:pPr>
    </w:p>
    <w:p>
      <w:pPr>
        <w:spacing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①</w:t>
      </w:r>
      <w:r>
        <w:rPr>
          <w:rFonts w:ascii="宋体" w:hAnsi="宋体" w:cs="宋体" w:eastAsia="宋体" w:hint="default"/>
          <w:spacing w:val="-2"/>
          <w:sz w:val="21"/>
          <w:szCs w:val="21"/>
        </w:rPr>
        <w:t> </w:t>
      </w:r>
      <w:r>
        <w:rPr>
          <w:rFonts w:ascii="宋体" w:hAnsi="宋体" w:cs="宋体" w:eastAsia="宋体" w:hint="default"/>
          <w:sz w:val="21"/>
          <w:szCs w:val="21"/>
        </w:rPr>
        <w:t>相关的经济利益很可能流入企业；</w:t>
      </w:r>
    </w:p>
    <w:p>
      <w:pPr>
        <w:spacing w:line="240" w:lineRule="auto" w:before="10"/>
        <w:rPr>
          <w:rFonts w:ascii="宋体" w:hAnsi="宋体" w:cs="宋体" w:eastAsia="宋体" w:hint="default"/>
          <w:sz w:val="14"/>
          <w:szCs w:val="14"/>
        </w:rPr>
      </w:pPr>
    </w:p>
    <w:p>
      <w:pPr>
        <w:spacing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②</w:t>
      </w:r>
      <w:r>
        <w:rPr>
          <w:rFonts w:ascii="宋体" w:hAnsi="宋体" w:cs="宋体" w:eastAsia="宋体" w:hint="default"/>
          <w:spacing w:val="-2"/>
          <w:sz w:val="21"/>
          <w:szCs w:val="21"/>
        </w:rPr>
        <w:t> </w:t>
      </w:r>
      <w:r>
        <w:rPr>
          <w:rFonts w:ascii="宋体" w:hAnsi="宋体" w:cs="宋体" w:eastAsia="宋体" w:hint="default"/>
          <w:sz w:val="21"/>
          <w:szCs w:val="21"/>
        </w:rPr>
        <w:t>收入的金额能够可靠地计量。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37"/>
        <w:ind w:left="573" w:right="982" w:firstLine="0"/>
        <w:jc w:val="left"/>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pacing w:val="-5"/>
          <w:sz w:val="21"/>
          <w:szCs w:val="21"/>
        </w:rPr>
        <w:t> </w:t>
      </w:r>
      <w:r>
        <w:rPr>
          <w:rFonts w:ascii="宋体" w:hAnsi="宋体" w:cs="宋体" w:eastAsia="宋体" w:hint="default"/>
          <w:sz w:val="21"/>
          <w:szCs w:val="21"/>
        </w:rPr>
        <w:t>根据上述原则，公司根据不同的业务类型确认收入的具体标准如下：</w:t>
      </w:r>
    </w:p>
    <w:p>
      <w:pPr>
        <w:spacing w:line="240" w:lineRule="auto" w:before="11"/>
        <w:rPr>
          <w:rFonts w:ascii="宋体" w:hAnsi="宋体" w:cs="宋体" w:eastAsia="宋体" w:hint="default"/>
          <w:sz w:val="14"/>
          <w:szCs w:val="14"/>
        </w:rPr>
      </w:pPr>
    </w:p>
    <w:p>
      <w:pPr>
        <w:spacing w:line="408" w:lineRule="auto"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①</w:t>
      </w:r>
      <w:r>
        <w:rPr>
          <w:rFonts w:ascii="宋体" w:hAnsi="宋体" w:cs="宋体" w:eastAsia="宋体" w:hint="default"/>
          <w:spacing w:val="-1"/>
          <w:sz w:val="21"/>
          <w:szCs w:val="21"/>
        </w:rPr>
        <w:t> </w:t>
      </w:r>
      <w:r>
        <w:rPr>
          <w:rFonts w:ascii="宋体" w:hAnsi="宋体" w:cs="宋体" w:eastAsia="宋体" w:hint="default"/>
          <w:sz w:val="21"/>
          <w:szCs w:val="21"/>
        </w:rPr>
        <w:t>数字城管项目在取得项目进度确认单时按照完工进度确认收入：</w:t>
      </w:r>
      <w:r>
        <w:rPr>
          <w:rFonts w:ascii="宋体" w:hAnsi="宋体" w:cs="宋体" w:eastAsia="宋体" w:hint="default"/>
          <w:w w:val="100"/>
          <w:sz w:val="21"/>
          <w:szCs w:val="21"/>
        </w:rPr>
        <w:t> </w:t>
      </w:r>
      <w:r>
        <w:rPr>
          <w:rFonts w:ascii="宋体" w:hAnsi="宋体" w:cs="宋体" w:eastAsia="宋体" w:hint="default"/>
          <w:spacing w:val="-2"/>
          <w:sz w:val="21"/>
          <w:szCs w:val="21"/>
        </w:rPr>
        <w:t>其中：</w:t>
      </w:r>
      <w:r>
        <w:rPr>
          <w:rFonts w:ascii="宋体" w:hAnsi="宋体" w:cs="宋体" w:eastAsia="宋体" w:hint="default"/>
          <w:spacing w:val="-2"/>
          <w:sz w:val="21"/>
          <w:szCs w:val="21"/>
        </w:rPr>
        <w:t>A.</w:t>
      </w:r>
      <w:r>
        <w:rPr>
          <w:rFonts w:ascii="宋体" w:hAnsi="宋体" w:cs="宋体" w:eastAsia="宋体" w:hint="default"/>
          <w:spacing w:val="-2"/>
          <w:sz w:val="21"/>
          <w:szCs w:val="21"/>
        </w:rPr>
        <w:t>如软件部分和硬件部分不能够区分，或虽能区分但不能够单独计量的，整个项目按照完工进</w:t>
      </w:r>
    </w:p>
    <w:p>
      <w:pPr>
        <w:spacing w:line="408" w:lineRule="auto" w:before="46"/>
        <w:ind w:left="152" w:right="982" w:firstLine="0"/>
        <w:jc w:val="left"/>
        <w:rPr>
          <w:rFonts w:ascii="宋体" w:hAnsi="宋体" w:cs="宋体" w:eastAsia="宋体" w:hint="default"/>
          <w:sz w:val="21"/>
          <w:szCs w:val="21"/>
        </w:rPr>
      </w:pPr>
      <w:r>
        <w:rPr>
          <w:rFonts w:ascii="宋体" w:hAnsi="宋体" w:cs="宋体" w:eastAsia="宋体" w:hint="default"/>
          <w:spacing w:val="-2"/>
          <w:sz w:val="21"/>
          <w:szCs w:val="21"/>
        </w:rPr>
        <w:t>度确认收入；</w:t>
      </w:r>
      <w:r>
        <w:rPr>
          <w:rFonts w:ascii="宋体" w:hAnsi="宋体" w:cs="宋体" w:eastAsia="宋体" w:hint="default"/>
          <w:spacing w:val="-2"/>
          <w:sz w:val="21"/>
          <w:szCs w:val="21"/>
        </w:rPr>
        <w:t>B.</w:t>
      </w:r>
      <w:r>
        <w:rPr>
          <w:rFonts w:ascii="宋体" w:hAnsi="宋体" w:cs="宋体" w:eastAsia="宋体" w:hint="default"/>
          <w:spacing w:val="-2"/>
          <w:sz w:val="21"/>
          <w:szCs w:val="21"/>
        </w:rPr>
        <w:t>软件部分和硬件部分能够区分并单独计量的，软件部分按照完工进度确认收入，硬件部分</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按照实际发生成本计算确认收入。</w:t>
      </w:r>
    </w:p>
    <w:p>
      <w:pPr>
        <w:spacing w:before="46"/>
        <w:ind w:left="573" w:right="982" w:firstLine="0"/>
        <w:jc w:val="left"/>
        <w:rPr>
          <w:rFonts w:ascii="宋体" w:hAnsi="宋体" w:cs="宋体" w:eastAsia="宋体" w:hint="default"/>
          <w:sz w:val="21"/>
          <w:szCs w:val="21"/>
        </w:rPr>
      </w:pPr>
      <w:r>
        <w:rPr>
          <w:rFonts w:ascii="宋体" w:hAnsi="宋体" w:cs="宋体" w:eastAsia="宋体" w:hint="default"/>
          <w:sz w:val="21"/>
          <w:szCs w:val="21"/>
        </w:rPr>
        <w:t>②</w:t>
      </w:r>
      <w:r>
        <w:rPr>
          <w:rFonts w:ascii="宋体" w:hAnsi="宋体" w:cs="宋体" w:eastAsia="宋体" w:hint="default"/>
          <w:spacing w:val="-5"/>
          <w:sz w:val="21"/>
          <w:szCs w:val="21"/>
        </w:rPr>
        <w:t> </w:t>
      </w:r>
      <w:r>
        <w:rPr>
          <w:rFonts w:ascii="宋体" w:hAnsi="宋体" w:cs="宋体" w:eastAsia="宋体" w:hint="default"/>
          <w:sz w:val="21"/>
          <w:szCs w:val="21"/>
        </w:rPr>
        <w:t>采集项目在约定的服务期内按直线法分期确认收入。</w:t>
      </w:r>
    </w:p>
    <w:p>
      <w:pPr>
        <w:spacing w:line="240" w:lineRule="auto" w:before="10"/>
        <w:rPr>
          <w:rFonts w:ascii="宋体" w:hAnsi="宋体" w:cs="宋体" w:eastAsia="宋体" w:hint="default"/>
          <w:sz w:val="14"/>
          <w:szCs w:val="14"/>
        </w:rPr>
      </w:pPr>
    </w:p>
    <w:p>
      <w:pPr>
        <w:spacing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③</w:t>
      </w:r>
      <w:r>
        <w:rPr>
          <w:rFonts w:ascii="宋体" w:hAnsi="宋体" w:cs="宋体" w:eastAsia="宋体" w:hint="default"/>
          <w:spacing w:val="-6"/>
          <w:sz w:val="21"/>
          <w:szCs w:val="21"/>
        </w:rPr>
        <w:t> </w:t>
      </w:r>
      <w:r>
        <w:rPr>
          <w:rFonts w:ascii="宋体" w:hAnsi="宋体" w:cs="宋体" w:eastAsia="宋体" w:hint="default"/>
          <w:sz w:val="21"/>
          <w:szCs w:val="21"/>
        </w:rPr>
        <w:t>安防项目、管道探测项目、管网检测项目在取得项目验收单时确认收入。</w:t>
      </w:r>
    </w:p>
    <w:p>
      <w:pPr>
        <w:spacing w:line="240" w:lineRule="auto" w:before="10"/>
        <w:rPr>
          <w:rFonts w:ascii="宋体" w:hAnsi="宋体" w:cs="宋体" w:eastAsia="宋体" w:hint="default"/>
          <w:sz w:val="14"/>
          <w:szCs w:val="14"/>
        </w:rPr>
      </w:pPr>
    </w:p>
    <w:p>
      <w:pPr>
        <w:spacing w:line="408" w:lineRule="auto" w:before="0"/>
        <w:ind w:left="573" w:right="2352" w:firstLine="0"/>
        <w:jc w:val="left"/>
        <w:rPr>
          <w:rFonts w:ascii="宋体" w:hAnsi="宋体" w:cs="宋体" w:eastAsia="宋体" w:hint="default"/>
          <w:sz w:val="21"/>
          <w:szCs w:val="21"/>
        </w:rPr>
      </w:pPr>
      <w:r>
        <w:rPr>
          <w:rFonts w:ascii="宋体" w:hAnsi="宋体" w:cs="宋体" w:eastAsia="宋体" w:hint="default"/>
          <w:sz w:val="21"/>
          <w:szCs w:val="21"/>
        </w:rPr>
        <w:t>④</w:t>
      </w:r>
      <w:r>
        <w:rPr>
          <w:rFonts w:ascii="宋体" w:hAnsi="宋体" w:cs="宋体" w:eastAsia="宋体" w:hint="default"/>
          <w:spacing w:val="-1"/>
          <w:sz w:val="21"/>
          <w:szCs w:val="21"/>
        </w:rPr>
        <w:t> </w:t>
      </w:r>
      <w:r>
        <w:rPr>
          <w:rFonts w:ascii="宋体" w:hAnsi="宋体" w:cs="宋体" w:eastAsia="宋体" w:hint="default"/>
          <w:sz w:val="21"/>
          <w:szCs w:val="21"/>
        </w:rPr>
        <w:t>PPP</w:t>
      </w:r>
      <w:r>
        <w:rPr>
          <w:rFonts w:ascii="宋体" w:hAnsi="宋体" w:cs="宋体" w:eastAsia="宋体" w:hint="default"/>
          <w:sz w:val="21"/>
          <w:szCs w:val="21"/>
        </w:rPr>
        <w:t>项目参照附注五、</w:t>
      </w:r>
      <w:r>
        <w:rPr>
          <w:rFonts w:ascii="宋体" w:hAnsi="宋体" w:cs="宋体" w:eastAsia="宋体" w:hint="default"/>
          <w:sz w:val="21"/>
          <w:szCs w:val="21"/>
        </w:rPr>
        <w:t>25</w:t>
      </w:r>
      <w:r>
        <w:rPr>
          <w:rFonts w:ascii="宋体" w:hAnsi="宋体" w:cs="宋体" w:eastAsia="宋体" w:hint="default"/>
          <w:sz w:val="21"/>
          <w:szCs w:val="21"/>
        </w:rPr>
        <w:t>（</w:t>
      </w:r>
      <w:r>
        <w:rPr>
          <w:rFonts w:ascii="宋体" w:hAnsi="宋体" w:cs="宋体" w:eastAsia="宋体" w:hint="default"/>
          <w:sz w:val="21"/>
          <w:szCs w:val="21"/>
        </w:rPr>
        <w:t>4</w:t>
      </w:r>
      <w:r>
        <w:rPr>
          <w:rFonts w:ascii="宋体" w:hAnsi="宋体" w:cs="宋体" w:eastAsia="宋体" w:hint="default"/>
          <w:sz w:val="21"/>
          <w:szCs w:val="21"/>
        </w:rPr>
        <w:t>）建造合同收入确认。</w:t>
      </w:r>
      <w:r>
        <w:rPr>
          <w:rFonts w:ascii="宋体" w:hAnsi="宋体" w:cs="宋体" w:eastAsia="宋体" w:hint="default"/>
          <w:w w:val="100"/>
          <w:sz w:val="21"/>
          <w:szCs w:val="21"/>
        </w:rPr>
        <w:t> </w:t>
      </w:r>
      <w:r>
        <w:rPr>
          <w:rFonts w:ascii="宋体" w:hAnsi="宋体" w:cs="宋体" w:eastAsia="宋体" w:hint="default"/>
          <w:sz w:val="21"/>
          <w:szCs w:val="21"/>
        </w:rPr>
        <w:t>说明：上述项目在收入分类明细中按照以下分类归集披露</w:t>
      </w:r>
      <w:r>
        <w:rPr>
          <w:rFonts w:ascii="宋体" w:hAnsi="宋体" w:cs="宋体" w:eastAsia="宋体" w:hint="default"/>
          <w:w w:val="100"/>
          <w:sz w:val="21"/>
          <w:szCs w:val="21"/>
        </w:rPr>
        <w:t> </w:t>
      </w:r>
      <w:r>
        <w:rPr>
          <w:rFonts w:ascii="宋体" w:hAnsi="宋体" w:cs="宋体" w:eastAsia="宋体" w:hint="default"/>
          <w:sz w:val="21"/>
          <w:szCs w:val="21"/>
        </w:rPr>
        <w:t>软件开发：数字城管中的软件收入；</w:t>
      </w:r>
      <w:r>
        <w:rPr>
          <w:rFonts w:ascii="宋体" w:hAnsi="宋体" w:cs="宋体" w:eastAsia="宋体" w:hint="default"/>
          <w:w w:val="100"/>
          <w:sz w:val="21"/>
          <w:szCs w:val="21"/>
        </w:rPr>
        <w:t> </w:t>
      </w:r>
      <w:r>
        <w:rPr>
          <w:rFonts w:ascii="宋体" w:hAnsi="宋体" w:cs="宋体" w:eastAsia="宋体" w:hint="default"/>
          <w:spacing w:val="-2"/>
          <w:sz w:val="21"/>
          <w:szCs w:val="21"/>
        </w:rPr>
        <w:t>系统集成：数字城管业务中的硬件部分、安防项目、</w:t>
      </w:r>
      <w:r>
        <w:rPr>
          <w:rFonts w:ascii="宋体" w:hAnsi="宋体" w:cs="宋体" w:eastAsia="宋体" w:hint="default"/>
          <w:spacing w:val="-2"/>
          <w:sz w:val="21"/>
          <w:szCs w:val="21"/>
        </w:rPr>
        <w:t>PPP</w:t>
      </w:r>
      <w:r>
        <w:rPr>
          <w:rFonts w:ascii="宋体" w:hAnsi="宋体" w:cs="宋体" w:eastAsia="宋体" w:hint="default"/>
          <w:spacing w:val="-2"/>
          <w:sz w:val="21"/>
          <w:szCs w:val="21"/>
        </w:rPr>
        <w:t>项目；</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运营服务：采集项目、管道探测项目、管网检测项目。</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26</w:t>
      </w:r>
      <w:r>
        <w:rPr>
          <w:rFonts w:ascii="宋体" w:hAnsi="宋体" w:cs="宋体" w:eastAsia="宋体" w:hint="default"/>
          <w:b/>
          <w:bCs/>
          <w:sz w:val="21"/>
          <w:szCs w:val="21"/>
        </w:rPr>
        <w:t>、政府补助</w:t>
      </w:r>
      <w:r>
        <w:rPr>
          <w:rFonts w:ascii="宋体" w:hAnsi="宋体" w:cs="宋体" w:eastAsia="宋体" w:hint="default"/>
          <w:sz w:val="21"/>
          <w:szCs w:val="21"/>
        </w:rPr>
      </w:r>
    </w:p>
    <w:p>
      <w:pPr>
        <w:spacing w:line="240" w:lineRule="auto" w:before="6"/>
        <w:rPr>
          <w:rFonts w:ascii="宋体" w:hAnsi="宋体" w:cs="宋体" w:eastAsia="宋体" w:hint="default"/>
          <w:b/>
          <w:bCs/>
          <w:sz w:val="30"/>
          <w:szCs w:val="30"/>
        </w:rPr>
      </w:pPr>
    </w:p>
    <w:p>
      <w:pPr>
        <w:spacing w:line="408" w:lineRule="auto" w:before="0"/>
        <w:ind w:left="152" w:right="982" w:firstLine="420"/>
        <w:jc w:val="left"/>
        <w:rPr>
          <w:rFonts w:ascii="宋体" w:hAnsi="宋体" w:cs="宋体" w:eastAsia="宋体" w:hint="default"/>
          <w:sz w:val="21"/>
          <w:szCs w:val="21"/>
        </w:rPr>
      </w:pPr>
      <w:r>
        <w:rPr>
          <w:rFonts w:ascii="宋体" w:hAnsi="宋体" w:cs="宋体" w:eastAsia="宋体" w:hint="default"/>
          <w:spacing w:val="-2"/>
          <w:sz w:val="21"/>
          <w:szCs w:val="21"/>
        </w:rPr>
        <w:t>政府补助，是公司从政府无偿取得的货币性资产与非货币性资产。分为与资产相关的政府补助和与收</w:t>
      </w:r>
      <w:r>
        <w:rPr>
          <w:rFonts w:ascii="宋体" w:hAnsi="宋体" w:cs="宋体" w:eastAsia="宋体" w:hint="default"/>
          <w:w w:val="100"/>
          <w:sz w:val="21"/>
          <w:szCs w:val="21"/>
        </w:rPr>
        <w:t> </w:t>
      </w:r>
      <w:r>
        <w:rPr>
          <w:rFonts w:ascii="宋体" w:hAnsi="宋体" w:cs="宋体" w:eastAsia="宋体" w:hint="default"/>
          <w:sz w:val="21"/>
          <w:szCs w:val="21"/>
        </w:rPr>
        <w:t>益相关的政府补助。</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与资产相关的政府补助判断依据及会计处理方法</w:t>
      </w:r>
      <w:r>
        <w:rPr>
          <w:rFonts w:ascii="宋体" w:hAnsi="宋体" w:cs="宋体" w:eastAsia="宋体" w:hint="default"/>
          <w:w w:val="100"/>
          <w:sz w:val="21"/>
          <w:szCs w:val="21"/>
        </w:rPr>
        <w:t> </w:t>
      </w:r>
      <w:r>
        <w:rPr>
          <w:rFonts w:ascii="宋体" w:hAnsi="宋体" w:cs="宋体" w:eastAsia="宋体" w:hint="default"/>
          <w:sz w:val="21"/>
          <w:szCs w:val="21"/>
        </w:rPr>
        <w:t>与资产相关的政府补助，是指企业取得的、用于购建或以其他方式形成长期资产的政府补助。</w:t>
      </w:r>
      <w:r>
        <w:rPr>
          <w:rFonts w:ascii="宋体" w:hAnsi="宋体" w:cs="宋体" w:eastAsia="宋体" w:hint="default"/>
          <w:w w:val="100"/>
          <w:sz w:val="21"/>
          <w:szCs w:val="21"/>
        </w:rPr>
        <w:t> </w:t>
      </w:r>
      <w:r>
        <w:rPr>
          <w:rFonts w:ascii="宋体" w:hAnsi="宋体" w:cs="宋体" w:eastAsia="宋体" w:hint="default"/>
          <w:spacing w:val="-2"/>
          <w:sz w:val="21"/>
          <w:szCs w:val="21"/>
        </w:rPr>
        <w:t>与资产相关的政府补助，确认为递延收益，并在相关资产使用寿命内按照合理、系统的方法分期计入</w:t>
      </w:r>
    </w:p>
    <w:p>
      <w:pPr>
        <w:spacing w:line="408" w:lineRule="auto" w:before="46"/>
        <w:ind w:left="573" w:right="982" w:hanging="421"/>
        <w:jc w:val="left"/>
        <w:rPr>
          <w:rFonts w:ascii="宋体" w:hAnsi="宋体" w:cs="宋体" w:eastAsia="宋体" w:hint="default"/>
          <w:sz w:val="21"/>
          <w:szCs w:val="21"/>
        </w:rPr>
      </w:pPr>
      <w:r>
        <w:rPr>
          <w:rFonts w:ascii="宋体" w:hAnsi="宋体" w:cs="宋体" w:eastAsia="宋体" w:hint="default"/>
          <w:sz w:val="21"/>
          <w:szCs w:val="21"/>
        </w:rPr>
        <w:t>损益。按照名义金额计量的政府补助，直接计入当期损益。</w:t>
      </w:r>
      <w:r>
        <w:rPr>
          <w:rFonts w:ascii="宋体" w:hAnsi="宋体" w:cs="宋体" w:eastAsia="宋体" w:hint="default"/>
          <w:w w:val="100"/>
          <w:sz w:val="21"/>
          <w:szCs w:val="21"/>
        </w:rPr>
        <w:t> </w:t>
      </w:r>
      <w:r>
        <w:rPr>
          <w:rFonts w:ascii="宋体" w:hAnsi="宋体" w:cs="宋体" w:eastAsia="宋体" w:hint="default"/>
          <w:spacing w:val="-2"/>
          <w:sz w:val="21"/>
          <w:szCs w:val="21"/>
        </w:rPr>
        <w:t>相关资产在使用寿命结束前被出售、转让、报废或发生毁损的，应当将尚未分配的相关递延收益余额</w:t>
      </w:r>
    </w:p>
    <w:p>
      <w:pPr>
        <w:spacing w:before="46"/>
        <w:ind w:left="152" w:right="982" w:firstLine="0"/>
        <w:jc w:val="left"/>
        <w:rPr>
          <w:rFonts w:ascii="宋体" w:hAnsi="宋体" w:cs="宋体" w:eastAsia="宋体" w:hint="default"/>
          <w:sz w:val="21"/>
          <w:szCs w:val="21"/>
        </w:rPr>
      </w:pPr>
      <w:r>
        <w:rPr>
          <w:rFonts w:ascii="宋体" w:hAnsi="宋体" w:cs="宋体" w:eastAsia="宋体" w:hint="default"/>
          <w:sz w:val="21"/>
          <w:szCs w:val="21"/>
        </w:rPr>
        <w:t>转入资产处置当期的损益。</w:t>
      </w:r>
    </w:p>
    <w:p>
      <w:pPr>
        <w:spacing w:after="0"/>
        <w:jc w:val="left"/>
        <w:rPr>
          <w:rFonts w:ascii="宋体" w:hAnsi="宋体" w:cs="宋体" w:eastAsia="宋体" w:hint="default"/>
          <w:sz w:val="21"/>
          <w:szCs w:val="21"/>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408" w:lineRule="auto" w:before="176"/>
        <w:ind w:left="152" w:right="982" w:firstLine="420"/>
        <w:jc w:val="left"/>
        <w:rPr>
          <w:rFonts w:ascii="宋体" w:hAnsi="宋体" w:cs="宋体" w:eastAsia="宋体" w:hint="default"/>
          <w:sz w:val="21"/>
          <w:szCs w:val="21"/>
        </w:rPr>
      </w:pPr>
      <w:r>
        <w:rPr>
          <w:rFonts w:ascii="宋体" w:hAnsi="宋体" w:cs="宋体" w:eastAsia="宋体" w:hint="default"/>
          <w:spacing w:val="-2"/>
          <w:sz w:val="21"/>
          <w:szCs w:val="21"/>
        </w:rPr>
        <w:t>与公司日常活动相关的政府补助，应当按照经济业务实质，计入其他收益。与公司日常活动无关的政</w:t>
      </w:r>
      <w:r>
        <w:rPr>
          <w:rFonts w:ascii="宋体" w:hAnsi="宋体" w:cs="宋体" w:eastAsia="宋体" w:hint="default"/>
          <w:w w:val="100"/>
          <w:sz w:val="21"/>
          <w:szCs w:val="21"/>
        </w:rPr>
        <w:t> </w:t>
      </w:r>
      <w:r>
        <w:rPr>
          <w:rFonts w:ascii="宋体" w:hAnsi="宋体" w:cs="宋体" w:eastAsia="宋体" w:hint="default"/>
          <w:sz w:val="21"/>
          <w:szCs w:val="21"/>
        </w:rPr>
        <w:t>府补助，应当计入营业外收支。</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与收益相关的政府补助判断依据及会计处理方法</w:t>
      </w:r>
      <w:r>
        <w:rPr>
          <w:rFonts w:ascii="宋体" w:hAnsi="宋体" w:cs="宋体" w:eastAsia="宋体" w:hint="default"/>
          <w:w w:val="100"/>
          <w:sz w:val="21"/>
          <w:szCs w:val="21"/>
        </w:rPr>
        <w:t> </w:t>
      </w:r>
      <w:r>
        <w:rPr>
          <w:rFonts w:ascii="宋体" w:hAnsi="宋体" w:cs="宋体" w:eastAsia="宋体" w:hint="default"/>
          <w:sz w:val="21"/>
          <w:szCs w:val="21"/>
        </w:rPr>
        <w:t>与收益相关的政府补助，是指除与资产相关的政府补助之外的政府补助。</w:t>
      </w:r>
      <w:r>
        <w:rPr>
          <w:rFonts w:ascii="宋体" w:hAnsi="宋体" w:cs="宋体" w:eastAsia="宋体" w:hint="default"/>
          <w:w w:val="100"/>
          <w:sz w:val="21"/>
          <w:szCs w:val="21"/>
        </w:rPr>
        <w:t> </w:t>
      </w:r>
      <w:r>
        <w:rPr>
          <w:rFonts w:ascii="宋体" w:hAnsi="宋体" w:cs="宋体" w:eastAsia="宋体" w:hint="default"/>
          <w:spacing w:val="-2"/>
          <w:sz w:val="21"/>
          <w:szCs w:val="21"/>
        </w:rPr>
        <w:t>企业对于综合性项目的政府补助，需要将其分解为与资产相关的部分和与收益相关的部分，分别进行</w:t>
      </w:r>
    </w:p>
    <w:p>
      <w:pPr>
        <w:spacing w:line="410" w:lineRule="auto" w:before="46"/>
        <w:ind w:left="573" w:right="982" w:hanging="421"/>
        <w:jc w:val="left"/>
        <w:rPr>
          <w:rFonts w:ascii="宋体" w:hAnsi="宋体" w:cs="宋体" w:eastAsia="宋体" w:hint="default"/>
          <w:sz w:val="21"/>
          <w:szCs w:val="21"/>
        </w:rPr>
      </w:pPr>
      <w:r>
        <w:rPr>
          <w:rFonts w:ascii="宋体" w:hAnsi="宋体" w:cs="宋体" w:eastAsia="宋体" w:hint="default"/>
          <w:sz w:val="21"/>
          <w:szCs w:val="21"/>
        </w:rPr>
        <w:t>会计处理；难以区分的，应当整体归类为与收益相关的政府补助。</w:t>
      </w:r>
      <w:r>
        <w:rPr>
          <w:rFonts w:ascii="宋体" w:hAnsi="宋体" w:cs="宋体" w:eastAsia="宋体" w:hint="default"/>
          <w:w w:val="100"/>
          <w:sz w:val="21"/>
          <w:szCs w:val="21"/>
        </w:rPr>
        <w:t> </w:t>
      </w:r>
      <w:r>
        <w:rPr>
          <w:rFonts w:ascii="宋体" w:hAnsi="宋体" w:cs="宋体" w:eastAsia="宋体" w:hint="default"/>
          <w:spacing w:val="-2"/>
          <w:sz w:val="21"/>
          <w:szCs w:val="21"/>
        </w:rPr>
        <w:t>与收益相关的政府补助，用于补偿企业以后期间的相关费用或损失的，取得时确认为递延收益，并在</w:t>
      </w:r>
    </w:p>
    <w:p>
      <w:pPr>
        <w:spacing w:line="408" w:lineRule="auto" w:before="44"/>
        <w:ind w:left="152" w:right="1126" w:firstLine="0"/>
        <w:jc w:val="both"/>
        <w:rPr>
          <w:rFonts w:ascii="宋体" w:hAnsi="宋体" w:cs="宋体" w:eastAsia="宋体" w:hint="default"/>
          <w:sz w:val="21"/>
          <w:szCs w:val="21"/>
        </w:rPr>
      </w:pPr>
      <w:r>
        <w:rPr>
          <w:rFonts w:ascii="宋体" w:hAnsi="宋体" w:cs="宋体" w:eastAsia="宋体" w:hint="default"/>
          <w:spacing w:val="-2"/>
          <w:sz w:val="21"/>
          <w:szCs w:val="21"/>
        </w:rPr>
        <w:t>确认相关成本费用或损失的期间，计入当期损益；用于补偿企业已发生的相关费用或损失的，直接计入当</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期损益。</w:t>
      </w:r>
    </w:p>
    <w:p>
      <w:pPr>
        <w:spacing w:line="408" w:lineRule="auto" w:before="46"/>
        <w:ind w:left="152" w:right="982" w:firstLine="420"/>
        <w:jc w:val="left"/>
        <w:rPr>
          <w:rFonts w:ascii="宋体" w:hAnsi="宋体" w:cs="宋体" w:eastAsia="宋体" w:hint="default"/>
          <w:sz w:val="21"/>
          <w:szCs w:val="21"/>
        </w:rPr>
      </w:pPr>
      <w:r>
        <w:rPr>
          <w:rFonts w:ascii="宋体" w:hAnsi="宋体" w:cs="宋体" w:eastAsia="宋体" w:hint="default"/>
          <w:spacing w:val="-2"/>
          <w:sz w:val="21"/>
          <w:szCs w:val="21"/>
        </w:rPr>
        <w:t>与公司日常活动相关的政府补助，应当按照经济业务实质，计入其他收益。与公司日常活动无关的政</w:t>
      </w:r>
      <w:r>
        <w:rPr>
          <w:rFonts w:ascii="宋体" w:hAnsi="宋体" w:cs="宋体" w:eastAsia="宋体" w:hint="default"/>
          <w:w w:val="100"/>
          <w:sz w:val="21"/>
          <w:szCs w:val="21"/>
        </w:rPr>
        <w:t> </w:t>
      </w:r>
      <w:r>
        <w:rPr>
          <w:rFonts w:ascii="宋体" w:hAnsi="宋体" w:cs="宋体" w:eastAsia="宋体" w:hint="default"/>
          <w:sz w:val="21"/>
          <w:szCs w:val="21"/>
        </w:rPr>
        <w:t>府补助，应当计入营业外收支。</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政府补助的确认时点</w:t>
      </w:r>
      <w:r>
        <w:rPr>
          <w:rFonts w:ascii="宋体" w:hAnsi="宋体" w:cs="宋体" w:eastAsia="宋体" w:hint="default"/>
          <w:w w:val="100"/>
          <w:sz w:val="21"/>
          <w:szCs w:val="21"/>
        </w:rPr>
        <w:t> </w:t>
      </w:r>
      <w:r>
        <w:rPr>
          <w:rFonts w:ascii="宋体" w:hAnsi="宋体" w:cs="宋体" w:eastAsia="宋体" w:hint="default"/>
          <w:spacing w:val="-2"/>
          <w:sz w:val="21"/>
          <w:szCs w:val="21"/>
        </w:rPr>
        <w:t>政府补助为货币性资产的，应当按照收到的金额计量。按照应收金额计量的政府补助，在期末有确凿</w:t>
      </w:r>
    </w:p>
    <w:p>
      <w:pPr>
        <w:spacing w:line="408" w:lineRule="auto" w:before="46"/>
        <w:ind w:left="152" w:right="1126" w:firstLine="0"/>
        <w:jc w:val="both"/>
        <w:rPr>
          <w:rFonts w:ascii="宋体" w:hAnsi="宋体" w:cs="宋体" w:eastAsia="宋体" w:hint="default"/>
          <w:sz w:val="21"/>
          <w:szCs w:val="21"/>
        </w:rPr>
      </w:pPr>
      <w:r>
        <w:rPr>
          <w:rFonts w:ascii="宋体" w:hAnsi="宋体" w:cs="宋体" w:eastAsia="宋体" w:hint="default"/>
          <w:spacing w:val="-2"/>
          <w:sz w:val="21"/>
          <w:szCs w:val="21"/>
        </w:rPr>
        <w:t>证据表明能够符合财政扶持政策规定的相关条件且预计能够收到财政扶持资金时予以确认；政府补助为非</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2"/>
          <w:sz w:val="21"/>
          <w:szCs w:val="21"/>
        </w:rPr>
        <w:t>货币性资产的，应当按照取得非货币性资产所有权风险和报酬转移时确认政府补助实现。其中非货币性资</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产按公允价值计量；公允价值不能可靠取得的，按照名义金额计量。</w:t>
      </w:r>
    </w:p>
    <w:p>
      <w:pPr>
        <w:spacing w:line="408" w:lineRule="auto" w:before="46"/>
        <w:ind w:left="152" w:right="982" w:firstLine="420"/>
        <w:jc w:val="left"/>
        <w:rPr>
          <w:rFonts w:ascii="宋体" w:hAnsi="宋体" w:cs="宋体" w:eastAsia="宋体" w:hint="default"/>
          <w:sz w:val="21"/>
          <w:szCs w:val="21"/>
        </w:rPr>
      </w:pPr>
      <w:r>
        <w:rPr>
          <w:rFonts w:ascii="宋体" w:hAnsi="宋体" w:cs="宋体" w:eastAsia="宋体" w:hint="default"/>
          <w:spacing w:val="-2"/>
          <w:sz w:val="21"/>
          <w:szCs w:val="21"/>
        </w:rPr>
        <w:t>已确认的政府补助需要返还时，存在相关递延收益余额的，冲减相关递延收益账面余额，超出部分计</w:t>
      </w:r>
      <w:r>
        <w:rPr>
          <w:rFonts w:ascii="宋体" w:hAnsi="宋体" w:cs="宋体" w:eastAsia="宋体" w:hint="default"/>
          <w:w w:val="100"/>
          <w:sz w:val="21"/>
          <w:szCs w:val="21"/>
        </w:rPr>
        <w:t> </w:t>
      </w:r>
      <w:r>
        <w:rPr>
          <w:rFonts w:ascii="宋体" w:hAnsi="宋体" w:cs="宋体" w:eastAsia="宋体" w:hint="default"/>
          <w:sz w:val="21"/>
          <w:szCs w:val="21"/>
        </w:rPr>
        <w:t>入当期损益；不存在相关递延收益的，直接计入当期损益。</w:t>
      </w:r>
    </w:p>
    <w:p>
      <w:pPr>
        <w:spacing w:line="240" w:lineRule="auto" w:before="6"/>
        <w:rPr>
          <w:rFonts w:ascii="宋体" w:hAnsi="宋体" w:cs="宋体" w:eastAsia="宋体" w:hint="default"/>
          <w:sz w:val="15"/>
          <w:szCs w:val="15"/>
        </w:rPr>
      </w:pPr>
    </w:p>
    <w:p>
      <w:pPr>
        <w:spacing w:line="670" w:lineRule="atLeast" w:before="0"/>
        <w:ind w:left="573" w:right="982" w:hanging="421"/>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27</w:t>
      </w:r>
      <w:r>
        <w:rPr>
          <w:rFonts w:ascii="宋体" w:hAnsi="宋体" w:cs="宋体" w:eastAsia="宋体" w:hint="default"/>
          <w:b/>
          <w:bCs/>
          <w:sz w:val="21"/>
          <w:szCs w:val="21"/>
        </w:rPr>
        <w:t>、递延所得税资产</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递延所得税负债</w:t>
      </w:r>
      <w:r>
        <w:rPr>
          <w:rFonts w:ascii="宋体" w:hAnsi="宋体" w:cs="宋体" w:eastAsia="宋体" w:hint="default"/>
          <w:b/>
          <w:bCs/>
          <w:w w:val="100"/>
          <w:sz w:val="21"/>
          <w:szCs w:val="21"/>
        </w:rPr>
        <w:t> </w:t>
      </w:r>
      <w:r>
        <w:rPr>
          <w:rFonts w:ascii="宋体" w:hAnsi="宋体" w:cs="宋体" w:eastAsia="宋体" w:hint="default"/>
          <w:spacing w:val="-2"/>
          <w:sz w:val="21"/>
          <w:szCs w:val="21"/>
        </w:rPr>
        <w:t>所得税采用资产负债表债务法进行核算。于资产负债表日，分析比较资产、负债的账面价值与其计税</w:t>
      </w:r>
    </w:p>
    <w:p>
      <w:pPr>
        <w:spacing w:line="240" w:lineRule="auto" w:before="10"/>
        <w:rPr>
          <w:rFonts w:ascii="宋体" w:hAnsi="宋体" w:cs="宋体" w:eastAsia="宋体" w:hint="default"/>
          <w:sz w:val="14"/>
          <w:szCs w:val="14"/>
        </w:rPr>
      </w:pPr>
    </w:p>
    <w:p>
      <w:pPr>
        <w:spacing w:line="408" w:lineRule="auto" w:before="0"/>
        <w:ind w:left="152" w:right="1104" w:firstLine="0"/>
        <w:jc w:val="both"/>
        <w:rPr>
          <w:rFonts w:ascii="宋体" w:hAnsi="宋体" w:cs="宋体" w:eastAsia="宋体" w:hint="default"/>
          <w:sz w:val="21"/>
          <w:szCs w:val="21"/>
        </w:rPr>
      </w:pPr>
      <w:r>
        <w:rPr>
          <w:rFonts w:ascii="宋体" w:hAnsi="宋体" w:cs="宋体" w:eastAsia="宋体" w:hint="default"/>
          <w:spacing w:val="-2"/>
          <w:sz w:val="21"/>
          <w:szCs w:val="21"/>
        </w:rPr>
        <w:t>基础，两者之间存在差异的，确认递延所得税资产、递延所得税负债及相应的递延所得税费用</w:t>
      </w:r>
      <w:r>
        <w:rPr>
          <w:rFonts w:ascii="宋体" w:hAnsi="宋体" w:cs="宋体" w:eastAsia="宋体" w:hint="default"/>
          <w:spacing w:val="-2"/>
          <w:sz w:val="21"/>
          <w:szCs w:val="21"/>
        </w:rPr>
        <w:t>(</w:t>
      </w:r>
      <w:r>
        <w:rPr>
          <w:rFonts w:ascii="宋体" w:hAnsi="宋体" w:cs="宋体" w:eastAsia="宋体" w:hint="default"/>
          <w:spacing w:val="-2"/>
          <w:sz w:val="21"/>
          <w:szCs w:val="21"/>
        </w:rPr>
        <w:t>或收益</w:t>
      </w:r>
      <w:r>
        <w:rPr>
          <w:rFonts w:ascii="宋体" w:hAnsi="宋体" w:cs="宋体" w:eastAsia="宋体" w:hint="default"/>
          <w:spacing w:val="-2"/>
          <w:sz w:val="21"/>
          <w:szCs w:val="21"/>
        </w:rPr>
        <w:t>)</w:t>
      </w:r>
      <w:r>
        <w:rPr>
          <w:rFonts w:ascii="宋体" w:hAnsi="宋体" w:cs="宋体" w:eastAsia="宋体" w:hint="default"/>
          <w:spacing w:val="-2"/>
          <w:sz w:val="21"/>
          <w:szCs w:val="21"/>
        </w:rPr>
        <w:t>。</w:t>
      </w:r>
      <w:r>
        <w:rPr>
          <w:rFonts w:ascii="宋体" w:hAnsi="宋体" w:cs="宋体" w:eastAsia="宋体" w:hint="default"/>
          <w:spacing w:val="-19"/>
          <w:sz w:val="21"/>
          <w:szCs w:val="21"/>
        </w:rPr>
        <w:t> </w:t>
      </w:r>
      <w:r>
        <w:rPr>
          <w:rFonts w:ascii="宋体" w:hAnsi="宋体" w:cs="宋体" w:eastAsia="宋体" w:hint="default"/>
          <w:spacing w:val="-2"/>
          <w:sz w:val="21"/>
          <w:szCs w:val="21"/>
        </w:rPr>
        <w:t>在计算确定当期所得税</w:t>
      </w:r>
      <w:r>
        <w:rPr>
          <w:rFonts w:ascii="宋体" w:hAnsi="宋体" w:cs="宋体" w:eastAsia="宋体" w:hint="default"/>
          <w:spacing w:val="-2"/>
          <w:sz w:val="21"/>
          <w:szCs w:val="21"/>
        </w:rPr>
        <w:t>(</w:t>
      </w:r>
      <w:r>
        <w:rPr>
          <w:rFonts w:ascii="宋体" w:hAnsi="宋体" w:cs="宋体" w:eastAsia="宋体" w:hint="default"/>
          <w:spacing w:val="-2"/>
          <w:sz w:val="21"/>
          <w:szCs w:val="21"/>
        </w:rPr>
        <w:t>即当期应交所得税</w:t>
      </w:r>
      <w:r>
        <w:rPr>
          <w:rFonts w:ascii="宋体" w:hAnsi="宋体" w:cs="宋体" w:eastAsia="宋体" w:hint="default"/>
          <w:spacing w:val="-2"/>
          <w:sz w:val="21"/>
          <w:szCs w:val="21"/>
        </w:rPr>
        <w:t>)</w:t>
      </w:r>
      <w:r>
        <w:rPr>
          <w:rFonts w:ascii="宋体" w:hAnsi="宋体" w:cs="宋体" w:eastAsia="宋体" w:hint="default"/>
          <w:spacing w:val="-2"/>
          <w:sz w:val="21"/>
          <w:szCs w:val="21"/>
        </w:rPr>
        <w:t>以及递延所得税费用</w:t>
      </w:r>
      <w:r>
        <w:rPr>
          <w:rFonts w:ascii="宋体" w:hAnsi="宋体" w:cs="宋体" w:eastAsia="宋体" w:hint="default"/>
          <w:spacing w:val="-2"/>
          <w:sz w:val="21"/>
          <w:szCs w:val="21"/>
        </w:rPr>
        <w:t>(</w:t>
      </w:r>
      <w:r>
        <w:rPr>
          <w:rFonts w:ascii="宋体" w:hAnsi="宋体" w:cs="宋体" w:eastAsia="宋体" w:hint="default"/>
          <w:spacing w:val="-2"/>
          <w:sz w:val="21"/>
          <w:szCs w:val="21"/>
        </w:rPr>
        <w:t>或收益</w:t>
      </w:r>
      <w:r>
        <w:rPr>
          <w:rFonts w:ascii="宋体" w:hAnsi="宋体" w:cs="宋体" w:eastAsia="宋体" w:hint="default"/>
          <w:spacing w:val="-2"/>
          <w:sz w:val="21"/>
          <w:szCs w:val="21"/>
        </w:rPr>
        <w:t>)</w:t>
      </w:r>
      <w:r>
        <w:rPr>
          <w:rFonts w:ascii="宋体" w:hAnsi="宋体" w:cs="宋体" w:eastAsia="宋体" w:hint="default"/>
          <w:spacing w:val="-2"/>
          <w:sz w:val="21"/>
          <w:szCs w:val="21"/>
        </w:rPr>
        <w:t>的基础上，将两者之和确认为利</w:t>
      </w:r>
      <w:r>
        <w:rPr>
          <w:rFonts w:ascii="宋体" w:hAnsi="宋体" w:cs="宋体" w:eastAsia="宋体" w:hint="default"/>
          <w:spacing w:val="-46"/>
          <w:sz w:val="21"/>
          <w:szCs w:val="21"/>
        </w:rPr>
        <w:t> </w:t>
      </w:r>
      <w:r>
        <w:rPr>
          <w:rFonts w:ascii="宋体" w:hAnsi="宋体" w:cs="宋体" w:eastAsia="宋体" w:hint="default"/>
          <w:spacing w:val="-46"/>
          <w:sz w:val="21"/>
          <w:szCs w:val="21"/>
        </w:rPr>
      </w:r>
      <w:r>
        <w:rPr>
          <w:rFonts w:ascii="宋体" w:hAnsi="宋体" w:cs="宋体" w:eastAsia="宋体" w:hint="default"/>
          <w:sz w:val="21"/>
          <w:szCs w:val="21"/>
        </w:rPr>
        <w:t>润表中的所得税费用</w:t>
      </w:r>
      <w:r>
        <w:rPr>
          <w:rFonts w:ascii="宋体" w:hAnsi="宋体" w:cs="宋体" w:eastAsia="宋体" w:hint="default"/>
          <w:sz w:val="21"/>
          <w:szCs w:val="21"/>
        </w:rPr>
        <w:t>(</w:t>
      </w:r>
      <w:r>
        <w:rPr>
          <w:rFonts w:ascii="宋体" w:hAnsi="宋体" w:cs="宋体" w:eastAsia="宋体" w:hint="default"/>
          <w:sz w:val="21"/>
          <w:szCs w:val="21"/>
        </w:rPr>
        <w:t>或收益</w:t>
      </w:r>
      <w:r>
        <w:rPr>
          <w:rFonts w:ascii="宋体" w:hAnsi="宋体" w:cs="宋体" w:eastAsia="宋体" w:hint="default"/>
          <w:sz w:val="21"/>
          <w:szCs w:val="21"/>
        </w:rPr>
        <w:t>)</w:t>
      </w:r>
      <w:r>
        <w:rPr>
          <w:rFonts w:ascii="宋体" w:hAnsi="宋体" w:cs="宋体" w:eastAsia="宋体" w:hint="default"/>
          <w:sz w:val="21"/>
          <w:szCs w:val="21"/>
        </w:rPr>
        <w:t>，但不包括直接计入所有者权益的交易或事项的所得税影响。</w:t>
      </w:r>
    </w:p>
    <w:p>
      <w:pPr>
        <w:spacing w:line="408" w:lineRule="auto" w:before="46"/>
        <w:ind w:left="152" w:right="982" w:firstLine="420"/>
        <w:jc w:val="left"/>
        <w:rPr>
          <w:rFonts w:ascii="宋体" w:hAnsi="宋体" w:cs="宋体" w:eastAsia="宋体" w:hint="default"/>
          <w:sz w:val="21"/>
          <w:szCs w:val="21"/>
        </w:rPr>
      </w:pPr>
      <w:r>
        <w:rPr>
          <w:rFonts w:ascii="宋体" w:hAnsi="宋体" w:cs="宋体" w:eastAsia="宋体" w:hint="default"/>
          <w:spacing w:val="-2"/>
          <w:sz w:val="21"/>
          <w:szCs w:val="21"/>
        </w:rPr>
        <w:t>资产负债表日，对递延所得税资产的账面价值进行复核。如果未来期间很可能无法获得足够的应纳税</w:t>
      </w:r>
      <w:r>
        <w:rPr>
          <w:rFonts w:ascii="宋体" w:hAnsi="宋体" w:cs="宋体" w:eastAsia="宋体" w:hint="default"/>
          <w:w w:val="100"/>
          <w:sz w:val="21"/>
          <w:szCs w:val="21"/>
        </w:rPr>
        <w:t> </w:t>
      </w:r>
      <w:r>
        <w:rPr>
          <w:rFonts w:ascii="宋体" w:hAnsi="宋体" w:cs="宋体" w:eastAsia="宋体" w:hint="default"/>
          <w:sz w:val="21"/>
          <w:szCs w:val="21"/>
        </w:rPr>
        <w:t>所得额用以抵扣递延所得税资产的利益，应当减记递延所得税资产的账面价值。</w:t>
      </w:r>
    </w:p>
    <w:p>
      <w:pPr>
        <w:spacing w:after="0" w:line="408" w:lineRule="auto"/>
        <w:jc w:val="left"/>
        <w:rPr>
          <w:rFonts w:ascii="宋体" w:hAnsi="宋体" w:cs="宋体" w:eastAsia="宋体" w:hint="default"/>
          <w:sz w:val="21"/>
          <w:szCs w:val="21"/>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28</w:t>
      </w:r>
      <w:r>
        <w:rPr>
          <w:rFonts w:ascii="宋体" w:hAnsi="宋体" w:cs="宋体" w:eastAsia="宋体" w:hint="default"/>
          <w:b/>
          <w:bCs/>
          <w:sz w:val="21"/>
          <w:szCs w:val="21"/>
        </w:rPr>
        <w:t>、租赁</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）经营租赁的会计处理方法</w:t>
      </w:r>
      <w:r>
        <w:rPr>
          <w:rFonts w:ascii="宋体" w:hAnsi="宋体" w:cs="宋体" w:eastAsia="宋体" w:hint="default"/>
          <w:sz w:val="21"/>
          <w:szCs w:val="21"/>
        </w:rPr>
      </w:r>
    </w:p>
    <w:p>
      <w:pPr>
        <w:spacing w:line="240" w:lineRule="auto" w:before="6"/>
        <w:rPr>
          <w:rFonts w:ascii="宋体" w:hAnsi="宋体" w:cs="宋体" w:eastAsia="宋体" w:hint="default"/>
          <w:b/>
          <w:bCs/>
          <w:sz w:val="30"/>
          <w:szCs w:val="30"/>
        </w:rPr>
      </w:pPr>
    </w:p>
    <w:p>
      <w:pPr>
        <w:spacing w:line="408" w:lineRule="auto" w:before="0"/>
        <w:ind w:left="573" w:right="6474" w:firstLine="0"/>
        <w:jc w:val="left"/>
        <w:rPr>
          <w:rFonts w:ascii="宋体" w:hAnsi="宋体" w:cs="宋体" w:eastAsia="宋体" w:hint="default"/>
          <w:sz w:val="21"/>
          <w:szCs w:val="21"/>
        </w:rPr>
      </w:pPr>
      <w:r>
        <w:rPr>
          <w:rFonts w:ascii="宋体" w:hAnsi="宋体" w:cs="宋体" w:eastAsia="宋体" w:hint="default"/>
          <w:spacing w:val="-2"/>
          <w:sz w:val="21"/>
          <w:szCs w:val="21"/>
        </w:rPr>
        <w:t>公司作为承租人对经营租赁的处理</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租金的处理</w:t>
      </w:r>
    </w:p>
    <w:p>
      <w:pPr>
        <w:spacing w:before="46"/>
        <w:ind w:left="573" w:right="982" w:firstLine="0"/>
        <w:jc w:val="left"/>
        <w:rPr>
          <w:rFonts w:ascii="宋体" w:hAnsi="宋体" w:cs="宋体" w:eastAsia="宋体" w:hint="default"/>
          <w:sz w:val="21"/>
          <w:szCs w:val="21"/>
        </w:rPr>
      </w:pPr>
      <w:r>
        <w:rPr>
          <w:rFonts w:ascii="宋体" w:hAnsi="宋体" w:cs="宋体" w:eastAsia="宋体" w:hint="default"/>
          <w:sz w:val="21"/>
          <w:szCs w:val="21"/>
        </w:rPr>
        <w:t>在经营租赁下需将支付或应付的租金计入相关资产成本或当期损益。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10" w:lineRule="auto" w:before="137"/>
        <w:ind w:left="573" w:right="4274" w:firstLine="0"/>
        <w:jc w:val="left"/>
        <w:rPr>
          <w:rFonts w:ascii="宋体" w:hAnsi="宋体" w:cs="宋体" w:eastAsia="宋体" w:hint="default"/>
          <w:sz w:val="21"/>
          <w:szCs w:val="21"/>
        </w:rPr>
      </w:pPr>
      <w:r>
        <w:rPr>
          <w:rFonts w:ascii="宋体" w:hAnsi="宋体" w:cs="宋体" w:eastAsia="宋体" w:hint="default"/>
          <w:sz w:val="21"/>
          <w:szCs w:val="21"/>
        </w:rPr>
        <w:t>初始直接费用的处理</w:t>
      </w:r>
      <w:r>
        <w:rPr>
          <w:rFonts w:ascii="宋体" w:hAnsi="宋体" w:cs="宋体" w:eastAsia="宋体" w:hint="default"/>
          <w:w w:val="100"/>
          <w:sz w:val="21"/>
          <w:szCs w:val="21"/>
        </w:rPr>
        <w:t> </w:t>
      </w:r>
      <w:r>
        <w:rPr>
          <w:rFonts w:ascii="宋体" w:hAnsi="宋体" w:cs="宋体" w:eastAsia="宋体" w:hint="default"/>
          <w:spacing w:val="-2"/>
          <w:sz w:val="21"/>
          <w:szCs w:val="21"/>
        </w:rPr>
        <w:t>对于承租人在经营租赁中发生的初始直接费用，计入当期损益。</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p>
      <w:pPr>
        <w:spacing w:line="408" w:lineRule="auto" w:before="0"/>
        <w:ind w:left="573" w:right="4274" w:firstLine="0"/>
        <w:jc w:val="left"/>
        <w:rPr>
          <w:rFonts w:ascii="宋体" w:hAnsi="宋体" w:cs="宋体" w:eastAsia="宋体" w:hint="default"/>
          <w:sz w:val="21"/>
          <w:szCs w:val="21"/>
        </w:rPr>
      </w:pPr>
      <w:r>
        <w:rPr>
          <w:rFonts w:ascii="宋体" w:hAnsi="宋体" w:cs="宋体" w:eastAsia="宋体" w:hint="default"/>
          <w:sz w:val="21"/>
          <w:szCs w:val="21"/>
        </w:rPr>
        <w:t>或有租金的处理</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2"/>
          <w:sz w:val="21"/>
          <w:szCs w:val="21"/>
        </w:rPr>
        <w:t>在经营租赁下，承租人对或有租金在实际发生时计入当期损益。</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出租人提供激励措施的处理</w:t>
      </w:r>
      <w:r>
        <w:rPr>
          <w:rFonts w:ascii="宋体" w:hAnsi="宋体" w:cs="宋体" w:eastAsia="宋体" w:hint="default"/>
          <w:w w:val="100"/>
          <w:sz w:val="21"/>
          <w:szCs w:val="21"/>
        </w:rPr>
        <w:t> </w:t>
      </w:r>
      <w:r>
        <w:rPr>
          <w:rFonts w:ascii="宋体" w:hAnsi="宋体" w:cs="宋体" w:eastAsia="宋体" w:hint="default"/>
          <w:spacing w:val="-2"/>
          <w:sz w:val="21"/>
          <w:szCs w:val="21"/>
        </w:rPr>
        <w:t>出租人提供免租期的，承租人应将租金总额在不扣除免租期的整个租赁期内，按直线法或其他合理的</w:t>
      </w:r>
    </w:p>
    <w:p>
      <w:pPr>
        <w:spacing w:line="408" w:lineRule="auto" w:before="46"/>
        <w:ind w:left="152" w:right="982" w:firstLine="0"/>
        <w:jc w:val="left"/>
        <w:rPr>
          <w:rFonts w:ascii="宋体" w:hAnsi="宋体" w:cs="宋体" w:eastAsia="宋体" w:hint="default"/>
          <w:sz w:val="21"/>
          <w:szCs w:val="21"/>
        </w:rPr>
      </w:pPr>
      <w:r>
        <w:rPr>
          <w:rFonts w:ascii="宋体" w:hAnsi="宋体" w:cs="宋体" w:eastAsia="宋体" w:hint="default"/>
          <w:spacing w:val="-2"/>
          <w:sz w:val="21"/>
          <w:szCs w:val="21"/>
        </w:rPr>
        <w:t>方法进行分摊，免租期内应当确认租金费用及相应的负债。出租人承担了承租人某些费用的，承租人将该</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费用从租金费用总额中扣除，按扣除后的租金费用余额在租赁期内进行分摊。</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573" w:right="6474" w:firstLine="0"/>
        <w:jc w:val="left"/>
        <w:rPr>
          <w:rFonts w:ascii="宋体" w:hAnsi="宋体" w:cs="宋体" w:eastAsia="宋体" w:hint="default"/>
          <w:sz w:val="21"/>
          <w:szCs w:val="21"/>
        </w:rPr>
      </w:pPr>
      <w:r>
        <w:rPr>
          <w:rFonts w:ascii="宋体" w:hAnsi="宋体" w:cs="宋体" w:eastAsia="宋体" w:hint="default"/>
          <w:spacing w:val="-2"/>
          <w:sz w:val="21"/>
          <w:szCs w:val="21"/>
        </w:rPr>
        <w:t>公司作为出租人对经营租赁的处理</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租金的处理</w:t>
      </w:r>
    </w:p>
    <w:p>
      <w:pPr>
        <w:spacing w:before="46"/>
        <w:ind w:left="573" w:right="982" w:firstLine="0"/>
        <w:jc w:val="left"/>
        <w:rPr>
          <w:rFonts w:ascii="宋体" w:hAnsi="宋体" w:cs="宋体" w:eastAsia="宋体" w:hint="default"/>
          <w:sz w:val="21"/>
          <w:szCs w:val="21"/>
        </w:rPr>
      </w:pPr>
      <w:r>
        <w:rPr>
          <w:rFonts w:ascii="宋体" w:hAnsi="宋体" w:cs="宋体" w:eastAsia="宋体" w:hint="default"/>
          <w:sz w:val="21"/>
          <w:szCs w:val="21"/>
        </w:rPr>
        <w:t>出租人应采用直线法将收到的租金在租赁期内确认为收益。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08" w:lineRule="auto" w:before="138"/>
        <w:ind w:left="573" w:right="982" w:firstLine="0"/>
        <w:jc w:val="left"/>
        <w:rPr>
          <w:rFonts w:ascii="宋体" w:hAnsi="宋体" w:cs="宋体" w:eastAsia="宋体" w:hint="default"/>
          <w:sz w:val="21"/>
          <w:szCs w:val="21"/>
        </w:rPr>
      </w:pPr>
      <w:r>
        <w:rPr>
          <w:rFonts w:ascii="宋体" w:hAnsi="宋体" w:cs="宋体" w:eastAsia="宋体" w:hint="default"/>
          <w:sz w:val="21"/>
          <w:szCs w:val="21"/>
        </w:rPr>
        <w:t>初始直接费用的处理</w:t>
      </w:r>
      <w:r>
        <w:rPr>
          <w:rFonts w:ascii="宋体" w:hAnsi="宋体" w:cs="宋体" w:eastAsia="宋体" w:hint="default"/>
          <w:w w:val="100"/>
          <w:sz w:val="21"/>
          <w:szCs w:val="21"/>
        </w:rPr>
        <w:t> </w:t>
      </w:r>
      <w:r>
        <w:rPr>
          <w:rFonts w:ascii="宋体" w:hAnsi="宋体" w:cs="宋体" w:eastAsia="宋体" w:hint="default"/>
          <w:spacing w:val="-2"/>
          <w:sz w:val="21"/>
          <w:szCs w:val="21"/>
        </w:rPr>
        <w:t>经营租赁中出租人发生的初始直接费用，是指在租赁谈判和签订租赁合同的过程中发生的可归属于租</w:t>
      </w:r>
    </w:p>
    <w:p>
      <w:pPr>
        <w:spacing w:line="408" w:lineRule="auto" w:before="46"/>
        <w:ind w:left="152" w:right="982" w:firstLine="0"/>
        <w:jc w:val="left"/>
        <w:rPr>
          <w:rFonts w:ascii="宋体" w:hAnsi="宋体" w:cs="宋体" w:eastAsia="宋体" w:hint="default"/>
          <w:sz w:val="21"/>
          <w:szCs w:val="21"/>
        </w:rPr>
      </w:pPr>
      <w:r>
        <w:rPr>
          <w:rFonts w:ascii="宋体" w:hAnsi="宋体" w:cs="宋体" w:eastAsia="宋体" w:hint="default"/>
          <w:spacing w:val="-2"/>
          <w:sz w:val="21"/>
          <w:szCs w:val="21"/>
        </w:rPr>
        <w:t>赁项目的手续费、律师费、差旅费、印花税等，计入当期损益。金额较大的应当资本化，在整个经营租赁</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z w:val="21"/>
          <w:szCs w:val="21"/>
        </w:rPr>
        <w:t>期内按照与确认租金收入相同的基础分期计入当期损益。</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租赁资产折旧的计提</w:t>
      </w:r>
      <w:r>
        <w:rPr>
          <w:rFonts w:ascii="宋体" w:hAnsi="宋体" w:cs="宋体" w:eastAsia="宋体" w:hint="default"/>
          <w:w w:val="100"/>
          <w:sz w:val="21"/>
          <w:szCs w:val="21"/>
        </w:rPr>
        <w:t> </w:t>
      </w:r>
      <w:r>
        <w:rPr>
          <w:rFonts w:ascii="宋体" w:hAnsi="宋体" w:cs="宋体" w:eastAsia="宋体" w:hint="default"/>
          <w:spacing w:val="-2"/>
          <w:sz w:val="21"/>
          <w:szCs w:val="21"/>
        </w:rPr>
        <w:t>对于经营租赁资产中的固定资产，采用出租人对类似应折旧资产通常所采用的折旧政策计提折旧。</w:t>
      </w:r>
    </w:p>
    <w:p>
      <w:pPr>
        <w:spacing w:after="0" w:line="408" w:lineRule="auto"/>
        <w:jc w:val="left"/>
        <w:rPr>
          <w:rFonts w:ascii="宋体" w:hAnsi="宋体" w:cs="宋体" w:eastAsia="宋体" w:hint="default"/>
          <w:sz w:val="21"/>
          <w:szCs w:val="21"/>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408" w:lineRule="auto" w:before="176"/>
        <w:ind w:left="573" w:right="6474" w:firstLine="0"/>
        <w:jc w:val="left"/>
        <w:rPr>
          <w:rFonts w:ascii="宋体" w:hAnsi="宋体" w:cs="宋体" w:eastAsia="宋体" w:hint="default"/>
          <w:sz w:val="21"/>
          <w:szCs w:val="21"/>
        </w:rPr>
      </w:pPr>
      <w:r>
        <w:rPr>
          <w:rFonts w:ascii="宋体" w:hAnsi="宋体" w:cs="宋体" w:eastAsia="宋体" w:hint="default"/>
          <w:sz w:val="21"/>
          <w:szCs w:val="21"/>
        </w:rPr>
        <w:t>或有租金的处理</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在实际发生时计入当期收益。</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出租人对经营租赁提供激励措施的处理</w:t>
      </w:r>
      <w:r>
        <w:rPr>
          <w:rFonts w:ascii="宋体" w:hAnsi="宋体" w:cs="宋体" w:eastAsia="宋体" w:hint="default"/>
          <w:w w:val="100"/>
          <w:sz w:val="21"/>
          <w:szCs w:val="21"/>
        </w:rPr>
        <w:t> </w:t>
      </w:r>
      <w:r>
        <w:rPr>
          <w:rFonts w:ascii="宋体" w:hAnsi="宋体" w:cs="宋体" w:eastAsia="宋体" w:hint="default"/>
          <w:spacing w:val="-2"/>
          <w:sz w:val="21"/>
          <w:szCs w:val="21"/>
        </w:rPr>
        <w:t>出租人提供免租期的，出租人将租金总额在不扣除免租期的整个租赁期内，按直线法或其他合理的方</w:t>
      </w:r>
    </w:p>
    <w:p>
      <w:pPr>
        <w:spacing w:line="408" w:lineRule="auto" w:before="46"/>
        <w:ind w:left="152" w:right="1126" w:firstLine="0"/>
        <w:jc w:val="both"/>
        <w:rPr>
          <w:rFonts w:ascii="宋体" w:hAnsi="宋体" w:cs="宋体" w:eastAsia="宋体" w:hint="default"/>
          <w:sz w:val="21"/>
          <w:szCs w:val="21"/>
        </w:rPr>
      </w:pPr>
      <w:r>
        <w:rPr>
          <w:rFonts w:ascii="宋体" w:hAnsi="宋体" w:cs="宋体" w:eastAsia="宋体" w:hint="default"/>
          <w:spacing w:val="-2"/>
          <w:sz w:val="21"/>
          <w:szCs w:val="21"/>
        </w:rPr>
        <w:t>法进行分配，免租期内出租人确认租金收入。出租人承担了承租人某些费用的，出租人将该费用自租金收</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入总额中扣除，按扣除后的租金收入余额在租赁期内进行分配。</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经营租赁资产在财务报表中的处理</w:t>
      </w:r>
      <w:r>
        <w:rPr>
          <w:rFonts w:ascii="宋体" w:hAnsi="宋体" w:cs="宋体" w:eastAsia="宋体" w:hint="default"/>
          <w:w w:val="100"/>
          <w:sz w:val="21"/>
          <w:szCs w:val="21"/>
        </w:rPr>
        <w:t> </w:t>
      </w:r>
      <w:r>
        <w:rPr>
          <w:rFonts w:ascii="宋体" w:hAnsi="宋体" w:cs="宋体" w:eastAsia="宋体" w:hint="default"/>
          <w:spacing w:val="-2"/>
          <w:sz w:val="21"/>
          <w:szCs w:val="21"/>
        </w:rPr>
        <w:t>在经营租赁下，与资产所有权有关的主要风险和报酬仍然留在出租人一方，因此出租人将出租资产作</w:t>
      </w:r>
    </w:p>
    <w:p>
      <w:pPr>
        <w:spacing w:line="408" w:lineRule="auto" w:before="46"/>
        <w:ind w:left="152" w:right="1105" w:firstLine="0"/>
        <w:jc w:val="both"/>
        <w:rPr>
          <w:rFonts w:ascii="宋体" w:hAnsi="宋体" w:cs="宋体" w:eastAsia="宋体" w:hint="default"/>
          <w:sz w:val="21"/>
          <w:szCs w:val="21"/>
        </w:rPr>
      </w:pPr>
      <w:r>
        <w:rPr>
          <w:rFonts w:ascii="宋体" w:hAnsi="宋体" w:cs="宋体" w:eastAsia="宋体" w:hint="default"/>
          <w:spacing w:val="-2"/>
          <w:sz w:val="21"/>
          <w:szCs w:val="21"/>
        </w:rPr>
        <w:t>为自身拥有的资产在资产负债表中列示，如果出租资产属于固定资产，则列在资产负债表固定资产项下，</w:t>
      </w:r>
      <w:r>
        <w:rPr>
          <w:rFonts w:ascii="宋体" w:hAnsi="宋体" w:cs="宋体" w:eastAsia="宋体" w:hint="default"/>
          <w:spacing w:val="-21"/>
          <w:sz w:val="21"/>
          <w:szCs w:val="21"/>
        </w:rPr>
        <w:t> </w:t>
      </w:r>
      <w:r>
        <w:rPr>
          <w:rFonts w:ascii="宋体" w:hAnsi="宋体" w:cs="宋体" w:eastAsia="宋体" w:hint="default"/>
          <w:spacing w:val="-21"/>
          <w:sz w:val="21"/>
          <w:szCs w:val="21"/>
        </w:rPr>
      </w:r>
      <w:r>
        <w:rPr>
          <w:rFonts w:ascii="宋体" w:hAnsi="宋体" w:cs="宋体" w:eastAsia="宋体" w:hint="default"/>
          <w:sz w:val="21"/>
          <w:szCs w:val="21"/>
        </w:rPr>
        <w:t>如果出租资产属于流动资产，则列在资产负债表有关流动资产项下。</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公司作为承租人对融资租赁的处理</w:t>
      </w:r>
      <w:r>
        <w:rPr>
          <w:rFonts w:ascii="宋体" w:hAnsi="宋体" w:cs="宋体" w:eastAsia="宋体" w:hint="default"/>
          <w:w w:val="100"/>
          <w:sz w:val="21"/>
          <w:szCs w:val="21"/>
        </w:rPr>
        <w:t> </w:t>
      </w:r>
      <w:r>
        <w:rPr>
          <w:rFonts w:ascii="宋体" w:hAnsi="宋体" w:cs="宋体" w:eastAsia="宋体" w:hint="default"/>
          <w:spacing w:val="-2"/>
          <w:sz w:val="21"/>
          <w:szCs w:val="21"/>
        </w:rPr>
        <w:t>于租赁期开始日，将租赁开始日租赁资产的公允价值与最低租赁付款额现值两者中较低者作为租入资</w:t>
      </w:r>
    </w:p>
    <w:p>
      <w:pPr>
        <w:spacing w:line="408" w:lineRule="auto" w:before="46"/>
        <w:ind w:left="152" w:right="1126" w:firstLine="0"/>
        <w:jc w:val="both"/>
        <w:rPr>
          <w:rFonts w:ascii="宋体" w:hAnsi="宋体" w:cs="宋体" w:eastAsia="宋体" w:hint="default"/>
          <w:sz w:val="21"/>
          <w:szCs w:val="21"/>
        </w:rPr>
      </w:pPr>
      <w:r>
        <w:rPr>
          <w:rFonts w:ascii="宋体" w:hAnsi="宋体" w:cs="宋体" w:eastAsia="宋体" w:hint="default"/>
          <w:spacing w:val="-2"/>
          <w:sz w:val="21"/>
          <w:szCs w:val="21"/>
        </w:rPr>
        <w:t>产的入账价值，将最低租赁付款额作为长期应付款的入账价值，其差额作为未确认融资费用。此外，在租</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pacing w:val="-2"/>
          <w:sz w:val="21"/>
          <w:szCs w:val="21"/>
        </w:rPr>
        <w:t>赁谈判和签订租赁合同过程中发生的，可归属于租赁项目的初始直接费用也计入租入资产价值。最低租赁</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付款额扣除未确认融资费用后的余额分别长期负债和一年内到期的长期负债列示。</w:t>
      </w:r>
    </w:p>
    <w:p>
      <w:pPr>
        <w:spacing w:line="408" w:lineRule="auto" w:before="46"/>
        <w:ind w:left="152" w:right="982" w:firstLine="420"/>
        <w:jc w:val="left"/>
        <w:rPr>
          <w:rFonts w:ascii="宋体" w:hAnsi="宋体" w:cs="宋体" w:eastAsia="宋体" w:hint="default"/>
          <w:sz w:val="21"/>
          <w:szCs w:val="21"/>
        </w:rPr>
      </w:pPr>
      <w:r>
        <w:rPr>
          <w:rFonts w:ascii="宋体" w:hAnsi="宋体" w:cs="宋体" w:eastAsia="宋体" w:hint="default"/>
          <w:spacing w:val="-2"/>
          <w:sz w:val="21"/>
          <w:szCs w:val="21"/>
        </w:rPr>
        <w:t>未确认融资费用在租赁期内采用实际利率法计算确认当期的融资费用。或有租金于实际发生时计入当</w:t>
      </w:r>
      <w:r>
        <w:rPr>
          <w:rFonts w:ascii="宋体" w:hAnsi="宋体" w:cs="宋体" w:eastAsia="宋体" w:hint="default"/>
          <w:w w:val="100"/>
          <w:sz w:val="21"/>
          <w:szCs w:val="21"/>
        </w:rPr>
        <w:t> </w:t>
      </w:r>
      <w:r>
        <w:rPr>
          <w:rFonts w:ascii="宋体" w:hAnsi="宋体" w:cs="宋体" w:eastAsia="宋体" w:hint="default"/>
          <w:sz w:val="21"/>
          <w:szCs w:val="21"/>
        </w:rPr>
        <w:t>期损益。</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line="408" w:lineRule="auto"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公司作为出租人对融资租赁的处理</w:t>
      </w:r>
      <w:r>
        <w:rPr>
          <w:rFonts w:ascii="宋体" w:hAnsi="宋体" w:cs="宋体" w:eastAsia="宋体" w:hint="default"/>
          <w:w w:val="100"/>
          <w:sz w:val="21"/>
          <w:szCs w:val="21"/>
        </w:rPr>
        <w:t> </w:t>
      </w:r>
      <w:r>
        <w:rPr>
          <w:rFonts w:ascii="宋体" w:hAnsi="宋体" w:cs="宋体" w:eastAsia="宋体" w:hint="default"/>
          <w:spacing w:val="2"/>
          <w:sz w:val="21"/>
          <w:szCs w:val="21"/>
        </w:rPr>
        <w:t>于租赁期开始日，将租赁开始日最低租赁收款额与初始直接费用之和作为应收融资租赁款的入账价</w:t>
      </w:r>
    </w:p>
    <w:p>
      <w:pPr>
        <w:spacing w:line="408" w:lineRule="auto" w:before="46"/>
        <w:ind w:left="152" w:right="1126" w:firstLine="0"/>
        <w:jc w:val="both"/>
        <w:rPr>
          <w:rFonts w:ascii="宋体" w:hAnsi="宋体" w:cs="宋体" w:eastAsia="宋体" w:hint="default"/>
          <w:sz w:val="21"/>
          <w:szCs w:val="21"/>
        </w:rPr>
      </w:pPr>
      <w:r>
        <w:rPr>
          <w:rFonts w:ascii="宋体" w:hAnsi="宋体" w:cs="宋体" w:eastAsia="宋体" w:hint="default"/>
          <w:spacing w:val="-2"/>
          <w:sz w:val="21"/>
          <w:szCs w:val="21"/>
        </w:rPr>
        <w:t>值，同时记录未担保余值；将最低租赁收款额、初始直接费用及未担保余值之和与其现值之和的差额确认</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2"/>
          <w:sz w:val="21"/>
          <w:szCs w:val="21"/>
        </w:rPr>
        <w:t>为未实现融资收益。应收融资租赁款扣除未实现融资收益后的余额分别长期债权和一年内到期的长期债权</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列示。</w:t>
      </w:r>
    </w:p>
    <w:p>
      <w:pPr>
        <w:spacing w:line="408" w:lineRule="auto" w:before="46"/>
        <w:ind w:left="152" w:right="982" w:firstLine="420"/>
        <w:jc w:val="left"/>
        <w:rPr>
          <w:rFonts w:ascii="宋体" w:hAnsi="宋体" w:cs="宋体" w:eastAsia="宋体" w:hint="default"/>
          <w:sz w:val="21"/>
          <w:szCs w:val="21"/>
        </w:rPr>
      </w:pPr>
      <w:r>
        <w:rPr>
          <w:rFonts w:ascii="宋体" w:hAnsi="宋体" w:cs="宋体" w:eastAsia="宋体" w:hint="default"/>
          <w:spacing w:val="-2"/>
          <w:sz w:val="21"/>
          <w:szCs w:val="21"/>
        </w:rPr>
        <w:t>未实现融资收益在租赁期内采用实际利率法计算确认当期的融资收入。或有租金于实际发生时计入当</w:t>
      </w:r>
      <w:r>
        <w:rPr>
          <w:rFonts w:ascii="宋体" w:hAnsi="宋体" w:cs="宋体" w:eastAsia="宋体" w:hint="default"/>
          <w:w w:val="100"/>
          <w:sz w:val="21"/>
          <w:szCs w:val="21"/>
        </w:rPr>
        <w:t> </w:t>
      </w:r>
      <w:r>
        <w:rPr>
          <w:rFonts w:ascii="宋体" w:hAnsi="宋体" w:cs="宋体" w:eastAsia="宋体" w:hint="default"/>
          <w:sz w:val="21"/>
          <w:szCs w:val="21"/>
        </w:rPr>
        <w:t>期损益。</w:t>
      </w:r>
    </w:p>
    <w:p>
      <w:pPr>
        <w:spacing w:after="0" w:line="408" w:lineRule="auto"/>
        <w:jc w:val="left"/>
        <w:rPr>
          <w:rFonts w:ascii="宋体" w:hAnsi="宋体" w:cs="宋体" w:eastAsia="宋体" w:hint="default"/>
          <w:sz w:val="21"/>
          <w:szCs w:val="21"/>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29</w:t>
      </w:r>
      <w:r>
        <w:rPr>
          <w:rFonts w:ascii="宋体" w:hAnsi="宋体" w:cs="宋体" w:eastAsia="宋体" w:hint="default"/>
          <w:b/>
          <w:bCs/>
          <w:sz w:val="21"/>
          <w:szCs w:val="21"/>
        </w:rPr>
        <w:t>、其他重要的会计政策和会计估计</w:t>
      </w:r>
      <w:r>
        <w:rPr>
          <w:rFonts w:ascii="宋体" w:hAnsi="宋体" w:cs="宋体" w:eastAsia="宋体" w:hint="default"/>
          <w:sz w:val="21"/>
          <w:szCs w:val="21"/>
        </w:rPr>
      </w:r>
    </w:p>
    <w:p>
      <w:pPr>
        <w:spacing w:line="240" w:lineRule="auto" w:before="8"/>
        <w:rPr>
          <w:rFonts w:ascii="宋体" w:hAnsi="宋体" w:cs="宋体" w:eastAsia="宋体" w:hint="default"/>
          <w:b/>
          <w:bCs/>
          <w:sz w:val="30"/>
          <w:szCs w:val="30"/>
        </w:rPr>
      </w:pPr>
    </w:p>
    <w:p>
      <w:pPr>
        <w:spacing w:line="408" w:lineRule="auto" w:before="0"/>
        <w:ind w:left="573" w:right="982" w:firstLine="0"/>
        <w:jc w:val="left"/>
        <w:rPr>
          <w:rFonts w:ascii="宋体" w:hAnsi="宋体" w:cs="宋体" w:eastAsia="宋体" w:hint="default"/>
          <w:sz w:val="21"/>
          <w:szCs w:val="21"/>
        </w:rPr>
      </w:pPr>
      <w:r>
        <w:rPr>
          <w:rFonts w:ascii="宋体" w:hAnsi="宋体" w:cs="宋体" w:eastAsia="宋体" w:hint="default"/>
          <w:sz w:val="21"/>
          <w:szCs w:val="21"/>
        </w:rPr>
        <w:t>终止经营</w:t>
      </w:r>
      <w:r>
        <w:rPr>
          <w:rFonts w:ascii="宋体" w:hAnsi="宋体" w:cs="宋体" w:eastAsia="宋体" w:hint="default"/>
          <w:w w:val="100"/>
          <w:sz w:val="21"/>
          <w:szCs w:val="21"/>
        </w:rPr>
        <w:t> </w:t>
      </w:r>
      <w:r>
        <w:rPr>
          <w:rFonts w:ascii="宋体" w:hAnsi="宋体" w:cs="宋体" w:eastAsia="宋体" w:hint="default"/>
          <w:spacing w:val="-2"/>
          <w:sz w:val="21"/>
          <w:szCs w:val="21"/>
        </w:rPr>
        <w:t>终止经营，是指满足下列条件之一的已被公司处置或划归为持有待售的、在经营和编制财务报表时能</w:t>
      </w:r>
    </w:p>
    <w:p>
      <w:pPr>
        <w:spacing w:line="408" w:lineRule="auto" w:before="46"/>
        <w:ind w:left="573" w:right="4274" w:hanging="421"/>
        <w:jc w:val="left"/>
        <w:rPr>
          <w:rFonts w:ascii="宋体" w:hAnsi="宋体" w:cs="宋体" w:eastAsia="宋体" w:hint="default"/>
          <w:sz w:val="21"/>
          <w:szCs w:val="21"/>
        </w:rPr>
      </w:pPr>
      <w:r>
        <w:rPr>
          <w:rFonts w:ascii="宋体" w:hAnsi="宋体" w:cs="宋体" w:eastAsia="宋体" w:hint="default"/>
          <w:sz w:val="21"/>
          <w:szCs w:val="21"/>
        </w:rPr>
        <w:t>够单独区分的组成部分：</w:t>
      </w:r>
      <w:r>
        <w:rPr>
          <w:rFonts w:ascii="宋体" w:hAnsi="宋体" w:cs="宋体" w:eastAsia="宋体" w:hint="default"/>
          <w:w w:val="100"/>
          <w:sz w:val="21"/>
          <w:szCs w:val="21"/>
        </w:rPr>
        <w:t> </w:t>
      </w:r>
      <w:r>
        <w:rPr>
          <w:rFonts w:ascii="宋体" w:hAnsi="宋体" w:cs="宋体" w:eastAsia="宋体" w:hint="default"/>
          <w:spacing w:val="-2"/>
          <w:sz w:val="21"/>
          <w:szCs w:val="21"/>
        </w:rPr>
        <w:t>该组成部分代表一项独立的主要业务或一个主要经营地区；</w:t>
      </w:r>
    </w:p>
    <w:p>
      <w:pPr>
        <w:spacing w:line="408" w:lineRule="auto" w:before="46"/>
        <w:ind w:left="573" w:right="982" w:firstLine="0"/>
        <w:jc w:val="left"/>
        <w:rPr>
          <w:rFonts w:ascii="宋体" w:hAnsi="宋体" w:cs="宋体" w:eastAsia="宋体" w:hint="default"/>
          <w:sz w:val="21"/>
          <w:szCs w:val="21"/>
        </w:rPr>
      </w:pPr>
      <w:r>
        <w:rPr>
          <w:rFonts w:ascii="宋体" w:hAnsi="宋体" w:cs="宋体" w:eastAsia="宋体" w:hint="default"/>
          <w:spacing w:val="-2"/>
          <w:sz w:val="21"/>
          <w:szCs w:val="21"/>
        </w:rPr>
        <w:t>该组成部分是拟对一项独立的主要业务或一个主要经营地区进行处置计划的一部分；</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该组成部分是仅仅为了再出售而取得的子公司。</w:t>
      </w:r>
      <w:r>
        <w:rPr>
          <w:rFonts w:ascii="宋体" w:hAnsi="宋体" w:cs="宋体" w:eastAsia="宋体" w:hint="default"/>
          <w:w w:val="100"/>
          <w:sz w:val="21"/>
          <w:szCs w:val="21"/>
        </w:rPr>
        <w:t> </w:t>
      </w:r>
      <w:r>
        <w:rPr>
          <w:rFonts w:ascii="宋体" w:hAnsi="宋体" w:cs="宋体" w:eastAsia="宋体" w:hint="default"/>
          <w:sz w:val="21"/>
          <w:szCs w:val="21"/>
        </w:rPr>
        <w:t>终止经营的会计处理方法参见本附注“划分为持有待售资产”相关描述。</w:t>
      </w:r>
    </w:p>
    <w:p>
      <w:pPr>
        <w:spacing w:line="408" w:lineRule="auto" w:before="46"/>
        <w:ind w:left="573" w:right="982" w:firstLine="0"/>
        <w:jc w:val="left"/>
        <w:rPr>
          <w:rFonts w:ascii="宋体" w:hAnsi="宋体" w:cs="宋体" w:eastAsia="宋体" w:hint="default"/>
          <w:sz w:val="21"/>
          <w:szCs w:val="21"/>
        </w:rPr>
      </w:pPr>
      <w:r>
        <w:rPr>
          <w:rFonts w:ascii="宋体" w:hAnsi="宋体" w:cs="宋体" w:eastAsia="宋体" w:hint="default"/>
          <w:sz w:val="21"/>
          <w:szCs w:val="21"/>
        </w:rPr>
        <w:t>回购股份</w:t>
      </w:r>
      <w:r>
        <w:rPr>
          <w:rFonts w:ascii="宋体" w:hAnsi="宋体" w:cs="宋体" w:eastAsia="宋体" w:hint="default"/>
          <w:w w:val="100"/>
          <w:sz w:val="21"/>
          <w:szCs w:val="21"/>
        </w:rPr>
        <w:t> </w:t>
      </w:r>
      <w:r>
        <w:rPr>
          <w:rFonts w:ascii="宋体" w:hAnsi="宋体" w:cs="宋体" w:eastAsia="宋体" w:hint="default"/>
          <w:spacing w:val="-2"/>
          <w:sz w:val="21"/>
          <w:szCs w:val="21"/>
        </w:rPr>
        <w:t>股份回购中支付的对价和交易费用减少股东权益，回购、转上或注销本公司股份时，不确认利得或损</w:t>
      </w:r>
    </w:p>
    <w:p>
      <w:pPr>
        <w:spacing w:before="46"/>
        <w:ind w:left="152" w:right="982" w:firstLine="0"/>
        <w:jc w:val="left"/>
        <w:rPr>
          <w:rFonts w:ascii="宋体" w:hAnsi="宋体" w:cs="宋体" w:eastAsia="宋体" w:hint="default"/>
          <w:sz w:val="21"/>
          <w:szCs w:val="21"/>
        </w:rPr>
      </w:pPr>
      <w:r>
        <w:rPr>
          <w:rFonts w:ascii="宋体" w:hAnsi="宋体" w:cs="宋体" w:eastAsia="宋体" w:hint="default"/>
          <w:sz w:val="21"/>
          <w:szCs w:val="21"/>
        </w:rPr>
        <w:t>失。</w:t>
      </w:r>
    </w:p>
    <w:p>
      <w:pPr>
        <w:spacing w:line="240" w:lineRule="auto" w:before="10"/>
        <w:rPr>
          <w:rFonts w:ascii="宋体" w:hAnsi="宋体" w:cs="宋体" w:eastAsia="宋体" w:hint="default"/>
          <w:sz w:val="14"/>
          <w:szCs w:val="14"/>
        </w:rPr>
      </w:pPr>
    </w:p>
    <w:p>
      <w:pPr>
        <w:spacing w:line="408" w:lineRule="auto" w:before="0"/>
        <w:ind w:left="152" w:right="1126" w:firstLine="420"/>
        <w:jc w:val="both"/>
        <w:rPr>
          <w:rFonts w:ascii="宋体" w:hAnsi="宋体" w:cs="宋体" w:eastAsia="宋体" w:hint="default"/>
          <w:sz w:val="21"/>
          <w:szCs w:val="21"/>
        </w:rPr>
      </w:pPr>
      <w:r>
        <w:rPr>
          <w:rFonts w:ascii="宋体" w:hAnsi="宋体" w:cs="宋体" w:eastAsia="宋体" w:hint="default"/>
          <w:spacing w:val="-2"/>
          <w:sz w:val="21"/>
          <w:szCs w:val="21"/>
        </w:rPr>
        <w:t>转让库存股，按实际收到的金额与库存股账面金额的差额，计入资本公积，资本公积不足冲减的，冲</w:t>
      </w:r>
      <w:r>
        <w:rPr>
          <w:rFonts w:ascii="宋体" w:hAnsi="宋体" w:cs="宋体" w:eastAsia="宋体" w:hint="default"/>
          <w:w w:val="100"/>
          <w:sz w:val="21"/>
          <w:szCs w:val="21"/>
        </w:rPr>
        <w:t> </w:t>
      </w:r>
      <w:r>
        <w:rPr>
          <w:rFonts w:ascii="宋体" w:hAnsi="宋体" w:cs="宋体" w:eastAsia="宋体" w:hint="default"/>
          <w:spacing w:val="-2"/>
          <w:sz w:val="21"/>
          <w:szCs w:val="21"/>
        </w:rPr>
        <w:t>减盈余公积和未分配利润。注销库存股，按股票面值和注销股数减少股本，按注销库存股的账面余额与面</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值的差额，冲减资本公积，资本公积不足冲减的，冲减盈余公积和未分配利润。</w:t>
      </w:r>
    </w:p>
    <w:p>
      <w:pPr>
        <w:spacing w:line="240" w:lineRule="auto" w:before="8"/>
        <w:rPr>
          <w:rFonts w:ascii="宋体" w:hAnsi="宋体" w:cs="宋体" w:eastAsia="宋体" w:hint="default"/>
          <w:sz w:val="20"/>
          <w:szCs w:val="20"/>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30</w:t>
      </w:r>
      <w:r>
        <w:rPr>
          <w:rFonts w:ascii="宋体" w:hAnsi="宋体" w:cs="宋体" w:eastAsia="宋体" w:hint="default"/>
          <w:b/>
          <w:bCs/>
          <w:sz w:val="21"/>
          <w:szCs w:val="21"/>
        </w:rPr>
        <w:t>、重要会计政策和会计估计变更</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）重要会计政策变更</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pStyle w:val="BodyText"/>
        <w:spacing w:line="357" w:lineRule="auto" w:before="132"/>
        <w:ind w:left="633" w:right="982"/>
        <w:jc w:val="left"/>
        <w:rPr>
          <w:rFonts w:ascii="宋体" w:hAnsi="宋体" w:cs="宋体" w:eastAsia="宋体" w:hint="default"/>
        </w:rPr>
      </w:pPr>
      <w:r>
        <w:rPr/>
        <w:t>会计政策变更 </w:t>
      </w:r>
      <w:r>
        <w:rPr>
          <w:spacing w:val="3"/>
        </w:rPr>
        <w:t>根据财政部《关于修订印发</w:t>
      </w:r>
      <w:r>
        <w:rPr>
          <w:rFonts w:ascii="宋体" w:hAnsi="宋体" w:cs="宋体" w:eastAsia="宋体" w:hint="default"/>
          <w:spacing w:val="3"/>
        </w:rPr>
        <w:t>2018</w:t>
      </w:r>
      <w:r>
        <w:rPr>
          <w:spacing w:val="3"/>
        </w:rPr>
        <w:t>年度一般企业财务报表格式的通知》（财会</w:t>
      </w:r>
      <w:r>
        <w:rPr>
          <w:rFonts w:ascii="宋体" w:hAnsi="宋体" w:cs="宋体" w:eastAsia="宋体" w:hint="default"/>
          <w:spacing w:val="3"/>
        </w:rPr>
        <w:t>[2018]</w:t>
      </w:r>
      <w:r>
        <w:rPr>
          <w:rFonts w:ascii="宋体" w:hAnsi="宋体" w:cs="宋体" w:eastAsia="宋体" w:hint="default"/>
          <w:spacing w:val="10"/>
        </w:rPr>
        <w:t> </w:t>
      </w:r>
      <w:r>
        <w:rPr>
          <w:rFonts w:ascii="宋体" w:hAnsi="宋体" w:cs="宋体" w:eastAsia="宋体" w:hint="default"/>
        </w:rPr>
        <w:t>15</w:t>
      </w:r>
    </w:p>
    <w:p>
      <w:pPr>
        <w:pStyle w:val="BodyText"/>
        <w:spacing w:line="357" w:lineRule="auto"/>
        <w:ind w:left="633" w:right="5954" w:hanging="481"/>
        <w:jc w:val="left"/>
      </w:pPr>
      <w:r>
        <w:rPr/>
        <w:t>号），公司对财务报表格式进行了以下修订： 资产负债表</w:t>
      </w:r>
    </w:p>
    <w:p>
      <w:pPr>
        <w:pStyle w:val="BodyText"/>
        <w:spacing w:line="357" w:lineRule="auto"/>
        <w:ind w:left="633" w:right="1873"/>
        <w:jc w:val="left"/>
      </w:pPr>
      <w:r>
        <w:rPr/>
        <w:t>将原“应收票据”及“应收账款”行项目整合为“应收票据及应收账款”； 将原“应收利息”及“应收股利”行项目归并至“其他应收款”； 将原“固定资产清理”行项目归并至“固定资产”； 将原“工程物资”行项目归并至“在建工程”； 将原“应付票据”及“应付账款”行项目整合为“应付票据及应付账款”项目； 将原“应付利息”及“应付股利”行项目归并至“其他应付款”； 将原“专项应付款”行项目归并至“长期应付款”。</w:t>
      </w:r>
    </w:p>
    <w:p>
      <w:pPr>
        <w:spacing w:after="0" w:line="357" w:lineRule="auto"/>
        <w:jc w:val="left"/>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5"/>
          <w:szCs w:val="25"/>
        </w:rPr>
      </w:pPr>
    </w:p>
    <w:p>
      <w:pPr>
        <w:pStyle w:val="BodyText"/>
        <w:spacing w:line="357" w:lineRule="auto" w:before="26"/>
        <w:ind w:left="633" w:right="5713"/>
        <w:jc w:val="left"/>
      </w:pPr>
      <w:r>
        <w:rPr/>
        <w:t>利润表 从原“管理费用”中分拆出“研发费用”；</w:t>
      </w:r>
    </w:p>
    <w:p>
      <w:pPr>
        <w:pStyle w:val="BodyText"/>
        <w:spacing w:line="357" w:lineRule="auto"/>
        <w:ind w:left="633" w:right="982"/>
        <w:jc w:val="left"/>
      </w:pPr>
      <w:r>
        <w:rPr/>
        <w:t>在“财务费用”行项目下分别列示“利息费用”和“利息收入”明细项目； 将原“重新计量设定受益计划净负债或净资产的变动”改为“重新计量设定受益计划变</w:t>
      </w:r>
    </w:p>
    <w:p>
      <w:pPr>
        <w:pStyle w:val="BodyText"/>
        <w:spacing w:line="240" w:lineRule="auto"/>
        <w:ind w:right="982"/>
        <w:jc w:val="left"/>
      </w:pPr>
      <w:r>
        <w:rPr/>
        <w:t>动额”；</w:t>
      </w:r>
    </w:p>
    <w:p>
      <w:pPr>
        <w:pStyle w:val="BodyText"/>
        <w:spacing w:line="357" w:lineRule="auto" w:before="154"/>
        <w:ind w:right="982" w:firstLine="480"/>
        <w:jc w:val="left"/>
      </w:pPr>
      <w:r>
        <w:rPr>
          <w:spacing w:val="7"/>
        </w:rPr>
        <w:t>将原“权益法下在被投资单位不能重分类进损益的其他综合收益中享有的份额”改为</w:t>
      </w:r>
      <w:r>
        <w:rPr>
          <w:spacing w:val="9"/>
        </w:rPr>
        <w:t> </w:t>
      </w:r>
      <w:r>
        <w:rPr/>
        <w:t>“权益法下不能转损益的其他综合收益”；</w:t>
      </w:r>
    </w:p>
    <w:p>
      <w:pPr>
        <w:pStyle w:val="BodyText"/>
        <w:spacing w:line="357" w:lineRule="auto"/>
        <w:ind w:right="982" w:firstLine="480"/>
        <w:jc w:val="left"/>
      </w:pPr>
      <w:r>
        <w:rPr/>
        <w:t>将原“权益法下在被投资单位以后将重分类进损益的其他综合收益中享有的份额”改为 “权益法下可转损益的其他综合收益”。</w:t>
      </w:r>
    </w:p>
    <w:p>
      <w:pPr>
        <w:spacing w:line="240" w:lineRule="auto" w:before="0"/>
        <w:rPr>
          <w:rFonts w:ascii="宋体" w:hAnsi="宋体" w:cs="宋体" w:eastAsia="宋体" w:hint="default"/>
          <w:sz w:val="24"/>
          <w:szCs w:val="24"/>
        </w:rPr>
      </w:pPr>
    </w:p>
    <w:p>
      <w:pPr>
        <w:pStyle w:val="BodyText"/>
        <w:spacing w:line="357" w:lineRule="auto" w:before="190"/>
        <w:ind w:left="633" w:right="982"/>
        <w:jc w:val="left"/>
      </w:pPr>
      <w:r>
        <w:rPr/>
        <w:t>所有者权益变动表 在“所有者权益内部结转”行项目下，将原“结转重新计量设定受益计划净负债或净资</w:t>
      </w:r>
    </w:p>
    <w:p>
      <w:pPr>
        <w:pStyle w:val="BodyText"/>
        <w:spacing w:line="357" w:lineRule="auto"/>
        <w:ind w:left="633" w:right="1153" w:hanging="481"/>
        <w:jc w:val="left"/>
      </w:pPr>
      <w:r>
        <w:rPr/>
        <w:t>产所产生的变动”改为“设定受益计划变动额结转留存收益”。 公司对可比期间的比较数据按照财会</w:t>
      </w:r>
      <w:r>
        <w:rPr>
          <w:rFonts w:ascii="宋体" w:hAnsi="宋体" w:cs="宋体" w:eastAsia="宋体" w:hint="default"/>
        </w:rPr>
        <w:t>[2018] 15</w:t>
      </w:r>
      <w:r>
        <w:rPr/>
        <w:t>号文进行调整。 财务报表格式的修订对公司的资产总额、负债总额、净利润、其他综合收益等无影响。</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）重要会计估计变更</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982"/>
        <w:jc w:val="left"/>
        <w:rPr>
          <w:b w:val="0"/>
          <w:bCs w:val="0"/>
        </w:rPr>
      </w:pPr>
      <w:r>
        <w:rPr/>
        <w:t>六、税项</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、主要税种及税率</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317" w:hRule="exact"/>
        </w:trPr>
        <w:tc>
          <w:tcPr>
            <w:tcW w:w="3191"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9" w:space="0" w:color="D2D2D2"/>
              <w:right w:val="single" w:sz="4" w:space="0" w:color="000000"/>
            </w:tcBorders>
          </w:tcPr>
          <w:p>
            <w:pPr>
              <w:pStyle w:val="TableParagraph"/>
              <w:spacing w:line="309" w:lineRule="auto" w:before="49"/>
              <w:ind w:left="17" w:right="34"/>
              <w:jc w:val="left"/>
              <w:rPr>
                <w:rFonts w:ascii="Times New Roman" w:hAnsi="Times New Roman" w:cs="Times New Roman" w:eastAsia="Times New Roman" w:hint="default"/>
                <w:sz w:val="18"/>
                <w:szCs w:val="18"/>
              </w:rPr>
            </w:pPr>
            <w:r>
              <w:rPr>
                <w:rFonts w:ascii="宋体" w:hAnsi="宋体" w:cs="宋体" w:eastAsia="宋体" w:hint="default"/>
                <w:sz w:val="18"/>
                <w:szCs w:val="18"/>
              </w:rPr>
              <w:t>应纳税增值额</w:t>
            </w:r>
            <w:r>
              <w:rPr>
                <w:rFonts w:ascii="Times New Roman" w:hAnsi="Times New Roman" w:cs="Times New Roman" w:eastAsia="Times New Roman" w:hint="default"/>
                <w:sz w:val="18"/>
                <w:szCs w:val="18"/>
              </w:rPr>
              <w:t>(</w:t>
            </w:r>
            <w:r>
              <w:rPr>
                <w:rFonts w:ascii="宋体" w:hAnsi="宋体" w:cs="宋体" w:eastAsia="宋体" w:hint="default"/>
                <w:sz w:val="18"/>
                <w:szCs w:val="18"/>
              </w:rPr>
              <w:t>应纳税额按应纳税销售额 乘以适用税率扣除当期允许抵扣的进项 税后的余额计算</w:t>
            </w:r>
            <w:r>
              <w:rPr>
                <w:rFonts w:ascii="Times New Roman" w:hAnsi="Times New Roman" w:cs="Times New Roman" w:eastAsia="Times New Roman" w:hint="default"/>
                <w:sz w:val="18"/>
                <w:szCs w:val="18"/>
              </w:rPr>
              <w:t>)</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17%</w:t>
            </w:r>
            <w:r>
              <w:rPr>
                <w:rFonts w:ascii="宋体" w:hAnsi="宋体" w:cs="宋体" w:eastAsia="宋体" w:hint="default"/>
                <w:sz w:val="18"/>
                <w:szCs w:val="18"/>
              </w:rPr>
              <w:t>、</w:t>
            </w:r>
            <w:r>
              <w:rPr>
                <w:rFonts w:ascii="Times New Roman" w:hAnsi="Times New Roman" w:cs="Times New Roman" w:eastAsia="Times New Roman" w:hint="default"/>
                <w:sz w:val="18"/>
                <w:szCs w:val="18"/>
              </w:rPr>
              <w:t>16%</w:t>
            </w:r>
            <w:r>
              <w:rPr>
                <w:rFonts w:ascii="宋体" w:hAnsi="宋体" w:cs="宋体" w:eastAsia="宋体" w:hint="default"/>
                <w:sz w:val="18"/>
                <w:szCs w:val="18"/>
              </w:rPr>
              <w:t>、</w:t>
            </w:r>
            <w:r>
              <w:rPr>
                <w:rFonts w:ascii="Times New Roman" w:hAnsi="Times New Roman" w:cs="Times New Roman" w:eastAsia="Times New Roman" w:hint="default"/>
                <w:sz w:val="18"/>
                <w:szCs w:val="18"/>
              </w:rPr>
              <w:t>11%</w:t>
            </w:r>
            <w:r>
              <w:rPr>
                <w:rFonts w:ascii="宋体" w:hAnsi="宋体" w:cs="宋体" w:eastAsia="宋体" w:hint="default"/>
                <w:sz w:val="18"/>
                <w:szCs w:val="18"/>
              </w:rPr>
              <w:t>、</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p>
        </w:tc>
      </w:tr>
      <w:tr>
        <w:trPr>
          <w:trHeight w:val="394" w:hRule="exact"/>
        </w:trPr>
        <w:tc>
          <w:tcPr>
            <w:tcW w:w="31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vMerge/>
            <w:tcBorders>
              <w:left w:val="single" w:sz="9"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317" w:hRule="exact"/>
        </w:trPr>
        <w:tc>
          <w:tcPr>
            <w:tcW w:w="3191"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9"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49"/>
              <w:ind w:left="13" w:right="0"/>
              <w:jc w:val="left"/>
              <w:rPr>
                <w:rFonts w:ascii="宋体" w:hAnsi="宋体" w:cs="宋体" w:eastAsia="宋体" w:hint="default"/>
                <w:sz w:val="18"/>
                <w:szCs w:val="18"/>
              </w:rPr>
            </w:pPr>
            <w:r>
              <w:rPr>
                <w:rFonts w:ascii="宋体" w:hAnsi="宋体" w:cs="宋体" w:eastAsia="宋体" w:hint="default"/>
                <w:sz w:val="18"/>
                <w:szCs w:val="18"/>
              </w:rPr>
              <w:t>应缴流转税税额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7%</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应缴流转税税额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应缴流转税税额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存在不同企业所得税税率纳税主体的，披露情况说明</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15.00%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北京数字智通科技有限公司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15.00%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北京数字政通智能泊车技术有限公司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上海政通信息技术有限公司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武汉智慧政通科技有限公司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克拉玛依数字政通信息科技有限责任公司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政通智慧城市运营科技有限公司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保定金迪地下管线探测工程有限公司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15.00%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保定市金迪科技开发有限公司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保定金迪科学仪器有限公司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15.00%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焦作市市民健康促进服务有限责任公司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江西政通城运科技有限公司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25.00%</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福建政通城运信息科技有限公司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3" w:right="0"/>
              <w:jc w:val="left"/>
              <w:rPr>
                <w:rFonts w:ascii="Times New Roman" w:hAnsi="Times New Roman" w:cs="Times New Roman" w:eastAsia="Times New Roman" w:hint="default"/>
                <w:sz w:val="18"/>
                <w:szCs w:val="18"/>
              </w:rPr>
            </w:pPr>
            <w:r>
              <w:rPr>
                <w:rFonts w:ascii="Times New Roman"/>
                <w:sz w:val="18"/>
              </w:rPr>
              <w:t>25.00%</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、税收优惠</w:t>
      </w:r>
      <w:r>
        <w:rPr>
          <w:rFonts w:ascii="宋体" w:hAnsi="宋体" w:cs="宋体" w:eastAsia="宋体" w:hint="default"/>
          <w:sz w:val="21"/>
          <w:szCs w:val="21"/>
        </w:rPr>
      </w:r>
    </w:p>
    <w:p>
      <w:pPr>
        <w:spacing w:line="240" w:lineRule="auto" w:before="9"/>
        <w:rPr>
          <w:rFonts w:ascii="宋体" w:hAnsi="宋体" w:cs="宋体" w:eastAsia="宋体" w:hint="default"/>
          <w:b/>
          <w:bCs/>
          <w:sz w:val="28"/>
          <w:szCs w:val="28"/>
        </w:rPr>
      </w:pPr>
    </w:p>
    <w:p>
      <w:pPr>
        <w:pStyle w:val="BodyText"/>
        <w:spacing w:line="357" w:lineRule="auto" w:before="0"/>
        <w:ind w:left="633" w:right="1117" w:hanging="481"/>
        <w:jc w:val="left"/>
        <w:rPr>
          <w:rFonts w:ascii="宋体" w:hAnsi="宋体" w:cs="宋体" w:eastAsia="宋体" w:hint="default"/>
        </w:rPr>
      </w:pPr>
      <w:r>
        <w:rPr/>
        <w:t>北京数字政通科技股份有限公司 </w:t>
      </w:r>
      <w:r>
        <w:rPr>
          <w:spacing w:val="-2"/>
        </w:rPr>
        <w:t>根据国务院下发的《关于鼓励软件产业和集成电路产业若干政策的通知》（国发</w:t>
      </w:r>
      <w:r>
        <w:rPr>
          <w:rFonts w:ascii="宋体" w:hAnsi="宋体" w:cs="宋体" w:eastAsia="宋体" w:hint="default"/>
          <w:spacing w:val="-2"/>
        </w:rPr>
        <w:t>[2011]4</w:t>
      </w:r>
    </w:p>
    <w:p>
      <w:pPr>
        <w:pStyle w:val="BodyText"/>
        <w:spacing w:line="357" w:lineRule="auto"/>
        <w:ind w:right="1128"/>
        <w:jc w:val="both"/>
      </w:pPr>
      <w:r>
        <w:rPr>
          <w:spacing w:val="3"/>
        </w:rPr>
        <w:t>号）和财政部、国家税务总局下发的《关于软件产品增值税政策的通知》（财税</w:t>
      </w:r>
      <w:r>
        <w:rPr>
          <w:rFonts w:ascii="宋体" w:hAnsi="宋体" w:cs="宋体" w:eastAsia="宋体" w:hint="default"/>
          <w:spacing w:val="3"/>
        </w:rPr>
        <w:t>[2011]100</w:t>
      </w:r>
      <w:r>
        <w:rPr>
          <w:rFonts w:ascii="宋体" w:hAnsi="宋体" w:cs="宋体" w:eastAsia="宋体" w:hint="default"/>
          <w:spacing w:val="-117"/>
        </w:rPr>
        <w:t> </w:t>
      </w:r>
      <w:r>
        <w:rPr>
          <w:spacing w:val="-2"/>
        </w:rPr>
        <w:t>号），销售自行开发生产的软件产品，按</w:t>
      </w:r>
      <w:r>
        <w:rPr>
          <w:rFonts w:ascii="宋体" w:hAnsi="宋体" w:cs="宋体" w:eastAsia="宋体" w:hint="default"/>
          <w:spacing w:val="-2"/>
        </w:rPr>
        <w:t>16%</w:t>
      </w:r>
      <w:r>
        <w:rPr>
          <w:spacing w:val="-2"/>
        </w:rPr>
        <w:t>的法定税率缴纳增值税后，享受增值税实际税负</w:t>
      </w:r>
      <w:r>
        <w:rPr>
          <w:spacing w:val="-117"/>
        </w:rPr>
        <w:t> </w:t>
      </w:r>
      <w:r>
        <w:rPr>
          <w:spacing w:val="-117"/>
        </w:rPr>
      </w:r>
      <w:r>
        <w:rPr/>
        <w:t>超过</w:t>
      </w:r>
      <w:r>
        <w:rPr>
          <w:rFonts w:ascii="宋体" w:hAnsi="宋体" w:cs="宋体" w:eastAsia="宋体" w:hint="default"/>
        </w:rPr>
        <w:t>3%</w:t>
      </w:r>
      <w:r>
        <w:rPr/>
        <w:t>的部分即征即退的税收优惠。</w:t>
      </w:r>
    </w:p>
    <w:p>
      <w:pPr>
        <w:pStyle w:val="BodyText"/>
        <w:spacing w:line="357" w:lineRule="auto"/>
        <w:ind w:right="1129" w:firstLine="480"/>
        <w:jc w:val="both"/>
      </w:pPr>
      <w:r>
        <w:rPr>
          <w:spacing w:val="3"/>
        </w:rPr>
        <w:t>根据国科发</w:t>
      </w:r>
      <w:r>
        <w:rPr>
          <w:rFonts w:ascii="宋体" w:hAnsi="宋体" w:cs="宋体" w:eastAsia="宋体" w:hint="default"/>
          <w:spacing w:val="3"/>
        </w:rPr>
        <w:t>[2008]172</w:t>
      </w:r>
      <w:r>
        <w:rPr>
          <w:spacing w:val="3"/>
        </w:rPr>
        <w:t>号北京市新技术产业开发试验区暂行条例的有关规定，</w:t>
      </w:r>
      <w:r>
        <w:rPr>
          <w:rFonts w:ascii="宋体" w:hAnsi="宋体" w:cs="宋体" w:eastAsia="宋体" w:hint="default"/>
          <w:spacing w:val="3"/>
        </w:rPr>
        <w:t>2017</w:t>
      </w:r>
      <w:r>
        <w:rPr>
          <w:spacing w:val="3"/>
        </w:rPr>
        <w:t>年</w:t>
      </w:r>
      <w:r>
        <w:rPr>
          <w:rFonts w:ascii="宋体" w:hAnsi="宋体" w:cs="宋体" w:eastAsia="宋体" w:hint="default"/>
          <w:spacing w:val="3"/>
        </w:rPr>
        <w:t>10</w:t>
      </w:r>
      <w:r>
        <w:rPr>
          <w:rFonts w:ascii="宋体" w:hAnsi="宋体" w:cs="宋体" w:eastAsia="宋体" w:hint="default"/>
        </w:rPr>
        <w:t> </w:t>
      </w:r>
      <w:r>
        <w:rPr/>
        <w:t>月</w:t>
      </w:r>
      <w:r>
        <w:rPr>
          <w:rFonts w:ascii="宋体" w:hAnsi="宋体" w:cs="宋体" w:eastAsia="宋体" w:hint="default"/>
        </w:rPr>
        <w:t>25</w:t>
      </w:r>
      <w:r>
        <w:rPr/>
        <w:t>日，北京市科学技术委员会向本公司颁发了编号为</w:t>
      </w:r>
      <w:r>
        <w:rPr>
          <w:rFonts w:ascii="宋体" w:hAnsi="宋体" w:cs="宋体" w:eastAsia="宋体" w:hint="default"/>
        </w:rPr>
        <w:t>GR201711002304</w:t>
      </w:r>
      <w:r>
        <w:rPr/>
        <w:t>的《高新技术企业证</w:t>
      </w:r>
      <w:r>
        <w:rPr>
          <w:spacing w:val="-88"/>
        </w:rPr>
        <w:t> </w:t>
      </w:r>
      <w:r>
        <w:rPr>
          <w:spacing w:val="-88"/>
        </w:rPr>
      </w:r>
      <w:r>
        <w:rPr/>
        <w:t>书》，有效期</w:t>
      </w:r>
      <w:r>
        <w:rPr>
          <w:rFonts w:ascii="宋体" w:hAnsi="宋体" w:cs="宋体" w:eastAsia="宋体" w:hint="default"/>
        </w:rPr>
        <w:t>3</w:t>
      </w:r>
      <w:r>
        <w:rPr/>
        <w:t>年。根据国家税务局下发的国税函</w:t>
      </w:r>
      <w:r>
        <w:rPr>
          <w:rFonts w:ascii="宋体" w:hAnsi="宋体" w:cs="宋体" w:eastAsia="宋体" w:hint="default"/>
        </w:rPr>
        <w:t>[2009]203</w:t>
      </w:r>
      <w:r>
        <w:rPr/>
        <w:t>号，本公司</w:t>
      </w:r>
      <w:r>
        <w:rPr>
          <w:rFonts w:ascii="宋体" w:hAnsi="宋体" w:cs="宋体" w:eastAsia="宋体" w:hint="default"/>
        </w:rPr>
        <w:t>2018</w:t>
      </w:r>
      <w:r>
        <w:rPr/>
        <w:t>年适用所得税税</w:t>
      </w:r>
      <w:r>
        <w:rPr>
          <w:spacing w:val="-84"/>
        </w:rPr>
        <w:t> </w:t>
      </w:r>
      <w:r>
        <w:rPr>
          <w:spacing w:val="-84"/>
        </w:rPr>
      </w:r>
      <w:r>
        <w:rPr/>
        <w:t>率为</w:t>
      </w:r>
      <w:r>
        <w:rPr>
          <w:rFonts w:ascii="宋体" w:hAnsi="宋体" w:cs="宋体" w:eastAsia="宋体" w:hint="default"/>
        </w:rPr>
        <w:t>15%</w:t>
      </w:r>
      <w:r>
        <w:rPr/>
        <w:t>。</w:t>
      </w:r>
    </w:p>
    <w:p>
      <w:pPr>
        <w:pStyle w:val="BodyText"/>
        <w:spacing w:line="357" w:lineRule="auto"/>
        <w:ind w:right="1132" w:firstLine="480"/>
        <w:jc w:val="both"/>
      </w:pPr>
      <w:r>
        <w:rPr>
          <w:spacing w:val="-14"/>
        </w:rPr>
        <w:t>根据《财政部</w:t>
      </w:r>
      <w:r>
        <w:rPr/>
        <w:t> 国家税务总局关于进一步鼓励软件产业和集成电路产业发展企业所得税政</w:t>
      </w:r>
      <w:r>
        <w:rPr/>
        <w:t> 策的通知》（财税〔</w:t>
      </w:r>
      <w:r>
        <w:rPr>
          <w:rFonts w:ascii="宋体" w:hAnsi="宋体" w:cs="宋体" w:eastAsia="宋体" w:hint="default"/>
        </w:rPr>
        <w:t>2012</w:t>
      </w:r>
      <w:r>
        <w:rPr/>
        <w:t>〕</w:t>
      </w:r>
      <w:r>
        <w:rPr>
          <w:rFonts w:ascii="宋体" w:hAnsi="宋体" w:cs="宋体" w:eastAsia="宋体" w:hint="default"/>
        </w:rPr>
        <w:t>27</w:t>
      </w:r>
      <w:r>
        <w:rPr/>
        <w:t>号）规定，国家规划布局内的重点软件企业，如当年未享受免</w:t>
      </w:r>
      <w:r>
        <w:rPr>
          <w:spacing w:val="-90"/>
        </w:rPr>
        <w:t> </w:t>
      </w:r>
      <w:r>
        <w:rPr>
          <w:spacing w:val="-90"/>
        </w:rPr>
      </w:r>
      <w:r>
        <w:rPr/>
        <w:t>税优惠的，可减按</w:t>
      </w:r>
      <w:r>
        <w:rPr>
          <w:rFonts w:ascii="宋体" w:hAnsi="宋体" w:cs="宋体" w:eastAsia="宋体" w:hint="default"/>
        </w:rPr>
        <w:t>10%</w:t>
      </w:r>
      <w:r>
        <w:rPr/>
        <w:t>的税率征收企业所得税。</w:t>
      </w:r>
    </w:p>
    <w:p>
      <w:pPr>
        <w:spacing w:line="240" w:lineRule="auto" w:before="0"/>
        <w:rPr>
          <w:rFonts w:ascii="宋体" w:hAnsi="宋体" w:cs="宋体" w:eastAsia="宋体" w:hint="default"/>
          <w:sz w:val="24"/>
          <w:szCs w:val="24"/>
        </w:rPr>
      </w:pPr>
    </w:p>
    <w:p>
      <w:pPr>
        <w:pStyle w:val="BodyText"/>
        <w:spacing w:line="357" w:lineRule="auto" w:before="190"/>
        <w:ind w:left="633" w:right="1117" w:hanging="481"/>
        <w:jc w:val="left"/>
        <w:rPr>
          <w:rFonts w:ascii="宋体" w:hAnsi="宋体" w:cs="宋体" w:eastAsia="宋体" w:hint="default"/>
        </w:rPr>
      </w:pPr>
      <w:r>
        <w:rPr/>
        <w:t>北京数字智通科技有限公司 </w:t>
      </w:r>
      <w:r>
        <w:rPr>
          <w:spacing w:val="-2"/>
        </w:rPr>
        <w:t>根据国务院下发的《关于鼓励软件产业和集成电路产业若干政策的通知》（国发</w:t>
      </w:r>
      <w:r>
        <w:rPr>
          <w:rFonts w:ascii="宋体" w:hAnsi="宋体" w:cs="宋体" w:eastAsia="宋体" w:hint="default"/>
          <w:spacing w:val="-2"/>
        </w:rPr>
        <w:t>[2011]4</w:t>
      </w:r>
    </w:p>
    <w:p>
      <w:pPr>
        <w:spacing w:after="0" w:line="357" w:lineRule="auto"/>
        <w:jc w:val="left"/>
        <w:rPr>
          <w:rFonts w:ascii="宋体" w:hAnsi="宋体" w:cs="宋体" w:eastAsia="宋体" w:hint="default"/>
        </w:rPr>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28"/>
        <w:jc w:val="both"/>
      </w:pPr>
      <w:r>
        <w:rPr>
          <w:spacing w:val="3"/>
        </w:rPr>
        <w:t>号）和财政部、国家税务总局下发的《关于软件产品增值税政策的通知》（财税</w:t>
      </w:r>
      <w:r>
        <w:rPr>
          <w:rFonts w:ascii="宋体" w:hAnsi="宋体" w:cs="宋体" w:eastAsia="宋体" w:hint="default"/>
          <w:spacing w:val="3"/>
        </w:rPr>
        <w:t>[2011]100</w:t>
      </w:r>
      <w:r>
        <w:rPr>
          <w:rFonts w:ascii="宋体" w:hAnsi="宋体" w:cs="宋体" w:eastAsia="宋体" w:hint="default"/>
          <w:spacing w:val="-117"/>
        </w:rPr>
        <w:t> </w:t>
      </w:r>
      <w:r>
        <w:rPr>
          <w:spacing w:val="-2"/>
        </w:rPr>
        <w:t>号），销售自行开发生产的软件产品，按</w:t>
      </w:r>
      <w:r>
        <w:rPr>
          <w:rFonts w:ascii="宋体" w:hAnsi="宋体" w:cs="宋体" w:eastAsia="宋体" w:hint="default"/>
          <w:spacing w:val="-2"/>
        </w:rPr>
        <w:t>16%</w:t>
      </w:r>
      <w:r>
        <w:rPr>
          <w:spacing w:val="-2"/>
        </w:rPr>
        <w:t>的法定税率缴纳增值税后，享受增值税实际税负</w:t>
      </w:r>
      <w:r>
        <w:rPr>
          <w:spacing w:val="-118"/>
        </w:rPr>
        <w:t> </w:t>
      </w:r>
      <w:r>
        <w:rPr>
          <w:spacing w:val="-118"/>
        </w:rPr>
      </w:r>
      <w:r>
        <w:rPr/>
        <w:t>超过</w:t>
      </w:r>
      <w:r>
        <w:rPr>
          <w:rFonts w:ascii="宋体" w:hAnsi="宋体" w:cs="宋体" w:eastAsia="宋体" w:hint="default"/>
        </w:rPr>
        <w:t>3%</w:t>
      </w:r>
      <w:r>
        <w:rPr/>
        <w:t>的部分即征即退的税收优惠。</w:t>
      </w:r>
    </w:p>
    <w:p>
      <w:pPr>
        <w:pStyle w:val="BodyText"/>
        <w:spacing w:line="357" w:lineRule="auto"/>
        <w:ind w:right="1127" w:firstLine="480"/>
        <w:jc w:val="both"/>
      </w:pPr>
      <w:r>
        <w:rPr>
          <w:spacing w:val="3"/>
        </w:rPr>
        <w:t>根据国科发</w:t>
      </w:r>
      <w:r>
        <w:rPr>
          <w:rFonts w:ascii="宋体" w:hAnsi="宋体" w:cs="宋体" w:eastAsia="宋体" w:hint="default"/>
          <w:spacing w:val="3"/>
        </w:rPr>
        <w:t>[2008]172</w:t>
      </w:r>
      <w:r>
        <w:rPr>
          <w:spacing w:val="3"/>
        </w:rPr>
        <w:t>号北京市新技术产业开发试验区暂行条例的有关规定，</w:t>
      </w:r>
      <w:r>
        <w:rPr>
          <w:rFonts w:ascii="宋体" w:hAnsi="宋体" w:cs="宋体" w:eastAsia="宋体" w:hint="default"/>
          <w:spacing w:val="3"/>
        </w:rPr>
        <w:t>2016</w:t>
      </w:r>
      <w:r>
        <w:rPr>
          <w:spacing w:val="3"/>
        </w:rPr>
        <w:t>年</w:t>
      </w:r>
      <w:r>
        <w:rPr>
          <w:rFonts w:ascii="宋体" w:hAnsi="宋体" w:cs="宋体" w:eastAsia="宋体" w:hint="default"/>
          <w:spacing w:val="3"/>
        </w:rPr>
        <w:t>12</w:t>
      </w:r>
      <w:r>
        <w:rPr>
          <w:rFonts w:ascii="宋体" w:hAnsi="宋体" w:cs="宋体" w:eastAsia="宋体" w:hint="default"/>
        </w:rPr>
        <w:t> </w:t>
      </w:r>
      <w:r>
        <w:rPr>
          <w:spacing w:val="2"/>
        </w:rPr>
        <w:t>月</w:t>
      </w:r>
      <w:r>
        <w:rPr>
          <w:rFonts w:ascii="宋体" w:hAnsi="宋体" w:cs="宋体" w:eastAsia="宋体" w:hint="default"/>
          <w:spacing w:val="2"/>
        </w:rPr>
        <w:t>1</w:t>
      </w:r>
      <w:r>
        <w:rPr>
          <w:spacing w:val="2"/>
        </w:rPr>
        <w:t>日，北京市科学技术委员会向本公司颁发了编号为</w:t>
      </w:r>
      <w:r>
        <w:rPr>
          <w:rFonts w:ascii="宋体" w:hAnsi="宋体" w:cs="宋体" w:eastAsia="宋体" w:hint="default"/>
          <w:spacing w:val="2"/>
        </w:rPr>
        <w:t>GR201611000415</w:t>
      </w:r>
      <w:r>
        <w:rPr>
          <w:spacing w:val="2"/>
        </w:rPr>
        <w:t>的《高新技术企业证</w:t>
      </w:r>
      <w:r>
        <w:rPr>
          <w:spacing w:val="-77"/>
        </w:rPr>
        <w:t> </w:t>
      </w:r>
      <w:r>
        <w:rPr/>
        <w:t>书》，有效期</w:t>
      </w:r>
      <w:r>
        <w:rPr>
          <w:rFonts w:ascii="宋体" w:hAnsi="宋体" w:cs="宋体" w:eastAsia="宋体" w:hint="default"/>
        </w:rPr>
        <w:t>3</w:t>
      </w:r>
      <w:r>
        <w:rPr/>
        <w:t>年。根据国家税务局下发的国税函</w:t>
      </w:r>
      <w:r>
        <w:rPr>
          <w:rFonts w:ascii="宋体" w:hAnsi="宋体" w:cs="宋体" w:eastAsia="宋体" w:hint="default"/>
        </w:rPr>
        <w:t>[2009]203</w:t>
      </w:r>
      <w:r>
        <w:rPr/>
        <w:t>号，本公司</w:t>
      </w:r>
      <w:r>
        <w:rPr>
          <w:rFonts w:ascii="宋体" w:hAnsi="宋体" w:cs="宋体" w:eastAsia="宋体" w:hint="default"/>
        </w:rPr>
        <w:t>2018</w:t>
      </w:r>
      <w:r>
        <w:rPr/>
        <w:t>年适用所得税税</w:t>
      </w:r>
      <w:r>
        <w:rPr>
          <w:spacing w:val="-84"/>
        </w:rPr>
        <w:t> </w:t>
      </w:r>
      <w:r>
        <w:rPr>
          <w:spacing w:val="-84"/>
        </w:rPr>
      </w:r>
      <w:r>
        <w:rPr/>
        <w:t>率为</w:t>
      </w:r>
      <w:r>
        <w:rPr>
          <w:rFonts w:ascii="宋体" w:hAnsi="宋体" w:cs="宋体" w:eastAsia="宋体" w:hint="default"/>
        </w:rPr>
        <w:t>15%</w:t>
      </w:r>
      <w:r>
        <w:rPr/>
        <w:t>。</w:t>
      </w:r>
    </w:p>
    <w:p>
      <w:pPr>
        <w:spacing w:line="240" w:lineRule="auto" w:before="0"/>
        <w:rPr>
          <w:rFonts w:ascii="宋体" w:hAnsi="宋体" w:cs="宋体" w:eastAsia="宋体" w:hint="default"/>
          <w:sz w:val="24"/>
          <w:szCs w:val="24"/>
        </w:rPr>
      </w:pPr>
    </w:p>
    <w:p>
      <w:pPr>
        <w:pStyle w:val="BodyText"/>
        <w:spacing w:line="357" w:lineRule="auto" w:before="191"/>
        <w:ind w:left="633" w:right="1119" w:hanging="481"/>
        <w:jc w:val="left"/>
      </w:pPr>
      <w:r>
        <w:rPr/>
        <w:t>保定金迪地下管线探测工程有限公司 </w:t>
      </w:r>
      <w:r>
        <w:rPr>
          <w:spacing w:val="-2"/>
        </w:rPr>
        <w:t>根据《财政部、国家税务总局关于软件产品增值税政策的通知》（财税</w:t>
      </w:r>
      <w:r>
        <w:rPr>
          <w:rFonts w:ascii="宋体" w:hAnsi="宋体" w:cs="宋体" w:eastAsia="宋体" w:hint="default"/>
          <w:spacing w:val="-2"/>
        </w:rPr>
        <w:t>[2011]100</w:t>
      </w:r>
      <w:r>
        <w:rPr>
          <w:spacing w:val="-2"/>
        </w:rPr>
        <w:t>号）等</w:t>
      </w:r>
    </w:p>
    <w:p>
      <w:pPr>
        <w:pStyle w:val="BodyText"/>
        <w:spacing w:line="357" w:lineRule="auto"/>
        <w:ind w:right="1131"/>
        <w:jc w:val="both"/>
      </w:pPr>
      <w:r>
        <w:rPr>
          <w:spacing w:val="-2"/>
        </w:rPr>
        <w:t>相关规定，当期嵌入式软件产品增值税应纳税额按</w:t>
      </w:r>
      <w:r>
        <w:rPr>
          <w:rFonts w:ascii="宋体" w:hAnsi="宋体" w:cs="宋体" w:eastAsia="宋体" w:hint="default"/>
          <w:spacing w:val="-2"/>
        </w:rPr>
        <w:t>16%</w:t>
      </w:r>
      <w:r>
        <w:rPr>
          <w:spacing w:val="-2"/>
        </w:rPr>
        <w:t>税率征收，对于超过当期嵌入式软件产</w:t>
      </w:r>
      <w:r>
        <w:rPr>
          <w:spacing w:val="-117"/>
        </w:rPr>
        <w:t> </w:t>
      </w:r>
      <w:r>
        <w:rPr>
          <w:spacing w:val="-117"/>
        </w:rPr>
      </w:r>
      <w:r>
        <w:rPr/>
        <w:t>品销售额</w:t>
      </w:r>
      <w:r>
        <w:rPr>
          <w:rFonts w:ascii="宋体" w:hAnsi="宋体" w:cs="宋体" w:eastAsia="宋体" w:hint="default"/>
        </w:rPr>
        <w:t>3%</w:t>
      </w:r>
      <w:r>
        <w:rPr/>
        <w:t>的部分实行即征即退政策。</w:t>
      </w:r>
    </w:p>
    <w:p>
      <w:pPr>
        <w:pStyle w:val="BodyText"/>
        <w:spacing w:line="357" w:lineRule="auto"/>
        <w:ind w:right="1130" w:firstLine="480"/>
        <w:jc w:val="both"/>
      </w:pPr>
      <w:r>
        <w:rPr>
          <w:spacing w:val="-2"/>
        </w:rPr>
        <w:t>根据《高新技术企业认定管理办法》（国科发文</w:t>
      </w:r>
      <w:r>
        <w:rPr>
          <w:rFonts w:ascii="宋体" w:hAnsi="宋体" w:cs="宋体" w:eastAsia="宋体" w:hint="default"/>
          <w:spacing w:val="-2"/>
        </w:rPr>
        <w:t>[2008]172</w:t>
      </w:r>
      <w:r>
        <w:rPr>
          <w:spacing w:val="-2"/>
        </w:rPr>
        <w:t>号）和《高新技术企业认定管</w:t>
      </w:r>
      <w:r>
        <w:rPr/>
        <w:t> 理工作指引》（国科发文</w:t>
      </w:r>
      <w:r>
        <w:rPr>
          <w:rFonts w:ascii="宋体" w:hAnsi="宋体" w:cs="宋体" w:eastAsia="宋体" w:hint="default"/>
        </w:rPr>
        <w:t>[2008]362</w:t>
      </w:r>
      <w:r>
        <w:rPr/>
        <w:t>号）的有关规定，</w:t>
      </w:r>
      <w:r>
        <w:rPr>
          <w:rFonts w:ascii="宋体" w:hAnsi="宋体" w:cs="宋体" w:eastAsia="宋体" w:hint="default"/>
        </w:rPr>
        <w:t>2016</w:t>
      </w:r>
      <w:r>
        <w:rPr/>
        <w:t>年</w:t>
      </w:r>
      <w:r>
        <w:rPr>
          <w:rFonts w:ascii="宋体" w:hAnsi="宋体" w:cs="宋体" w:eastAsia="宋体" w:hint="default"/>
        </w:rPr>
        <w:t>11</w:t>
      </w:r>
      <w:r>
        <w:rPr/>
        <w:t>月</w:t>
      </w:r>
      <w:r>
        <w:rPr>
          <w:rFonts w:ascii="宋体" w:hAnsi="宋体" w:cs="宋体" w:eastAsia="宋体" w:hint="default"/>
        </w:rPr>
        <w:t>2</w:t>
      </w:r>
      <w:r>
        <w:rPr/>
        <w:t>日，河北省科学技术厅颁</w:t>
      </w:r>
      <w:r>
        <w:rPr>
          <w:spacing w:val="-85"/>
        </w:rPr>
        <w:t> </w:t>
      </w:r>
      <w:r>
        <w:rPr>
          <w:spacing w:val="-85"/>
        </w:rPr>
      </w:r>
      <w:r>
        <w:rPr>
          <w:spacing w:val="-2"/>
        </w:rPr>
        <w:t>发了编号为</w:t>
      </w:r>
      <w:r>
        <w:rPr>
          <w:rFonts w:ascii="宋体" w:hAnsi="宋体" w:cs="宋体" w:eastAsia="宋体" w:hint="default"/>
          <w:spacing w:val="-2"/>
        </w:rPr>
        <w:t>GR201613000111</w:t>
      </w:r>
      <w:r>
        <w:rPr>
          <w:spacing w:val="-2"/>
        </w:rPr>
        <w:t>的《高新技术企业证书》，有效期</w:t>
      </w:r>
      <w:r>
        <w:rPr>
          <w:rFonts w:ascii="宋体" w:hAnsi="宋体" w:cs="宋体" w:eastAsia="宋体" w:hint="default"/>
          <w:spacing w:val="-2"/>
        </w:rPr>
        <w:t>3</w:t>
      </w:r>
      <w:r>
        <w:rPr>
          <w:spacing w:val="-2"/>
        </w:rPr>
        <w:t>年。根据国家税务局下发的国</w:t>
      </w:r>
      <w:r>
        <w:rPr>
          <w:spacing w:val="-108"/>
        </w:rPr>
        <w:t> </w:t>
      </w:r>
      <w:r>
        <w:rPr>
          <w:spacing w:val="-108"/>
        </w:rPr>
      </w:r>
      <w:r>
        <w:rPr/>
        <w:t>税函</w:t>
      </w:r>
      <w:r>
        <w:rPr>
          <w:rFonts w:ascii="宋体" w:hAnsi="宋体" w:cs="宋体" w:eastAsia="宋体" w:hint="default"/>
        </w:rPr>
        <w:t>[2009]203</w:t>
      </w:r>
      <w:r>
        <w:rPr/>
        <w:t>号，</w:t>
      </w:r>
      <w:r>
        <w:rPr>
          <w:rFonts w:ascii="宋体" w:hAnsi="宋体" w:cs="宋体" w:eastAsia="宋体" w:hint="default"/>
        </w:rPr>
        <w:t>2018</w:t>
      </w:r>
      <w:r>
        <w:rPr/>
        <w:t>年适用所得税税率为</w:t>
      </w:r>
      <w:r>
        <w:rPr>
          <w:rFonts w:ascii="宋体" w:hAnsi="宋体" w:cs="宋体" w:eastAsia="宋体" w:hint="default"/>
        </w:rPr>
        <w:t>15%</w:t>
      </w:r>
      <w:r>
        <w:rPr/>
        <w:t>。</w:t>
      </w:r>
    </w:p>
    <w:p>
      <w:pPr>
        <w:spacing w:line="240" w:lineRule="auto" w:before="0"/>
        <w:rPr>
          <w:rFonts w:ascii="宋体" w:hAnsi="宋体" w:cs="宋体" w:eastAsia="宋体" w:hint="default"/>
          <w:sz w:val="24"/>
          <w:szCs w:val="24"/>
        </w:rPr>
      </w:pPr>
    </w:p>
    <w:p>
      <w:pPr>
        <w:pStyle w:val="BodyText"/>
        <w:spacing w:line="357" w:lineRule="auto" w:before="190"/>
        <w:ind w:left="633" w:right="1119" w:hanging="481"/>
        <w:jc w:val="left"/>
      </w:pPr>
      <w:r>
        <w:rPr/>
        <w:t>保定金迪科学仪器有限公司 </w:t>
      </w:r>
      <w:r>
        <w:rPr>
          <w:spacing w:val="-2"/>
        </w:rPr>
        <w:t>根据《财政部、国家税务总局关于软件产品增值税政策的通知》（财税</w:t>
      </w:r>
      <w:r>
        <w:rPr>
          <w:rFonts w:ascii="宋体" w:hAnsi="宋体" w:cs="宋体" w:eastAsia="宋体" w:hint="default"/>
          <w:spacing w:val="-2"/>
        </w:rPr>
        <w:t>[2011]100</w:t>
      </w:r>
      <w:r>
        <w:rPr>
          <w:spacing w:val="-2"/>
        </w:rPr>
        <w:t>号）等</w:t>
      </w:r>
    </w:p>
    <w:p>
      <w:pPr>
        <w:pStyle w:val="BodyText"/>
        <w:spacing w:line="357" w:lineRule="auto"/>
        <w:ind w:right="1131"/>
        <w:jc w:val="both"/>
      </w:pPr>
      <w:r>
        <w:rPr>
          <w:spacing w:val="-2"/>
        </w:rPr>
        <w:t>相关规定，当期嵌入式软件产品增值税应纳税额按</w:t>
      </w:r>
      <w:r>
        <w:rPr>
          <w:rFonts w:ascii="宋体" w:hAnsi="宋体" w:cs="宋体" w:eastAsia="宋体" w:hint="default"/>
          <w:spacing w:val="-2"/>
        </w:rPr>
        <w:t>16%</w:t>
      </w:r>
      <w:r>
        <w:rPr>
          <w:spacing w:val="-2"/>
        </w:rPr>
        <w:t>税率征收，对于超过当期嵌入式软件产</w:t>
      </w:r>
      <w:r>
        <w:rPr>
          <w:spacing w:val="-117"/>
        </w:rPr>
        <w:t> </w:t>
      </w:r>
      <w:r>
        <w:rPr>
          <w:spacing w:val="-117"/>
        </w:rPr>
      </w:r>
      <w:r>
        <w:rPr/>
        <w:t>品销售额</w:t>
      </w:r>
      <w:r>
        <w:rPr>
          <w:rFonts w:ascii="宋体" w:hAnsi="宋体" w:cs="宋体" w:eastAsia="宋体" w:hint="default"/>
        </w:rPr>
        <w:t>3%</w:t>
      </w:r>
      <w:r>
        <w:rPr/>
        <w:t>的部分实行即征即退政策。</w:t>
      </w:r>
    </w:p>
    <w:p>
      <w:pPr>
        <w:pStyle w:val="BodyText"/>
        <w:spacing w:line="357" w:lineRule="auto" w:before="37"/>
        <w:ind w:right="1131" w:firstLine="480"/>
        <w:jc w:val="both"/>
      </w:pPr>
      <w:r>
        <w:rPr/>
        <w:t>根据《中华人民共和国企业所得税法》、《中华人民共和国企业所得税法实施条例》第 二十八条规定，</w:t>
      </w:r>
      <w:r>
        <w:rPr>
          <w:rFonts w:ascii="宋体" w:hAnsi="宋体" w:cs="宋体" w:eastAsia="宋体" w:hint="default"/>
        </w:rPr>
        <w:t>2017</w:t>
      </w:r>
      <w:r>
        <w:rPr/>
        <w:t>年</w:t>
      </w:r>
      <w:r>
        <w:rPr>
          <w:rFonts w:ascii="宋体" w:hAnsi="宋体" w:cs="宋体" w:eastAsia="宋体" w:hint="default"/>
        </w:rPr>
        <w:t>10</w:t>
      </w:r>
      <w:r>
        <w:rPr/>
        <w:t>月</w:t>
      </w:r>
      <w:r>
        <w:rPr>
          <w:rFonts w:ascii="宋体" w:hAnsi="宋体" w:cs="宋体" w:eastAsia="宋体" w:hint="default"/>
        </w:rPr>
        <w:t>27</w:t>
      </w:r>
      <w:r>
        <w:rPr/>
        <w:t>日，河北省科学技术厅向本公司颁发了编号为</w:t>
      </w:r>
      <w:r>
        <w:rPr>
          <w:rFonts w:ascii="宋体" w:hAnsi="宋体" w:cs="宋体" w:eastAsia="宋体" w:hint="default"/>
        </w:rPr>
        <w:t>GR201713001066</w:t>
      </w:r>
      <w:r>
        <w:rPr>
          <w:rFonts w:ascii="宋体" w:hAnsi="宋体" w:cs="宋体" w:eastAsia="宋体" w:hint="default"/>
          <w:spacing w:val="-85"/>
        </w:rPr>
        <w:t> </w:t>
      </w:r>
      <w:r>
        <w:rPr/>
        <w:t>的《高新技术企业证书》，有效期</w:t>
      </w:r>
      <w:r>
        <w:rPr>
          <w:rFonts w:ascii="宋体" w:hAnsi="宋体" w:cs="宋体" w:eastAsia="宋体" w:hint="default"/>
        </w:rPr>
        <w:t>3</w:t>
      </w:r>
      <w:r>
        <w:rPr/>
        <w:t>年。根据国家税务局下发的国税函</w:t>
      </w:r>
      <w:r>
        <w:rPr>
          <w:rFonts w:ascii="宋体" w:hAnsi="宋体" w:cs="宋体" w:eastAsia="宋体" w:hint="default"/>
        </w:rPr>
        <w:t>[2009]203</w:t>
      </w:r>
      <w:r>
        <w:rPr/>
        <w:t>号，本公司</w:t>
      </w:r>
      <w:r>
        <w:rPr>
          <w:spacing w:val="-88"/>
        </w:rPr>
        <w:t> </w:t>
      </w:r>
      <w:r>
        <w:rPr>
          <w:spacing w:val="-88"/>
        </w:rPr>
      </w:r>
      <w:r>
        <w:rPr>
          <w:rFonts w:ascii="宋体" w:hAnsi="宋体" w:cs="宋体" w:eastAsia="宋体" w:hint="default"/>
        </w:rPr>
        <w:t>2018</w:t>
      </w:r>
      <w:r>
        <w:rPr/>
        <w:t>年适用所得税税率为</w:t>
      </w:r>
      <w:r>
        <w:rPr>
          <w:rFonts w:ascii="宋体" w:hAnsi="宋体" w:cs="宋体" w:eastAsia="宋体" w:hint="default"/>
        </w:rPr>
        <w:t>15%</w:t>
      </w:r>
      <w:r>
        <w:rPr/>
        <w:t>。</w:t>
      </w:r>
    </w:p>
    <w:p>
      <w:pPr>
        <w:spacing w:line="240" w:lineRule="auto" w:before="5"/>
        <w:rPr>
          <w:rFonts w:ascii="宋体" w:hAnsi="宋体" w:cs="宋体" w:eastAsia="宋体" w:hint="default"/>
          <w:sz w:val="27"/>
          <w:szCs w:val="27"/>
        </w:rPr>
      </w:pPr>
    </w:p>
    <w:p>
      <w:pPr>
        <w:spacing w:before="0"/>
        <w:ind w:left="152" w:right="982"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上市公司从事软件与信息技术服务业务》的披露要求</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七、合并财务报表项目注释</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、货币资金</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113,201.11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101,215.43</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801,083,157.95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675,548,541.03</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5,946,889.05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19,026,017.41</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807,143,248.11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694,675,773.87</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before="96"/>
        <w:ind w:left="152" w:right="982" w:firstLine="0"/>
        <w:jc w:val="left"/>
        <w:rPr>
          <w:rFonts w:ascii="宋体" w:hAnsi="宋体" w:cs="宋体" w:eastAsia="宋体" w:hint="default"/>
          <w:sz w:val="21"/>
          <w:szCs w:val="21"/>
        </w:rPr>
      </w:pPr>
      <w:r>
        <w:rPr>
          <w:rFonts w:ascii="宋体" w:hAnsi="宋体" w:cs="宋体" w:eastAsia="宋体" w:hint="default"/>
          <w:sz w:val="21"/>
          <w:szCs w:val="21"/>
        </w:rPr>
        <w:t>截止</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日，公司使用受限资金</w:t>
      </w:r>
      <w:r>
        <w:rPr>
          <w:rFonts w:ascii="Times New Roman" w:hAnsi="Times New Roman" w:cs="Times New Roman" w:eastAsia="Times New Roman" w:hint="default"/>
          <w:sz w:val="21"/>
          <w:szCs w:val="21"/>
        </w:rPr>
        <w:t>11,539,689.05</w:t>
      </w:r>
      <w:r>
        <w:rPr>
          <w:rFonts w:ascii="宋体" w:hAnsi="宋体" w:cs="宋体" w:eastAsia="宋体" w:hint="default"/>
          <w:sz w:val="21"/>
          <w:szCs w:val="21"/>
        </w:rPr>
        <w:t>元，为保函保证金和专项资金。</w:t>
      </w:r>
    </w:p>
    <w:p>
      <w:pPr>
        <w:spacing w:line="240" w:lineRule="auto" w:before="7"/>
        <w:rPr>
          <w:rFonts w:ascii="宋体" w:hAnsi="宋体" w:cs="宋体" w:eastAsia="宋体" w:hint="default"/>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、应收票据及应收账款</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5,623,758.55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50,000.00</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1,067,276,237.42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1,024,697,948.34</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1,072,899,995.97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1,024,747,948.34</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）应收票据</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应收票据分类列示</w:t>
      </w:r>
    </w:p>
    <w:p>
      <w:pPr>
        <w:spacing w:before="101"/>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5,251,750.00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50,000.00</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372,008.55</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5,623,758.55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50,000.00</w:t>
            </w:r>
          </w:p>
        </w:tc>
      </w:tr>
    </w:tbl>
    <w:p>
      <w:pPr>
        <w:spacing w:before="49"/>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期末公司已背书或贴现且在资产负债表日尚未到期的应收票据</w:t>
      </w:r>
    </w:p>
    <w:p>
      <w:pPr>
        <w:spacing w:before="101"/>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82"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1,684,940.00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1,684,940.00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应收账款分类披露</w:t>
      </w:r>
    </w:p>
    <w:p>
      <w:pPr>
        <w:spacing w:before="10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320" w:type="dxa"/>
        <w:tblLayout w:type="fixed"/>
        <w:tblCellMar>
          <w:top w:w="0" w:type="dxa"/>
          <w:left w:w="0" w:type="dxa"/>
          <w:bottom w:w="0" w:type="dxa"/>
          <w:right w:w="0" w:type="dxa"/>
        </w:tblCellMar>
        <w:tblLook w:val="01E0"/>
      </w:tblPr>
      <w:tblGrid>
        <w:gridCol w:w="1612"/>
        <w:gridCol w:w="774"/>
        <w:gridCol w:w="761"/>
        <w:gridCol w:w="763"/>
        <w:gridCol w:w="763"/>
        <w:gridCol w:w="788"/>
        <w:gridCol w:w="655"/>
        <w:gridCol w:w="761"/>
        <w:gridCol w:w="814"/>
        <w:gridCol w:w="934"/>
        <w:gridCol w:w="931"/>
      </w:tblGrid>
      <w:tr>
        <w:trPr>
          <w:trHeight w:val="402" w:hRule="exact"/>
        </w:trPr>
        <w:tc>
          <w:tcPr>
            <w:tcW w:w="1612" w:type="dxa"/>
            <w:vMerge w:val="restart"/>
            <w:tcBorders>
              <w:top w:val="single" w:sz="4" w:space="0" w:color="000000"/>
              <w:left w:val="single" w:sz="4" w:space="0" w:color="000000"/>
              <w:right w:val="single" w:sz="4" w:space="0" w:color="000000"/>
            </w:tcBorders>
            <w:shd w:val="clear" w:color="auto" w:fill="D2D2D2"/>
          </w:tcPr>
          <w:p>
            <w:pPr/>
          </w:p>
        </w:tc>
        <w:tc>
          <w:tcPr>
            <w:tcW w:w="384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2" w:hRule="exact"/>
        </w:trPr>
        <w:tc>
          <w:tcPr>
            <w:tcW w:w="1612" w:type="dxa"/>
            <w:vMerge/>
            <w:tcBorders>
              <w:left w:val="single" w:sz="4" w:space="0" w:color="000000"/>
              <w:bottom w:val="nil" w:sz="6" w:space="0" w:color="auto"/>
              <w:right w:val="single" w:sz="4" w:space="0" w:color="000000"/>
            </w:tcBorders>
            <w:shd w:val="clear" w:color="auto" w:fill="D2D2D2"/>
          </w:tcPr>
          <w:p>
            <w:pPr/>
          </w:p>
        </w:tc>
        <w:tc>
          <w:tcPr>
            <w:tcW w:w="15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8"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51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40" w:hRule="exact"/>
        </w:trPr>
        <w:tc>
          <w:tcPr>
            <w:tcW w:w="16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35" w:type="dxa"/>
            <w:gridSpan w:val="2"/>
            <w:vMerge/>
            <w:tcBorders>
              <w:left w:val="single" w:sz="4" w:space="0" w:color="000000"/>
              <w:bottom w:val="single" w:sz="4" w:space="0" w:color="000000"/>
              <w:right w:val="single" w:sz="4" w:space="0" w:color="000000"/>
            </w:tcBorders>
            <w:shd w:val="clear" w:color="auto" w:fill="D2D2D2"/>
          </w:tcPr>
          <w:p>
            <w:pPr/>
          </w:p>
        </w:tc>
        <w:tc>
          <w:tcPr>
            <w:tcW w:w="1526" w:type="dxa"/>
            <w:gridSpan w:val="2"/>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8"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12" w:type="dxa"/>
            <w:vMerge/>
            <w:tcBorders>
              <w:left w:val="single" w:sz="4" w:space="0" w:color="000000"/>
              <w:bottom w:val="single" w:sz="4" w:space="0" w:color="FFFFFF"/>
              <w:right w:val="single" w:sz="4" w:space="0" w:color="000000"/>
            </w:tcBorders>
            <w:shd w:val="clear" w:color="auto" w:fill="D2D2D2"/>
          </w:tcPr>
          <w:p>
            <w:pPr/>
          </w:p>
        </w:tc>
        <w:tc>
          <w:tcPr>
            <w:tcW w:w="774"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1"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1"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12" w:type="dxa"/>
            <w:vMerge w:val="restart"/>
            <w:tcBorders>
              <w:top w:val="single" w:sz="4" w:space="0" w:color="FFFFFF"/>
              <w:left w:val="single" w:sz="4" w:space="0" w:color="000000"/>
              <w:right w:val="single" w:sz="4" w:space="0" w:color="000000"/>
            </w:tcBorders>
            <w:shd w:val="clear" w:color="auto" w:fill="D2D2D2"/>
          </w:tcPr>
          <w:p>
            <w:pPr/>
          </w:p>
        </w:tc>
        <w:tc>
          <w:tcPr>
            <w:tcW w:w="774"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65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99" w:hRule="exact"/>
        </w:trPr>
        <w:tc>
          <w:tcPr>
            <w:tcW w:w="1612" w:type="dxa"/>
            <w:vMerge/>
            <w:tcBorders>
              <w:left w:val="single" w:sz="4" w:space="0" w:color="000000"/>
              <w:right w:val="single" w:sz="4" w:space="0" w:color="000000"/>
            </w:tcBorders>
            <w:shd w:val="clear" w:color="auto" w:fill="D2D2D2"/>
          </w:tcPr>
          <w:p>
            <w:pPr/>
          </w:p>
        </w:tc>
        <w:tc>
          <w:tcPr>
            <w:tcW w:w="774"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88" w:type="dxa"/>
            <w:vMerge w:val="restart"/>
            <w:tcBorders>
              <w:top w:val="nil" w:sz="6" w:space="0" w:color="auto"/>
              <w:left w:val="single" w:sz="4" w:space="0" w:color="000000"/>
              <w:right w:val="single" w:sz="4" w:space="0" w:color="000000"/>
            </w:tcBorders>
            <w:shd w:val="clear" w:color="auto" w:fill="D2D2D2"/>
          </w:tcPr>
          <w:p>
            <w:pPr/>
          </w:p>
        </w:tc>
        <w:tc>
          <w:tcPr>
            <w:tcW w:w="655"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814" w:type="dxa"/>
            <w:vMerge/>
            <w:tcBorders>
              <w:left w:val="single" w:sz="4" w:space="0" w:color="000000"/>
              <w:bottom w:val="nil" w:sz="6" w:space="0" w:color="auto"/>
              <w:right w:val="single" w:sz="4" w:space="0" w:color="000000"/>
            </w:tcBorders>
            <w:shd w:val="clear" w:color="auto" w:fill="D2D2D2"/>
          </w:tcPr>
          <w:p>
            <w:pPr/>
          </w:p>
        </w:tc>
        <w:tc>
          <w:tcPr>
            <w:tcW w:w="934"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12" w:type="dxa"/>
            <w:vMerge/>
            <w:tcBorders>
              <w:left w:val="single" w:sz="4" w:space="0" w:color="000000"/>
              <w:bottom w:val="single" w:sz="4" w:space="0" w:color="000000"/>
              <w:right w:val="single" w:sz="4" w:space="0" w:color="000000"/>
            </w:tcBorders>
            <w:shd w:val="clear" w:color="auto" w:fill="D2D2D2"/>
          </w:tcPr>
          <w:p>
            <w:pPr/>
          </w:p>
        </w:tc>
        <w:tc>
          <w:tcPr>
            <w:tcW w:w="77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single" w:sz="4" w:space="0" w:color="000000"/>
              <w:right w:val="single" w:sz="4" w:space="0" w:color="000000"/>
            </w:tcBorders>
            <w:shd w:val="clear" w:color="auto" w:fill="D2D2D2"/>
          </w:tcPr>
          <w:p>
            <w:pPr/>
          </w:p>
        </w:tc>
        <w:tc>
          <w:tcPr>
            <w:tcW w:w="65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81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7"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1,233,60</w:t>
            </w:r>
          </w:p>
          <w:p>
            <w:pPr>
              <w:pStyle w:val="TableParagraph"/>
              <w:spacing w:line="240" w:lineRule="auto" w:before="102"/>
              <w:ind w:left="105" w:right="0"/>
              <w:jc w:val="left"/>
              <w:rPr>
                <w:rFonts w:ascii="Times New Roman" w:hAnsi="Times New Roman" w:cs="Times New Roman" w:eastAsia="Times New Roman" w:hint="default"/>
                <w:sz w:val="18"/>
                <w:szCs w:val="18"/>
              </w:rPr>
            </w:pPr>
            <w:r>
              <w:rPr>
                <w:rFonts w:ascii="Times New Roman"/>
                <w:sz w:val="18"/>
              </w:rPr>
              <w:t>4,319.58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166,328,</w:t>
            </w:r>
          </w:p>
          <w:p>
            <w:pPr>
              <w:pStyle w:val="TableParagraph"/>
              <w:spacing w:line="240" w:lineRule="auto" w:before="102"/>
              <w:ind w:left="211" w:right="0"/>
              <w:jc w:val="center"/>
              <w:rPr>
                <w:rFonts w:ascii="Times New Roman" w:hAnsi="Times New Roman" w:cs="Times New Roman" w:eastAsia="Times New Roman" w:hint="default"/>
                <w:sz w:val="18"/>
                <w:szCs w:val="18"/>
              </w:rPr>
            </w:pPr>
            <w:r>
              <w:rPr>
                <w:rFonts w:ascii="Times New Roman"/>
                <w:sz w:val="18"/>
              </w:rPr>
              <w:t>082.16</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77" w:right="0"/>
              <w:jc w:val="left"/>
              <w:rPr>
                <w:rFonts w:ascii="Times New Roman" w:hAnsi="Times New Roman" w:cs="Times New Roman" w:eastAsia="Times New Roman" w:hint="default"/>
                <w:sz w:val="18"/>
                <w:szCs w:val="18"/>
              </w:rPr>
            </w:pPr>
            <w:r>
              <w:rPr>
                <w:rFonts w:ascii="Times New Roman"/>
                <w:sz w:val="18"/>
              </w:rPr>
              <w:t>13.48%</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4" w:right="0"/>
              <w:jc w:val="center"/>
              <w:rPr>
                <w:rFonts w:ascii="Times New Roman" w:hAnsi="Times New Roman" w:cs="Times New Roman" w:eastAsia="Times New Roman" w:hint="default"/>
                <w:sz w:val="18"/>
                <w:szCs w:val="18"/>
              </w:rPr>
            </w:pPr>
            <w:r>
              <w:rPr>
                <w:rFonts w:ascii="Times New Roman"/>
                <w:sz w:val="18"/>
              </w:rPr>
              <w:t>1,067,276</w:t>
            </w:r>
          </w:p>
          <w:p>
            <w:pPr>
              <w:pStyle w:val="TableParagraph"/>
              <w:spacing w:line="240" w:lineRule="auto" w:before="102"/>
              <w:ind w:left="194" w:right="0"/>
              <w:jc w:val="center"/>
              <w:rPr>
                <w:rFonts w:ascii="Times New Roman" w:hAnsi="Times New Roman" w:cs="Times New Roman" w:eastAsia="Times New Roman" w:hint="default"/>
                <w:sz w:val="18"/>
                <w:szCs w:val="18"/>
              </w:rPr>
            </w:pPr>
            <w:r>
              <w:rPr>
                <w:rFonts w:ascii="Times New Roman"/>
                <w:sz w:val="18"/>
              </w:rPr>
              <w:t>,237.42</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1,149,3</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30,770.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124,632,8</w:t>
            </w:r>
          </w:p>
          <w:p>
            <w:pPr>
              <w:pStyle w:val="TableParagraph"/>
              <w:spacing w:line="240" w:lineRule="auto" w:before="102"/>
              <w:ind w:left="376" w:right="0"/>
              <w:jc w:val="left"/>
              <w:rPr>
                <w:rFonts w:ascii="Times New Roman" w:hAnsi="Times New Roman" w:cs="Times New Roman" w:eastAsia="Times New Roman" w:hint="default"/>
                <w:sz w:val="18"/>
                <w:szCs w:val="18"/>
              </w:rPr>
            </w:pPr>
            <w:r>
              <w:rPr>
                <w:rFonts w:ascii="Times New Roman"/>
                <w:sz w:val="18"/>
              </w:rPr>
              <w:t>22.48</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346" w:right="0"/>
              <w:jc w:val="left"/>
              <w:rPr>
                <w:rFonts w:ascii="Times New Roman" w:hAnsi="Times New Roman" w:cs="Times New Roman" w:eastAsia="Times New Roman" w:hint="default"/>
                <w:sz w:val="18"/>
                <w:szCs w:val="18"/>
              </w:rPr>
            </w:pPr>
            <w:r>
              <w:rPr>
                <w:rFonts w:ascii="Times New Roman"/>
                <w:sz w:val="18"/>
              </w:rPr>
              <w:t>10.84%</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1,024,697,9</w:t>
            </w:r>
          </w:p>
          <w:p>
            <w:pPr>
              <w:pStyle w:val="TableParagraph"/>
              <w:spacing w:line="240" w:lineRule="auto" w:before="102"/>
              <w:ind w:left="494" w:right="0"/>
              <w:jc w:val="left"/>
              <w:rPr>
                <w:rFonts w:ascii="Times New Roman" w:hAnsi="Times New Roman" w:cs="Times New Roman" w:eastAsia="Times New Roman" w:hint="default"/>
                <w:sz w:val="18"/>
                <w:szCs w:val="18"/>
              </w:rPr>
            </w:pPr>
            <w:r>
              <w:rPr>
                <w:rFonts w:ascii="Times New Roman"/>
                <w:sz w:val="18"/>
              </w:rPr>
              <w:t>48.34</w:t>
            </w:r>
          </w:p>
        </w:tc>
      </w:tr>
      <w:tr>
        <w:trPr>
          <w:trHeight w:val="317" w:hRule="exact"/>
        </w:trPr>
        <w:tc>
          <w:tcPr>
            <w:tcW w:w="1612" w:type="dxa"/>
            <w:tcBorders>
              <w:top w:val="single" w:sz="4" w:space="0" w:color="000000"/>
              <w:left w:val="single" w:sz="4" w:space="0" w:color="000000"/>
              <w:bottom w:val="nil" w:sz="6" w:space="0" w:color="auto"/>
              <w:right w:val="single" w:sz="4" w:space="0" w:color="000000"/>
            </w:tcBorders>
            <w:shd w:val="clear" w:color="auto" w:fill="D2D2D2"/>
          </w:tcPr>
          <w:p>
            <w:pPr/>
          </w:p>
        </w:tc>
        <w:tc>
          <w:tcPr>
            <w:tcW w:w="774"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1,233,60</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4,319.58</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166,328,</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082.16</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7" w:right="0"/>
              <w:jc w:val="left"/>
              <w:rPr>
                <w:rFonts w:ascii="Times New Roman" w:hAnsi="Times New Roman" w:cs="Times New Roman" w:eastAsia="Times New Roman" w:hint="default"/>
                <w:sz w:val="18"/>
                <w:szCs w:val="18"/>
              </w:rPr>
            </w:pPr>
            <w:r>
              <w:rPr>
                <w:rFonts w:ascii="Times New Roman"/>
                <w:sz w:val="18"/>
              </w:rPr>
              <w:t>13.48%</w:t>
            </w:r>
          </w:p>
        </w:tc>
        <w:tc>
          <w:tcPr>
            <w:tcW w:w="78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 w:right="0"/>
              <w:jc w:val="center"/>
              <w:rPr>
                <w:rFonts w:ascii="Times New Roman" w:hAnsi="Times New Roman" w:cs="Times New Roman" w:eastAsia="Times New Roman" w:hint="default"/>
                <w:sz w:val="18"/>
                <w:szCs w:val="18"/>
              </w:rPr>
            </w:pPr>
            <w:r>
              <w:rPr>
                <w:rFonts w:ascii="Times New Roman"/>
                <w:sz w:val="18"/>
              </w:rPr>
              <w:t>1,067,276</w:t>
            </w:r>
          </w:p>
          <w:p>
            <w:pPr>
              <w:pStyle w:val="TableParagraph"/>
              <w:spacing w:line="240" w:lineRule="auto" w:before="105"/>
              <w:ind w:left="194" w:right="0"/>
              <w:jc w:val="center"/>
              <w:rPr>
                <w:rFonts w:ascii="Times New Roman" w:hAnsi="Times New Roman" w:cs="Times New Roman" w:eastAsia="Times New Roman" w:hint="default"/>
                <w:sz w:val="18"/>
                <w:szCs w:val="18"/>
              </w:rPr>
            </w:pPr>
            <w:r>
              <w:rPr>
                <w:rFonts w:ascii="Times New Roman"/>
                <w:sz w:val="18"/>
              </w:rPr>
              <w:t>,237.42</w:t>
            </w:r>
          </w:p>
        </w:tc>
        <w:tc>
          <w:tcPr>
            <w:tcW w:w="655"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1,149,3</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30,770.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82</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124,632,8</w:t>
            </w:r>
          </w:p>
          <w:p>
            <w:pPr>
              <w:pStyle w:val="TableParagraph"/>
              <w:spacing w:line="240" w:lineRule="auto" w:before="105"/>
              <w:ind w:left="376" w:right="0"/>
              <w:jc w:val="left"/>
              <w:rPr>
                <w:rFonts w:ascii="Times New Roman" w:hAnsi="Times New Roman" w:cs="Times New Roman" w:eastAsia="Times New Roman" w:hint="default"/>
                <w:sz w:val="18"/>
                <w:szCs w:val="18"/>
              </w:rPr>
            </w:pPr>
            <w:r>
              <w:rPr>
                <w:rFonts w:ascii="Times New Roman"/>
                <w:sz w:val="18"/>
              </w:rPr>
              <w:t>22.48</w:t>
            </w:r>
          </w:p>
        </w:tc>
        <w:tc>
          <w:tcPr>
            <w:tcW w:w="9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46" w:right="0"/>
              <w:jc w:val="left"/>
              <w:rPr>
                <w:rFonts w:ascii="Times New Roman" w:hAnsi="Times New Roman" w:cs="Times New Roman" w:eastAsia="Times New Roman" w:hint="default"/>
                <w:sz w:val="18"/>
                <w:szCs w:val="18"/>
              </w:rPr>
            </w:pPr>
            <w:r>
              <w:rPr>
                <w:rFonts w:ascii="Times New Roman"/>
                <w:sz w:val="18"/>
              </w:rPr>
              <w:t>10.84%</w:t>
            </w: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1,024,697,9</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48.34</w:t>
            </w:r>
          </w:p>
        </w:tc>
      </w:tr>
      <w:tr>
        <w:trPr>
          <w:trHeight w:val="391" w:hRule="exact"/>
        </w:trPr>
        <w:tc>
          <w:tcPr>
            <w:tcW w:w="16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4" w:type="dxa"/>
            <w:vMerge/>
            <w:tcBorders>
              <w:left w:val="single" w:sz="9" w:space="0" w:color="D2D2D2"/>
              <w:right w:val="single" w:sz="4" w:space="0" w:color="000000"/>
            </w:tcBorders>
          </w:tcPr>
          <w:p>
            <w:pPr/>
          </w:p>
        </w:tc>
        <w:tc>
          <w:tcPr>
            <w:tcW w:w="761"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88" w:type="dxa"/>
            <w:vMerge/>
            <w:tcBorders>
              <w:left w:val="single" w:sz="4" w:space="0" w:color="000000"/>
              <w:right w:val="single" w:sz="4" w:space="0" w:color="000000"/>
            </w:tcBorders>
          </w:tcPr>
          <w:p>
            <w:pPr/>
          </w:p>
        </w:tc>
        <w:tc>
          <w:tcPr>
            <w:tcW w:w="655" w:type="dxa"/>
            <w:vMerge/>
            <w:tcBorders>
              <w:left w:val="single" w:sz="4" w:space="0" w:color="000000"/>
              <w:right w:val="single" w:sz="4" w:space="0" w:color="000000"/>
            </w:tcBorders>
          </w:tcPr>
          <w:p>
            <w:pPr/>
          </w:p>
        </w:tc>
        <w:tc>
          <w:tcPr>
            <w:tcW w:w="761" w:type="dxa"/>
            <w:vMerge/>
            <w:tcBorders>
              <w:left w:val="single" w:sz="4" w:space="0" w:color="000000"/>
              <w:right w:val="single" w:sz="4" w:space="0" w:color="000000"/>
            </w:tcBorders>
          </w:tcPr>
          <w:p>
            <w:pPr/>
          </w:p>
        </w:tc>
        <w:tc>
          <w:tcPr>
            <w:tcW w:w="814" w:type="dxa"/>
            <w:vMerge/>
            <w:tcBorders>
              <w:left w:val="single" w:sz="4" w:space="0" w:color="000000"/>
              <w:right w:val="single" w:sz="4" w:space="0" w:color="000000"/>
            </w:tcBorders>
          </w:tcPr>
          <w:p>
            <w:pPr/>
          </w:p>
        </w:tc>
        <w:tc>
          <w:tcPr>
            <w:tcW w:w="934"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320" w:hRule="exact"/>
        </w:trPr>
        <w:tc>
          <w:tcPr>
            <w:tcW w:w="1612" w:type="dxa"/>
            <w:tcBorders>
              <w:top w:val="nil" w:sz="6" w:space="0" w:color="auto"/>
              <w:left w:val="single" w:sz="4" w:space="0" w:color="000000"/>
              <w:bottom w:val="single" w:sz="4" w:space="0" w:color="000000"/>
              <w:right w:val="single" w:sz="4" w:space="0" w:color="000000"/>
            </w:tcBorders>
            <w:shd w:val="clear" w:color="auto" w:fill="D2D2D2"/>
          </w:tcPr>
          <w:p>
            <w:pPr/>
          </w:p>
        </w:tc>
        <w:tc>
          <w:tcPr>
            <w:tcW w:w="774" w:type="dxa"/>
            <w:vMerge/>
            <w:tcBorders>
              <w:left w:val="single" w:sz="9" w:space="0" w:color="D2D2D2"/>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88" w:type="dxa"/>
            <w:vMerge/>
            <w:tcBorders>
              <w:left w:val="single" w:sz="4" w:space="0" w:color="000000"/>
              <w:bottom w:val="single" w:sz="4" w:space="0" w:color="000000"/>
              <w:right w:val="single" w:sz="4" w:space="0" w:color="000000"/>
            </w:tcBorders>
          </w:tcPr>
          <w:p>
            <w:pPr/>
          </w:p>
        </w:tc>
        <w:tc>
          <w:tcPr>
            <w:tcW w:w="655" w:type="dxa"/>
            <w:vMerge/>
            <w:tcBorders>
              <w:left w:val="single" w:sz="4" w:space="0" w:color="000000"/>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814" w:type="dxa"/>
            <w:vMerge/>
            <w:tcBorders>
              <w:left w:val="single" w:sz="4" w:space="0" w:color="000000"/>
              <w:bottom w:val="single" w:sz="4" w:space="0" w:color="000000"/>
              <w:right w:val="single" w:sz="4" w:space="0" w:color="000000"/>
            </w:tcBorders>
          </w:tcPr>
          <w:p>
            <w:pPr/>
          </w:p>
        </w:tc>
        <w:tc>
          <w:tcPr>
            <w:tcW w:w="934"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820" w:right="0"/>
        </w:sectPr>
      </w:pPr>
    </w:p>
    <w:p>
      <w:pPr>
        <w:spacing w:before="49"/>
        <w:ind w:left="312"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期末单项金额重大并单项计提坏账准备的应收账款：</w:t>
      </w:r>
    </w:p>
    <w:p>
      <w:pPr>
        <w:spacing w:line="340" w:lineRule="auto" w:before="115"/>
        <w:ind w:left="312" w:right="16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组合中，按账龄分析法计提坏账准备的应收账款：</w:t>
      </w:r>
    </w:p>
    <w:p>
      <w:pPr>
        <w:spacing w:before="39"/>
        <w:ind w:left="312"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31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60" w:left="820" w:right="0"/>
          <w:cols w:num="2" w:equalWidth="0">
            <w:col w:w="4453" w:space="4376"/>
            <w:col w:w="2261"/>
          </w:cols>
        </w:sectPr>
      </w:pPr>
    </w:p>
    <w:p>
      <w:pPr>
        <w:spacing w:line="240" w:lineRule="auto" w:before="4"/>
        <w:rPr>
          <w:rFonts w:ascii="宋体" w:hAnsi="宋体" w:cs="宋体" w:eastAsia="宋体" w:hint="default"/>
          <w:sz w:val="8"/>
          <w:szCs w:val="8"/>
        </w:rPr>
      </w:pPr>
    </w:p>
    <w:tbl>
      <w:tblPr>
        <w:tblW w:w="0" w:type="auto"/>
        <w:jc w:val="left"/>
        <w:tblInd w:w="320" w:type="dxa"/>
        <w:tblLayout w:type="fixed"/>
        <w:tblCellMar>
          <w:top w:w="0" w:type="dxa"/>
          <w:left w:w="0" w:type="dxa"/>
          <w:bottom w:w="0" w:type="dxa"/>
          <w:right w:w="0" w:type="dxa"/>
        </w:tblCellMar>
        <w:tblLook w:val="01E0"/>
      </w:tblPr>
      <w:tblGrid>
        <w:gridCol w:w="2381"/>
        <w:gridCol w:w="2392"/>
        <w:gridCol w:w="2393"/>
        <w:gridCol w:w="2393"/>
      </w:tblGrid>
      <w:tr>
        <w:trPr>
          <w:trHeight w:val="206" w:hRule="exact"/>
        </w:trPr>
        <w:tc>
          <w:tcPr>
            <w:tcW w:w="2381" w:type="dxa"/>
            <w:tcBorders>
              <w:top w:val="single" w:sz="4" w:space="0" w:color="000000"/>
              <w:left w:val="single" w:sz="4" w:space="0" w:color="000000"/>
              <w:bottom w:val="nil" w:sz="6" w:space="0" w:color="auto"/>
              <w:right w:val="single" w:sz="4" w:space="0" w:color="000000"/>
            </w:tcBorders>
            <w:shd w:val="clear" w:color="auto" w:fill="D2D2D2"/>
          </w:tcPr>
          <w:p>
            <w:pPr/>
          </w:p>
        </w:tc>
        <w:tc>
          <w:tcPr>
            <w:tcW w:w="7178"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0" w:hRule="exact"/>
        </w:trPr>
        <w:tc>
          <w:tcPr>
            <w:tcW w:w="238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3"/>
              <w:jc w:val="center"/>
              <w:rPr>
                <w:rFonts w:ascii="宋体" w:hAnsi="宋体" w:cs="宋体" w:eastAsia="宋体" w:hint="default"/>
                <w:sz w:val="18"/>
                <w:szCs w:val="18"/>
              </w:rPr>
            </w:pPr>
            <w:r>
              <w:rPr>
                <w:rFonts w:ascii="宋体" w:hAnsi="宋体" w:cs="宋体" w:eastAsia="宋体" w:hint="default"/>
                <w:sz w:val="18"/>
                <w:szCs w:val="18"/>
              </w:rPr>
              <w:t>账龄</w:t>
            </w:r>
          </w:p>
        </w:tc>
        <w:tc>
          <w:tcPr>
            <w:tcW w:w="7178"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381" w:type="dxa"/>
            <w:vMerge/>
            <w:tcBorders>
              <w:left w:val="single" w:sz="4" w:space="0" w:color="000000"/>
              <w:bottom w:val="nil" w:sz="6" w:space="0" w:color="auto"/>
              <w:right w:val="single" w:sz="4" w:space="0" w:color="000000"/>
            </w:tcBorders>
            <w:shd w:val="clear" w:color="auto" w:fill="D2D2D2"/>
          </w:tcPr>
          <w:p>
            <w:pP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381"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r>
      <w:tr>
        <w:trPr>
          <w:trHeight w:val="396" w:hRule="exact"/>
        </w:trPr>
        <w:tc>
          <w:tcPr>
            <w:tcW w:w="95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年以内分项</w:t>
            </w:r>
          </w:p>
        </w:tc>
      </w:tr>
      <w:tr>
        <w:trPr>
          <w:trHeight w:val="404"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年以内小计</w:t>
            </w:r>
          </w:p>
        </w:tc>
        <w:tc>
          <w:tcPr>
            <w:tcW w:w="23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662,263,662.71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33,113,183.14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5.00%</w:t>
            </w:r>
          </w:p>
        </w:tc>
      </w:tr>
      <w:tr>
        <w:trPr>
          <w:trHeight w:val="401"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284,292,540.82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28,429,254.08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10.00%</w:t>
            </w:r>
          </w:p>
        </w:tc>
      </w:tr>
      <w:tr>
        <w:trPr>
          <w:trHeight w:val="403"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146,811,130.02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44,043,339.01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30.00%</w:t>
            </w:r>
          </w:p>
        </w:tc>
      </w:tr>
      <w:tr>
        <w:trPr>
          <w:trHeight w:val="401"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44,106,725.32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22,053,362.67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50.00%</w:t>
            </w:r>
          </w:p>
        </w:tc>
      </w:tr>
      <w:tr>
        <w:trPr>
          <w:trHeight w:val="403"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21,068,679.93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16,854,943.94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80.00%</w:t>
            </w:r>
          </w:p>
        </w:tc>
      </w:tr>
      <w:tr>
        <w:trPr>
          <w:trHeight w:val="401"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23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21,833,999.32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21,833,999.32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1,180,376,738.12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166,328,082.16</w:t>
            </w:r>
          </w:p>
        </w:tc>
        <w:tc>
          <w:tcPr>
            <w:tcW w:w="2393" w:type="dxa"/>
            <w:tcBorders>
              <w:top w:val="single" w:sz="4" w:space="0" w:color="000000"/>
              <w:left w:val="single" w:sz="4" w:space="0" w:color="000000"/>
              <w:bottom w:val="single" w:sz="4" w:space="0" w:color="000000"/>
              <w:right w:val="single" w:sz="4" w:space="0" w:color="000000"/>
            </w:tcBorders>
          </w:tcPr>
          <w:p>
            <w:pPr/>
          </w:p>
        </w:tc>
      </w:tr>
    </w:tbl>
    <w:p>
      <w:pPr>
        <w:spacing w:line="357" w:lineRule="auto" w:before="49"/>
        <w:ind w:left="312" w:right="6434"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组合中，采用余额百分比法计提坏账准备的应收账款：</w:t>
      </w:r>
    </w:p>
    <w:p>
      <w:pPr>
        <w:spacing w:line="338" w:lineRule="auto" w:before="29"/>
        <w:ind w:left="312" w:right="5545" w:firstLine="0"/>
        <w:jc w:val="left"/>
        <w:rPr>
          <w:rFonts w:ascii="宋体" w:hAnsi="宋体" w:cs="宋体" w:eastAsia="宋体" w:hint="default"/>
          <w:sz w:val="21"/>
          <w:szCs w:val="21"/>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组合中，采用其他方法计提坏账准备的应收账款： </w:t>
      </w:r>
      <w:r>
        <w:rPr>
          <w:rFonts w:ascii="宋体" w:hAnsi="宋体" w:cs="宋体" w:eastAsia="宋体" w:hint="default"/>
          <w:spacing w:val="-2"/>
          <w:sz w:val="21"/>
          <w:szCs w:val="21"/>
        </w:rPr>
        <w:t>组合中，采用其他方法计提坏账准备的应收账款：</w:t>
      </w:r>
    </w:p>
    <w:p>
      <w:pPr>
        <w:spacing w:line="240" w:lineRule="auto" w:before="1"/>
        <w:rPr>
          <w:rFonts w:ascii="宋体" w:hAnsi="宋体" w:cs="宋体" w:eastAsia="宋体" w:hint="default"/>
          <w:sz w:val="2"/>
          <w:szCs w:val="2"/>
        </w:rPr>
      </w:pPr>
    </w:p>
    <w:tbl>
      <w:tblPr>
        <w:tblW w:w="0" w:type="auto"/>
        <w:jc w:val="left"/>
        <w:tblInd w:w="112" w:type="dxa"/>
        <w:tblLayout w:type="fixed"/>
        <w:tblCellMar>
          <w:top w:w="0" w:type="dxa"/>
          <w:left w:w="0" w:type="dxa"/>
          <w:bottom w:w="0" w:type="dxa"/>
          <w:right w:w="0" w:type="dxa"/>
        </w:tblCellMar>
        <w:tblLook w:val="01E0"/>
      </w:tblPr>
      <w:tblGrid>
        <w:gridCol w:w="1424"/>
        <w:gridCol w:w="1651"/>
        <w:gridCol w:w="883"/>
        <w:gridCol w:w="1347"/>
        <w:gridCol w:w="1385"/>
        <w:gridCol w:w="1015"/>
        <w:gridCol w:w="1440"/>
      </w:tblGrid>
      <w:tr>
        <w:trPr>
          <w:trHeight w:val="300" w:hRule="exact"/>
        </w:trPr>
        <w:tc>
          <w:tcPr>
            <w:tcW w:w="1424" w:type="dxa"/>
            <w:tcBorders>
              <w:top w:val="nil" w:sz="6" w:space="0" w:color="auto"/>
              <w:left w:val="nil" w:sz="6" w:space="0" w:color="auto"/>
              <w:bottom w:val="nil" w:sz="6" w:space="0" w:color="auto"/>
              <w:right w:val="nil" w:sz="6" w:space="0" w:color="auto"/>
            </w:tcBorders>
          </w:tcPr>
          <w:p>
            <w:pPr>
              <w:pStyle w:val="TableParagraph"/>
              <w:spacing w:line="180" w:lineRule="exact"/>
              <w:ind w:left="200"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款项性质</w:t>
            </w:r>
            <w:r>
              <w:rPr>
                <w:rFonts w:ascii="宋体" w:hAnsi="宋体" w:cs="宋体" w:eastAsia="宋体" w:hint="default"/>
                <w:sz w:val="18"/>
                <w:szCs w:val="18"/>
              </w:rPr>
            </w:r>
          </w:p>
        </w:tc>
        <w:tc>
          <w:tcPr>
            <w:tcW w:w="1651" w:type="dxa"/>
            <w:tcBorders>
              <w:top w:val="nil" w:sz="6" w:space="0" w:color="auto"/>
              <w:left w:val="nil" w:sz="6" w:space="0" w:color="auto"/>
              <w:bottom w:val="nil" w:sz="6" w:space="0" w:color="auto"/>
              <w:right w:val="nil" w:sz="6" w:space="0" w:color="auto"/>
            </w:tcBorders>
          </w:tcPr>
          <w:p>
            <w:pPr>
              <w:pStyle w:val="TableParagraph"/>
              <w:spacing w:line="180" w:lineRule="exact"/>
              <w:ind w:right="64"/>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期末账面余额</w:t>
            </w:r>
            <w:r>
              <w:rPr>
                <w:rFonts w:ascii="宋体" w:hAnsi="宋体" w:cs="宋体" w:eastAsia="宋体" w:hint="default"/>
                <w:sz w:val="18"/>
                <w:szCs w:val="18"/>
              </w:rPr>
            </w:r>
          </w:p>
        </w:tc>
        <w:tc>
          <w:tcPr>
            <w:tcW w:w="883" w:type="dxa"/>
            <w:tcBorders>
              <w:top w:val="nil" w:sz="6" w:space="0" w:color="auto"/>
              <w:left w:val="nil" w:sz="6" w:space="0" w:color="auto"/>
              <w:bottom w:val="nil" w:sz="6" w:space="0" w:color="auto"/>
              <w:right w:val="nil" w:sz="6" w:space="0" w:color="auto"/>
            </w:tcBorders>
          </w:tcPr>
          <w:p>
            <w:pPr>
              <w:pStyle w:val="TableParagraph"/>
              <w:spacing w:line="180" w:lineRule="exact"/>
              <w:ind w:left="66"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c>
          <w:tcPr>
            <w:tcW w:w="1347" w:type="dxa"/>
            <w:tcBorders>
              <w:top w:val="nil" w:sz="6" w:space="0" w:color="auto"/>
              <w:left w:val="nil" w:sz="6" w:space="0" w:color="auto"/>
              <w:bottom w:val="nil" w:sz="6" w:space="0" w:color="auto"/>
              <w:right w:val="nil" w:sz="6" w:space="0" w:color="auto"/>
            </w:tcBorders>
          </w:tcPr>
          <w:p>
            <w:pPr>
              <w:pStyle w:val="TableParagraph"/>
              <w:spacing w:line="180" w:lineRule="exact"/>
              <w:ind w:right="167"/>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期末账面价值</w:t>
            </w:r>
            <w:r>
              <w:rPr>
                <w:rFonts w:ascii="宋体" w:hAnsi="宋体" w:cs="宋体" w:eastAsia="宋体" w:hint="default"/>
                <w:sz w:val="18"/>
                <w:szCs w:val="18"/>
              </w:rPr>
            </w:r>
          </w:p>
        </w:tc>
        <w:tc>
          <w:tcPr>
            <w:tcW w:w="1385" w:type="dxa"/>
            <w:tcBorders>
              <w:top w:val="nil" w:sz="6" w:space="0" w:color="auto"/>
              <w:left w:val="nil" w:sz="6" w:space="0" w:color="auto"/>
              <w:bottom w:val="nil" w:sz="6" w:space="0" w:color="auto"/>
              <w:right w:val="nil" w:sz="6" w:space="0" w:color="auto"/>
            </w:tcBorders>
          </w:tcPr>
          <w:p>
            <w:pPr>
              <w:pStyle w:val="TableParagraph"/>
              <w:spacing w:line="180" w:lineRule="exact"/>
              <w:ind w:right="133"/>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期初账面余额</w:t>
            </w:r>
            <w:r>
              <w:rPr>
                <w:rFonts w:ascii="宋体" w:hAnsi="宋体" w:cs="宋体" w:eastAsia="宋体" w:hint="default"/>
                <w:sz w:val="18"/>
                <w:szCs w:val="18"/>
              </w:rPr>
            </w:r>
          </w:p>
        </w:tc>
        <w:tc>
          <w:tcPr>
            <w:tcW w:w="1015" w:type="dxa"/>
            <w:tcBorders>
              <w:top w:val="nil" w:sz="6" w:space="0" w:color="auto"/>
              <w:left w:val="nil" w:sz="6" w:space="0" w:color="auto"/>
              <w:bottom w:val="nil" w:sz="6" w:space="0" w:color="auto"/>
              <w:right w:val="nil" w:sz="6" w:space="0" w:color="auto"/>
            </w:tcBorders>
          </w:tcPr>
          <w:p>
            <w:pPr>
              <w:pStyle w:val="TableParagraph"/>
              <w:spacing w:line="180" w:lineRule="exact"/>
              <w:ind w:left="135"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c>
          <w:tcPr>
            <w:tcW w:w="1440" w:type="dxa"/>
            <w:tcBorders>
              <w:top w:val="nil" w:sz="6" w:space="0" w:color="auto"/>
              <w:left w:val="nil" w:sz="6" w:space="0" w:color="auto"/>
              <w:bottom w:val="nil" w:sz="6" w:space="0" w:color="auto"/>
              <w:right w:val="nil" w:sz="6" w:space="0" w:color="auto"/>
            </w:tcBorders>
          </w:tcPr>
          <w:p>
            <w:pPr>
              <w:pStyle w:val="TableParagraph"/>
              <w:spacing w:line="180" w:lineRule="exact"/>
              <w:ind w:right="198"/>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期初账面价值</w:t>
            </w:r>
            <w:r>
              <w:rPr>
                <w:rFonts w:ascii="宋体" w:hAnsi="宋体" w:cs="宋体" w:eastAsia="宋体" w:hint="default"/>
                <w:sz w:val="18"/>
                <w:szCs w:val="18"/>
              </w:rPr>
            </w:r>
          </w:p>
        </w:tc>
      </w:tr>
      <w:tr>
        <w:trPr>
          <w:trHeight w:val="310" w:hRule="exact"/>
        </w:trPr>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00"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651"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66"/>
              <w:jc w:val="right"/>
              <w:rPr>
                <w:rFonts w:ascii="Garamond" w:hAnsi="Garamond" w:cs="Garamond" w:eastAsia="Garamond" w:hint="default"/>
                <w:sz w:val="18"/>
                <w:szCs w:val="18"/>
              </w:rPr>
            </w:pPr>
            <w:r>
              <w:rPr>
                <w:rFonts w:ascii="Garamond"/>
                <w:spacing w:val="-1"/>
                <w:sz w:val="18"/>
              </w:rPr>
              <w:t>53,227,581.46</w:t>
            </w:r>
          </w:p>
        </w:tc>
        <w:tc>
          <w:tcPr>
            <w:tcW w:w="883" w:type="dxa"/>
            <w:tcBorders>
              <w:top w:val="nil" w:sz="6" w:space="0" w:color="auto"/>
              <w:left w:val="nil" w:sz="6" w:space="0" w:color="auto"/>
              <w:bottom w:val="nil" w:sz="6" w:space="0" w:color="auto"/>
              <w:right w:val="nil" w:sz="6" w:space="0" w:color="auto"/>
            </w:tcBorders>
          </w:tcPr>
          <w:p>
            <w:pPr/>
          </w:p>
        </w:tc>
        <w:tc>
          <w:tcPr>
            <w:tcW w:w="1347"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69"/>
              <w:jc w:val="right"/>
              <w:rPr>
                <w:rFonts w:ascii="Garamond" w:hAnsi="Garamond" w:cs="Garamond" w:eastAsia="Garamond" w:hint="default"/>
                <w:sz w:val="18"/>
                <w:szCs w:val="18"/>
              </w:rPr>
            </w:pPr>
            <w:r>
              <w:rPr>
                <w:rFonts w:ascii="Garamond"/>
                <w:spacing w:val="-1"/>
                <w:sz w:val="18"/>
              </w:rPr>
              <w:t>53,227,581.46</w:t>
            </w:r>
          </w:p>
        </w:tc>
        <w:tc>
          <w:tcPr>
            <w:tcW w:w="1385"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35"/>
              <w:jc w:val="right"/>
              <w:rPr>
                <w:rFonts w:ascii="Garamond" w:hAnsi="Garamond" w:cs="Garamond" w:eastAsia="Garamond" w:hint="default"/>
                <w:sz w:val="18"/>
                <w:szCs w:val="18"/>
              </w:rPr>
            </w:pPr>
            <w:r>
              <w:rPr>
                <w:rFonts w:ascii="Garamond"/>
                <w:spacing w:val="-1"/>
                <w:sz w:val="18"/>
              </w:rPr>
              <w:t>32,065,412.74</w:t>
            </w:r>
          </w:p>
        </w:tc>
        <w:tc>
          <w:tcPr>
            <w:tcW w:w="1015" w:type="dxa"/>
            <w:tcBorders>
              <w:top w:val="nil" w:sz="6" w:space="0" w:color="auto"/>
              <w:left w:val="nil" w:sz="6" w:space="0" w:color="auto"/>
              <w:bottom w:val="nil" w:sz="6" w:space="0" w:color="auto"/>
              <w:right w:val="nil" w:sz="6" w:space="0" w:color="auto"/>
            </w:tcBorders>
          </w:tcPr>
          <w:p>
            <w:pPr/>
          </w:p>
        </w:tc>
        <w:tc>
          <w:tcPr>
            <w:tcW w:w="1440"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200"/>
              <w:jc w:val="right"/>
              <w:rPr>
                <w:rFonts w:ascii="Garamond" w:hAnsi="Garamond" w:cs="Garamond" w:eastAsia="Garamond" w:hint="default"/>
                <w:sz w:val="18"/>
                <w:szCs w:val="18"/>
              </w:rPr>
            </w:pPr>
            <w:r>
              <w:rPr>
                <w:rFonts w:ascii="Garamond"/>
                <w:spacing w:val="-1"/>
                <w:sz w:val="18"/>
              </w:rPr>
              <w:t>32,065,412.74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before="44"/>
        <w:ind w:left="312" w:right="0"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上市公司从事软件与信息技术服务业务》的披露要求</w:t>
      </w:r>
    </w:p>
    <w:p>
      <w:pPr>
        <w:spacing w:before="101"/>
        <w:ind w:left="312" w:right="64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本期计提、收回或转回的坏账准备情况</w:t>
      </w:r>
    </w:p>
    <w:p>
      <w:pPr>
        <w:spacing w:before="103"/>
        <w:ind w:left="312" w:right="0"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41,695,259.68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元；本期收回或转回坏账准备金额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60" w:left="820" w:right="0"/>
        </w:sectPr>
      </w:pPr>
    </w:p>
    <w:p>
      <w:pPr>
        <w:spacing w:line="240" w:lineRule="auto" w:before="10"/>
        <w:rPr>
          <w:rFonts w:ascii="宋体" w:hAnsi="宋体" w:cs="宋体" w:eastAsia="宋体" w:hint="default"/>
          <w:sz w:val="25"/>
          <w:szCs w:val="25"/>
        </w:rPr>
      </w:pPr>
    </w:p>
    <w:p>
      <w:pPr>
        <w:spacing w:line="340" w:lineRule="auto" w:before="44"/>
        <w:ind w:left="332" w:right="682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按欠款方归集的期末余额前五名的应收账款情况 公司是否需要遵守特殊行业的披露要求</w:t>
      </w:r>
    </w:p>
    <w:p>
      <w:pPr>
        <w:spacing w:line="360" w:lineRule="auto" w:before="39"/>
        <w:ind w:left="332" w:right="8954" w:firstLine="0"/>
        <w:jc w:val="left"/>
        <w:rPr>
          <w:rFonts w:ascii="宋体" w:hAnsi="宋体" w:cs="宋体" w:eastAsia="宋体" w:hint="default"/>
          <w:sz w:val="18"/>
          <w:szCs w:val="18"/>
        </w:rPr>
      </w:pPr>
      <w:r>
        <w:rPr>
          <w:rFonts w:ascii="宋体" w:hAnsi="宋体" w:cs="宋体" w:eastAsia="宋体" w:hint="default"/>
          <w:sz w:val="18"/>
          <w:szCs w:val="18"/>
        </w:rPr>
        <w:t>是 软件与信息技术服务业</w:t>
      </w:r>
    </w:p>
    <w:p>
      <w:pPr>
        <w:spacing w:before="6"/>
        <w:ind w:left="332"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43"/>
          <w:sz w:val="21"/>
          <w:szCs w:val="21"/>
        </w:rPr>
        <w:t> </w:t>
      </w:r>
      <w:r>
        <w:rPr>
          <w:rFonts w:ascii="宋体" w:hAnsi="宋体" w:cs="宋体" w:eastAsia="宋体" w:hint="default"/>
          <w:sz w:val="21"/>
          <w:szCs w:val="21"/>
        </w:rPr>
        <w:t>按欠款方归集的期末余额前五名的应收账款情况</w:t>
      </w:r>
    </w:p>
    <w:p>
      <w:pPr>
        <w:spacing w:line="240" w:lineRule="auto" w:before="5"/>
        <w:rPr>
          <w:rFonts w:ascii="宋体" w:hAnsi="宋体" w:cs="宋体" w:eastAsia="宋体" w:hint="default"/>
          <w:sz w:val="9"/>
          <w:szCs w:val="9"/>
        </w:rPr>
      </w:pPr>
    </w:p>
    <w:tbl>
      <w:tblPr>
        <w:tblW w:w="0" w:type="auto"/>
        <w:jc w:val="left"/>
        <w:tblInd w:w="144" w:type="dxa"/>
        <w:tblLayout w:type="fixed"/>
        <w:tblCellMar>
          <w:top w:w="0" w:type="dxa"/>
          <w:left w:w="0" w:type="dxa"/>
          <w:bottom w:w="0" w:type="dxa"/>
          <w:right w:w="0" w:type="dxa"/>
        </w:tblCellMar>
        <w:tblLook w:val="01E0"/>
      </w:tblPr>
      <w:tblGrid>
        <w:gridCol w:w="1371"/>
        <w:gridCol w:w="1618"/>
        <w:gridCol w:w="1281"/>
        <w:gridCol w:w="1380"/>
        <w:gridCol w:w="2282"/>
        <w:gridCol w:w="808"/>
      </w:tblGrid>
      <w:tr>
        <w:trPr>
          <w:trHeight w:val="568" w:hRule="exact"/>
        </w:trPr>
        <w:tc>
          <w:tcPr>
            <w:tcW w:w="1371" w:type="dxa"/>
            <w:tcBorders>
              <w:top w:val="nil" w:sz="6" w:space="0" w:color="auto"/>
              <w:left w:val="nil" w:sz="6" w:space="0" w:color="auto"/>
              <w:bottom w:val="nil" w:sz="6" w:space="0" w:color="auto"/>
              <w:right w:val="nil" w:sz="6" w:space="0" w:color="auto"/>
            </w:tcBorders>
          </w:tcPr>
          <w:p>
            <w:pPr>
              <w:pStyle w:val="TableParagraph"/>
              <w:spacing w:line="180" w:lineRule="exact"/>
              <w:ind w:left="200"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单位名称</w:t>
            </w:r>
            <w:r>
              <w:rPr>
                <w:rFonts w:ascii="宋体" w:hAnsi="宋体" w:cs="宋体" w:eastAsia="宋体" w:hint="default"/>
                <w:sz w:val="18"/>
                <w:szCs w:val="18"/>
              </w:rPr>
            </w:r>
          </w:p>
        </w:tc>
        <w:tc>
          <w:tcPr>
            <w:tcW w:w="1618" w:type="dxa"/>
            <w:tcBorders>
              <w:top w:val="nil" w:sz="6" w:space="0" w:color="auto"/>
              <w:left w:val="nil" w:sz="6" w:space="0" w:color="auto"/>
              <w:bottom w:val="nil" w:sz="6" w:space="0" w:color="auto"/>
              <w:right w:val="nil" w:sz="6" w:space="0" w:color="auto"/>
            </w:tcBorders>
          </w:tcPr>
          <w:p>
            <w:pPr>
              <w:pStyle w:val="TableParagraph"/>
              <w:spacing w:line="180" w:lineRule="exact"/>
              <w:ind w:right="84"/>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与本公司关系</w:t>
            </w:r>
            <w:r>
              <w:rPr>
                <w:rFonts w:ascii="宋体" w:hAnsi="宋体" w:cs="宋体" w:eastAsia="宋体" w:hint="default"/>
                <w:sz w:val="18"/>
                <w:szCs w:val="18"/>
              </w:rPr>
            </w:r>
          </w:p>
        </w:tc>
        <w:tc>
          <w:tcPr>
            <w:tcW w:w="1281" w:type="dxa"/>
            <w:tcBorders>
              <w:top w:val="nil" w:sz="6" w:space="0" w:color="auto"/>
              <w:left w:val="nil" w:sz="6" w:space="0" w:color="auto"/>
              <w:bottom w:val="nil" w:sz="6" w:space="0" w:color="auto"/>
              <w:right w:val="nil" w:sz="6" w:space="0" w:color="auto"/>
            </w:tcBorders>
          </w:tcPr>
          <w:p>
            <w:pPr>
              <w:pStyle w:val="TableParagraph"/>
              <w:spacing w:line="180" w:lineRule="exact"/>
              <w:ind w:right="155"/>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1380" w:type="dxa"/>
            <w:tcBorders>
              <w:top w:val="nil" w:sz="6" w:space="0" w:color="auto"/>
              <w:left w:val="nil" w:sz="6" w:space="0" w:color="auto"/>
              <w:bottom w:val="nil" w:sz="6" w:space="0" w:color="auto"/>
              <w:right w:val="nil" w:sz="6" w:space="0" w:color="auto"/>
            </w:tcBorders>
          </w:tcPr>
          <w:p>
            <w:pPr>
              <w:pStyle w:val="TableParagraph"/>
              <w:spacing w:line="180" w:lineRule="exact"/>
              <w:ind w:right="186"/>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c>
          <w:tcPr>
            <w:tcW w:w="2282" w:type="dxa"/>
            <w:tcBorders>
              <w:top w:val="nil" w:sz="6" w:space="0" w:color="auto"/>
              <w:left w:val="nil" w:sz="6" w:space="0" w:color="auto"/>
              <w:bottom w:val="nil" w:sz="6" w:space="0" w:color="auto"/>
              <w:right w:val="nil" w:sz="6" w:space="0" w:color="auto"/>
            </w:tcBorders>
          </w:tcPr>
          <w:p>
            <w:pPr>
              <w:pStyle w:val="TableParagraph"/>
              <w:spacing w:line="180" w:lineRule="exact"/>
              <w:ind w:right="65"/>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年限</w:t>
            </w:r>
            <w:r>
              <w:rPr>
                <w:rFonts w:ascii="宋体" w:hAnsi="宋体" w:cs="宋体" w:eastAsia="宋体" w:hint="default"/>
                <w:sz w:val="18"/>
                <w:szCs w:val="18"/>
              </w:rPr>
            </w:r>
          </w:p>
        </w:tc>
        <w:tc>
          <w:tcPr>
            <w:tcW w:w="808" w:type="dxa"/>
            <w:tcBorders>
              <w:top w:val="nil" w:sz="6" w:space="0" w:color="auto"/>
              <w:left w:val="nil" w:sz="6" w:space="0" w:color="auto"/>
              <w:bottom w:val="nil" w:sz="6" w:space="0" w:color="auto"/>
              <w:right w:val="nil" w:sz="6" w:space="0" w:color="auto"/>
            </w:tcBorders>
          </w:tcPr>
          <w:p>
            <w:pPr>
              <w:pStyle w:val="TableParagraph"/>
              <w:spacing w:line="180" w:lineRule="exact"/>
              <w:ind w:left="65"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占总金</w:t>
            </w:r>
            <w:r>
              <w:rPr>
                <w:rFonts w:ascii="宋体" w:hAnsi="宋体" w:cs="宋体" w:eastAsia="宋体" w:hint="default"/>
                <w:sz w:val="18"/>
                <w:szCs w:val="18"/>
              </w:rPr>
            </w:r>
          </w:p>
          <w:p>
            <w:pPr>
              <w:pStyle w:val="TableParagraph"/>
              <w:spacing w:line="240" w:lineRule="auto" w:before="76"/>
              <w:ind w:left="65"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额比例</w:t>
            </w:r>
            <w:r>
              <w:rPr>
                <w:rFonts w:ascii="宋体" w:hAnsi="宋体" w:cs="宋体" w:eastAsia="宋体" w:hint="default"/>
                <w:sz w:val="18"/>
                <w:szCs w:val="18"/>
              </w:rPr>
            </w:r>
          </w:p>
        </w:tc>
      </w:tr>
      <w:tr>
        <w:trPr>
          <w:trHeight w:val="648" w:hRule="exact"/>
        </w:trPr>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00"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84"/>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57"/>
              <w:jc w:val="right"/>
              <w:rPr>
                <w:rFonts w:ascii="Times New Roman" w:hAnsi="Times New Roman" w:cs="Times New Roman" w:eastAsia="Times New Roman" w:hint="default"/>
                <w:sz w:val="18"/>
                <w:szCs w:val="18"/>
              </w:rPr>
            </w:pPr>
            <w:r>
              <w:rPr>
                <w:rFonts w:ascii="Times New Roman"/>
                <w:spacing w:val="-1"/>
                <w:sz w:val="18"/>
              </w:rPr>
              <w:t>73,038,191.75</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88"/>
              <w:jc w:val="right"/>
              <w:rPr>
                <w:rFonts w:ascii="Times New Roman" w:hAnsi="Times New Roman" w:cs="Times New Roman" w:eastAsia="Times New Roman" w:hint="default"/>
                <w:sz w:val="18"/>
                <w:szCs w:val="18"/>
              </w:rPr>
            </w:pPr>
            <w:r>
              <w:rPr>
                <w:rFonts w:ascii="Times New Roman"/>
                <w:spacing w:val="-1"/>
                <w:sz w:val="18"/>
              </w:rPr>
              <w:t>4,960,496.37</w:t>
            </w: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46,866,456.13</w:t>
            </w:r>
            <w:r>
              <w:rPr>
                <w:rFonts w:ascii="宋体" w:hAnsi="宋体" w:cs="宋体" w:eastAsia="宋体" w:hint="default"/>
                <w:sz w:val="18"/>
                <w:szCs w:val="18"/>
              </w:rPr>
              <w:t>元，</w:t>
            </w:r>
          </w:p>
          <w:p>
            <w:pPr>
              <w:pStyle w:val="TableParagraph"/>
              <w:spacing w:line="240" w:lineRule="auto" w:before="63"/>
              <w:ind w:left="5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年</w:t>
            </w:r>
            <w:r>
              <w:rPr>
                <w:rFonts w:ascii="Times New Roman" w:hAnsi="Times New Roman" w:cs="Times New Roman" w:eastAsia="Times New Roman" w:hint="default"/>
                <w:sz w:val="18"/>
                <w:szCs w:val="18"/>
              </w:rPr>
              <w:t>26,171,735.62</w:t>
            </w:r>
            <w:r>
              <w:rPr>
                <w:rFonts w:ascii="宋体" w:hAnsi="宋体" w:cs="宋体" w:eastAsia="宋体" w:hint="default"/>
                <w:sz w:val="18"/>
                <w:szCs w:val="18"/>
              </w:rPr>
              <w:t>元</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00"/>
              <w:jc w:val="right"/>
              <w:rPr>
                <w:rFonts w:ascii="Times New Roman" w:hAnsi="Times New Roman" w:cs="Times New Roman" w:eastAsia="Times New Roman" w:hint="default"/>
                <w:sz w:val="18"/>
                <w:szCs w:val="18"/>
              </w:rPr>
            </w:pPr>
            <w:r>
              <w:rPr>
                <w:rFonts w:ascii="Times New Roman"/>
                <w:sz w:val="18"/>
              </w:rPr>
              <w:t>5.92%</w:t>
            </w:r>
          </w:p>
        </w:tc>
      </w:tr>
      <w:tr>
        <w:trPr>
          <w:trHeight w:val="645" w:hRule="exact"/>
        </w:trPr>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00"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4"/>
              <w:jc w:val="right"/>
              <w:rPr>
                <w:rFonts w:ascii="宋体" w:hAnsi="宋体" w:cs="宋体" w:eastAsia="宋体" w:hint="default"/>
                <w:sz w:val="18"/>
                <w:szCs w:val="18"/>
              </w:rPr>
            </w:pPr>
            <w:r>
              <w:rPr>
                <w:rFonts w:ascii="宋体" w:hAnsi="宋体" w:cs="宋体" w:eastAsia="宋体" w:hint="default"/>
                <w:sz w:val="18"/>
                <w:szCs w:val="18"/>
              </w:rPr>
              <w:t>关联方</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57"/>
              <w:jc w:val="right"/>
              <w:rPr>
                <w:rFonts w:ascii="Times New Roman" w:hAnsi="Times New Roman" w:cs="Times New Roman" w:eastAsia="Times New Roman" w:hint="default"/>
                <w:sz w:val="18"/>
                <w:szCs w:val="18"/>
              </w:rPr>
            </w:pPr>
            <w:r>
              <w:rPr>
                <w:rFonts w:ascii="Times New Roman"/>
                <w:spacing w:val="-1"/>
                <w:sz w:val="18"/>
              </w:rPr>
              <w:t>48,437,414.98</w:t>
            </w:r>
          </w:p>
        </w:tc>
        <w:tc>
          <w:tcPr>
            <w:tcW w:w="1380" w:type="dxa"/>
            <w:tcBorders>
              <w:top w:val="nil" w:sz="6" w:space="0" w:color="auto"/>
              <w:left w:val="nil" w:sz="6" w:space="0" w:color="auto"/>
              <w:bottom w:val="nil" w:sz="6" w:space="0" w:color="auto"/>
              <w:right w:val="nil" w:sz="6" w:space="0" w:color="auto"/>
            </w:tcBorders>
          </w:tcPr>
          <w:p>
            <w:pP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8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29,410,374.03</w:t>
            </w:r>
            <w:r>
              <w:rPr>
                <w:rFonts w:ascii="宋体" w:hAnsi="宋体" w:cs="宋体" w:eastAsia="宋体" w:hint="default"/>
                <w:sz w:val="18"/>
                <w:szCs w:val="18"/>
              </w:rPr>
              <w:t>元，</w:t>
            </w:r>
          </w:p>
          <w:p>
            <w:pPr>
              <w:pStyle w:val="TableParagraph"/>
              <w:spacing w:line="240" w:lineRule="auto" w:before="63"/>
              <w:ind w:left="5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年</w:t>
            </w:r>
            <w:r>
              <w:rPr>
                <w:rFonts w:ascii="Times New Roman" w:hAnsi="Times New Roman" w:cs="Times New Roman" w:eastAsia="Times New Roman" w:hint="default"/>
                <w:sz w:val="18"/>
                <w:szCs w:val="18"/>
              </w:rPr>
              <w:t>19,027,040.95</w:t>
            </w:r>
            <w:r>
              <w:rPr>
                <w:rFonts w:ascii="宋体" w:hAnsi="宋体" w:cs="宋体" w:eastAsia="宋体" w:hint="default"/>
                <w:sz w:val="18"/>
                <w:szCs w:val="18"/>
              </w:rPr>
              <w:t>元</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00"/>
              <w:jc w:val="right"/>
              <w:rPr>
                <w:rFonts w:ascii="Times New Roman" w:hAnsi="Times New Roman" w:cs="Times New Roman" w:eastAsia="Times New Roman" w:hint="default"/>
                <w:sz w:val="18"/>
                <w:szCs w:val="18"/>
              </w:rPr>
            </w:pPr>
            <w:r>
              <w:rPr>
                <w:rFonts w:ascii="Times New Roman"/>
                <w:sz w:val="18"/>
              </w:rPr>
              <w:t>3.93%</w:t>
            </w:r>
          </w:p>
        </w:tc>
      </w:tr>
      <w:tr>
        <w:trPr>
          <w:trHeight w:val="332" w:hRule="exact"/>
        </w:trPr>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00"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84"/>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57"/>
              <w:jc w:val="right"/>
              <w:rPr>
                <w:rFonts w:ascii="Times New Roman" w:hAnsi="Times New Roman" w:cs="Times New Roman" w:eastAsia="Times New Roman" w:hint="default"/>
                <w:sz w:val="18"/>
                <w:szCs w:val="18"/>
              </w:rPr>
            </w:pPr>
            <w:r>
              <w:rPr>
                <w:rFonts w:ascii="Times New Roman"/>
                <w:spacing w:val="-1"/>
                <w:sz w:val="18"/>
              </w:rPr>
              <w:t>26,634,930.98</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88"/>
              <w:jc w:val="right"/>
              <w:rPr>
                <w:rFonts w:ascii="Times New Roman" w:hAnsi="Times New Roman" w:cs="Times New Roman" w:eastAsia="Times New Roman" w:hint="default"/>
                <w:sz w:val="18"/>
                <w:szCs w:val="18"/>
              </w:rPr>
            </w:pPr>
            <w:r>
              <w:rPr>
                <w:rFonts w:ascii="Times New Roman"/>
                <w:spacing w:val="-1"/>
                <w:sz w:val="18"/>
              </w:rPr>
              <w:t>1,331,746.55</w:t>
            </w: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65"/>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00"/>
              <w:jc w:val="right"/>
              <w:rPr>
                <w:rFonts w:ascii="Times New Roman" w:hAnsi="Times New Roman" w:cs="Times New Roman" w:eastAsia="Times New Roman" w:hint="default"/>
                <w:sz w:val="18"/>
                <w:szCs w:val="18"/>
              </w:rPr>
            </w:pPr>
            <w:r>
              <w:rPr>
                <w:rFonts w:ascii="Times New Roman"/>
                <w:sz w:val="18"/>
              </w:rPr>
              <w:t>2.16%</w:t>
            </w:r>
          </w:p>
        </w:tc>
      </w:tr>
      <w:tr>
        <w:trPr>
          <w:trHeight w:val="647" w:hRule="exact"/>
        </w:trPr>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00"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4"/>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57"/>
              <w:jc w:val="right"/>
              <w:rPr>
                <w:rFonts w:ascii="Times New Roman" w:hAnsi="Times New Roman" w:cs="Times New Roman" w:eastAsia="Times New Roman" w:hint="default"/>
                <w:sz w:val="18"/>
                <w:szCs w:val="18"/>
              </w:rPr>
            </w:pPr>
            <w:r>
              <w:rPr>
                <w:rFonts w:ascii="Times New Roman"/>
                <w:spacing w:val="-1"/>
                <w:sz w:val="18"/>
              </w:rPr>
              <w:t>24,138,318.10</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88"/>
              <w:jc w:val="right"/>
              <w:rPr>
                <w:rFonts w:ascii="Times New Roman" w:hAnsi="Times New Roman" w:cs="Times New Roman" w:eastAsia="Times New Roman" w:hint="default"/>
                <w:sz w:val="18"/>
                <w:szCs w:val="18"/>
              </w:rPr>
            </w:pPr>
            <w:r>
              <w:rPr>
                <w:rFonts w:ascii="Times New Roman"/>
                <w:spacing w:val="-1"/>
                <w:sz w:val="18"/>
              </w:rPr>
              <w:t>2,144,663.20</w:t>
            </w: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5,383,372.16</w:t>
            </w:r>
            <w:r>
              <w:rPr>
                <w:rFonts w:ascii="宋体" w:hAnsi="宋体" w:cs="宋体" w:eastAsia="宋体" w:hint="default"/>
                <w:sz w:val="18"/>
                <w:szCs w:val="18"/>
              </w:rPr>
              <w:t>元，</w:t>
            </w:r>
          </w:p>
          <w:p>
            <w:pPr>
              <w:pStyle w:val="TableParagraph"/>
              <w:spacing w:line="240" w:lineRule="auto" w:before="63"/>
              <w:ind w:left="53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至</w:t>
            </w:r>
            <w:r>
              <w:rPr>
                <w:rFonts w:ascii="Times New Roman" w:hAnsi="Times New Roman" w:cs="Times New Roman" w:eastAsia="Times New Roman" w:hint="default"/>
                <w:sz w:val="18"/>
                <w:szCs w:val="18"/>
              </w:rPr>
              <w:t>2</w:t>
            </w:r>
            <w:r>
              <w:rPr>
                <w:rFonts w:ascii="宋体" w:hAnsi="宋体" w:cs="宋体" w:eastAsia="宋体" w:hint="default"/>
                <w:sz w:val="18"/>
                <w:szCs w:val="18"/>
              </w:rPr>
              <w:t>年</w:t>
            </w:r>
            <w:r>
              <w:rPr>
                <w:rFonts w:ascii="Garamond" w:hAnsi="Garamond" w:cs="Garamond" w:eastAsia="Garamond" w:hint="default"/>
                <w:sz w:val="18"/>
                <w:szCs w:val="18"/>
              </w:rPr>
              <w:t>18,754,945.94</w:t>
            </w:r>
            <w:r>
              <w:rPr>
                <w:rFonts w:ascii="宋体" w:hAnsi="宋体" w:cs="宋体" w:eastAsia="宋体" w:hint="default"/>
                <w:sz w:val="18"/>
                <w:szCs w:val="18"/>
              </w:rPr>
              <w:t>元</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00"/>
              <w:jc w:val="right"/>
              <w:rPr>
                <w:rFonts w:ascii="Times New Roman" w:hAnsi="Times New Roman" w:cs="Times New Roman" w:eastAsia="Times New Roman" w:hint="default"/>
                <w:sz w:val="18"/>
                <w:szCs w:val="18"/>
              </w:rPr>
            </w:pPr>
            <w:r>
              <w:rPr>
                <w:rFonts w:ascii="Times New Roman"/>
                <w:sz w:val="18"/>
              </w:rPr>
              <w:t>1.96%</w:t>
            </w:r>
          </w:p>
        </w:tc>
      </w:tr>
      <w:tr>
        <w:trPr>
          <w:trHeight w:val="641" w:hRule="exact"/>
        </w:trPr>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00"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61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84"/>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57"/>
              <w:jc w:val="right"/>
              <w:rPr>
                <w:rFonts w:ascii="Times New Roman" w:hAnsi="Times New Roman" w:cs="Times New Roman" w:eastAsia="Times New Roman" w:hint="default"/>
                <w:sz w:val="18"/>
                <w:szCs w:val="18"/>
              </w:rPr>
            </w:pPr>
            <w:r>
              <w:rPr>
                <w:rFonts w:ascii="Times New Roman"/>
                <w:spacing w:val="-1"/>
                <w:sz w:val="18"/>
              </w:rPr>
              <w:t>21,369,470.09</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88"/>
              <w:jc w:val="right"/>
              <w:rPr>
                <w:rFonts w:ascii="Times New Roman" w:hAnsi="Times New Roman" w:cs="Times New Roman" w:eastAsia="Times New Roman" w:hint="default"/>
                <w:sz w:val="18"/>
                <w:szCs w:val="18"/>
              </w:rPr>
            </w:pPr>
            <w:r>
              <w:rPr>
                <w:rFonts w:ascii="Times New Roman"/>
                <w:spacing w:val="-1"/>
                <w:sz w:val="18"/>
              </w:rPr>
              <w:t>6,392,678.63</w:t>
            </w:r>
          </w:p>
        </w:tc>
        <w:tc>
          <w:tcPr>
            <w:tcW w:w="228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5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72,649.57</w:t>
            </w:r>
            <w:r>
              <w:rPr>
                <w:rFonts w:ascii="宋体" w:hAnsi="宋体" w:cs="宋体" w:eastAsia="宋体" w:hint="default"/>
                <w:sz w:val="18"/>
                <w:szCs w:val="18"/>
              </w:rPr>
              <w:t>元，</w:t>
            </w:r>
          </w:p>
          <w:p>
            <w:pPr>
              <w:pStyle w:val="TableParagraph"/>
              <w:spacing w:line="240" w:lineRule="auto" w:before="63"/>
              <w:ind w:left="5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宋体" w:hAnsi="宋体" w:cs="宋体" w:eastAsia="宋体" w:hint="default"/>
                <w:sz w:val="18"/>
                <w:szCs w:val="18"/>
              </w:rPr>
              <w:t>年</w:t>
            </w:r>
            <w:r>
              <w:rPr>
                <w:rFonts w:ascii="Times New Roman" w:hAnsi="Times New Roman" w:cs="Times New Roman" w:eastAsia="Times New Roman" w:hint="default"/>
                <w:sz w:val="18"/>
                <w:szCs w:val="18"/>
              </w:rPr>
              <w:t>21,296,820.52</w:t>
            </w:r>
            <w:r>
              <w:rPr>
                <w:rFonts w:ascii="宋体" w:hAnsi="宋体" w:cs="宋体" w:eastAsia="宋体" w:hint="default"/>
                <w:sz w:val="18"/>
                <w:szCs w:val="18"/>
              </w:rPr>
              <w:t>元</w:t>
            </w: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00"/>
              <w:jc w:val="right"/>
              <w:rPr>
                <w:rFonts w:ascii="Times New Roman" w:hAnsi="Times New Roman" w:cs="Times New Roman" w:eastAsia="Times New Roman" w:hint="default"/>
                <w:sz w:val="18"/>
                <w:szCs w:val="18"/>
              </w:rPr>
            </w:pPr>
            <w:r>
              <w:rPr>
                <w:rFonts w:ascii="Times New Roman"/>
                <w:sz w:val="18"/>
              </w:rPr>
              <w:t>1.73%</w:t>
            </w:r>
          </w:p>
        </w:tc>
      </w:tr>
      <w:tr>
        <w:trPr>
          <w:trHeight w:val="262" w:hRule="exact"/>
        </w:trPr>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0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18"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 w:right="155"/>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193,618,325.90</w:t>
            </w:r>
            <w:r>
              <w:rPr>
                <w:rFonts w:ascii="Times New Roman"/>
                <w:spacing w:val="-1"/>
                <w:sz w:val="18"/>
              </w:rPr>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86"/>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14,829,584.75</w:t>
            </w:r>
            <w:r>
              <w:rPr>
                <w:rFonts w:ascii="Times New Roman"/>
                <w:spacing w:val="-1"/>
                <w:sz w:val="18"/>
              </w:rPr>
            </w:r>
          </w:p>
        </w:tc>
        <w:tc>
          <w:tcPr>
            <w:tcW w:w="2282" w:type="dxa"/>
            <w:tcBorders>
              <w:top w:val="nil" w:sz="6" w:space="0" w:color="auto"/>
              <w:left w:val="nil" w:sz="6" w:space="0" w:color="auto"/>
              <w:bottom w:val="nil" w:sz="6" w:space="0" w:color="auto"/>
              <w:right w:val="nil" w:sz="6" w:space="0" w:color="auto"/>
            </w:tcBorders>
          </w:tcPr>
          <w:p>
            <w:pP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98"/>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15.70%</w:t>
            </w:r>
            <w:r>
              <w:rPr>
                <w:rFonts w:ascii="Times New Roman"/>
                <w:sz w:val="18"/>
              </w:rPr>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spacing w:before="36"/>
        <w:ind w:left="332" w:right="682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、预付款项</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332" w:right="6824"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）预付款项按账龄列示</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340" w:type="dxa"/>
        <w:tblLayout w:type="fixed"/>
        <w:tblCellMar>
          <w:top w:w="0" w:type="dxa"/>
          <w:left w:w="0" w:type="dxa"/>
          <w:bottom w:w="0" w:type="dxa"/>
          <w:right w:w="0" w:type="dxa"/>
        </w:tblCellMar>
        <w:tblLook w:val="01E0"/>
      </w:tblPr>
      <w:tblGrid>
        <w:gridCol w:w="1889"/>
        <w:gridCol w:w="1928"/>
        <w:gridCol w:w="1913"/>
        <w:gridCol w:w="1915"/>
        <w:gridCol w:w="1916"/>
      </w:tblGrid>
      <w:tr>
        <w:trPr>
          <w:trHeight w:val="206" w:hRule="exact"/>
        </w:trPr>
        <w:tc>
          <w:tcPr>
            <w:tcW w:w="18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0" w:hRule="exact"/>
        </w:trPr>
        <w:tc>
          <w:tcPr>
            <w:tcW w:w="18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841" w:type="dxa"/>
            <w:gridSpan w:val="2"/>
            <w:vMerge/>
            <w:tcBorders>
              <w:left w:val="single" w:sz="4" w:space="0" w:color="000000"/>
              <w:bottom w:val="single" w:sz="4" w:space="0" w:color="000000"/>
              <w:right w:val="single" w:sz="4" w:space="0" w:color="000000"/>
            </w:tcBorders>
            <w:shd w:val="clear" w:color="auto" w:fill="D2D2D2"/>
          </w:tcPr>
          <w:p>
            <w:pPr/>
          </w:p>
        </w:tc>
        <w:tc>
          <w:tcPr>
            <w:tcW w:w="3831"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889" w:type="dxa"/>
            <w:vMerge/>
            <w:tcBorders>
              <w:left w:val="single" w:sz="4" w:space="0" w:color="000000"/>
              <w:bottom w:val="nil" w:sz="6" w:space="0" w:color="auto"/>
              <w:right w:val="single" w:sz="4" w:space="0" w:color="000000"/>
            </w:tcBorders>
            <w:shd w:val="clear" w:color="auto" w:fill="D2D2D2"/>
          </w:tcPr>
          <w:p>
            <w:pPr/>
          </w:p>
        </w:tc>
        <w:tc>
          <w:tcPr>
            <w:tcW w:w="19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18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8"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4,533,214.33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86.72%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41,500,261.33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82.27%</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680,125.83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13.01%</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8,929,146.15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17.70%</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3,800.00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0.01%</w:t>
            </w:r>
          </w:p>
        </w:tc>
      </w:tr>
      <w:tr>
        <w:trPr>
          <w:trHeight w:val="40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13,800.00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0.27%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0.02%</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5,227,140.16</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50,443,207.48</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332" w:right="0" w:firstLine="0"/>
        <w:jc w:val="left"/>
        <w:rPr>
          <w:rFonts w:ascii="宋体" w:hAnsi="宋体" w:cs="宋体" w:eastAsia="宋体" w:hint="default"/>
          <w:sz w:val="18"/>
          <w:szCs w:val="18"/>
        </w:rPr>
      </w:pPr>
      <w:r>
        <w:rPr>
          <w:rFonts w:ascii="宋体" w:hAnsi="宋体" w:cs="宋体" w:eastAsia="宋体" w:hint="default"/>
          <w:sz w:val="18"/>
          <w:szCs w:val="18"/>
        </w:rPr>
        <w:t>账龄超过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年且金额重要的预付款项未及时结算原因的说明：</w:t>
      </w:r>
    </w:p>
    <w:p>
      <w:pPr>
        <w:spacing w:before="83"/>
        <w:ind w:left="332" w:right="0" w:firstLine="0"/>
        <w:jc w:val="left"/>
        <w:rPr>
          <w:rFonts w:ascii="宋体" w:hAnsi="宋体" w:cs="宋体" w:eastAsia="宋体" w:hint="default"/>
          <w:sz w:val="21"/>
          <w:szCs w:val="21"/>
        </w:rPr>
      </w:pPr>
      <w:r>
        <w:rPr>
          <w:rFonts w:ascii="宋体" w:hAnsi="宋体" w:cs="宋体" w:eastAsia="宋体" w:hint="default"/>
          <w:sz w:val="21"/>
          <w:szCs w:val="21"/>
        </w:rPr>
        <w:t>本公司预付款由于相关项目未到结算期，至今尚未办理款项结算。</w:t>
      </w:r>
    </w:p>
    <w:p>
      <w:pPr>
        <w:spacing w:line="240" w:lineRule="auto" w:before="10"/>
        <w:rPr>
          <w:rFonts w:ascii="宋体" w:hAnsi="宋体" w:cs="宋体" w:eastAsia="宋体" w:hint="default"/>
          <w:sz w:val="25"/>
          <w:szCs w:val="25"/>
        </w:rPr>
      </w:pPr>
    </w:p>
    <w:p>
      <w:pPr>
        <w:spacing w:before="0"/>
        <w:ind w:left="332"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）按预付对象归集的期末余额前五名的预付款情况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0"/>
          <w:szCs w:val="10"/>
        </w:rPr>
      </w:pPr>
    </w:p>
    <w:tbl>
      <w:tblPr>
        <w:tblW w:w="0" w:type="auto"/>
        <w:jc w:val="left"/>
        <w:tblInd w:w="116" w:type="dxa"/>
        <w:tblLayout w:type="fixed"/>
        <w:tblCellMar>
          <w:top w:w="0" w:type="dxa"/>
          <w:left w:w="0" w:type="dxa"/>
          <w:bottom w:w="0" w:type="dxa"/>
          <w:right w:w="0" w:type="dxa"/>
        </w:tblCellMar>
        <w:tblLook w:val="01E0"/>
      </w:tblPr>
      <w:tblGrid>
        <w:gridCol w:w="1266"/>
        <w:gridCol w:w="1610"/>
        <w:gridCol w:w="1146"/>
        <w:gridCol w:w="1614"/>
        <w:gridCol w:w="2234"/>
        <w:gridCol w:w="1276"/>
      </w:tblGrid>
      <w:tr>
        <w:trPr>
          <w:trHeight w:val="299" w:hRule="exact"/>
        </w:trPr>
        <w:tc>
          <w:tcPr>
            <w:tcW w:w="1266" w:type="dxa"/>
            <w:tcBorders>
              <w:top w:val="nil" w:sz="6" w:space="0" w:color="auto"/>
              <w:left w:val="nil" w:sz="6" w:space="0" w:color="auto"/>
              <w:bottom w:val="nil" w:sz="6" w:space="0" w:color="auto"/>
              <w:right w:val="nil" w:sz="6" w:space="0" w:color="auto"/>
            </w:tcBorders>
          </w:tcPr>
          <w:p>
            <w:pPr>
              <w:pStyle w:val="TableParagraph"/>
              <w:spacing w:line="180" w:lineRule="exact"/>
              <w:ind w:left="200"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单位名称</w:t>
            </w:r>
            <w:r>
              <w:rPr>
                <w:rFonts w:ascii="宋体" w:hAnsi="宋体" w:cs="宋体" w:eastAsia="宋体" w:hint="default"/>
                <w:sz w:val="18"/>
                <w:szCs w:val="18"/>
              </w:rPr>
            </w:r>
          </w:p>
        </w:tc>
        <w:tc>
          <w:tcPr>
            <w:tcW w:w="1610" w:type="dxa"/>
            <w:tcBorders>
              <w:top w:val="nil" w:sz="6" w:space="0" w:color="auto"/>
              <w:left w:val="nil" w:sz="6" w:space="0" w:color="auto"/>
              <w:bottom w:val="nil" w:sz="6" w:space="0" w:color="auto"/>
              <w:right w:val="nil" w:sz="6" w:space="0" w:color="auto"/>
            </w:tcBorders>
          </w:tcPr>
          <w:p>
            <w:pPr>
              <w:pStyle w:val="TableParagraph"/>
              <w:spacing w:line="180" w:lineRule="exact"/>
              <w:ind w:right="181"/>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与本公司关系</w:t>
            </w:r>
            <w:r>
              <w:rPr>
                <w:rFonts w:ascii="宋体" w:hAnsi="宋体" w:cs="宋体" w:eastAsia="宋体" w:hint="default"/>
                <w:sz w:val="18"/>
                <w:szCs w:val="18"/>
              </w:rPr>
            </w:r>
          </w:p>
        </w:tc>
        <w:tc>
          <w:tcPr>
            <w:tcW w:w="1146" w:type="dxa"/>
            <w:tcBorders>
              <w:top w:val="nil" w:sz="6" w:space="0" w:color="auto"/>
              <w:left w:val="nil" w:sz="6" w:space="0" w:color="auto"/>
              <w:bottom w:val="nil" w:sz="6" w:space="0" w:color="auto"/>
              <w:right w:val="nil" w:sz="6" w:space="0" w:color="auto"/>
            </w:tcBorders>
          </w:tcPr>
          <w:p>
            <w:pPr>
              <w:pStyle w:val="TableParagraph"/>
              <w:spacing w:line="180" w:lineRule="exact"/>
              <w:ind w:right="82"/>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期末余额</w:t>
            </w:r>
            <w:r>
              <w:rPr>
                <w:rFonts w:ascii="宋体" w:hAnsi="宋体" w:cs="宋体" w:eastAsia="宋体" w:hint="default"/>
                <w:sz w:val="18"/>
                <w:szCs w:val="18"/>
              </w:rPr>
            </w:r>
          </w:p>
        </w:tc>
        <w:tc>
          <w:tcPr>
            <w:tcW w:w="1614" w:type="dxa"/>
            <w:tcBorders>
              <w:top w:val="nil" w:sz="6" w:space="0" w:color="auto"/>
              <w:left w:val="nil" w:sz="6" w:space="0" w:color="auto"/>
              <w:bottom w:val="nil" w:sz="6" w:space="0" w:color="auto"/>
              <w:right w:val="nil" w:sz="6" w:space="0" w:color="auto"/>
            </w:tcBorders>
          </w:tcPr>
          <w:p>
            <w:pPr>
              <w:pStyle w:val="TableParagraph"/>
              <w:spacing w:line="180" w:lineRule="exact"/>
              <w:ind w:right="448"/>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占总金额比例</w:t>
            </w:r>
            <w:r>
              <w:rPr>
                <w:rFonts w:ascii="宋体" w:hAnsi="宋体" w:cs="宋体" w:eastAsia="宋体" w:hint="default"/>
                <w:sz w:val="18"/>
                <w:szCs w:val="18"/>
              </w:rPr>
            </w:r>
          </w:p>
        </w:tc>
        <w:tc>
          <w:tcPr>
            <w:tcW w:w="2234" w:type="dxa"/>
            <w:tcBorders>
              <w:top w:val="nil" w:sz="6" w:space="0" w:color="auto"/>
              <w:left w:val="nil" w:sz="6" w:space="0" w:color="auto"/>
              <w:bottom w:val="nil" w:sz="6" w:space="0" w:color="auto"/>
              <w:right w:val="nil" w:sz="6" w:space="0" w:color="auto"/>
            </w:tcBorders>
          </w:tcPr>
          <w:p>
            <w:pPr>
              <w:pStyle w:val="TableParagraph"/>
              <w:spacing w:line="180" w:lineRule="exact"/>
              <w:ind w:right="173"/>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预付款时间</w:t>
            </w:r>
            <w:r>
              <w:rPr>
                <w:rFonts w:ascii="宋体" w:hAnsi="宋体" w:cs="宋体" w:eastAsia="宋体" w:hint="default"/>
                <w:sz w:val="18"/>
                <w:szCs w:val="18"/>
              </w:rPr>
            </w:r>
          </w:p>
        </w:tc>
        <w:tc>
          <w:tcPr>
            <w:tcW w:w="1276" w:type="dxa"/>
            <w:tcBorders>
              <w:top w:val="nil" w:sz="6" w:space="0" w:color="auto"/>
              <w:left w:val="nil" w:sz="6" w:space="0" w:color="auto"/>
              <w:bottom w:val="nil" w:sz="6" w:space="0" w:color="auto"/>
              <w:right w:val="nil" w:sz="6" w:space="0" w:color="auto"/>
            </w:tcBorders>
          </w:tcPr>
          <w:p>
            <w:pPr>
              <w:pStyle w:val="TableParagraph"/>
              <w:spacing w:line="180" w:lineRule="exact"/>
              <w:ind w:left="175"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未结算原因</w:t>
            </w:r>
            <w:r>
              <w:rPr>
                <w:rFonts w:ascii="宋体" w:hAnsi="宋体" w:cs="宋体" w:eastAsia="宋体" w:hint="default"/>
                <w:sz w:val="18"/>
                <w:szCs w:val="18"/>
              </w:rPr>
            </w:r>
          </w:p>
        </w:tc>
      </w:tr>
      <w:tr>
        <w:trPr>
          <w:trHeight w:val="435" w:hRule="exact"/>
        </w:trPr>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00"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81"/>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84"/>
              <w:jc w:val="right"/>
              <w:rPr>
                <w:rFonts w:ascii="Garamond" w:hAnsi="Garamond" w:cs="Garamond" w:eastAsia="Garamond" w:hint="default"/>
                <w:sz w:val="18"/>
                <w:szCs w:val="18"/>
              </w:rPr>
            </w:pPr>
            <w:r>
              <w:rPr>
                <w:rFonts w:ascii="Garamond"/>
                <w:spacing w:val="-1"/>
                <w:sz w:val="18"/>
              </w:rPr>
              <w:t>1,015,333.71</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448"/>
              <w:jc w:val="right"/>
              <w:rPr>
                <w:rFonts w:ascii="Garamond" w:hAnsi="Garamond" w:cs="Garamond" w:eastAsia="Garamond" w:hint="default"/>
                <w:sz w:val="18"/>
                <w:szCs w:val="18"/>
              </w:rPr>
            </w:pPr>
            <w:r>
              <w:rPr>
                <w:rFonts w:ascii="Garamond"/>
                <w:spacing w:val="-1"/>
                <w:sz w:val="18"/>
              </w:rPr>
              <w:t>19.42%</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73"/>
              <w:jc w:val="right"/>
              <w:rPr>
                <w:rFonts w:ascii="宋体" w:hAnsi="宋体" w:cs="宋体" w:eastAsia="宋体" w:hint="default"/>
                <w:sz w:val="18"/>
                <w:szCs w:val="18"/>
              </w:rPr>
            </w:pPr>
            <w:r>
              <w:rPr>
                <w:rFonts w:ascii="Garamond" w:hAnsi="Garamond" w:cs="Garamond" w:eastAsia="Garamond" w:hint="default"/>
                <w:sz w:val="18"/>
                <w:szCs w:val="18"/>
              </w:rPr>
              <w:t>1 </w:t>
            </w:r>
            <w:r>
              <w:rPr>
                <w:rFonts w:ascii="宋体" w:hAnsi="宋体" w:cs="宋体" w:eastAsia="宋体" w:hint="default"/>
                <w:sz w:val="18"/>
                <w:szCs w:val="18"/>
              </w:rPr>
              <w:t>年以内</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75" w:right="0"/>
              <w:jc w:val="left"/>
              <w:rPr>
                <w:rFonts w:ascii="宋体" w:hAnsi="宋体" w:cs="宋体" w:eastAsia="宋体" w:hint="default"/>
                <w:sz w:val="18"/>
                <w:szCs w:val="18"/>
              </w:rPr>
            </w:pPr>
            <w:r>
              <w:rPr>
                <w:rFonts w:ascii="宋体" w:hAnsi="宋体" w:cs="宋体" w:eastAsia="宋体" w:hint="default"/>
                <w:sz w:val="18"/>
                <w:szCs w:val="18"/>
              </w:rPr>
              <w:t>未到结算期</w:t>
            </w:r>
          </w:p>
        </w:tc>
      </w:tr>
      <w:tr>
        <w:trPr>
          <w:trHeight w:val="426" w:hRule="exact"/>
        </w:trPr>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200"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81"/>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82"/>
              <w:jc w:val="right"/>
              <w:rPr>
                <w:rFonts w:ascii="Garamond" w:hAnsi="Garamond" w:cs="Garamond" w:eastAsia="Garamond" w:hint="default"/>
                <w:sz w:val="18"/>
                <w:szCs w:val="18"/>
              </w:rPr>
            </w:pPr>
            <w:r>
              <w:rPr>
                <w:rFonts w:ascii="Garamond"/>
                <w:spacing w:val="-1"/>
                <w:sz w:val="18"/>
              </w:rPr>
              <w:t>1,000,000.00</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448"/>
              <w:jc w:val="right"/>
              <w:rPr>
                <w:rFonts w:ascii="Garamond" w:hAnsi="Garamond" w:cs="Garamond" w:eastAsia="Garamond" w:hint="default"/>
                <w:sz w:val="18"/>
                <w:szCs w:val="18"/>
              </w:rPr>
            </w:pPr>
            <w:r>
              <w:rPr>
                <w:rFonts w:ascii="Garamond"/>
                <w:spacing w:val="-1"/>
                <w:sz w:val="18"/>
              </w:rPr>
              <w:t>19.13%</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73"/>
              <w:jc w:val="right"/>
              <w:rPr>
                <w:rFonts w:ascii="宋体" w:hAnsi="宋体" w:cs="宋体" w:eastAsia="宋体" w:hint="default"/>
                <w:sz w:val="18"/>
                <w:szCs w:val="18"/>
              </w:rPr>
            </w:pPr>
            <w:r>
              <w:rPr>
                <w:rFonts w:ascii="Garamond" w:hAnsi="Garamond" w:cs="Garamond" w:eastAsia="Garamond" w:hint="default"/>
                <w:sz w:val="18"/>
                <w:szCs w:val="18"/>
              </w:rPr>
              <w:t>1 </w:t>
            </w:r>
            <w:r>
              <w:rPr>
                <w:rFonts w:ascii="宋体" w:hAnsi="宋体" w:cs="宋体" w:eastAsia="宋体" w:hint="default"/>
                <w:sz w:val="18"/>
                <w:szCs w:val="18"/>
              </w:rPr>
              <w:t>年以内</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75" w:right="0"/>
              <w:jc w:val="left"/>
              <w:rPr>
                <w:rFonts w:ascii="宋体" w:hAnsi="宋体" w:cs="宋体" w:eastAsia="宋体" w:hint="default"/>
                <w:sz w:val="18"/>
                <w:szCs w:val="18"/>
              </w:rPr>
            </w:pPr>
            <w:r>
              <w:rPr>
                <w:rFonts w:ascii="宋体" w:hAnsi="宋体" w:cs="宋体" w:eastAsia="宋体" w:hint="default"/>
                <w:sz w:val="18"/>
                <w:szCs w:val="18"/>
              </w:rPr>
              <w:t>未到结算期</w:t>
            </w:r>
          </w:p>
        </w:tc>
      </w:tr>
      <w:tr>
        <w:trPr>
          <w:trHeight w:val="355" w:hRule="exact"/>
        </w:trPr>
        <w:tc>
          <w:tcPr>
            <w:tcW w:w="126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00"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81"/>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81"/>
              <w:jc w:val="right"/>
              <w:rPr>
                <w:rFonts w:ascii="Garamond" w:hAnsi="Garamond" w:cs="Garamond" w:eastAsia="Garamond" w:hint="default"/>
                <w:sz w:val="18"/>
                <w:szCs w:val="18"/>
              </w:rPr>
            </w:pPr>
            <w:r>
              <w:rPr>
                <w:rFonts w:ascii="Garamond"/>
                <w:spacing w:val="-1"/>
                <w:sz w:val="18"/>
              </w:rPr>
              <w:t>306,470.46</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448"/>
              <w:jc w:val="right"/>
              <w:rPr>
                <w:rFonts w:ascii="Garamond" w:hAnsi="Garamond" w:cs="Garamond" w:eastAsia="Garamond" w:hint="default"/>
                <w:sz w:val="18"/>
                <w:szCs w:val="18"/>
              </w:rPr>
            </w:pPr>
            <w:r>
              <w:rPr>
                <w:rFonts w:ascii="Garamond"/>
                <w:spacing w:val="-1"/>
                <w:sz w:val="18"/>
              </w:rPr>
              <w:t>5.86%</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75"/>
              <w:jc w:val="right"/>
              <w:rPr>
                <w:rFonts w:ascii="宋体" w:hAnsi="宋体" w:cs="宋体" w:eastAsia="宋体" w:hint="default"/>
                <w:sz w:val="18"/>
                <w:szCs w:val="18"/>
              </w:rPr>
            </w:pPr>
            <w:r>
              <w:rPr>
                <w:rFonts w:ascii="Garamond" w:hAnsi="Garamond" w:cs="Garamond" w:eastAsia="Garamond" w:hint="default"/>
                <w:sz w:val="18"/>
                <w:szCs w:val="18"/>
              </w:rPr>
              <w:t>1</w:t>
            </w:r>
            <w:r>
              <w:rPr>
                <w:rFonts w:ascii="Garamond" w:hAnsi="Garamond" w:cs="Garamond" w:eastAsia="Garamond" w:hint="default"/>
                <w:spacing w:val="-2"/>
                <w:sz w:val="18"/>
                <w:szCs w:val="18"/>
              </w:rPr>
              <w:t> </w:t>
            </w:r>
            <w:r>
              <w:rPr>
                <w:rFonts w:ascii="宋体" w:hAnsi="宋体" w:cs="宋体" w:eastAsia="宋体" w:hint="default"/>
                <w:sz w:val="18"/>
                <w:szCs w:val="18"/>
              </w:rPr>
              <w:t>年以内</w:t>
            </w:r>
            <w:r>
              <w:rPr>
                <w:rFonts w:ascii="宋体" w:hAnsi="宋体" w:cs="宋体" w:eastAsia="宋体" w:hint="default"/>
                <w:spacing w:val="-47"/>
                <w:sz w:val="18"/>
                <w:szCs w:val="18"/>
              </w:rPr>
              <w:t> </w:t>
            </w:r>
            <w:r>
              <w:rPr>
                <w:rFonts w:ascii="Garamond" w:hAnsi="Garamond" w:cs="Garamond" w:eastAsia="Garamond" w:hint="default"/>
                <w:sz w:val="18"/>
                <w:szCs w:val="18"/>
              </w:rPr>
              <w:t>10,600.00</w:t>
            </w:r>
            <w:r>
              <w:rPr>
                <w:rFonts w:ascii="Garamond" w:hAnsi="Garamond" w:cs="Garamond" w:eastAsia="Garamond" w:hint="default"/>
                <w:spacing w:val="-2"/>
                <w:sz w:val="18"/>
                <w:szCs w:val="18"/>
              </w:rPr>
              <w:t> </w:t>
            </w:r>
            <w:r>
              <w:rPr>
                <w:rFonts w:ascii="宋体" w:hAnsi="宋体" w:cs="宋体" w:eastAsia="宋体" w:hint="default"/>
                <w:sz w:val="18"/>
                <w:szCs w:val="18"/>
              </w:rPr>
              <w:t>元</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75" w:right="0"/>
              <w:jc w:val="left"/>
              <w:rPr>
                <w:rFonts w:ascii="宋体" w:hAnsi="宋体" w:cs="宋体" w:eastAsia="宋体" w:hint="default"/>
                <w:sz w:val="18"/>
                <w:szCs w:val="18"/>
              </w:rPr>
            </w:pPr>
            <w:r>
              <w:rPr>
                <w:rFonts w:ascii="宋体" w:hAnsi="宋体" w:cs="宋体" w:eastAsia="宋体" w:hint="default"/>
                <w:sz w:val="18"/>
                <w:szCs w:val="18"/>
              </w:rPr>
              <w:t>未到结算期</w:t>
            </w:r>
          </w:p>
        </w:tc>
      </w:tr>
    </w:tbl>
    <w:p>
      <w:pPr>
        <w:spacing w:after="0" w:line="240" w:lineRule="auto"/>
        <w:jc w:val="left"/>
        <w:rPr>
          <w:rFonts w:ascii="宋体" w:hAnsi="宋体" w:cs="宋体" w:eastAsia="宋体" w:hint="default"/>
          <w:sz w:val="18"/>
          <w:szCs w:val="18"/>
        </w:rPr>
        <w:sectPr>
          <w:pgSz w:w="11910" w:h="16840"/>
          <w:pgMar w:header="745" w:footer="979" w:top="1060" w:bottom="1160" w:left="800" w:right="0"/>
        </w:sectPr>
      </w:pPr>
    </w:p>
    <w:p>
      <w:pPr>
        <w:spacing w:line="240" w:lineRule="auto" w:before="5"/>
        <w:rPr>
          <w:rFonts w:ascii="宋体" w:hAnsi="宋体" w:cs="宋体" w:eastAsia="宋体" w:hint="default"/>
          <w:b/>
          <w:bCs/>
          <w:sz w:val="3"/>
          <w:szCs w:val="3"/>
        </w:rPr>
      </w:pPr>
    </w:p>
    <w:tbl>
      <w:tblPr>
        <w:tblW w:w="0" w:type="auto"/>
        <w:jc w:val="left"/>
        <w:tblInd w:w="123" w:type="dxa"/>
        <w:tblLayout w:type="fixed"/>
        <w:tblCellMar>
          <w:top w:w="0" w:type="dxa"/>
          <w:left w:w="0" w:type="dxa"/>
          <w:bottom w:w="0" w:type="dxa"/>
          <w:right w:w="0" w:type="dxa"/>
        </w:tblCellMar>
        <w:tblLook w:val="01E0"/>
      </w:tblPr>
      <w:tblGrid>
        <w:gridCol w:w="732"/>
        <w:gridCol w:w="691"/>
        <w:gridCol w:w="1080"/>
        <w:gridCol w:w="493"/>
        <w:gridCol w:w="838"/>
        <w:gridCol w:w="1164"/>
        <w:gridCol w:w="1608"/>
        <w:gridCol w:w="900"/>
        <w:gridCol w:w="351"/>
        <w:gridCol w:w="900"/>
      </w:tblGrid>
      <w:tr>
        <w:trPr>
          <w:trHeight w:val="581" w:hRule="exact"/>
        </w:trPr>
        <w:tc>
          <w:tcPr>
            <w:tcW w:w="732"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691"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0"/>
              <w:jc w:val="right"/>
              <w:rPr>
                <w:rFonts w:ascii="宋体" w:hAnsi="宋体" w:cs="宋体" w:eastAsia="宋体" w:hint="default"/>
                <w:sz w:val="18"/>
                <w:szCs w:val="18"/>
              </w:rPr>
            </w:pPr>
            <w:r>
              <w:rPr>
                <w:rFonts w:ascii="宋体" w:hAnsi="宋体" w:cs="宋体" w:eastAsia="宋体" w:hint="default"/>
                <w:sz w:val="18"/>
                <w:szCs w:val="18"/>
              </w:rPr>
              <w:t>与本公司关系</w:t>
            </w:r>
          </w:p>
        </w:tc>
        <w:tc>
          <w:tcPr>
            <w:tcW w:w="493" w:type="dxa"/>
            <w:tcBorders>
              <w:top w:val="nil" w:sz="6" w:space="0" w:color="auto"/>
              <w:left w:val="nil" w:sz="6" w:space="0" w:color="auto"/>
              <w:bottom w:val="nil" w:sz="6" w:space="0" w:color="auto"/>
              <w:right w:val="nil" w:sz="6" w:space="0" w:color="auto"/>
            </w:tcBorders>
          </w:tcPr>
          <w:p>
            <w:pPr/>
          </w:p>
        </w:tc>
        <w:tc>
          <w:tcPr>
            <w:tcW w:w="838"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164"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0"/>
              <w:jc w:val="right"/>
              <w:rPr>
                <w:rFonts w:ascii="宋体" w:hAnsi="宋体" w:cs="宋体" w:eastAsia="宋体" w:hint="default"/>
                <w:sz w:val="18"/>
                <w:szCs w:val="18"/>
              </w:rPr>
            </w:pPr>
            <w:r>
              <w:rPr>
                <w:rFonts w:ascii="宋体" w:hAnsi="宋体" w:cs="宋体" w:eastAsia="宋体" w:hint="default"/>
                <w:sz w:val="18"/>
                <w:szCs w:val="18"/>
              </w:rPr>
              <w:t>占总金额比例</w:t>
            </w:r>
          </w:p>
        </w:tc>
        <w:tc>
          <w:tcPr>
            <w:tcW w:w="1608"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0"/>
              <w:jc w:val="right"/>
              <w:rPr>
                <w:rFonts w:ascii="宋体" w:hAnsi="宋体" w:cs="宋体" w:eastAsia="宋体" w:hint="default"/>
                <w:sz w:val="18"/>
                <w:szCs w:val="18"/>
              </w:rPr>
            </w:pPr>
            <w:r>
              <w:rPr>
                <w:rFonts w:ascii="宋体" w:hAnsi="宋体" w:cs="宋体" w:eastAsia="宋体" w:hint="default"/>
                <w:sz w:val="18"/>
                <w:szCs w:val="18"/>
              </w:rPr>
              <w:t>预付款时间</w:t>
            </w:r>
          </w:p>
        </w:tc>
        <w:tc>
          <w:tcPr>
            <w:tcW w:w="351"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w w:val="95"/>
                <w:sz w:val="18"/>
                <w:szCs w:val="18"/>
              </w:rPr>
              <w:t>未结算原因</w:t>
            </w:r>
          </w:p>
        </w:tc>
      </w:tr>
      <w:tr>
        <w:trPr>
          <w:trHeight w:val="503" w:hRule="exact"/>
        </w:trPr>
        <w:tc>
          <w:tcPr>
            <w:tcW w:w="732" w:type="dxa"/>
            <w:tcBorders>
              <w:top w:val="single" w:sz="4" w:space="0" w:color="000000"/>
              <w:left w:val="nil" w:sz="6" w:space="0" w:color="auto"/>
              <w:bottom w:val="nil" w:sz="6" w:space="0" w:color="auto"/>
              <w:right w:val="nil" w:sz="6" w:space="0" w:color="auto"/>
            </w:tcBorders>
          </w:tcPr>
          <w:p>
            <w:pPr/>
          </w:p>
        </w:tc>
        <w:tc>
          <w:tcPr>
            <w:tcW w:w="691" w:type="dxa"/>
            <w:tcBorders>
              <w:top w:val="nil" w:sz="6" w:space="0" w:color="auto"/>
              <w:left w:val="nil" w:sz="6" w:space="0" w:color="auto"/>
              <w:bottom w:val="nil" w:sz="6" w:space="0" w:color="auto"/>
              <w:right w:val="nil" w:sz="6" w:space="0" w:color="auto"/>
            </w:tcBorders>
          </w:tcPr>
          <w:p>
            <w:pPr/>
          </w:p>
        </w:tc>
        <w:tc>
          <w:tcPr>
            <w:tcW w:w="1080" w:type="dxa"/>
            <w:tcBorders>
              <w:top w:val="single" w:sz="4" w:space="0" w:color="000000"/>
              <w:left w:val="nil" w:sz="6" w:space="0" w:color="auto"/>
              <w:bottom w:val="nil" w:sz="6" w:space="0" w:color="auto"/>
              <w:right w:val="nil" w:sz="6" w:space="0" w:color="auto"/>
            </w:tcBorders>
          </w:tcPr>
          <w:p>
            <w:pPr/>
          </w:p>
        </w:tc>
        <w:tc>
          <w:tcPr>
            <w:tcW w:w="493" w:type="dxa"/>
            <w:tcBorders>
              <w:top w:val="nil" w:sz="6" w:space="0" w:color="auto"/>
              <w:left w:val="nil" w:sz="6" w:space="0" w:color="auto"/>
              <w:bottom w:val="nil" w:sz="6" w:space="0" w:color="auto"/>
              <w:right w:val="nil" w:sz="6" w:space="0" w:color="auto"/>
            </w:tcBorders>
          </w:tcPr>
          <w:p>
            <w:pPr/>
          </w:p>
        </w:tc>
        <w:tc>
          <w:tcPr>
            <w:tcW w:w="838" w:type="dxa"/>
            <w:tcBorders>
              <w:top w:val="single" w:sz="4" w:space="0" w:color="000000"/>
              <w:left w:val="nil" w:sz="6" w:space="0" w:color="auto"/>
              <w:bottom w:val="nil" w:sz="6" w:space="0" w:color="auto"/>
              <w:right w:val="nil" w:sz="6" w:space="0" w:color="auto"/>
            </w:tcBorders>
          </w:tcPr>
          <w:p>
            <w:pPr/>
          </w:p>
        </w:tc>
        <w:tc>
          <w:tcPr>
            <w:tcW w:w="1164" w:type="dxa"/>
            <w:tcBorders>
              <w:top w:val="single" w:sz="4" w:space="0" w:color="000000"/>
              <w:left w:val="nil" w:sz="6" w:space="0" w:color="auto"/>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140"/>
              <w:ind w:left="989" w:right="-45"/>
              <w:jc w:val="left"/>
              <w:rPr>
                <w:rFonts w:ascii="Garamond" w:hAnsi="Garamond" w:cs="Garamond" w:eastAsia="Garamond" w:hint="default"/>
                <w:sz w:val="18"/>
                <w:szCs w:val="18"/>
              </w:rPr>
            </w:pPr>
            <w:r>
              <w:rPr>
                <w:rFonts w:ascii="Garamond" w:hAnsi="Garamond" w:cs="Garamond" w:eastAsia="Garamond" w:hint="default"/>
                <w:sz w:val="18"/>
                <w:szCs w:val="18"/>
              </w:rPr>
              <w:t>1-2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Garamond" w:hAnsi="Garamond" w:cs="Garamond" w:eastAsia="Garamond" w:hint="default"/>
                <w:sz w:val="18"/>
                <w:szCs w:val="18"/>
              </w:rPr>
              <w:t>29</w:t>
            </w:r>
          </w:p>
        </w:tc>
        <w:tc>
          <w:tcPr>
            <w:tcW w:w="900" w:type="dxa"/>
            <w:tcBorders>
              <w:top w:val="single" w:sz="4" w:space="0" w:color="000000"/>
              <w:left w:val="nil" w:sz="6" w:space="0" w:color="auto"/>
              <w:bottom w:val="nil" w:sz="6" w:space="0" w:color="auto"/>
              <w:right w:val="nil" w:sz="6" w:space="0" w:color="auto"/>
            </w:tcBorders>
          </w:tcPr>
          <w:p>
            <w:pPr>
              <w:pStyle w:val="TableParagraph"/>
              <w:spacing w:line="240" w:lineRule="auto" w:before="135"/>
              <w:ind w:right="46"/>
              <w:jc w:val="right"/>
              <w:rPr>
                <w:rFonts w:ascii="宋体" w:hAnsi="宋体" w:cs="宋体" w:eastAsia="宋体" w:hint="default"/>
                <w:sz w:val="18"/>
                <w:szCs w:val="18"/>
              </w:rPr>
            </w:pPr>
            <w:r>
              <w:rPr>
                <w:rFonts w:ascii="Garamond" w:hAnsi="Garamond" w:cs="Garamond" w:eastAsia="Garamond" w:hint="default"/>
                <w:sz w:val="18"/>
                <w:szCs w:val="18"/>
              </w:rPr>
              <w:t>5,870.46</w:t>
            </w:r>
            <w:r>
              <w:rPr>
                <w:rFonts w:ascii="Garamond" w:hAnsi="Garamond" w:cs="Garamond" w:eastAsia="Garamond" w:hint="default"/>
                <w:spacing w:val="-3"/>
                <w:sz w:val="18"/>
                <w:szCs w:val="18"/>
              </w:rPr>
              <w:t> </w:t>
            </w:r>
            <w:r>
              <w:rPr>
                <w:rFonts w:ascii="宋体" w:hAnsi="宋体" w:cs="宋体" w:eastAsia="宋体" w:hint="default"/>
                <w:sz w:val="18"/>
                <w:szCs w:val="18"/>
              </w:rPr>
              <w:t>元</w:t>
            </w:r>
          </w:p>
        </w:tc>
        <w:tc>
          <w:tcPr>
            <w:tcW w:w="351" w:type="dxa"/>
            <w:tcBorders>
              <w:top w:val="nil" w:sz="6" w:space="0" w:color="auto"/>
              <w:left w:val="nil" w:sz="6" w:space="0" w:color="auto"/>
              <w:bottom w:val="nil" w:sz="6" w:space="0" w:color="auto"/>
              <w:right w:val="nil" w:sz="6" w:space="0" w:color="auto"/>
            </w:tcBorders>
          </w:tcPr>
          <w:p>
            <w:pPr/>
          </w:p>
        </w:tc>
        <w:tc>
          <w:tcPr>
            <w:tcW w:w="900" w:type="dxa"/>
            <w:tcBorders>
              <w:top w:val="single" w:sz="4" w:space="0" w:color="000000"/>
              <w:left w:val="nil" w:sz="6" w:space="0" w:color="auto"/>
              <w:bottom w:val="nil" w:sz="6" w:space="0" w:color="auto"/>
              <w:right w:val="nil" w:sz="6" w:space="0" w:color="auto"/>
            </w:tcBorders>
          </w:tcPr>
          <w:p>
            <w:pPr/>
          </w:p>
        </w:tc>
      </w:tr>
      <w:tr>
        <w:trPr>
          <w:trHeight w:val="424"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691"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0"/>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493" w:type="dxa"/>
            <w:tcBorders>
              <w:top w:val="nil" w:sz="6" w:space="0" w:color="auto"/>
              <w:left w:val="nil" w:sz="6" w:space="0" w:color="auto"/>
              <w:bottom w:val="nil" w:sz="6" w:space="0" w:color="auto"/>
              <w:right w:val="nil" w:sz="6" w:space="0" w:color="auto"/>
            </w:tcBorders>
          </w:tcPr>
          <w:p>
            <w:pPr/>
          </w:p>
        </w:tc>
        <w:tc>
          <w:tcPr>
            <w:tcW w:w="838"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0"/>
              <w:jc w:val="left"/>
              <w:rPr>
                <w:rFonts w:ascii="Garamond" w:hAnsi="Garamond" w:cs="Garamond" w:eastAsia="Garamond" w:hint="default"/>
                <w:sz w:val="18"/>
                <w:szCs w:val="18"/>
              </w:rPr>
            </w:pPr>
            <w:r>
              <w:rPr>
                <w:rFonts w:ascii="Garamond"/>
                <w:sz w:val="18"/>
              </w:rPr>
              <w:t>298,059.49</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0"/>
              <w:jc w:val="right"/>
              <w:rPr>
                <w:rFonts w:ascii="Garamond" w:hAnsi="Garamond" w:cs="Garamond" w:eastAsia="Garamond" w:hint="default"/>
                <w:sz w:val="18"/>
                <w:szCs w:val="18"/>
              </w:rPr>
            </w:pPr>
            <w:r>
              <w:rPr>
                <w:rFonts w:ascii="Garamond"/>
                <w:spacing w:val="-1"/>
                <w:sz w:val="18"/>
              </w:rPr>
              <w:t>5.7%</w:t>
            </w:r>
          </w:p>
        </w:tc>
        <w:tc>
          <w:tcPr>
            <w:tcW w:w="1608"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1"/>
              <w:jc w:val="right"/>
              <w:rPr>
                <w:rFonts w:ascii="宋体" w:hAnsi="宋体" w:cs="宋体" w:eastAsia="宋体" w:hint="default"/>
                <w:sz w:val="18"/>
                <w:szCs w:val="18"/>
              </w:rPr>
            </w:pPr>
            <w:r>
              <w:rPr>
                <w:rFonts w:ascii="Garamond" w:hAnsi="Garamond" w:cs="Garamond" w:eastAsia="Garamond" w:hint="default"/>
                <w:sz w:val="18"/>
                <w:szCs w:val="18"/>
              </w:rPr>
              <w:t>1 </w:t>
            </w:r>
            <w:r>
              <w:rPr>
                <w:rFonts w:ascii="宋体" w:hAnsi="宋体" w:cs="宋体" w:eastAsia="宋体" w:hint="default"/>
                <w:sz w:val="18"/>
                <w:szCs w:val="18"/>
              </w:rPr>
              <w:t>年以内</w:t>
            </w:r>
          </w:p>
        </w:tc>
        <w:tc>
          <w:tcPr>
            <w:tcW w:w="351"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nil" w:sz="6" w:space="0" w:color="auto"/>
              <w:right w:val="nil" w:sz="6" w:space="0" w:color="auto"/>
            </w:tcBorders>
          </w:tcPr>
          <w:p>
            <w:pPr>
              <w:pStyle w:val="TableParagraph"/>
              <w:spacing w:line="240" w:lineRule="auto" w:before="64"/>
              <w:ind w:right="0"/>
              <w:jc w:val="center"/>
              <w:rPr>
                <w:rFonts w:ascii="宋体" w:hAnsi="宋体" w:cs="宋体" w:eastAsia="宋体" w:hint="default"/>
                <w:sz w:val="18"/>
                <w:szCs w:val="18"/>
              </w:rPr>
            </w:pPr>
            <w:r>
              <w:rPr>
                <w:rFonts w:ascii="宋体" w:hAnsi="宋体" w:cs="宋体" w:eastAsia="宋体" w:hint="default"/>
                <w:w w:val="95"/>
                <w:sz w:val="18"/>
                <w:szCs w:val="18"/>
              </w:rPr>
              <w:t>未到结算期</w:t>
            </w:r>
          </w:p>
        </w:tc>
      </w:tr>
      <w:tr>
        <w:trPr>
          <w:trHeight w:val="420"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1"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691"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0"/>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493" w:type="dxa"/>
            <w:tcBorders>
              <w:top w:val="nil" w:sz="6" w:space="0" w:color="auto"/>
              <w:left w:val="nil" w:sz="6" w:space="0" w:color="auto"/>
              <w:bottom w:val="nil" w:sz="6" w:space="0" w:color="auto"/>
              <w:right w:val="nil" w:sz="6" w:space="0" w:color="auto"/>
            </w:tcBorders>
          </w:tcPr>
          <w:p>
            <w:pPr/>
          </w:p>
        </w:tc>
        <w:tc>
          <w:tcPr>
            <w:tcW w:w="83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0"/>
              <w:jc w:val="left"/>
              <w:rPr>
                <w:rFonts w:ascii="Garamond" w:hAnsi="Garamond" w:cs="Garamond" w:eastAsia="Garamond" w:hint="default"/>
                <w:sz w:val="18"/>
                <w:szCs w:val="18"/>
              </w:rPr>
            </w:pPr>
            <w:r>
              <w:rPr>
                <w:rFonts w:ascii="Garamond"/>
                <w:sz w:val="18"/>
              </w:rPr>
            </w:r>
            <w:r>
              <w:rPr>
                <w:rFonts w:ascii="Garamond"/>
                <w:sz w:val="18"/>
                <w:u w:val="single" w:color="000000"/>
              </w:rPr>
              <w:t>174,400.00</w:t>
            </w:r>
            <w:r>
              <w:rPr>
                <w:rFonts w:ascii="Garamond"/>
                <w:sz w:val="18"/>
              </w:rPr>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
              <w:jc w:val="right"/>
              <w:rPr>
                <w:rFonts w:ascii="Garamond" w:hAnsi="Garamond" w:cs="Garamond" w:eastAsia="Garamond" w:hint="default"/>
                <w:sz w:val="18"/>
                <w:szCs w:val="18"/>
              </w:rPr>
            </w:pPr>
            <w:r>
              <w:rPr>
                <w:rFonts w:ascii="Garamond"/>
                <w:sz w:val="18"/>
              </w:rPr>
            </w:r>
            <w:r>
              <w:rPr>
                <w:rFonts w:ascii="Garamond"/>
                <w:spacing w:val="-1"/>
                <w:sz w:val="18"/>
                <w:u w:val="single" w:color="000000"/>
              </w:rPr>
              <w:t>3.34%</w:t>
            </w:r>
            <w:r>
              <w:rPr>
                <w:rFonts w:ascii="Garamond"/>
                <w:spacing w:val="-1"/>
                <w:sz w:val="18"/>
              </w:rPr>
            </w:r>
          </w:p>
        </w:tc>
        <w:tc>
          <w:tcPr>
            <w:tcW w:w="1608"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
              <w:jc w:val="right"/>
              <w:rPr>
                <w:rFonts w:ascii="宋体" w:hAnsi="宋体" w:cs="宋体" w:eastAsia="宋体" w:hint="default"/>
                <w:sz w:val="18"/>
                <w:szCs w:val="18"/>
              </w:rPr>
            </w:pPr>
            <w:r>
              <w:rPr>
                <w:rFonts w:ascii="Garamond" w:hAnsi="Garamond" w:cs="Garamond" w:eastAsia="Garamond" w:hint="default"/>
                <w:sz w:val="18"/>
                <w:szCs w:val="18"/>
              </w:rPr>
              <w:t>1 </w:t>
            </w:r>
            <w:r>
              <w:rPr>
                <w:rFonts w:ascii="宋体" w:hAnsi="宋体" w:cs="宋体" w:eastAsia="宋体" w:hint="default"/>
                <w:sz w:val="18"/>
                <w:szCs w:val="18"/>
              </w:rPr>
              <w:t>年以内</w:t>
            </w:r>
          </w:p>
        </w:tc>
        <w:tc>
          <w:tcPr>
            <w:tcW w:w="351"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w w:val="95"/>
                <w:sz w:val="18"/>
                <w:szCs w:val="18"/>
              </w:rPr>
              <w:t>未到结算期</w:t>
            </w:r>
          </w:p>
        </w:tc>
      </w:tr>
      <w:tr>
        <w:trPr>
          <w:trHeight w:val="296" w:hRule="exact"/>
        </w:trPr>
        <w:tc>
          <w:tcPr>
            <w:tcW w:w="732"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91"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c>
          <w:tcPr>
            <w:tcW w:w="493"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0"/>
              <w:jc w:val="right"/>
              <w:rPr>
                <w:rFonts w:ascii="Garamond" w:hAnsi="Garamond" w:cs="Garamond" w:eastAsia="Garamond" w:hint="default"/>
                <w:sz w:val="18"/>
                <w:szCs w:val="18"/>
              </w:rPr>
            </w:pPr>
            <w:r>
              <w:rPr>
                <w:rFonts w:ascii="Garamond"/>
                <w:sz w:val="18"/>
              </w:rPr>
            </w:r>
            <w:r>
              <w:rPr>
                <w:rFonts w:ascii="Garamond"/>
                <w:sz w:val="18"/>
                <w:u w:val="thick" w:color="000000"/>
              </w:rPr>
              <w:t>2,</w:t>
            </w:r>
            <w:r>
              <w:rPr>
                <w:rFonts w:ascii="Garamond"/>
                <w:sz w:val="18"/>
              </w:rPr>
            </w:r>
          </w:p>
        </w:tc>
        <w:tc>
          <w:tcPr>
            <w:tcW w:w="838"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 w:right="0"/>
              <w:jc w:val="left"/>
              <w:rPr>
                <w:rFonts w:ascii="Garamond" w:hAnsi="Garamond" w:cs="Garamond" w:eastAsia="Garamond" w:hint="default"/>
                <w:sz w:val="18"/>
                <w:szCs w:val="18"/>
              </w:rPr>
            </w:pPr>
            <w:r>
              <w:rPr>
                <w:rFonts w:ascii="Garamond"/>
                <w:sz w:val="18"/>
              </w:rPr>
            </w:r>
            <w:r>
              <w:rPr>
                <w:rFonts w:ascii="Garamond"/>
                <w:sz w:val="18"/>
                <w:u w:val="thick" w:color="000000"/>
              </w:rPr>
              <w:t>794,263.66</w:t>
            </w:r>
            <w:r>
              <w:rPr>
                <w:rFonts w:ascii="Garamond"/>
                <w:sz w:val="18"/>
              </w:rPr>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
              <w:jc w:val="right"/>
              <w:rPr>
                <w:rFonts w:ascii="Garamond" w:hAnsi="Garamond" w:cs="Garamond" w:eastAsia="Garamond" w:hint="default"/>
                <w:sz w:val="18"/>
                <w:szCs w:val="18"/>
              </w:rPr>
            </w:pPr>
            <w:r>
              <w:rPr>
                <w:rFonts w:ascii="Garamond"/>
                <w:sz w:val="18"/>
              </w:rPr>
            </w:r>
            <w:r>
              <w:rPr>
                <w:rFonts w:ascii="Garamond"/>
                <w:spacing w:val="-1"/>
                <w:sz w:val="18"/>
                <w:u w:val="thick" w:color="000000"/>
              </w:rPr>
              <w:t>53.45%</w:t>
            </w:r>
            <w:r>
              <w:rPr>
                <w:rFonts w:ascii="Garamond"/>
                <w:spacing w:val="-1"/>
                <w:sz w:val="18"/>
              </w:rPr>
            </w:r>
          </w:p>
        </w:tc>
        <w:tc>
          <w:tcPr>
            <w:tcW w:w="1608"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nil" w:sz="6" w:space="0" w:color="auto"/>
              <w:right w:val="nil" w:sz="6" w:space="0" w:color="auto"/>
            </w:tcBorders>
          </w:tcPr>
          <w:p>
            <w:pPr/>
          </w:p>
        </w:tc>
        <w:tc>
          <w:tcPr>
            <w:tcW w:w="351" w:type="dxa"/>
            <w:tcBorders>
              <w:top w:val="nil" w:sz="6" w:space="0" w:color="auto"/>
              <w:left w:val="nil" w:sz="6" w:space="0" w:color="auto"/>
              <w:bottom w:val="nil" w:sz="6" w:space="0" w:color="auto"/>
              <w:right w:val="nil" w:sz="6" w:space="0" w:color="auto"/>
            </w:tcBorders>
          </w:tcPr>
          <w:p>
            <w:pPr/>
          </w:p>
        </w:tc>
        <w:tc>
          <w:tcPr>
            <w:tcW w:w="900"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5"/>
          <w:szCs w:val="15"/>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4"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122,597,106.66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151,023,861.15</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122,597,106.66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151,023,861.15</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2"/>
        <w:rPr>
          <w:rFonts w:ascii="宋体" w:hAnsi="宋体" w:cs="宋体" w:eastAsia="宋体" w:hint="default"/>
          <w:b/>
          <w:bCs/>
          <w:sz w:val="24"/>
          <w:szCs w:val="24"/>
        </w:rPr>
      </w:pPr>
    </w:p>
    <w:p>
      <w:pPr>
        <w:spacing w:before="44"/>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其他应收款分类披露</w:t>
      </w:r>
    </w:p>
    <w:p>
      <w:pPr>
        <w:spacing w:before="101"/>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24"/>
        <w:gridCol w:w="774"/>
        <w:gridCol w:w="761"/>
        <w:gridCol w:w="763"/>
        <w:gridCol w:w="763"/>
        <w:gridCol w:w="788"/>
        <w:gridCol w:w="655"/>
        <w:gridCol w:w="761"/>
        <w:gridCol w:w="814"/>
        <w:gridCol w:w="934"/>
        <w:gridCol w:w="931"/>
      </w:tblGrid>
      <w:tr>
        <w:trPr>
          <w:trHeight w:val="398" w:hRule="exact"/>
        </w:trPr>
        <w:tc>
          <w:tcPr>
            <w:tcW w:w="1624" w:type="dxa"/>
            <w:vMerge w:val="restart"/>
            <w:tcBorders>
              <w:top w:val="single" w:sz="4" w:space="0" w:color="000000"/>
              <w:left w:val="single" w:sz="4" w:space="0" w:color="000000"/>
              <w:right w:val="single" w:sz="4" w:space="0" w:color="000000"/>
            </w:tcBorders>
            <w:shd w:val="clear" w:color="auto" w:fill="D2D2D2"/>
          </w:tcPr>
          <w:p>
            <w:pPr/>
          </w:p>
        </w:tc>
        <w:tc>
          <w:tcPr>
            <w:tcW w:w="384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24" w:type="dxa"/>
            <w:vMerge/>
            <w:tcBorders>
              <w:left w:val="single" w:sz="4" w:space="0" w:color="000000"/>
              <w:bottom w:val="nil" w:sz="6" w:space="0" w:color="auto"/>
              <w:right w:val="single" w:sz="4" w:space="0" w:color="000000"/>
            </w:tcBorders>
            <w:shd w:val="clear" w:color="auto" w:fill="D2D2D2"/>
          </w:tcPr>
          <w:p>
            <w:pPr/>
          </w:p>
        </w:tc>
        <w:tc>
          <w:tcPr>
            <w:tcW w:w="15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8"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51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40" w:hRule="exact"/>
        </w:trPr>
        <w:tc>
          <w:tcPr>
            <w:tcW w:w="162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8"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535" w:type="dxa"/>
            <w:gridSpan w:val="2"/>
            <w:vMerge/>
            <w:tcBorders>
              <w:left w:val="single" w:sz="4" w:space="0" w:color="000000"/>
              <w:bottom w:val="single" w:sz="4" w:space="0" w:color="000000"/>
              <w:right w:val="single" w:sz="4" w:space="0" w:color="000000"/>
            </w:tcBorders>
            <w:shd w:val="clear" w:color="auto" w:fill="D2D2D2"/>
          </w:tcPr>
          <w:p>
            <w:pPr/>
          </w:p>
        </w:tc>
        <w:tc>
          <w:tcPr>
            <w:tcW w:w="1526" w:type="dxa"/>
            <w:gridSpan w:val="2"/>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8"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24" w:type="dxa"/>
            <w:vMerge/>
            <w:tcBorders>
              <w:left w:val="single" w:sz="4" w:space="0" w:color="000000"/>
              <w:bottom w:val="single" w:sz="4" w:space="0" w:color="FFFFFF"/>
              <w:right w:val="single" w:sz="4" w:space="0" w:color="000000"/>
            </w:tcBorders>
            <w:shd w:val="clear" w:color="auto" w:fill="D2D2D2"/>
          </w:tcPr>
          <w:p>
            <w:pPr/>
          </w:p>
        </w:tc>
        <w:tc>
          <w:tcPr>
            <w:tcW w:w="774"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1"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1"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24" w:type="dxa"/>
            <w:vMerge w:val="restart"/>
            <w:tcBorders>
              <w:top w:val="single" w:sz="4" w:space="0" w:color="FFFFFF"/>
              <w:left w:val="single" w:sz="4" w:space="0" w:color="000000"/>
              <w:right w:val="single" w:sz="4" w:space="0" w:color="000000"/>
            </w:tcBorders>
            <w:shd w:val="clear" w:color="auto" w:fill="D2D2D2"/>
          </w:tcPr>
          <w:p>
            <w:pPr/>
          </w:p>
        </w:tc>
        <w:tc>
          <w:tcPr>
            <w:tcW w:w="774"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65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24" w:type="dxa"/>
            <w:vMerge/>
            <w:tcBorders>
              <w:left w:val="single" w:sz="4" w:space="0" w:color="000000"/>
              <w:right w:val="single" w:sz="4" w:space="0" w:color="000000"/>
            </w:tcBorders>
            <w:shd w:val="clear" w:color="auto" w:fill="D2D2D2"/>
          </w:tcPr>
          <w:p>
            <w:pPr/>
          </w:p>
        </w:tc>
        <w:tc>
          <w:tcPr>
            <w:tcW w:w="774"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88" w:type="dxa"/>
            <w:vMerge w:val="restart"/>
            <w:tcBorders>
              <w:top w:val="nil" w:sz="6" w:space="0" w:color="auto"/>
              <w:left w:val="single" w:sz="4" w:space="0" w:color="000000"/>
              <w:right w:val="single" w:sz="4" w:space="0" w:color="000000"/>
            </w:tcBorders>
            <w:shd w:val="clear" w:color="auto" w:fill="D2D2D2"/>
          </w:tcPr>
          <w:p>
            <w:pPr/>
          </w:p>
        </w:tc>
        <w:tc>
          <w:tcPr>
            <w:tcW w:w="655"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814" w:type="dxa"/>
            <w:vMerge/>
            <w:tcBorders>
              <w:left w:val="single" w:sz="4" w:space="0" w:color="000000"/>
              <w:bottom w:val="nil" w:sz="6" w:space="0" w:color="auto"/>
              <w:right w:val="single" w:sz="4" w:space="0" w:color="000000"/>
            </w:tcBorders>
            <w:shd w:val="clear" w:color="auto" w:fill="D2D2D2"/>
          </w:tcPr>
          <w:p>
            <w:pPr/>
          </w:p>
        </w:tc>
        <w:tc>
          <w:tcPr>
            <w:tcW w:w="934"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24" w:type="dxa"/>
            <w:vMerge/>
            <w:tcBorders>
              <w:left w:val="single" w:sz="4" w:space="0" w:color="000000"/>
              <w:bottom w:val="single" w:sz="4" w:space="0" w:color="000000"/>
              <w:right w:val="single" w:sz="4" w:space="0" w:color="000000"/>
            </w:tcBorders>
            <w:shd w:val="clear" w:color="auto" w:fill="D2D2D2"/>
          </w:tcPr>
          <w:p>
            <w:pPr/>
          </w:p>
        </w:tc>
        <w:tc>
          <w:tcPr>
            <w:tcW w:w="77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single" w:sz="4" w:space="0" w:color="000000"/>
              <w:right w:val="single" w:sz="4" w:space="0" w:color="000000"/>
            </w:tcBorders>
            <w:shd w:val="clear" w:color="auto" w:fill="D2D2D2"/>
          </w:tcPr>
          <w:p>
            <w:pPr/>
          </w:p>
        </w:tc>
        <w:tc>
          <w:tcPr>
            <w:tcW w:w="65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81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5" w:hRule="exact"/>
        </w:trPr>
        <w:tc>
          <w:tcPr>
            <w:tcW w:w="1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2" w:right="0"/>
              <w:jc w:val="center"/>
              <w:rPr>
                <w:rFonts w:ascii="Times New Roman" w:hAnsi="Times New Roman" w:cs="Times New Roman" w:eastAsia="Times New Roman" w:hint="default"/>
                <w:sz w:val="18"/>
                <w:szCs w:val="18"/>
              </w:rPr>
            </w:pPr>
            <w:r>
              <w:rPr>
                <w:rFonts w:ascii="Times New Roman"/>
                <w:sz w:val="18"/>
              </w:rPr>
              <w:t>127,511,</w:t>
            </w:r>
          </w:p>
          <w:p>
            <w:pPr>
              <w:pStyle w:val="TableParagraph"/>
              <w:spacing w:line="240" w:lineRule="auto" w:before="102"/>
              <w:ind w:left="221" w:right="0"/>
              <w:jc w:val="center"/>
              <w:rPr>
                <w:rFonts w:ascii="Times New Roman" w:hAnsi="Times New Roman" w:cs="Times New Roman" w:eastAsia="Times New Roman" w:hint="default"/>
                <w:sz w:val="18"/>
                <w:szCs w:val="18"/>
              </w:rPr>
            </w:pPr>
            <w:r>
              <w:rPr>
                <w:rFonts w:ascii="Times New Roman"/>
                <w:sz w:val="18"/>
              </w:rPr>
              <w:t>664.67</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4,914,55</w:t>
            </w:r>
          </w:p>
          <w:p>
            <w:pPr>
              <w:pStyle w:val="TableParagraph"/>
              <w:spacing w:line="240" w:lineRule="auto" w:before="102"/>
              <w:ind w:left="415" w:right="0"/>
              <w:jc w:val="left"/>
              <w:rPr>
                <w:rFonts w:ascii="Times New Roman" w:hAnsi="Times New Roman" w:cs="Times New Roman" w:eastAsia="Times New Roman" w:hint="default"/>
                <w:sz w:val="18"/>
                <w:szCs w:val="18"/>
              </w:rPr>
            </w:pPr>
            <w:r>
              <w:rPr>
                <w:rFonts w:ascii="Times New Roman"/>
                <w:sz w:val="18"/>
              </w:rPr>
              <w:t>8.01</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6" w:right="0"/>
              <w:jc w:val="left"/>
              <w:rPr>
                <w:rFonts w:ascii="Times New Roman" w:hAnsi="Times New Roman" w:cs="Times New Roman" w:eastAsia="Times New Roman" w:hint="default"/>
                <w:sz w:val="18"/>
                <w:szCs w:val="18"/>
              </w:rPr>
            </w:pPr>
            <w:r>
              <w:rPr>
                <w:rFonts w:ascii="Times New Roman"/>
                <w:sz w:val="18"/>
              </w:rPr>
              <w:t>3.85%</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122,597,1</w:t>
            </w:r>
          </w:p>
          <w:p>
            <w:pPr>
              <w:pStyle w:val="TableParagraph"/>
              <w:spacing w:line="240" w:lineRule="auto" w:before="102"/>
              <w:ind w:left="350" w:right="0"/>
              <w:jc w:val="left"/>
              <w:rPr>
                <w:rFonts w:ascii="Times New Roman" w:hAnsi="Times New Roman" w:cs="Times New Roman" w:eastAsia="Times New Roman" w:hint="default"/>
                <w:sz w:val="18"/>
                <w:szCs w:val="18"/>
              </w:rPr>
            </w:pPr>
            <w:r>
              <w:rPr>
                <w:rFonts w:ascii="Times New Roman"/>
                <w:sz w:val="18"/>
              </w:rPr>
              <w:t>06.66</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155,013</w:t>
            </w:r>
          </w:p>
          <w:p>
            <w:pPr>
              <w:pStyle w:val="TableParagraph"/>
              <w:spacing w:line="240" w:lineRule="auto" w:before="102"/>
              <w:ind w:left="83" w:right="0"/>
              <w:jc w:val="left"/>
              <w:rPr>
                <w:rFonts w:ascii="Times New Roman" w:hAnsi="Times New Roman" w:cs="Times New Roman" w:eastAsia="Times New Roman" w:hint="default"/>
                <w:sz w:val="18"/>
                <w:szCs w:val="18"/>
              </w:rPr>
            </w:pPr>
            <w:r>
              <w:rPr>
                <w:rFonts w:ascii="Times New Roman"/>
                <w:sz w:val="18"/>
              </w:rPr>
              <w:t>,533.58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3,989,672</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.43</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34" w:right="0"/>
              <w:jc w:val="left"/>
              <w:rPr>
                <w:rFonts w:ascii="Times New Roman" w:hAnsi="Times New Roman" w:cs="Times New Roman" w:eastAsia="Times New Roman" w:hint="default"/>
                <w:sz w:val="18"/>
                <w:szCs w:val="18"/>
              </w:rPr>
            </w:pPr>
            <w:r>
              <w:rPr>
                <w:rFonts w:ascii="Times New Roman"/>
                <w:sz w:val="18"/>
              </w:rPr>
              <w:t>2.57%</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151,023,86</w:t>
            </w:r>
          </w:p>
          <w:p>
            <w:pPr>
              <w:pStyle w:val="TableParagraph"/>
              <w:spacing w:line="240" w:lineRule="auto" w:before="102"/>
              <w:ind w:left="585" w:right="0"/>
              <w:jc w:val="left"/>
              <w:rPr>
                <w:rFonts w:ascii="Times New Roman" w:hAnsi="Times New Roman" w:cs="Times New Roman" w:eastAsia="Times New Roman" w:hint="default"/>
                <w:sz w:val="18"/>
                <w:szCs w:val="18"/>
              </w:rPr>
            </w:pPr>
            <w:r>
              <w:rPr>
                <w:rFonts w:ascii="Times New Roman"/>
                <w:sz w:val="18"/>
              </w:rPr>
              <w:t>1.15</w:t>
            </w:r>
          </w:p>
        </w:tc>
      </w:tr>
      <w:tr>
        <w:trPr>
          <w:trHeight w:val="161" w:hRule="exact"/>
        </w:trPr>
        <w:tc>
          <w:tcPr>
            <w:tcW w:w="1624" w:type="dxa"/>
            <w:tcBorders>
              <w:top w:val="single" w:sz="4" w:space="0" w:color="000000"/>
              <w:left w:val="single" w:sz="4" w:space="0" w:color="000000"/>
              <w:bottom w:val="nil" w:sz="6" w:space="0" w:color="auto"/>
              <w:right w:val="single" w:sz="4" w:space="0" w:color="000000"/>
            </w:tcBorders>
            <w:shd w:val="clear" w:color="auto" w:fill="D2D2D2"/>
          </w:tcPr>
          <w:p>
            <w:pPr/>
          </w:p>
        </w:tc>
        <w:tc>
          <w:tcPr>
            <w:tcW w:w="774" w:type="dxa"/>
            <w:vMerge w:val="restart"/>
            <w:tcBorders>
              <w:top w:val="single" w:sz="4" w:space="0" w:color="000000"/>
              <w:left w:val="single" w:sz="9" w:space="0" w:color="D2D2D2"/>
              <w:right w:val="single" w:sz="4" w:space="0" w:color="000000"/>
            </w:tcBorders>
          </w:tcPr>
          <w:p>
            <w:pPr>
              <w:pStyle w:val="TableParagraph"/>
              <w:spacing w:line="240" w:lineRule="auto" w:before="91"/>
              <w:ind w:left="92" w:right="0"/>
              <w:jc w:val="center"/>
              <w:rPr>
                <w:rFonts w:ascii="Times New Roman" w:hAnsi="Times New Roman" w:cs="Times New Roman" w:eastAsia="Times New Roman" w:hint="default"/>
                <w:sz w:val="18"/>
                <w:szCs w:val="18"/>
              </w:rPr>
            </w:pPr>
            <w:r>
              <w:rPr>
                <w:rFonts w:ascii="Times New Roman"/>
                <w:sz w:val="18"/>
              </w:rPr>
              <w:t>127,511,</w:t>
            </w:r>
          </w:p>
          <w:p>
            <w:pPr>
              <w:pStyle w:val="TableParagraph"/>
              <w:spacing w:line="240" w:lineRule="auto" w:before="105"/>
              <w:ind w:left="221" w:right="0"/>
              <w:jc w:val="center"/>
              <w:rPr>
                <w:rFonts w:ascii="Times New Roman" w:hAnsi="Times New Roman" w:cs="Times New Roman" w:eastAsia="Times New Roman" w:hint="default"/>
                <w:sz w:val="18"/>
                <w:szCs w:val="18"/>
              </w:rPr>
            </w:pPr>
            <w:r>
              <w:rPr>
                <w:rFonts w:ascii="Times New Roman"/>
                <w:sz w:val="18"/>
              </w:rPr>
              <w:t>664.67</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4,914,55</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8.01</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6" w:right="0"/>
              <w:jc w:val="left"/>
              <w:rPr>
                <w:rFonts w:ascii="Times New Roman" w:hAnsi="Times New Roman" w:cs="Times New Roman" w:eastAsia="Times New Roman" w:hint="default"/>
                <w:sz w:val="18"/>
                <w:szCs w:val="18"/>
              </w:rPr>
            </w:pPr>
            <w:r>
              <w:rPr>
                <w:rFonts w:ascii="Times New Roman"/>
                <w:sz w:val="18"/>
              </w:rPr>
              <w:t>3.85%</w:t>
            </w:r>
          </w:p>
        </w:tc>
        <w:tc>
          <w:tcPr>
            <w:tcW w:w="788" w:type="dxa"/>
            <w:vMerge w:val="restart"/>
            <w:tcBorders>
              <w:top w:val="single" w:sz="4" w:space="0" w:color="000000"/>
              <w:left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122,597,1</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06.66</w:t>
            </w:r>
          </w:p>
        </w:tc>
        <w:tc>
          <w:tcPr>
            <w:tcW w:w="655" w:type="dxa"/>
            <w:vMerge w:val="restart"/>
            <w:tcBorders>
              <w:top w:val="single" w:sz="4" w:space="0" w:color="000000"/>
              <w:left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155,013</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,533.58</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3,989,672</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.43</w:t>
            </w:r>
          </w:p>
        </w:tc>
        <w:tc>
          <w:tcPr>
            <w:tcW w:w="9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4" w:right="0"/>
              <w:jc w:val="left"/>
              <w:rPr>
                <w:rFonts w:ascii="Times New Roman" w:hAnsi="Times New Roman" w:cs="Times New Roman" w:eastAsia="Times New Roman" w:hint="default"/>
                <w:sz w:val="18"/>
                <w:szCs w:val="18"/>
              </w:rPr>
            </w:pPr>
            <w:r>
              <w:rPr>
                <w:rFonts w:ascii="Times New Roman"/>
                <w:sz w:val="18"/>
              </w:rPr>
              <w:t>2.57%</w:t>
            </w: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151,023,86</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1.15</w:t>
            </w:r>
          </w:p>
        </w:tc>
      </w:tr>
      <w:tr>
        <w:trPr>
          <w:trHeight w:val="394" w:hRule="exact"/>
        </w:trPr>
        <w:tc>
          <w:tcPr>
            <w:tcW w:w="162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4" w:type="dxa"/>
            <w:vMerge/>
            <w:tcBorders>
              <w:left w:val="single" w:sz="9" w:space="0" w:color="D2D2D2"/>
              <w:right w:val="single" w:sz="4" w:space="0" w:color="000000"/>
            </w:tcBorders>
          </w:tcPr>
          <w:p>
            <w:pPr/>
          </w:p>
        </w:tc>
        <w:tc>
          <w:tcPr>
            <w:tcW w:w="761"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88" w:type="dxa"/>
            <w:vMerge/>
            <w:tcBorders>
              <w:left w:val="single" w:sz="4" w:space="0" w:color="000000"/>
              <w:right w:val="single" w:sz="4" w:space="0" w:color="000000"/>
            </w:tcBorders>
          </w:tcPr>
          <w:p>
            <w:pPr/>
          </w:p>
        </w:tc>
        <w:tc>
          <w:tcPr>
            <w:tcW w:w="655" w:type="dxa"/>
            <w:vMerge/>
            <w:tcBorders>
              <w:left w:val="single" w:sz="4" w:space="0" w:color="000000"/>
              <w:right w:val="single" w:sz="4" w:space="0" w:color="000000"/>
            </w:tcBorders>
          </w:tcPr>
          <w:p>
            <w:pPr/>
          </w:p>
        </w:tc>
        <w:tc>
          <w:tcPr>
            <w:tcW w:w="761" w:type="dxa"/>
            <w:vMerge/>
            <w:tcBorders>
              <w:left w:val="single" w:sz="4" w:space="0" w:color="000000"/>
              <w:right w:val="single" w:sz="4" w:space="0" w:color="000000"/>
            </w:tcBorders>
          </w:tcPr>
          <w:p>
            <w:pPr/>
          </w:p>
        </w:tc>
        <w:tc>
          <w:tcPr>
            <w:tcW w:w="814" w:type="dxa"/>
            <w:vMerge/>
            <w:tcBorders>
              <w:left w:val="single" w:sz="4" w:space="0" w:color="000000"/>
              <w:right w:val="single" w:sz="4" w:space="0" w:color="000000"/>
            </w:tcBorders>
          </w:tcPr>
          <w:p>
            <w:pPr/>
          </w:p>
        </w:tc>
        <w:tc>
          <w:tcPr>
            <w:tcW w:w="934"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624" w:type="dxa"/>
            <w:tcBorders>
              <w:top w:val="nil" w:sz="6" w:space="0" w:color="auto"/>
              <w:left w:val="single" w:sz="4" w:space="0" w:color="000000"/>
              <w:bottom w:val="single" w:sz="4" w:space="0" w:color="000000"/>
              <w:right w:val="single" w:sz="4" w:space="0" w:color="000000"/>
            </w:tcBorders>
            <w:shd w:val="clear" w:color="auto" w:fill="D2D2D2"/>
          </w:tcPr>
          <w:p>
            <w:pPr/>
          </w:p>
        </w:tc>
        <w:tc>
          <w:tcPr>
            <w:tcW w:w="774" w:type="dxa"/>
            <w:vMerge/>
            <w:tcBorders>
              <w:left w:val="single" w:sz="9" w:space="0" w:color="D2D2D2"/>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88" w:type="dxa"/>
            <w:vMerge/>
            <w:tcBorders>
              <w:left w:val="single" w:sz="4" w:space="0" w:color="000000"/>
              <w:bottom w:val="single" w:sz="4" w:space="0" w:color="000000"/>
              <w:right w:val="single" w:sz="4" w:space="0" w:color="000000"/>
            </w:tcBorders>
          </w:tcPr>
          <w:p>
            <w:pPr/>
          </w:p>
        </w:tc>
        <w:tc>
          <w:tcPr>
            <w:tcW w:w="655" w:type="dxa"/>
            <w:vMerge/>
            <w:tcBorders>
              <w:left w:val="single" w:sz="4" w:space="0" w:color="000000"/>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814" w:type="dxa"/>
            <w:vMerge/>
            <w:tcBorders>
              <w:left w:val="single" w:sz="4" w:space="0" w:color="000000"/>
              <w:bottom w:val="single" w:sz="4" w:space="0" w:color="000000"/>
              <w:right w:val="single" w:sz="4" w:space="0" w:color="000000"/>
            </w:tcBorders>
          </w:tcPr>
          <w:p>
            <w:pPr/>
          </w:p>
        </w:tc>
        <w:tc>
          <w:tcPr>
            <w:tcW w:w="934"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before="49"/>
        <w:ind w:left="152"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期末单项金额重大并单项计提坏账准备的其他应收款：</w:t>
      </w:r>
    </w:p>
    <w:p>
      <w:pPr>
        <w:spacing w:line="340" w:lineRule="auto" w:before="115"/>
        <w:ind w:left="152" w:right="16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组合中，按账龄分析法计提坏账准备的其他应收款：</w:t>
      </w:r>
    </w:p>
    <w:p>
      <w:pPr>
        <w:spacing w:before="39"/>
        <w:ind w:left="152"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4473" w:space="4356"/>
            <w:col w:w="2101"/>
          </w:cols>
        </w:sectPr>
      </w:pPr>
    </w:p>
    <w:p>
      <w:pPr>
        <w:spacing w:line="240" w:lineRule="auto" w:before="4"/>
        <w:rPr>
          <w:rFonts w:ascii="宋体" w:hAnsi="宋体" w:cs="宋体" w:eastAsia="宋体" w:hint="default"/>
          <w:sz w:val="8"/>
          <w:szCs w:val="8"/>
        </w:rPr>
      </w:pPr>
      <w:r>
        <w:rPr/>
        <w:pict>
          <v:group style="position:absolute;margin-left:55.200001pt;margin-top:55.559982pt;width:484.9pt;height:.1pt;mso-position-horizontal-relative:page;mso-position-vertical-relative:page;z-index:-880768" coordorigin="1104,1111" coordsize="9698,2">
            <v:shape style="position:absolute;left:1104;top:1111;width:9698;height:2" coordorigin="1104,1111" coordsize="9698,0" path="m1104,1111l10802,1111e" filled="false" stroked="true" strokeweight=".72pt" strokecolor="#000000">
              <v:path arrowok="t"/>
            </v:shape>
            <w10:wrap type="none"/>
          </v:group>
        </w:pict>
      </w:r>
    </w:p>
    <w:tbl>
      <w:tblPr>
        <w:tblW w:w="0" w:type="auto"/>
        <w:jc w:val="left"/>
        <w:tblInd w:w="160" w:type="dxa"/>
        <w:tblLayout w:type="fixed"/>
        <w:tblCellMar>
          <w:top w:w="0" w:type="dxa"/>
          <w:left w:w="0" w:type="dxa"/>
          <w:bottom w:w="0" w:type="dxa"/>
          <w:right w:w="0" w:type="dxa"/>
        </w:tblCellMar>
        <w:tblLook w:val="01E0"/>
      </w:tblPr>
      <w:tblGrid>
        <w:gridCol w:w="2374"/>
        <w:gridCol w:w="2399"/>
        <w:gridCol w:w="2393"/>
        <w:gridCol w:w="2393"/>
      </w:tblGrid>
      <w:tr>
        <w:trPr>
          <w:trHeight w:val="206" w:hRule="exact"/>
        </w:trPr>
        <w:tc>
          <w:tcPr>
            <w:tcW w:w="2374" w:type="dxa"/>
            <w:tcBorders>
              <w:top w:val="single" w:sz="4" w:space="0" w:color="000000"/>
              <w:left w:val="single" w:sz="4" w:space="0" w:color="000000"/>
              <w:bottom w:val="nil" w:sz="6" w:space="0" w:color="auto"/>
              <w:right w:val="single" w:sz="4" w:space="0" w:color="000000"/>
            </w:tcBorders>
            <w:shd w:val="clear" w:color="auto" w:fill="D2D2D2"/>
          </w:tcPr>
          <w:p>
            <w:pPr/>
          </w:p>
        </w:tc>
        <w:tc>
          <w:tcPr>
            <w:tcW w:w="718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0" w:hRule="exact"/>
        </w:trPr>
        <w:tc>
          <w:tcPr>
            <w:tcW w:w="237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4"/>
              <w:jc w:val="center"/>
              <w:rPr>
                <w:rFonts w:ascii="宋体" w:hAnsi="宋体" w:cs="宋体" w:eastAsia="宋体" w:hint="default"/>
                <w:sz w:val="18"/>
                <w:szCs w:val="18"/>
              </w:rPr>
            </w:pPr>
            <w:r>
              <w:rPr>
                <w:rFonts w:ascii="宋体" w:hAnsi="宋体" w:cs="宋体" w:eastAsia="宋体" w:hint="default"/>
                <w:sz w:val="18"/>
                <w:szCs w:val="18"/>
              </w:rPr>
              <w:t>账龄</w:t>
            </w:r>
          </w:p>
        </w:tc>
        <w:tc>
          <w:tcPr>
            <w:tcW w:w="7185"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374" w:type="dxa"/>
            <w:vMerge/>
            <w:tcBorders>
              <w:left w:val="single" w:sz="4" w:space="0" w:color="000000"/>
              <w:bottom w:val="nil" w:sz="6" w:space="0" w:color="auto"/>
              <w:right w:val="single" w:sz="4" w:space="0" w:color="000000"/>
            </w:tcBorders>
            <w:shd w:val="clear" w:color="auto" w:fill="D2D2D2"/>
          </w:tcPr>
          <w:p>
            <w:pPr/>
          </w:p>
        </w:tc>
        <w:tc>
          <w:tcPr>
            <w:tcW w:w="23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746"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374"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9" w:type="dxa"/>
            <w:vMerge/>
            <w:tcBorders>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r>
      <w:tr>
        <w:trPr>
          <w:trHeight w:val="396" w:hRule="exact"/>
        </w:trPr>
        <w:tc>
          <w:tcPr>
            <w:tcW w:w="95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年以内分项</w:t>
            </w:r>
          </w:p>
        </w:tc>
      </w:tr>
      <w:tr>
        <w:trPr>
          <w:trHeight w:val="403"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年以内小计</w:t>
            </w:r>
          </w:p>
        </w:tc>
        <w:tc>
          <w:tcPr>
            <w:tcW w:w="239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468,142.12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w w:val="95"/>
                <w:sz w:val="18"/>
              </w:rPr>
              <w:t>23,407.11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5.00%</w:t>
            </w:r>
          </w:p>
        </w:tc>
      </w:tr>
      <w:tr>
        <w:trPr>
          <w:trHeight w:val="401"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1,632,808.00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163,280.80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10.00%</w:t>
            </w:r>
          </w:p>
        </w:tc>
      </w:tr>
      <w:tr>
        <w:trPr>
          <w:trHeight w:val="403" w:hRule="exact"/>
        </w:trPr>
        <w:tc>
          <w:tcPr>
            <w:tcW w:w="2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5,029,537.20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1,508,861.16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11"/>
        <w:rPr>
          <w:rFonts w:ascii="宋体" w:hAnsi="宋体" w:cs="宋体" w:eastAsia="宋体" w:hint="default"/>
          <w:sz w:val="2"/>
          <w:szCs w:val="2"/>
        </w:rPr>
      </w:pPr>
    </w:p>
    <w:p>
      <w:pPr>
        <w:spacing w:line="20" w:lineRule="exact"/>
        <w:ind w:left="27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24"/>
          <w:szCs w:val="24"/>
        </w:rPr>
      </w:pPr>
    </w:p>
    <w:tbl>
      <w:tblPr>
        <w:tblW w:w="0" w:type="auto"/>
        <w:jc w:val="left"/>
        <w:tblInd w:w="309" w:type="dxa"/>
        <w:tblLayout w:type="fixed"/>
        <w:tblCellMar>
          <w:top w:w="0" w:type="dxa"/>
          <w:left w:w="0" w:type="dxa"/>
          <w:bottom w:w="0" w:type="dxa"/>
          <w:right w:w="0" w:type="dxa"/>
        </w:tblCellMar>
        <w:tblLook w:val="01E0"/>
      </w:tblPr>
      <w:tblGrid>
        <w:gridCol w:w="2390"/>
        <w:gridCol w:w="2393"/>
        <w:gridCol w:w="2393"/>
        <w:gridCol w:w="2393"/>
      </w:tblGrid>
      <w:tr>
        <w:trPr>
          <w:trHeight w:val="401"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181,116.00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144,892.80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80.00%</w:t>
            </w: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3,074,116.14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3,074,116.14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10,385,719.46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4,914,558.01</w:t>
            </w:r>
          </w:p>
        </w:tc>
        <w:tc>
          <w:tcPr>
            <w:tcW w:w="2393" w:type="dxa"/>
            <w:tcBorders>
              <w:top w:val="single" w:sz="4" w:space="0" w:color="000000"/>
              <w:left w:val="single" w:sz="4" w:space="0" w:color="000000"/>
              <w:bottom w:val="single" w:sz="4" w:space="0" w:color="000000"/>
              <w:right w:val="single" w:sz="4" w:space="0" w:color="000000"/>
            </w:tcBorders>
          </w:tcPr>
          <w:p>
            <w:pPr/>
          </w:p>
        </w:tc>
      </w:tr>
    </w:tbl>
    <w:p>
      <w:pPr>
        <w:spacing w:line="357" w:lineRule="auto" w:before="49"/>
        <w:ind w:left="312" w:right="6254"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组合中，采用余额百分比法计提坏账准备的其他应收款：</w:t>
      </w:r>
    </w:p>
    <w:p>
      <w:pPr>
        <w:spacing w:line="338" w:lineRule="auto" w:before="29"/>
        <w:ind w:left="312" w:right="66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组合中，采用其他方法计提坏账准备的其他应收款：</w:t>
      </w:r>
    </w:p>
    <w:p>
      <w:pPr>
        <w:spacing w:before="43"/>
        <w:ind w:left="312" w:right="64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12"/>
          <w:szCs w:val="12"/>
        </w:rPr>
      </w:pPr>
    </w:p>
    <w:tbl>
      <w:tblPr>
        <w:tblW w:w="0" w:type="auto"/>
        <w:jc w:val="left"/>
        <w:tblInd w:w="112" w:type="dxa"/>
        <w:tblLayout w:type="fixed"/>
        <w:tblCellMar>
          <w:top w:w="0" w:type="dxa"/>
          <w:left w:w="0" w:type="dxa"/>
          <w:bottom w:w="0" w:type="dxa"/>
          <w:right w:w="0" w:type="dxa"/>
        </w:tblCellMar>
        <w:tblLook w:val="01E0"/>
      </w:tblPr>
      <w:tblGrid>
        <w:gridCol w:w="2268"/>
        <w:gridCol w:w="1456"/>
        <w:gridCol w:w="991"/>
        <w:gridCol w:w="1485"/>
        <w:gridCol w:w="1430"/>
        <w:gridCol w:w="981"/>
        <w:gridCol w:w="1431"/>
      </w:tblGrid>
      <w:tr>
        <w:trPr>
          <w:trHeight w:val="300" w:hRule="exact"/>
        </w:trPr>
        <w:tc>
          <w:tcPr>
            <w:tcW w:w="2268" w:type="dxa"/>
            <w:tcBorders>
              <w:top w:val="nil" w:sz="6" w:space="0" w:color="auto"/>
              <w:left w:val="nil" w:sz="6" w:space="0" w:color="auto"/>
              <w:bottom w:val="nil" w:sz="6" w:space="0" w:color="auto"/>
              <w:right w:val="nil" w:sz="6" w:space="0" w:color="auto"/>
            </w:tcBorders>
          </w:tcPr>
          <w:p>
            <w:pPr>
              <w:pStyle w:val="TableParagraph"/>
              <w:spacing w:line="180" w:lineRule="exact"/>
              <w:ind w:left="200"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款项性质</w:t>
            </w:r>
            <w:r>
              <w:rPr>
                <w:rFonts w:ascii="宋体" w:hAnsi="宋体" w:cs="宋体" w:eastAsia="宋体" w:hint="default"/>
                <w:sz w:val="18"/>
                <w:szCs w:val="18"/>
              </w:rPr>
            </w:r>
          </w:p>
        </w:tc>
        <w:tc>
          <w:tcPr>
            <w:tcW w:w="1456"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期末账面余额</w:t>
            </w:r>
            <w:r>
              <w:rPr>
                <w:rFonts w:ascii="宋体" w:hAnsi="宋体" w:cs="宋体" w:eastAsia="宋体" w:hint="default"/>
                <w:sz w:val="18"/>
                <w:szCs w:val="18"/>
              </w:rPr>
            </w:r>
          </w:p>
        </w:tc>
        <w:tc>
          <w:tcPr>
            <w:tcW w:w="991" w:type="dxa"/>
            <w:tcBorders>
              <w:top w:val="nil" w:sz="6" w:space="0" w:color="auto"/>
              <w:left w:val="nil" w:sz="6" w:space="0" w:color="auto"/>
              <w:bottom w:val="nil" w:sz="6" w:space="0" w:color="auto"/>
              <w:right w:val="nil" w:sz="6" w:space="0" w:color="auto"/>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c>
          <w:tcPr>
            <w:tcW w:w="1485" w:type="dxa"/>
            <w:tcBorders>
              <w:top w:val="nil" w:sz="6" w:space="0" w:color="auto"/>
              <w:left w:val="nil" w:sz="6" w:space="0" w:color="auto"/>
              <w:bottom w:val="nil" w:sz="6" w:space="0" w:color="auto"/>
              <w:right w:val="nil" w:sz="6" w:space="0" w:color="auto"/>
            </w:tcBorders>
          </w:tcPr>
          <w:p>
            <w:pPr>
              <w:pStyle w:val="TableParagraph"/>
              <w:spacing w:line="180" w:lineRule="exact"/>
              <w:ind w:left="163"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期末账面价值</w:t>
            </w:r>
            <w:r>
              <w:rPr>
                <w:rFonts w:ascii="宋体" w:hAnsi="宋体" w:cs="宋体" w:eastAsia="宋体" w:hint="default"/>
                <w:sz w:val="18"/>
                <w:szCs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180" w:lineRule="exact"/>
              <w:ind w:right="107"/>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期初账面余额</w:t>
            </w:r>
            <w:r>
              <w:rPr>
                <w:rFonts w:ascii="宋体" w:hAnsi="宋体" w:cs="宋体" w:eastAsia="宋体" w:hint="default"/>
                <w:sz w:val="18"/>
                <w:szCs w:val="18"/>
              </w:rPr>
            </w:r>
          </w:p>
        </w:tc>
        <w:tc>
          <w:tcPr>
            <w:tcW w:w="981" w:type="dxa"/>
            <w:tcBorders>
              <w:top w:val="nil" w:sz="6" w:space="0" w:color="auto"/>
              <w:left w:val="nil" w:sz="6" w:space="0" w:color="auto"/>
              <w:bottom w:val="nil" w:sz="6" w:space="0" w:color="auto"/>
              <w:right w:val="nil" w:sz="6" w:space="0" w:color="auto"/>
            </w:tcBorders>
          </w:tcPr>
          <w:p>
            <w:pPr>
              <w:pStyle w:val="TableParagraph"/>
              <w:spacing w:line="180" w:lineRule="exact"/>
              <w:ind w:left="109"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c>
          <w:tcPr>
            <w:tcW w:w="1431" w:type="dxa"/>
            <w:tcBorders>
              <w:top w:val="nil" w:sz="6" w:space="0" w:color="auto"/>
              <w:left w:val="nil" w:sz="6" w:space="0" w:color="auto"/>
              <w:bottom w:val="nil" w:sz="6" w:space="0" w:color="auto"/>
              <w:right w:val="nil" w:sz="6" w:space="0" w:color="auto"/>
            </w:tcBorders>
          </w:tcPr>
          <w:p>
            <w:pPr>
              <w:pStyle w:val="TableParagraph"/>
              <w:spacing w:line="180" w:lineRule="exact"/>
              <w:ind w:right="198"/>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期初账面价值</w:t>
            </w:r>
            <w:r>
              <w:rPr>
                <w:rFonts w:ascii="宋体" w:hAnsi="宋体" w:cs="宋体" w:eastAsia="宋体" w:hint="default"/>
                <w:sz w:val="18"/>
                <w:szCs w:val="18"/>
              </w:rPr>
            </w:r>
          </w:p>
        </w:tc>
      </w:tr>
      <w:tr>
        <w:trPr>
          <w:trHeight w:val="779" w:hRule="exact"/>
        </w:trPr>
        <w:tc>
          <w:tcPr>
            <w:tcW w:w="2268" w:type="dxa"/>
            <w:tcBorders>
              <w:top w:val="nil" w:sz="6" w:space="0" w:color="auto"/>
              <w:left w:val="nil" w:sz="6" w:space="0" w:color="auto"/>
              <w:bottom w:val="nil" w:sz="6" w:space="0" w:color="auto"/>
              <w:right w:val="nil" w:sz="6" w:space="0" w:color="auto"/>
            </w:tcBorders>
          </w:tcPr>
          <w:p>
            <w:pPr>
              <w:pStyle w:val="TableParagraph"/>
              <w:spacing w:line="355" w:lineRule="auto" w:before="74"/>
              <w:ind w:left="200" w:right="265"/>
              <w:jc w:val="left"/>
              <w:rPr>
                <w:rFonts w:ascii="宋体" w:hAnsi="宋体" w:cs="宋体" w:eastAsia="宋体" w:hint="default"/>
                <w:sz w:val="18"/>
                <w:szCs w:val="18"/>
              </w:rPr>
            </w:pPr>
            <w:r>
              <w:rPr>
                <w:rFonts w:ascii="宋体" w:hAnsi="宋体" w:cs="宋体" w:eastAsia="宋体" w:hint="default"/>
                <w:sz w:val="18"/>
                <w:szCs w:val="18"/>
              </w:rPr>
              <w:t>保证金、押金及备用金 组合</w:t>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8"/>
              <w:jc w:val="right"/>
              <w:rPr>
                <w:rFonts w:ascii="Garamond" w:hAnsi="Garamond" w:cs="Garamond" w:eastAsia="Garamond" w:hint="default"/>
                <w:sz w:val="18"/>
                <w:szCs w:val="18"/>
              </w:rPr>
            </w:pPr>
            <w:r>
              <w:rPr>
                <w:rFonts w:ascii="Garamond"/>
                <w:spacing w:val="-1"/>
                <w:sz w:val="18"/>
              </w:rPr>
              <w:t>117,125,945.21</w:t>
            </w:r>
          </w:p>
        </w:tc>
        <w:tc>
          <w:tcPr>
            <w:tcW w:w="991"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196" w:right="0"/>
              <w:jc w:val="left"/>
              <w:rPr>
                <w:rFonts w:ascii="Garamond" w:hAnsi="Garamond" w:cs="Garamond" w:eastAsia="Garamond" w:hint="default"/>
                <w:sz w:val="18"/>
                <w:szCs w:val="18"/>
              </w:rPr>
            </w:pPr>
            <w:r>
              <w:rPr>
                <w:rFonts w:ascii="Garamond"/>
                <w:sz w:val="18"/>
              </w:rPr>
              <w:t>117,125,945.21</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9"/>
              <w:jc w:val="right"/>
              <w:rPr>
                <w:rFonts w:ascii="Garamond" w:hAnsi="Garamond" w:cs="Garamond" w:eastAsia="Garamond" w:hint="default"/>
                <w:sz w:val="18"/>
                <w:szCs w:val="18"/>
              </w:rPr>
            </w:pPr>
            <w:r>
              <w:rPr>
                <w:rFonts w:ascii="Garamond"/>
                <w:spacing w:val="-1"/>
                <w:sz w:val="18"/>
              </w:rPr>
              <w:t>143,573,536.47</w:t>
            </w:r>
          </w:p>
        </w:tc>
        <w:tc>
          <w:tcPr>
            <w:tcW w:w="981"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200"/>
              <w:jc w:val="right"/>
              <w:rPr>
                <w:rFonts w:ascii="Garamond" w:hAnsi="Garamond" w:cs="Garamond" w:eastAsia="Garamond" w:hint="default"/>
                <w:sz w:val="18"/>
                <w:szCs w:val="18"/>
              </w:rPr>
            </w:pPr>
            <w:r>
              <w:rPr>
                <w:rFonts w:ascii="Garamond"/>
                <w:spacing w:val="-1"/>
                <w:sz w:val="18"/>
              </w:rPr>
              <w:t>143,573,536.47</w:t>
            </w:r>
          </w:p>
        </w:tc>
      </w:tr>
      <w:tr>
        <w:trPr>
          <w:trHeight w:val="431" w:hRule="exact"/>
        </w:trPr>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75"/>
              <w:ind w:left="200"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6" w:type="dxa"/>
            <w:tcBorders>
              <w:top w:val="nil" w:sz="6" w:space="0" w:color="auto"/>
              <w:left w:val="nil" w:sz="6" w:space="0" w:color="auto"/>
              <w:bottom w:val="nil" w:sz="6" w:space="0" w:color="auto"/>
              <w:right w:val="nil" w:sz="6" w:space="0" w:color="auto"/>
            </w:tcBorders>
          </w:tcPr>
          <w:p>
            <w:pPr/>
          </w:p>
        </w:tc>
        <w:tc>
          <w:tcPr>
            <w:tcW w:w="991"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09"/>
              <w:jc w:val="right"/>
              <w:rPr>
                <w:rFonts w:ascii="Garamond" w:hAnsi="Garamond" w:cs="Garamond" w:eastAsia="Garamond" w:hint="default"/>
                <w:sz w:val="18"/>
                <w:szCs w:val="18"/>
              </w:rPr>
            </w:pPr>
            <w:r>
              <w:rPr>
                <w:rFonts w:ascii="Garamond"/>
                <w:sz w:val="18"/>
              </w:rPr>
            </w:r>
            <w:r>
              <w:rPr>
                <w:rFonts w:ascii="Garamond"/>
                <w:spacing w:val="-1"/>
                <w:sz w:val="18"/>
                <w:u w:val="single" w:color="000000"/>
              </w:rPr>
              <w:t>1,253,580.33</w:t>
            </w:r>
            <w:r>
              <w:rPr>
                <w:rFonts w:ascii="Garamond"/>
                <w:spacing w:val="-1"/>
                <w:sz w:val="18"/>
              </w:rPr>
            </w:r>
          </w:p>
        </w:tc>
        <w:tc>
          <w:tcPr>
            <w:tcW w:w="981"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200"/>
              <w:jc w:val="right"/>
              <w:rPr>
                <w:rFonts w:ascii="Garamond" w:hAnsi="Garamond" w:cs="Garamond" w:eastAsia="Garamond" w:hint="default"/>
                <w:sz w:val="18"/>
                <w:szCs w:val="18"/>
              </w:rPr>
            </w:pPr>
            <w:r>
              <w:rPr>
                <w:rFonts w:ascii="Garamond"/>
                <w:sz w:val="18"/>
              </w:rPr>
            </w:r>
            <w:r>
              <w:rPr>
                <w:rFonts w:ascii="Garamond"/>
                <w:spacing w:val="-1"/>
                <w:sz w:val="18"/>
                <w:u w:val="single" w:color="000000"/>
              </w:rPr>
              <w:t>1,253,580.33</w:t>
            </w:r>
            <w:r>
              <w:rPr>
                <w:rFonts w:ascii="Garamond"/>
                <w:spacing w:val="-1"/>
                <w:sz w:val="18"/>
              </w:rPr>
            </w:r>
          </w:p>
        </w:tc>
      </w:tr>
      <w:tr>
        <w:trPr>
          <w:trHeight w:val="310" w:hRule="exact"/>
        </w:trPr>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74"/>
              <w:ind w:left="20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8"/>
              <w:jc w:val="right"/>
              <w:rPr>
                <w:rFonts w:ascii="Garamond" w:hAnsi="Garamond" w:cs="Garamond" w:eastAsia="Garamond" w:hint="default"/>
                <w:sz w:val="18"/>
                <w:szCs w:val="18"/>
              </w:rPr>
            </w:pPr>
            <w:r>
              <w:rPr>
                <w:rFonts w:ascii="Garamond"/>
                <w:sz w:val="18"/>
              </w:rPr>
            </w:r>
            <w:r>
              <w:rPr>
                <w:rFonts w:ascii="Garamond"/>
                <w:spacing w:val="-1"/>
                <w:sz w:val="18"/>
                <w:u w:val="thick" w:color="000000"/>
              </w:rPr>
              <w:t>117,125,945.21</w:t>
            </w:r>
            <w:r>
              <w:rPr>
                <w:rFonts w:ascii="Garamond"/>
                <w:spacing w:val="-1"/>
                <w:sz w:val="18"/>
              </w:rPr>
            </w:r>
          </w:p>
        </w:tc>
        <w:tc>
          <w:tcPr>
            <w:tcW w:w="991" w:type="dxa"/>
            <w:tcBorders>
              <w:top w:val="nil" w:sz="6" w:space="0" w:color="auto"/>
              <w:left w:val="nil" w:sz="6" w:space="0" w:color="auto"/>
              <w:bottom w:val="nil" w:sz="6" w:space="0" w:color="auto"/>
              <w:right w:val="nil" w:sz="6" w:space="0" w:color="auto"/>
            </w:tcBorders>
          </w:tcPr>
          <w:p>
            <w:pP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96" w:right="0"/>
              <w:jc w:val="left"/>
              <w:rPr>
                <w:rFonts w:ascii="Garamond" w:hAnsi="Garamond" w:cs="Garamond" w:eastAsia="Garamond" w:hint="default"/>
                <w:sz w:val="18"/>
                <w:szCs w:val="18"/>
              </w:rPr>
            </w:pPr>
            <w:r>
              <w:rPr>
                <w:rFonts w:ascii="Garamond"/>
                <w:sz w:val="18"/>
              </w:rPr>
            </w:r>
            <w:r>
              <w:rPr>
                <w:rFonts w:ascii="Garamond"/>
                <w:sz w:val="18"/>
                <w:u w:val="thick" w:color="000000"/>
              </w:rPr>
              <w:t>117,125,945.21</w:t>
            </w:r>
            <w:r>
              <w:rPr>
                <w:rFonts w:ascii="Garamond"/>
                <w:sz w:val="18"/>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9"/>
              <w:jc w:val="right"/>
              <w:rPr>
                <w:rFonts w:ascii="Garamond" w:hAnsi="Garamond" w:cs="Garamond" w:eastAsia="Garamond" w:hint="default"/>
                <w:sz w:val="18"/>
                <w:szCs w:val="18"/>
              </w:rPr>
            </w:pPr>
            <w:r>
              <w:rPr>
                <w:rFonts w:ascii="Garamond"/>
                <w:sz w:val="18"/>
              </w:rPr>
            </w:r>
            <w:r>
              <w:rPr>
                <w:rFonts w:ascii="Garamond"/>
                <w:spacing w:val="-1"/>
                <w:sz w:val="18"/>
                <w:u w:val="thick" w:color="000000"/>
              </w:rPr>
              <w:t>144,827,116.80</w:t>
            </w:r>
            <w:r>
              <w:rPr>
                <w:rFonts w:ascii="Garamond"/>
                <w:spacing w:val="-1"/>
                <w:sz w:val="18"/>
              </w:rPr>
            </w:r>
          </w:p>
        </w:tc>
        <w:tc>
          <w:tcPr>
            <w:tcW w:w="981"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200"/>
              <w:jc w:val="right"/>
              <w:rPr>
                <w:rFonts w:ascii="Garamond" w:hAnsi="Garamond" w:cs="Garamond" w:eastAsia="Garamond" w:hint="default"/>
                <w:sz w:val="18"/>
                <w:szCs w:val="18"/>
              </w:rPr>
            </w:pPr>
            <w:r>
              <w:rPr>
                <w:rFonts w:ascii="Garamond"/>
                <w:sz w:val="18"/>
              </w:rPr>
            </w:r>
            <w:r>
              <w:rPr>
                <w:rFonts w:ascii="Garamond"/>
                <w:spacing w:val="-1"/>
                <w:sz w:val="18"/>
                <w:u w:val="thick" w:color="000000"/>
              </w:rPr>
              <w:t>144,827,116.80</w:t>
            </w:r>
            <w:r>
              <w:rPr>
                <w:rFonts w:ascii="Garamond"/>
                <w:spacing w:val="-1"/>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pgSz w:w="11910" w:h="16840"/>
          <w:pgMar w:header="745" w:footer="979" w:top="1060" w:bottom="1160" w:left="820" w:right="0"/>
        </w:sectPr>
      </w:pPr>
    </w:p>
    <w:p>
      <w:pPr>
        <w:spacing w:before="44"/>
        <w:ind w:left="312" w:right="-1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本期计提、收回或转回的坏账准备情况</w:t>
      </w:r>
    </w:p>
    <w:p>
      <w:pPr>
        <w:spacing w:before="104"/>
        <w:ind w:left="312" w:right="-10"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924,885.58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元；本期收回或转回坏账准备金额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before="101"/>
        <w:ind w:left="312" w:right="-1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其他应收款按款项性质分类情况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8"/>
        <w:ind w:left="31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60" w:left="820" w:right="0"/>
          <w:cols w:num="2" w:equalWidth="0">
            <w:col w:w="6260" w:space="2570"/>
            <w:col w:w="2260"/>
          </w:cols>
        </w:sectPr>
      </w:pPr>
    </w:p>
    <w:p>
      <w:pPr>
        <w:spacing w:line="240" w:lineRule="auto" w:before="4"/>
        <w:rPr>
          <w:rFonts w:ascii="宋体" w:hAnsi="宋体" w:cs="宋体" w:eastAsia="宋体" w:hint="default"/>
          <w:sz w:val="8"/>
          <w:szCs w:val="8"/>
        </w:rPr>
      </w:pPr>
    </w:p>
    <w:tbl>
      <w:tblPr>
        <w:tblW w:w="0" w:type="auto"/>
        <w:jc w:val="left"/>
        <w:tblInd w:w="307"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保证金、押金、备用金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117,125,945.21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143,573,536.47</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10,385,719.46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11,439,997.11</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127,511,664.67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155,013,533.58</w:t>
            </w:r>
          </w:p>
        </w:tc>
      </w:tr>
    </w:tbl>
    <w:p>
      <w:pPr>
        <w:spacing w:before="49"/>
        <w:ind w:left="312" w:right="64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按欠款方归集的期末余额前五名的其他应收款情况</w:t>
      </w:r>
    </w:p>
    <w:p>
      <w:pPr>
        <w:spacing w:before="101"/>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5"/>
        <w:rPr>
          <w:rFonts w:ascii="宋体" w:hAnsi="宋体" w:cs="宋体" w:eastAsia="宋体" w:hint="default"/>
          <w:sz w:val="8"/>
          <w:szCs w:val="8"/>
        </w:rPr>
      </w:pPr>
    </w:p>
    <w:tbl>
      <w:tblPr>
        <w:tblW w:w="0" w:type="auto"/>
        <w:jc w:val="left"/>
        <w:tblInd w:w="307" w:type="dxa"/>
        <w:tblLayout w:type="fixed"/>
        <w:tblCellMar>
          <w:top w:w="0" w:type="dxa"/>
          <w:left w:w="0" w:type="dxa"/>
          <w:bottom w:w="0" w:type="dxa"/>
          <w:right w:w="0" w:type="dxa"/>
        </w:tblCellMar>
        <w:tblLook w:val="01E0"/>
      </w:tblPr>
      <w:tblGrid>
        <w:gridCol w:w="1594"/>
        <w:gridCol w:w="1594"/>
        <w:gridCol w:w="1596"/>
        <w:gridCol w:w="1594"/>
        <w:gridCol w:w="1594"/>
        <w:gridCol w:w="1596"/>
      </w:tblGrid>
      <w:tr>
        <w:trPr>
          <w:trHeight w:val="71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2" w:right="70"/>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72"/>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2,400,000.00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1.88%</w:t>
            </w:r>
          </w:p>
        </w:tc>
        <w:tc>
          <w:tcPr>
            <w:tcW w:w="159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1,998,371.00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1.57%</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1,998,371.00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1,868,830.00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1.47%</w:t>
            </w:r>
          </w:p>
        </w:tc>
        <w:tc>
          <w:tcPr>
            <w:tcW w:w="159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1,822,057.52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1.43%</w:t>
            </w:r>
          </w:p>
        </w:tc>
        <w:tc>
          <w:tcPr>
            <w:tcW w:w="1596" w:type="dxa"/>
            <w:tcBorders>
              <w:top w:val="single" w:sz="4" w:space="0" w:color="000000"/>
              <w:left w:val="single" w:sz="4" w:space="0" w:color="000000"/>
              <w:bottom w:val="single" w:sz="4" w:space="0" w:color="000000"/>
              <w:right w:val="single" w:sz="4" w:space="0" w:color="000000"/>
            </w:tcBorders>
          </w:tcPr>
          <w:p>
            <w:pPr/>
          </w:p>
        </w:tc>
      </w:tr>
      <w:tr>
        <w:trPr>
          <w:trHeight w:val="1340"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1,709,841.89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年以内</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28,200.00</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426,480.00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2-3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1,255,161.89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420,606.57</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82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593"/>
        <w:gridCol w:w="1583"/>
        <w:gridCol w:w="1619"/>
        <w:gridCol w:w="1582"/>
        <w:gridCol w:w="1594"/>
        <w:gridCol w:w="1596"/>
      </w:tblGrid>
      <w:tr>
        <w:trPr>
          <w:trHeight w:val="404" w:hRule="exact"/>
        </w:trPr>
        <w:tc>
          <w:tcPr>
            <w:tcW w:w="1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1619" w:type="dxa"/>
            <w:tcBorders>
              <w:top w:val="single" w:sz="4" w:space="0" w:color="000000"/>
              <w:left w:val="single" w:sz="10" w:space="0" w:color="D2D2D2"/>
              <w:bottom w:val="single" w:sz="4" w:space="0" w:color="000000"/>
              <w:right w:val="single" w:sz="10" w:space="0" w:color="D2D2D2"/>
            </w:tcBorders>
          </w:tcPr>
          <w:p>
            <w:pPr>
              <w:pStyle w:val="TableParagraph"/>
              <w:spacing w:line="240" w:lineRule="auto" w:before="91"/>
              <w:ind w:left="620" w:right="0"/>
              <w:jc w:val="left"/>
              <w:rPr>
                <w:rFonts w:ascii="Times New Roman" w:hAnsi="Times New Roman" w:cs="Times New Roman" w:eastAsia="Times New Roman" w:hint="default"/>
                <w:sz w:val="18"/>
                <w:szCs w:val="18"/>
              </w:rPr>
            </w:pPr>
            <w:r>
              <w:rPr>
                <w:rFonts w:ascii="Times New Roman"/>
                <w:sz w:val="18"/>
              </w:rPr>
              <w:t>9,799,100.41</w:t>
            </w:r>
          </w:p>
        </w:tc>
        <w:tc>
          <w:tcPr>
            <w:tcW w:w="15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9"/>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7.69%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6" w:right="0"/>
              <w:jc w:val="left"/>
              <w:rPr>
                <w:rFonts w:ascii="Times New Roman" w:hAnsi="Times New Roman" w:cs="Times New Roman" w:eastAsia="Times New Roman" w:hint="default"/>
                <w:sz w:val="18"/>
                <w:szCs w:val="18"/>
              </w:rPr>
            </w:pPr>
            <w:r>
              <w:rPr>
                <w:rFonts w:ascii="Times New Roman"/>
                <w:sz w:val="18"/>
              </w:rPr>
              <w:t>2,418,977.57</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line="360" w:lineRule="auto" w:before="0"/>
        <w:ind w:left="152" w:right="7514" w:firstLine="0"/>
        <w:jc w:val="left"/>
        <w:rPr>
          <w:rFonts w:ascii="宋体" w:hAnsi="宋体" w:cs="宋体" w:eastAsia="宋体" w:hint="default"/>
          <w:sz w:val="18"/>
          <w:szCs w:val="18"/>
        </w:rPr>
      </w:pPr>
      <w:r>
        <w:rPr>
          <w:rFonts w:ascii="宋体" w:hAnsi="宋体" w:cs="宋体" w:eastAsia="宋体" w:hint="default"/>
          <w:sz w:val="18"/>
          <w:szCs w:val="18"/>
        </w:rPr>
        <w:t>公司是否需要遵守房地产行业的披露要求 否</w:t>
      </w:r>
    </w:p>
    <w:p>
      <w:pPr>
        <w:spacing w:line="240" w:lineRule="auto" w:before="4"/>
        <w:rPr>
          <w:rFonts w:ascii="宋体" w:hAnsi="宋体" w:cs="宋体" w:eastAsia="宋体" w:hint="default"/>
          <w:sz w:val="20"/>
          <w:szCs w:val="20"/>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）存货分类</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346"/>
        <w:gridCol w:w="1379"/>
        <w:gridCol w:w="1368"/>
        <w:gridCol w:w="1366"/>
        <w:gridCol w:w="1368"/>
        <w:gridCol w:w="1366"/>
        <w:gridCol w:w="1368"/>
      </w:tblGrid>
      <w:tr>
        <w:trPr>
          <w:trHeight w:val="207"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411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3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13"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199" w:hRule="exact"/>
        </w:trPr>
        <w:tc>
          <w:tcPr>
            <w:tcW w:w="1346" w:type="dxa"/>
            <w:vMerge/>
            <w:tcBorders>
              <w:left w:val="single" w:sz="4" w:space="0" w:color="000000"/>
              <w:bottom w:val="nil" w:sz="6" w:space="0" w:color="auto"/>
              <w:right w:val="single" w:sz="4" w:space="0" w:color="000000"/>
            </w:tcBorders>
            <w:shd w:val="clear" w:color="auto" w:fill="D2D2D2"/>
          </w:tcPr>
          <w:p>
            <w:pPr/>
          </w:p>
        </w:tc>
        <w:tc>
          <w:tcPr>
            <w:tcW w:w="13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79"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8,406,289.45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368,808.86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8,037,480.59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9,881,530.87</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9,881,530.87</w:t>
            </w:r>
          </w:p>
        </w:tc>
      </w:tr>
      <w:tr>
        <w:trPr>
          <w:trHeight w:val="401"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121,145,306.17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8,934,444.21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112,210,861.96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161,983,709.35</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161,983,709.35</w:t>
            </w: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14,102,875.93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1,185,249.86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12,917,626.07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12,418,574.71</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12,418,574.71</w:t>
            </w:r>
          </w:p>
        </w:tc>
      </w:tr>
      <w:tr>
        <w:trPr>
          <w:trHeight w:val="401"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420,103.54</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420,103.54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1,446,783.81</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1,446,783.81</w:t>
            </w: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144,074,575.09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10,488,502.93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133,586,072.16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185,730,598.74</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185,730,598.74</w:t>
            </w:r>
          </w:p>
        </w:tc>
      </w:tr>
    </w:tbl>
    <w:p>
      <w:pPr>
        <w:spacing w:line="338" w:lineRule="auto" w:before="49"/>
        <w:ind w:left="152" w:right="2476"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上市公司从事种业、种植业务》的披露要求 否</w:t>
      </w:r>
    </w:p>
    <w:p>
      <w:pPr>
        <w:spacing w:line="338" w:lineRule="auto" w:before="44"/>
        <w:ind w:left="152" w:right="1576"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上市公司从事广播电影电视业务》的披露要求 否</w:t>
      </w:r>
    </w:p>
    <w:p>
      <w:pPr>
        <w:spacing w:line="340" w:lineRule="auto" w:before="43"/>
        <w:ind w:left="152" w:right="1756"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上市公司从事互联网游戏业务》的披露要求 否</w:t>
      </w:r>
    </w:p>
    <w:p>
      <w:pPr>
        <w:spacing w:line="340" w:lineRule="auto" w:before="39"/>
        <w:ind w:left="152" w:right="2752"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上市公司从事珠宝相关业务》的披露要求 否</w:t>
      </w:r>
    </w:p>
    <w:p>
      <w:pPr>
        <w:spacing w:line="240" w:lineRule="auto" w:before="5"/>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）存货跌价准备</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346"/>
        <w:gridCol w:w="1379"/>
        <w:gridCol w:w="1368"/>
        <w:gridCol w:w="1366"/>
        <w:gridCol w:w="1368"/>
        <w:gridCol w:w="1366"/>
        <w:gridCol w:w="1368"/>
      </w:tblGrid>
      <w:tr>
        <w:trPr>
          <w:trHeight w:val="206"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1379" w:type="dxa"/>
            <w:tcBorders>
              <w:top w:val="single" w:sz="4" w:space="0" w:color="000000"/>
              <w:left w:val="single" w:sz="4" w:space="0" w:color="000000"/>
              <w:bottom w:val="nil" w:sz="6" w:space="0" w:color="auto"/>
              <w:right w:val="single" w:sz="4" w:space="0" w:color="000000"/>
            </w:tcBorders>
            <w:shd w:val="clear" w:color="auto" w:fill="D2D2D2"/>
          </w:tcPr>
          <w:p>
            <w:pPr/>
          </w:p>
        </w:tc>
        <w:tc>
          <w:tcPr>
            <w:tcW w:w="273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2" w:hRule="exact"/>
        </w:trPr>
        <w:tc>
          <w:tcPr>
            <w:tcW w:w="13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2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vMerge/>
            <w:tcBorders>
              <w:left w:val="single" w:sz="4" w:space="0" w:color="000000"/>
              <w:bottom w:val="single" w:sz="4" w:space="0" w:color="000000"/>
              <w:right w:val="single" w:sz="4" w:space="0" w:color="000000"/>
            </w:tcBorders>
            <w:shd w:val="clear" w:color="auto" w:fill="D2D2D2"/>
          </w:tcPr>
          <w:p>
            <w:pPr/>
          </w:p>
        </w:tc>
        <w:tc>
          <w:tcPr>
            <w:tcW w:w="2734" w:type="dxa"/>
            <w:gridSpan w:val="2"/>
            <w:vMerge/>
            <w:tcBorders>
              <w:left w:val="single" w:sz="4" w:space="0" w:color="000000"/>
              <w:bottom w:val="single" w:sz="4" w:space="0" w:color="000000"/>
              <w:right w:val="single" w:sz="4" w:space="0" w:color="000000"/>
            </w:tcBorders>
            <w:shd w:val="clear" w:color="auto" w:fill="D2D2D2"/>
          </w:tcPr>
          <w:p>
            <w:pPr/>
          </w:p>
        </w:tc>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02" w:hRule="exact"/>
        </w:trPr>
        <w:tc>
          <w:tcPr>
            <w:tcW w:w="1346" w:type="dxa"/>
            <w:vMerge/>
            <w:tcBorders>
              <w:left w:val="single" w:sz="4" w:space="0" w:color="000000"/>
              <w:bottom w:val="nil" w:sz="6" w:space="0" w:color="auto"/>
              <w:right w:val="single" w:sz="4" w:space="0" w:color="000000"/>
            </w:tcBorders>
            <w:shd w:val="clear" w:color="auto" w:fill="D2D2D2"/>
          </w:tcPr>
          <w:p>
            <w:pPr/>
          </w:p>
        </w:tc>
        <w:tc>
          <w:tcPr>
            <w:tcW w:w="1379" w:type="dxa"/>
            <w:vMerge/>
            <w:tcBorders>
              <w:left w:val="single" w:sz="4" w:space="0" w:color="000000"/>
              <w:bottom w:val="nil" w:sz="6" w:space="0" w:color="auto"/>
              <w:right w:val="single" w:sz="4" w:space="0" w:color="000000"/>
            </w:tcBorders>
            <w:shd w:val="clear" w:color="auto" w:fill="D2D2D2"/>
          </w:tcPr>
          <w:p>
            <w:pP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27"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tcBorders>
              <w:left w:val="single" w:sz="4" w:space="0" w:color="000000"/>
              <w:bottom w:val="nil" w:sz="6" w:space="0" w:color="auto"/>
              <w:right w:val="single" w:sz="4" w:space="0" w:color="000000"/>
            </w:tcBorders>
            <w:shd w:val="clear" w:color="auto" w:fill="D2D2D2"/>
          </w:tcPr>
          <w:p>
            <w:pPr/>
          </w:p>
        </w:tc>
      </w:tr>
      <w:tr>
        <w:trPr>
          <w:trHeight w:val="204"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79"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79" w:type="dxa"/>
            <w:tcBorders>
              <w:top w:val="single" w:sz="4" w:space="0" w:color="000000"/>
              <w:left w:val="single" w:sz="12"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368,808.86</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368,808.86</w:t>
            </w:r>
          </w:p>
        </w:tc>
      </w:tr>
      <w:tr>
        <w:trPr>
          <w:trHeight w:val="401"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79" w:type="dxa"/>
            <w:tcBorders>
              <w:top w:val="single" w:sz="4" w:space="0" w:color="000000"/>
              <w:left w:val="single" w:sz="12"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8,934,444.21</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8,934,444.21</w:t>
            </w: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79" w:type="dxa"/>
            <w:tcBorders>
              <w:top w:val="single" w:sz="4" w:space="0" w:color="000000"/>
              <w:left w:val="single" w:sz="12"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1,185,249.86</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1,185,249.86</w:t>
            </w:r>
          </w:p>
        </w:tc>
      </w:tr>
      <w:tr>
        <w:trPr>
          <w:trHeight w:val="401"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2"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10,488,502.93</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10,488,502.93</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、一年内到期的非流动资产</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一年内到期的长期应收款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39,953,581.43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46,315,598.92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39,953,581.43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46,315,598.92</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、其他流动资产</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待抵扣增值税进项税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7,685,973.93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5,554,722.87</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7,685,973.93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5,554,722.87</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、可供出售金融资产</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）可供出售金融资产情况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001"/>
        <w:gridCol w:w="1195"/>
        <w:gridCol w:w="1198"/>
        <w:gridCol w:w="1196"/>
        <w:gridCol w:w="1248"/>
        <w:gridCol w:w="1369"/>
        <w:gridCol w:w="1366"/>
      </w:tblGrid>
      <w:tr>
        <w:trPr>
          <w:trHeight w:val="206" w:hRule="exact"/>
        </w:trPr>
        <w:tc>
          <w:tcPr>
            <w:tcW w:w="20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588"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8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0" w:hRule="exact"/>
        </w:trPr>
        <w:tc>
          <w:tcPr>
            <w:tcW w:w="20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88" w:type="dxa"/>
            <w:gridSpan w:val="3"/>
            <w:vMerge/>
            <w:tcBorders>
              <w:left w:val="single" w:sz="4" w:space="0" w:color="000000"/>
              <w:bottom w:val="single" w:sz="4" w:space="0" w:color="000000"/>
              <w:right w:val="single" w:sz="4" w:space="0" w:color="000000"/>
            </w:tcBorders>
            <w:shd w:val="clear" w:color="auto" w:fill="D2D2D2"/>
          </w:tcPr>
          <w:p>
            <w:pPr/>
          </w:p>
        </w:tc>
        <w:tc>
          <w:tcPr>
            <w:tcW w:w="3982" w:type="dxa"/>
            <w:gridSpan w:val="3"/>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001" w:type="dxa"/>
            <w:vMerge/>
            <w:tcBorders>
              <w:left w:val="single" w:sz="4" w:space="0" w:color="000000"/>
              <w:bottom w:val="nil" w:sz="6" w:space="0" w:color="auto"/>
              <w:right w:val="single" w:sz="4" w:space="0" w:color="000000"/>
            </w:tcBorders>
            <w:shd w:val="clear" w:color="auto" w:fill="D2D2D2"/>
          </w:tcPr>
          <w:p>
            <w:pP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2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4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25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20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8"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248"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19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43,020,000.00</w:t>
            </w:r>
          </w:p>
        </w:tc>
        <w:tc>
          <w:tcPr>
            <w:tcW w:w="1198"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43,020,000.00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43,020,000.00</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43,020,000.00</w:t>
            </w:r>
          </w:p>
        </w:tc>
      </w:tr>
      <w:tr>
        <w:trPr>
          <w:trHeight w:val="403"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按成本计量的</w:t>
            </w:r>
          </w:p>
        </w:tc>
        <w:tc>
          <w:tcPr>
            <w:tcW w:w="119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43,020,000.00</w:t>
            </w:r>
          </w:p>
        </w:tc>
        <w:tc>
          <w:tcPr>
            <w:tcW w:w="1198"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43,020,000.00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43,020,000.00</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43,020,000.00</w:t>
            </w:r>
          </w:p>
        </w:tc>
      </w:tr>
      <w:tr>
        <w:trPr>
          <w:trHeight w:val="401"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95"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43,020,000.00</w:t>
            </w:r>
          </w:p>
        </w:tc>
        <w:tc>
          <w:tcPr>
            <w:tcW w:w="1198"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43,020,000.00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43,020,000.00</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43,020,000.00</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）期末按公允价值计量的可供出售金融资产</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4"/>
        <w:gridCol w:w="1913"/>
        <w:gridCol w:w="1916"/>
        <w:gridCol w:w="1914"/>
        <w:gridCol w:w="1903"/>
      </w:tblGrid>
      <w:tr>
        <w:trPr>
          <w:trHeight w:val="40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14" w:type="dxa"/>
            <w:tcBorders>
              <w:top w:val="single" w:sz="4" w:space="0" w:color="000000"/>
              <w:left w:val="single" w:sz="4" w:space="0" w:color="000000"/>
              <w:bottom w:val="single" w:sz="4" w:space="0" w:color="000000"/>
              <w:right w:val="single" w:sz="13" w:space="0" w:color="D2D2D2"/>
            </w:tcBorders>
            <w:shd w:val="clear" w:color="auto" w:fill="E0FFFF"/>
          </w:tcPr>
          <w:p>
            <w:pPr/>
          </w:p>
        </w:tc>
        <w:tc>
          <w:tcPr>
            <w:tcW w:w="1903" w:type="dxa"/>
            <w:tcBorders>
              <w:top w:val="single" w:sz="4" w:space="0" w:color="000000"/>
              <w:left w:val="single" w:sz="12" w:space="0" w:color="E0FFFF"/>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）期末按成本计量的可供出售金融资产</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864"/>
        <w:gridCol w:w="869"/>
        <w:gridCol w:w="871"/>
        <w:gridCol w:w="869"/>
        <w:gridCol w:w="871"/>
        <w:gridCol w:w="869"/>
        <w:gridCol w:w="871"/>
        <w:gridCol w:w="869"/>
        <w:gridCol w:w="872"/>
        <w:gridCol w:w="869"/>
        <w:gridCol w:w="871"/>
      </w:tblGrid>
      <w:tr>
        <w:trPr>
          <w:trHeight w:val="402" w:hRule="exact"/>
        </w:trPr>
        <w:tc>
          <w:tcPr>
            <w:tcW w:w="8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336" w:right="65"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348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48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869"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0"/>
              <w:ind w:left="69" w:right="67"/>
              <w:jc w:val="center"/>
              <w:rPr>
                <w:rFonts w:ascii="宋体" w:hAnsi="宋体" w:cs="宋体" w:eastAsia="宋体" w:hint="default"/>
                <w:sz w:val="18"/>
                <w:szCs w:val="18"/>
              </w:rPr>
            </w:pPr>
            <w:r>
              <w:rPr>
                <w:rFonts w:ascii="宋体" w:hAnsi="宋体" w:cs="宋体" w:eastAsia="宋体" w:hint="default"/>
                <w:sz w:val="18"/>
                <w:szCs w:val="18"/>
              </w:rPr>
              <w:t>在被投资 单位持股 比例</w:t>
            </w:r>
          </w:p>
        </w:tc>
        <w:tc>
          <w:tcPr>
            <w:tcW w:w="8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49" w:right="71" w:hanging="180"/>
              <w:jc w:val="left"/>
              <w:rPr>
                <w:rFonts w:ascii="宋体" w:hAnsi="宋体" w:cs="宋体" w:eastAsia="宋体" w:hint="default"/>
                <w:sz w:val="18"/>
                <w:szCs w:val="18"/>
              </w:rPr>
            </w:pPr>
            <w:r>
              <w:rPr>
                <w:rFonts w:ascii="宋体" w:hAnsi="宋体" w:cs="宋体" w:eastAsia="宋体" w:hint="default"/>
                <w:sz w:val="18"/>
                <w:szCs w:val="18"/>
              </w:rPr>
              <w:t>本期现金 红利</w:t>
            </w:r>
          </w:p>
        </w:tc>
      </w:tr>
      <w:tr>
        <w:trPr>
          <w:trHeight w:val="624" w:hRule="exact"/>
        </w:trPr>
        <w:tc>
          <w:tcPr>
            <w:tcW w:w="864" w:type="dxa"/>
            <w:vMerge/>
            <w:tcBorders>
              <w:left w:val="single" w:sz="4" w:space="0" w:color="000000"/>
              <w:bottom w:val="single" w:sz="4" w:space="0" w:color="000000"/>
              <w:right w:val="single" w:sz="4" w:space="0" w:color="000000"/>
            </w:tcBorders>
            <w:shd w:val="clear" w:color="auto" w:fill="D2D2D2"/>
          </w:tcPr>
          <w:p>
            <w:pP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right="0"/>
              <w:jc w:val="center"/>
              <w:rPr>
                <w:rFonts w:ascii="宋体" w:hAnsi="宋体" w:cs="宋体" w:eastAsia="宋体" w:hint="default"/>
                <w:sz w:val="18"/>
                <w:szCs w:val="18"/>
              </w:rPr>
            </w:pPr>
            <w:r>
              <w:rPr>
                <w:rFonts w:ascii="宋体" w:hAnsi="宋体" w:cs="宋体" w:eastAsia="宋体" w:hint="default"/>
                <w:sz w:val="18"/>
                <w:szCs w:val="18"/>
              </w:rPr>
              <w:t>期初</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left="7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right="0"/>
              <w:jc w:val="center"/>
              <w:rPr>
                <w:rFonts w:ascii="宋体" w:hAnsi="宋体" w:cs="宋体" w:eastAsia="宋体" w:hint="default"/>
                <w:sz w:val="18"/>
                <w:szCs w:val="18"/>
              </w:rPr>
            </w:pPr>
            <w:r>
              <w:rPr>
                <w:rFonts w:ascii="宋体" w:hAnsi="宋体" w:cs="宋体" w:eastAsia="宋体" w:hint="default"/>
                <w:sz w:val="18"/>
                <w:szCs w:val="18"/>
              </w:rPr>
              <w:t>期末</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left="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69" w:type="dxa"/>
            <w:vMerge/>
            <w:tcBorders>
              <w:left w:val="single" w:sz="4" w:space="0" w:color="000000"/>
              <w:bottom w:val="single" w:sz="4" w:space="0" w:color="000000"/>
              <w:right w:val="single" w:sz="4" w:space="0" w:color="000000"/>
            </w:tcBorders>
            <w:shd w:val="clear" w:color="auto" w:fill="D2D2D2"/>
          </w:tcPr>
          <w:p>
            <w:pPr/>
          </w:p>
        </w:tc>
        <w:tc>
          <w:tcPr>
            <w:tcW w:w="871" w:type="dxa"/>
            <w:vMerge/>
            <w:tcBorders>
              <w:left w:val="single" w:sz="4" w:space="0" w:color="000000"/>
              <w:bottom w:val="single" w:sz="4" w:space="0" w:color="000000"/>
              <w:right w:val="single" w:sz="4" w:space="0" w:color="000000"/>
            </w:tcBorders>
            <w:shd w:val="clear" w:color="auto" w:fill="D2D2D2"/>
          </w:tcPr>
          <w:p>
            <w:pPr/>
          </w:p>
        </w:tc>
      </w:tr>
      <w:tr>
        <w:trPr>
          <w:trHeight w:val="1025"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both"/>
              <w:rPr>
                <w:rFonts w:ascii="宋体" w:hAnsi="宋体" w:cs="宋体" w:eastAsia="宋体" w:hint="default"/>
                <w:sz w:val="18"/>
                <w:szCs w:val="18"/>
              </w:rPr>
            </w:pPr>
            <w:r>
              <w:rPr>
                <w:rFonts w:ascii="宋体" w:hAnsi="宋体" w:cs="宋体" w:eastAsia="宋体" w:hint="default"/>
                <w:sz w:val="18"/>
                <w:szCs w:val="18"/>
              </w:rPr>
              <w:t>重庆小爱 科技有限 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10.23%</w:t>
            </w:r>
          </w:p>
        </w:tc>
        <w:tc>
          <w:tcPr>
            <w:tcW w:w="871"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4" w:right="0"/>
              <w:jc w:val="left"/>
              <w:rPr>
                <w:rFonts w:ascii="宋体" w:hAnsi="宋体" w:cs="宋体" w:eastAsia="宋体" w:hint="default"/>
                <w:sz w:val="18"/>
                <w:szCs w:val="18"/>
              </w:rPr>
            </w:pPr>
            <w:r>
              <w:rPr>
                <w:rFonts w:ascii="宋体" w:hAnsi="宋体" w:cs="宋体" w:eastAsia="宋体" w:hint="default"/>
                <w:sz w:val="18"/>
                <w:szCs w:val="18"/>
              </w:rPr>
              <w:t>北京天健</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4" w:right="0"/>
              <w:jc w:val="center"/>
              <w:rPr>
                <w:rFonts w:ascii="Times New Roman" w:hAnsi="Times New Roman" w:cs="Times New Roman" w:eastAsia="Times New Roman" w:hint="default"/>
                <w:sz w:val="18"/>
                <w:szCs w:val="18"/>
              </w:rPr>
            </w:pPr>
            <w:r>
              <w:rPr>
                <w:rFonts w:ascii="Times New Roman"/>
                <w:sz w:val="18"/>
              </w:rPr>
              <w:t>40,000,000</w:t>
            </w: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2" w:right="0"/>
              <w:jc w:val="center"/>
              <w:rPr>
                <w:rFonts w:ascii="Times New Roman" w:hAnsi="Times New Roman" w:cs="Times New Roman" w:eastAsia="Times New Roman" w:hint="default"/>
                <w:sz w:val="18"/>
                <w:szCs w:val="18"/>
              </w:rPr>
            </w:pPr>
            <w:r>
              <w:rPr>
                <w:rFonts w:ascii="Times New Roman"/>
                <w:sz w:val="18"/>
              </w:rPr>
              <w:t>40,000,000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5.81%</w:t>
            </w:r>
          </w:p>
        </w:tc>
        <w:tc>
          <w:tcPr>
            <w:tcW w:w="87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864"/>
        <w:gridCol w:w="869"/>
        <w:gridCol w:w="871"/>
        <w:gridCol w:w="869"/>
        <w:gridCol w:w="871"/>
        <w:gridCol w:w="869"/>
        <w:gridCol w:w="871"/>
        <w:gridCol w:w="869"/>
        <w:gridCol w:w="872"/>
        <w:gridCol w:w="869"/>
        <w:gridCol w:w="871"/>
      </w:tblGrid>
      <w:tr>
        <w:trPr>
          <w:trHeight w:val="675"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4" w:right="108"/>
              <w:jc w:val="left"/>
              <w:rPr>
                <w:rFonts w:ascii="宋体" w:hAnsi="宋体" w:cs="宋体" w:eastAsia="宋体" w:hint="default"/>
                <w:sz w:val="18"/>
                <w:szCs w:val="18"/>
              </w:rPr>
            </w:pPr>
            <w:r>
              <w:rPr>
                <w:rFonts w:ascii="宋体" w:hAnsi="宋体" w:cs="宋体" w:eastAsia="宋体" w:hint="default"/>
                <w:sz w:val="18"/>
                <w:szCs w:val="18"/>
              </w:rPr>
              <w:t>源达科技 有限公司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both"/>
              <w:rPr>
                <w:rFonts w:ascii="宋体" w:hAnsi="宋体" w:cs="宋体" w:eastAsia="宋体" w:hint="default"/>
                <w:sz w:val="18"/>
                <w:szCs w:val="18"/>
              </w:rPr>
            </w:pPr>
            <w:r>
              <w:rPr>
                <w:rFonts w:ascii="宋体" w:hAnsi="宋体" w:cs="宋体" w:eastAsia="宋体" w:hint="default"/>
                <w:sz w:val="18"/>
                <w:szCs w:val="18"/>
              </w:rPr>
              <w:t>保定市市 区农村信 用合作联 社</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w:t>
            </w: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72" w:right="0"/>
              <w:jc w:val="left"/>
              <w:rPr>
                <w:rFonts w:ascii="Times New Roman" w:hAnsi="Times New Roman" w:cs="Times New Roman" w:eastAsia="Times New Roman" w:hint="default"/>
                <w:sz w:val="18"/>
                <w:szCs w:val="18"/>
              </w:rPr>
            </w:pPr>
            <w:r>
              <w:rPr>
                <w:rFonts w:ascii="Times New Roman"/>
                <w:sz w:val="18"/>
              </w:rPr>
              <w:t>0.35%</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5,000.00</w:t>
            </w:r>
          </w:p>
        </w:tc>
      </w:tr>
      <w:tr>
        <w:trPr>
          <w:trHeight w:val="715"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43,020,000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43,020,000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9" w:right="0"/>
              <w:jc w:val="left"/>
              <w:rPr>
                <w:rFonts w:ascii="Times New Roman" w:hAnsi="Times New Roman" w:cs="Times New Roman" w:eastAsia="Times New Roman" w:hint="default"/>
                <w:sz w:val="18"/>
                <w:szCs w:val="18"/>
              </w:rPr>
            </w:pPr>
            <w:r>
              <w:rPr>
                <w:rFonts w:ascii="Times New Roman"/>
                <w:sz w:val="18"/>
              </w:rPr>
              <w:t>--</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5,000.00</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、长期应收款</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）长期应收款情况</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392"/>
        <w:gridCol w:w="1166"/>
        <w:gridCol w:w="1167"/>
        <w:gridCol w:w="1166"/>
        <w:gridCol w:w="1169"/>
        <w:gridCol w:w="1166"/>
        <w:gridCol w:w="1167"/>
        <w:gridCol w:w="1164"/>
      </w:tblGrid>
      <w:tr>
        <w:trPr>
          <w:trHeight w:val="206" w:hRule="exact"/>
        </w:trPr>
        <w:tc>
          <w:tcPr>
            <w:tcW w:w="1392" w:type="dxa"/>
            <w:tcBorders>
              <w:top w:val="single" w:sz="4" w:space="0" w:color="000000"/>
              <w:left w:val="single" w:sz="4" w:space="0" w:color="000000"/>
              <w:bottom w:val="nil" w:sz="6" w:space="0" w:color="auto"/>
              <w:right w:val="single" w:sz="4" w:space="0" w:color="000000"/>
            </w:tcBorders>
            <w:shd w:val="clear" w:color="auto" w:fill="D2D2D2"/>
          </w:tcPr>
          <w:p>
            <w:pPr/>
          </w:p>
        </w:tc>
        <w:tc>
          <w:tcPr>
            <w:tcW w:w="350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0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1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27" w:right="0"/>
              <w:jc w:val="left"/>
              <w:rPr>
                <w:rFonts w:ascii="宋体" w:hAnsi="宋体" w:cs="宋体" w:eastAsia="宋体" w:hint="default"/>
                <w:sz w:val="18"/>
                <w:szCs w:val="18"/>
              </w:rPr>
            </w:pPr>
            <w:r>
              <w:rPr>
                <w:rFonts w:ascii="宋体" w:hAnsi="宋体" w:cs="宋体" w:eastAsia="宋体" w:hint="default"/>
                <w:sz w:val="18"/>
                <w:szCs w:val="18"/>
              </w:rPr>
              <w:t>折现率区间</w:t>
            </w:r>
          </w:p>
        </w:tc>
      </w:tr>
      <w:tr>
        <w:trPr>
          <w:trHeight w:val="190" w:hRule="exact"/>
        </w:trPr>
        <w:tc>
          <w:tcPr>
            <w:tcW w:w="139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3500" w:type="dxa"/>
            <w:gridSpan w:val="3"/>
            <w:vMerge/>
            <w:tcBorders>
              <w:left w:val="single" w:sz="4" w:space="0" w:color="000000"/>
              <w:bottom w:val="single" w:sz="4" w:space="0" w:color="000000"/>
              <w:right w:val="single" w:sz="4" w:space="0" w:color="000000"/>
            </w:tcBorders>
            <w:shd w:val="clear" w:color="auto" w:fill="D2D2D2"/>
          </w:tcPr>
          <w:p>
            <w:pPr/>
          </w:p>
        </w:tc>
        <w:tc>
          <w:tcPr>
            <w:tcW w:w="3503" w:type="dxa"/>
            <w:gridSpan w:val="3"/>
            <w:vMerge/>
            <w:tcBorders>
              <w:left w:val="single" w:sz="4" w:space="0" w:color="000000"/>
              <w:bottom w:val="single" w:sz="4" w:space="0" w:color="000000"/>
              <w:right w:val="single" w:sz="4" w:space="0" w:color="000000"/>
            </w:tcBorders>
            <w:shd w:val="clear" w:color="auto" w:fill="D2D2D2"/>
          </w:tcPr>
          <w:p>
            <w:pPr/>
          </w:p>
        </w:tc>
        <w:tc>
          <w:tcPr>
            <w:tcW w:w="1164" w:type="dxa"/>
            <w:vMerge/>
            <w:tcBorders>
              <w:left w:val="single" w:sz="4" w:space="0" w:color="000000"/>
              <w:right w:val="single" w:sz="4" w:space="0" w:color="000000"/>
            </w:tcBorders>
            <w:shd w:val="clear" w:color="auto" w:fill="D2D2D2"/>
          </w:tcPr>
          <w:p>
            <w:pPr/>
          </w:p>
        </w:tc>
      </w:tr>
      <w:tr>
        <w:trPr>
          <w:trHeight w:val="202" w:hRule="exact"/>
        </w:trPr>
        <w:tc>
          <w:tcPr>
            <w:tcW w:w="1392" w:type="dxa"/>
            <w:vMerge/>
            <w:tcBorders>
              <w:left w:val="single" w:sz="4" w:space="0" w:color="000000"/>
              <w:bottom w:val="nil" w:sz="6" w:space="0" w:color="auto"/>
              <w:right w:val="single" w:sz="4" w:space="0" w:color="000000"/>
            </w:tcBorders>
            <w:shd w:val="clear" w:color="auto" w:fill="D2D2D2"/>
          </w:tcPr>
          <w:p>
            <w:pPr/>
          </w:p>
        </w:tc>
        <w:tc>
          <w:tcPr>
            <w:tcW w:w="11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4" w:type="dxa"/>
            <w:vMerge/>
            <w:tcBorders>
              <w:left w:val="single" w:sz="4" w:space="0" w:color="000000"/>
              <w:right w:val="single" w:sz="4" w:space="0" w:color="000000"/>
            </w:tcBorders>
            <w:shd w:val="clear" w:color="auto" w:fill="D2D2D2"/>
          </w:tcPr>
          <w:p>
            <w:pPr/>
          </w:p>
        </w:tc>
      </w:tr>
      <w:tr>
        <w:trPr>
          <w:trHeight w:val="206" w:hRule="exact"/>
        </w:trPr>
        <w:tc>
          <w:tcPr>
            <w:tcW w:w="1392" w:type="dxa"/>
            <w:tcBorders>
              <w:top w:val="nil" w:sz="6" w:space="0" w:color="auto"/>
              <w:left w:val="single" w:sz="4" w:space="0" w:color="000000"/>
              <w:bottom w:val="single" w:sz="4" w:space="0" w:color="000000"/>
              <w:right w:val="single" w:sz="4" w:space="0" w:color="000000"/>
            </w:tcBorders>
            <w:shd w:val="clear" w:color="auto" w:fill="D2D2D2"/>
          </w:tcPr>
          <w:p>
            <w:pPr/>
          </w:p>
        </w:tc>
        <w:tc>
          <w:tcPr>
            <w:tcW w:w="1166" w:type="dxa"/>
            <w:vMerge/>
            <w:tcBorders>
              <w:left w:val="single" w:sz="4" w:space="0" w:color="000000"/>
              <w:bottom w:val="single" w:sz="4" w:space="0" w:color="000000"/>
              <w:right w:val="single" w:sz="4" w:space="0" w:color="000000"/>
            </w:tcBorders>
            <w:shd w:val="clear" w:color="auto" w:fill="D2D2D2"/>
          </w:tcPr>
          <w:p>
            <w:pPr/>
          </w:p>
        </w:tc>
        <w:tc>
          <w:tcPr>
            <w:tcW w:w="1167" w:type="dxa"/>
            <w:vMerge/>
            <w:tcBorders>
              <w:left w:val="single" w:sz="4" w:space="0" w:color="000000"/>
              <w:bottom w:val="single" w:sz="4" w:space="0" w:color="000000"/>
              <w:right w:val="single" w:sz="4" w:space="0" w:color="000000"/>
            </w:tcBorders>
            <w:shd w:val="clear" w:color="auto" w:fill="D2D2D2"/>
          </w:tcPr>
          <w:p>
            <w:pPr/>
          </w:p>
        </w:tc>
        <w:tc>
          <w:tcPr>
            <w:tcW w:w="1166" w:type="dxa"/>
            <w:vMerge/>
            <w:tcBorders>
              <w:left w:val="single" w:sz="4" w:space="0" w:color="000000"/>
              <w:bottom w:val="single" w:sz="4" w:space="0" w:color="000000"/>
              <w:right w:val="single" w:sz="4" w:space="0" w:color="000000"/>
            </w:tcBorders>
            <w:shd w:val="clear" w:color="auto" w:fill="D2D2D2"/>
          </w:tcPr>
          <w:p>
            <w:pPr/>
          </w:p>
        </w:tc>
        <w:tc>
          <w:tcPr>
            <w:tcW w:w="1169" w:type="dxa"/>
            <w:vMerge/>
            <w:tcBorders>
              <w:left w:val="single" w:sz="4" w:space="0" w:color="000000"/>
              <w:bottom w:val="single" w:sz="4" w:space="0" w:color="000000"/>
              <w:right w:val="single" w:sz="4" w:space="0" w:color="000000"/>
            </w:tcBorders>
            <w:shd w:val="clear" w:color="auto" w:fill="D2D2D2"/>
          </w:tcPr>
          <w:p>
            <w:pPr/>
          </w:p>
        </w:tc>
        <w:tc>
          <w:tcPr>
            <w:tcW w:w="1166" w:type="dxa"/>
            <w:vMerge/>
            <w:tcBorders>
              <w:left w:val="single" w:sz="4" w:space="0" w:color="000000"/>
              <w:bottom w:val="single" w:sz="4" w:space="0" w:color="000000"/>
              <w:right w:val="single" w:sz="4" w:space="0" w:color="000000"/>
            </w:tcBorders>
            <w:shd w:val="clear" w:color="auto" w:fill="D2D2D2"/>
          </w:tcPr>
          <w:p>
            <w:pPr/>
          </w:p>
        </w:tc>
        <w:tc>
          <w:tcPr>
            <w:tcW w:w="1167" w:type="dxa"/>
            <w:vMerge/>
            <w:tcBorders>
              <w:left w:val="single" w:sz="4" w:space="0" w:color="000000"/>
              <w:bottom w:val="single" w:sz="4" w:space="0" w:color="000000"/>
              <w:right w:val="single" w:sz="4" w:space="0" w:color="000000"/>
            </w:tcBorders>
            <w:shd w:val="clear" w:color="auto" w:fill="D2D2D2"/>
          </w:tcPr>
          <w:p>
            <w:pPr/>
          </w:p>
        </w:tc>
        <w:tc>
          <w:tcPr>
            <w:tcW w:w="1164" w:type="dxa"/>
            <w:vMerge/>
            <w:tcBorders>
              <w:left w:val="single" w:sz="4" w:space="0" w:color="000000"/>
              <w:bottom w:val="single" w:sz="4" w:space="0" w:color="000000"/>
              <w:right w:val="single" w:sz="4" w:space="0" w:color="000000"/>
            </w:tcBorders>
            <w:shd w:val="clear" w:color="auto" w:fill="D2D2D2"/>
          </w:tcPr>
          <w:p>
            <w:pPr/>
          </w:p>
        </w:tc>
      </w:tr>
      <w:tr>
        <w:trPr>
          <w:trHeight w:val="713" w:hRule="exact"/>
        </w:trPr>
        <w:tc>
          <w:tcPr>
            <w:tcW w:w="1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08"/>
              <w:jc w:val="left"/>
              <w:rPr>
                <w:rFonts w:ascii="宋体" w:hAnsi="宋体" w:cs="宋体" w:eastAsia="宋体" w:hint="default"/>
                <w:sz w:val="18"/>
                <w:szCs w:val="18"/>
              </w:rPr>
            </w:pPr>
            <w:r>
              <w:rPr>
                <w:rFonts w:ascii="宋体" w:hAnsi="宋体" w:cs="宋体" w:eastAsia="宋体" w:hint="default"/>
                <w:sz w:val="18"/>
                <w:szCs w:val="18"/>
              </w:rPr>
              <w:t>分期收款销售商 品</w:t>
            </w:r>
          </w:p>
        </w:tc>
        <w:tc>
          <w:tcPr>
            <w:tcW w:w="11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124,497,629.2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124,497,629.2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107,204,595.8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107,204,595.8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4.75%-6.00%</w:t>
            </w:r>
          </w:p>
        </w:tc>
      </w:tr>
      <w:tr>
        <w:trPr>
          <w:trHeight w:val="403" w:hRule="exact"/>
        </w:trPr>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一年内到期部分</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 w:right="0"/>
              <w:jc w:val="center"/>
              <w:rPr>
                <w:rFonts w:ascii="Times New Roman" w:hAnsi="Times New Roman" w:cs="Times New Roman" w:eastAsia="Times New Roman" w:hint="default"/>
                <w:sz w:val="18"/>
                <w:szCs w:val="18"/>
              </w:rPr>
            </w:pPr>
            <w:r>
              <w:rPr>
                <w:rFonts w:ascii="Times New Roman"/>
                <w:sz w:val="18"/>
              </w:rPr>
              <w:t>-39,953,581.43</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 w:right="0"/>
              <w:jc w:val="center"/>
              <w:rPr>
                <w:rFonts w:ascii="Times New Roman" w:hAnsi="Times New Roman" w:cs="Times New Roman" w:eastAsia="Times New Roman" w:hint="default"/>
                <w:sz w:val="18"/>
                <w:szCs w:val="18"/>
              </w:rPr>
            </w:pPr>
            <w:r>
              <w:rPr>
                <w:rFonts w:ascii="Times New Roman"/>
                <w:sz w:val="18"/>
              </w:rPr>
              <w:t>-39,953,581.43</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-46,315,598.92</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sz w:val="18"/>
              </w:rPr>
              <w:t>-46,315,598.92</w:t>
            </w:r>
          </w:p>
        </w:tc>
        <w:tc>
          <w:tcPr>
            <w:tcW w:w="116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center"/>
              <w:rPr>
                <w:rFonts w:ascii="Times New Roman" w:hAnsi="Times New Roman" w:cs="Times New Roman" w:eastAsia="Times New Roman" w:hint="default"/>
                <w:sz w:val="18"/>
                <w:szCs w:val="18"/>
              </w:rPr>
            </w:pPr>
            <w:r>
              <w:rPr>
                <w:rFonts w:ascii="Times New Roman"/>
                <w:sz w:val="18"/>
              </w:rPr>
              <w:t>84,544,047.85</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center"/>
              <w:rPr>
                <w:rFonts w:ascii="Times New Roman" w:hAnsi="Times New Roman" w:cs="Times New Roman" w:eastAsia="Times New Roman" w:hint="default"/>
                <w:sz w:val="18"/>
                <w:szCs w:val="18"/>
              </w:rPr>
            </w:pPr>
            <w:r>
              <w:rPr>
                <w:rFonts w:ascii="Times New Roman"/>
                <w:sz w:val="18"/>
              </w:rPr>
              <w:t>84,544,047.85</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60,888,996.95</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center"/>
              <w:rPr>
                <w:rFonts w:ascii="Times New Roman" w:hAnsi="Times New Roman" w:cs="Times New Roman" w:eastAsia="Times New Roman" w:hint="default"/>
                <w:sz w:val="18"/>
                <w:szCs w:val="18"/>
              </w:rPr>
            </w:pPr>
            <w:r>
              <w:rPr>
                <w:rFonts w:ascii="Times New Roman"/>
                <w:sz w:val="18"/>
              </w:rPr>
              <w:t>60,888,996.95</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9"/>
        <w:gridCol w:w="797"/>
        <w:gridCol w:w="800"/>
        <w:gridCol w:w="797"/>
        <w:gridCol w:w="799"/>
        <w:gridCol w:w="797"/>
        <w:gridCol w:w="799"/>
        <w:gridCol w:w="797"/>
      </w:tblGrid>
      <w:tr>
        <w:trPr>
          <w:trHeight w:val="401" w:hRule="exact"/>
        </w:trPr>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4" w:lineRule="auto"/>
              <w:ind w:left="302" w:right="32"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4" w:lineRule="auto"/>
              <w:ind w:left="33" w:right="31"/>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7" w:hRule="exact"/>
        </w:trPr>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2"/>
              <w:jc w:val="right"/>
              <w:rPr>
                <w:rFonts w:ascii="宋体" w:hAnsi="宋体" w:cs="宋体" w:eastAsia="宋体" w:hint="default"/>
                <w:sz w:val="18"/>
                <w:szCs w:val="18"/>
              </w:rPr>
            </w:pPr>
            <w:r>
              <w:rPr>
                <w:rFonts w:ascii="宋体" w:hAnsi="宋体" w:cs="宋体" w:eastAsia="宋体" w:hint="default"/>
                <w:sz w:val="18"/>
                <w:szCs w:val="18"/>
              </w:rPr>
              <w:t>减少投资</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5"/>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34"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1"/>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35"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9"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3"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北京通通 易联科技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9,692,135</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.59</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-1,783,39</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1.80</w:t>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7,908,743</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.79</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山东信通 智能泊车 管理技术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1,838,297</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.38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1,838,297</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.38</w:t>
            </w: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11,530,43</w:t>
            </w:r>
          </w:p>
          <w:p>
            <w:pPr>
              <w:pStyle w:val="TableParagraph"/>
              <w:spacing w:line="240" w:lineRule="auto" w:before="103"/>
              <w:ind w:left="451" w:right="0"/>
              <w:jc w:val="left"/>
              <w:rPr>
                <w:rFonts w:ascii="Times New Roman" w:hAnsi="Times New Roman" w:cs="Times New Roman" w:eastAsia="Times New Roman" w:hint="default"/>
                <w:sz w:val="18"/>
                <w:szCs w:val="18"/>
              </w:rPr>
            </w:pPr>
            <w:r>
              <w:rPr>
                <w:rFonts w:ascii="Times New Roman"/>
                <w:sz w:val="18"/>
              </w:rPr>
              <w:t>2.97</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1,838,297</w:t>
            </w:r>
          </w:p>
          <w:p>
            <w:pPr>
              <w:pStyle w:val="TableParagraph"/>
              <w:spacing w:line="240" w:lineRule="auto" w:before="103"/>
              <w:ind w:right="18"/>
              <w:jc w:val="right"/>
              <w:rPr>
                <w:rFonts w:ascii="Times New Roman" w:hAnsi="Times New Roman" w:cs="Times New Roman" w:eastAsia="Times New Roman" w:hint="default"/>
                <w:sz w:val="18"/>
                <w:szCs w:val="18"/>
              </w:rPr>
            </w:pPr>
            <w:r>
              <w:rPr>
                <w:rFonts w:ascii="Times New Roman"/>
                <w:sz w:val="18"/>
              </w:rPr>
              <w:t>.38</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-1,783,39</w:t>
            </w:r>
          </w:p>
          <w:p>
            <w:pPr>
              <w:pStyle w:val="TableParagraph"/>
              <w:spacing w:line="240" w:lineRule="auto" w:before="103"/>
              <w:ind w:left="451" w:right="0"/>
              <w:jc w:val="left"/>
              <w:rPr>
                <w:rFonts w:ascii="Times New Roman" w:hAnsi="Times New Roman" w:cs="Times New Roman" w:eastAsia="Times New Roman" w:hint="default"/>
                <w:sz w:val="18"/>
                <w:szCs w:val="18"/>
              </w:rPr>
            </w:pPr>
            <w:r>
              <w:rPr>
                <w:rFonts w:ascii="Times New Roman"/>
                <w:sz w:val="18"/>
              </w:rPr>
              <w:t>1.80</w:t>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7,908,743</w:t>
            </w:r>
          </w:p>
          <w:p>
            <w:pPr>
              <w:pStyle w:val="TableParagraph"/>
              <w:spacing w:line="240" w:lineRule="auto" w:before="103"/>
              <w:ind w:right="21"/>
              <w:jc w:val="right"/>
              <w:rPr>
                <w:rFonts w:ascii="Times New Roman" w:hAnsi="Times New Roman" w:cs="Times New Roman" w:eastAsia="Times New Roman" w:hint="default"/>
                <w:sz w:val="18"/>
                <w:szCs w:val="18"/>
              </w:rPr>
            </w:pPr>
            <w:r>
              <w:rPr>
                <w:rFonts w:ascii="Times New Roman"/>
                <w:sz w:val="18"/>
              </w:rPr>
              <w:t>.79</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52" w:right="0"/>
              <w:jc w:val="left"/>
              <w:rPr>
                <w:rFonts w:ascii="Times New Roman" w:hAnsi="Times New Roman" w:cs="Times New Roman" w:eastAsia="Times New Roman" w:hint="default"/>
                <w:sz w:val="18"/>
                <w:szCs w:val="18"/>
              </w:rPr>
            </w:pPr>
            <w:r>
              <w:rPr>
                <w:rFonts w:ascii="Times New Roman"/>
                <w:sz w:val="18"/>
              </w:rPr>
              <w:t>11,530,43</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9"/>
              <w:jc w:val="right"/>
              <w:rPr>
                <w:rFonts w:ascii="Times New Roman" w:hAnsi="Times New Roman" w:cs="Times New Roman" w:eastAsia="Times New Roman" w:hint="default"/>
                <w:sz w:val="18"/>
                <w:szCs w:val="18"/>
              </w:rPr>
            </w:pPr>
            <w:r>
              <w:rPr>
                <w:rFonts w:ascii="Times New Roman"/>
                <w:spacing w:val="-1"/>
                <w:sz w:val="18"/>
              </w:rPr>
              <w:t>1,838,297</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76" w:right="0"/>
              <w:jc w:val="left"/>
              <w:rPr>
                <w:rFonts w:ascii="Times New Roman" w:hAnsi="Times New Roman" w:cs="Times New Roman" w:eastAsia="Times New Roman" w:hint="default"/>
                <w:sz w:val="18"/>
                <w:szCs w:val="18"/>
              </w:rPr>
            </w:pPr>
            <w:r>
              <w:rPr>
                <w:rFonts w:ascii="Times New Roman"/>
                <w:sz w:val="18"/>
              </w:rPr>
              <w:t>-1,783,39</w:t>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45" w:right="0"/>
              <w:jc w:val="left"/>
              <w:rPr>
                <w:rFonts w:ascii="Times New Roman" w:hAnsi="Times New Roman" w:cs="Times New Roman" w:eastAsia="Times New Roman" w:hint="default"/>
                <w:sz w:val="18"/>
                <w:szCs w:val="18"/>
              </w:rPr>
            </w:pPr>
            <w:r>
              <w:rPr>
                <w:rFonts w:ascii="Times New Roman"/>
                <w:sz w:val="18"/>
              </w:rPr>
              <w:t>7,908,743</w:t>
            </w:r>
          </w:p>
        </w:tc>
        <w:tc>
          <w:tcPr>
            <w:tcW w:w="79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796"/>
        <w:gridCol w:w="797"/>
        <w:gridCol w:w="797"/>
        <w:gridCol w:w="797"/>
        <w:gridCol w:w="799"/>
        <w:gridCol w:w="797"/>
        <w:gridCol w:w="800"/>
        <w:gridCol w:w="797"/>
        <w:gridCol w:w="799"/>
        <w:gridCol w:w="797"/>
        <w:gridCol w:w="799"/>
        <w:gridCol w:w="797"/>
      </w:tblGrid>
      <w:tr>
        <w:trPr>
          <w:trHeight w:val="363"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1" w:right="0"/>
              <w:jc w:val="left"/>
              <w:rPr>
                <w:rFonts w:ascii="Times New Roman" w:hAnsi="Times New Roman" w:cs="Times New Roman" w:eastAsia="Times New Roman" w:hint="default"/>
                <w:sz w:val="18"/>
                <w:szCs w:val="18"/>
              </w:rPr>
            </w:pPr>
            <w:r>
              <w:rPr>
                <w:rFonts w:ascii="Times New Roman"/>
                <w:sz w:val="18"/>
              </w:rPr>
              <w:t>2.97</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.38</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1" w:right="0"/>
              <w:jc w:val="left"/>
              <w:rPr>
                <w:rFonts w:ascii="Times New Roman" w:hAnsi="Times New Roman" w:cs="Times New Roman" w:eastAsia="Times New Roman" w:hint="default"/>
                <w:sz w:val="18"/>
                <w:szCs w:val="18"/>
              </w:rPr>
            </w:pPr>
            <w:r>
              <w:rPr>
                <w:rFonts w:ascii="Times New Roman"/>
                <w:sz w:val="18"/>
              </w:rPr>
              <w:t>1.80</w:t>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.79</w:t>
            </w:r>
          </w:p>
        </w:tc>
        <w:tc>
          <w:tcPr>
            <w:tcW w:w="797" w:type="dxa"/>
            <w:tcBorders>
              <w:top w:val="single" w:sz="4" w:space="0" w:color="000000"/>
              <w:left w:val="single" w:sz="4" w:space="0" w:color="000000"/>
              <w:bottom w:val="single" w:sz="4" w:space="0" w:color="000000"/>
              <w:right w:val="single" w:sz="4" w:space="0" w:color="000000"/>
            </w:tcBorders>
          </w:tcPr>
          <w:p>
            <w:pP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before="94"/>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2018</w:t>
      </w:r>
      <w:r>
        <w:rPr>
          <w:rFonts w:ascii="宋体" w:hAnsi="宋体" w:cs="宋体" w:eastAsia="宋体" w:hint="default"/>
          <w:sz w:val="21"/>
          <w:szCs w:val="21"/>
        </w:rPr>
        <w:t>年转让对山东信通智能泊车管理技术有限公司的投资，减少金额</w:t>
      </w:r>
      <w:r>
        <w:rPr>
          <w:rFonts w:ascii="Times New Roman" w:hAnsi="Times New Roman" w:cs="Times New Roman" w:eastAsia="Times New Roman" w:hint="default"/>
          <w:sz w:val="21"/>
          <w:szCs w:val="21"/>
        </w:rPr>
        <w:t>1,838,297.38</w:t>
      </w:r>
      <w:r>
        <w:rPr>
          <w:rFonts w:ascii="宋体" w:hAnsi="宋体" w:cs="宋体" w:eastAsia="宋体" w:hint="default"/>
          <w:sz w:val="21"/>
          <w:szCs w:val="21"/>
        </w:rPr>
        <w:t>元，期末余额为</w:t>
      </w:r>
      <w:r>
        <w:rPr>
          <w:rFonts w:ascii="Times New Roman" w:hAnsi="Times New Roman" w:cs="Times New Roman" w:eastAsia="Times New Roman" w:hint="default"/>
          <w:sz w:val="21"/>
          <w:szCs w:val="21"/>
        </w:rPr>
        <w:t>0.00</w:t>
      </w:r>
      <w:r>
        <w:rPr>
          <w:rFonts w:ascii="宋体" w:hAnsi="宋体" w:cs="宋体" w:eastAsia="宋体" w:hint="default"/>
          <w:sz w:val="21"/>
          <w:szCs w:val="21"/>
        </w:rPr>
        <w:t>元。</w:t>
      </w:r>
    </w:p>
    <w:p>
      <w:pPr>
        <w:spacing w:line="240" w:lineRule="auto" w:before="7"/>
        <w:rPr>
          <w:rFonts w:ascii="宋体" w:hAnsi="宋体" w:cs="宋体" w:eastAsia="宋体" w:hint="default"/>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11</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）采用成本计量模式的投资性房地产</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1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1"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16" w:type="dxa"/>
            <w:tcBorders>
              <w:top w:val="single" w:sz="4" w:space="0" w:color="000000"/>
              <w:left w:val="single" w:sz="13" w:space="0" w:color="D2D2D2"/>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88,036,867.12</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88,036,867.12</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3,423,242.70</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3,423,242.70</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916" w:type="dxa"/>
            <w:tcBorders>
              <w:top w:val="single" w:sz="4" w:space="0" w:color="000000"/>
              <w:left w:val="single" w:sz="13" w:space="0" w:color="D2D2D2"/>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1" w:right="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）存货</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固定资产</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3,423,242.70</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3,423,242.70</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6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1916" w:type="dxa"/>
            <w:tcBorders>
              <w:top w:val="single" w:sz="4" w:space="0" w:color="000000"/>
              <w:left w:val="single" w:sz="13" w:space="0" w:color="D2D2D2"/>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91,460,109.82</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91,460,109.82</w:t>
            </w:r>
          </w:p>
        </w:tc>
      </w:tr>
      <w:tr>
        <w:trPr>
          <w:trHeight w:val="715"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二、累计折旧和累计摊 销</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15,441,239.34</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15,441,239.34</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4,213,077.90</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4,213,077.90</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）计提或摊销</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固定资产转入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979,669.51</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979,669.51</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19,654,317.24</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19,654,317.24</w:t>
            </w:r>
          </w:p>
        </w:tc>
      </w:tr>
      <w:tr>
        <w:trPr>
          <w:trHeight w:val="404"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71,805,792.58</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71,805,792.58</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72,595,627.78</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72,595,627.78</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）采用公允价值计量模式的投资性房地产</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25"/>
          <w:szCs w:val="25"/>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）未办妥产权证书的投资性房地产情况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7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未办妥产权证书原因</w:t>
            </w:r>
          </w:p>
        </w:tc>
      </w:tr>
    </w:tbl>
    <w:p>
      <w:pPr>
        <w:spacing w:before="50"/>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12</w:t>
      </w:r>
      <w:r>
        <w:rPr>
          <w:rFonts w:ascii="宋体" w:hAnsi="宋体" w:cs="宋体" w:eastAsia="宋体" w:hint="default"/>
          <w:b/>
          <w:bCs/>
          <w:sz w:val="21"/>
          <w:szCs w:val="21"/>
        </w:rPr>
        <w:t>、固定资产</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73"/>
        <w:gridCol w:w="3198"/>
        <w:gridCol w:w="3188"/>
      </w:tblGrid>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19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58,513,363.22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61,041,560.30</w:t>
            </w:r>
          </w:p>
        </w:tc>
      </w:tr>
      <w:tr>
        <w:trPr>
          <w:trHeight w:val="403" w:hRule="exact"/>
        </w:trPr>
        <w:tc>
          <w:tcPr>
            <w:tcW w:w="31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8"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58,513,363.22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61,041,560.30</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）固定资产情况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6"/>
        <w:gridCol w:w="1368"/>
        <w:gridCol w:w="1366"/>
        <w:gridCol w:w="1368"/>
        <w:gridCol w:w="1369"/>
        <w:gridCol w:w="1366"/>
      </w:tblGrid>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139"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366"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369"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6" w:type="dxa"/>
            <w:tcBorders>
              <w:top w:val="single" w:sz="4" w:space="0" w:color="000000"/>
              <w:left w:val="single" w:sz="13" w:space="0" w:color="E0FFFF"/>
              <w:bottom w:val="single" w:sz="4" w:space="0" w:color="000000"/>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1"/>
              <w:jc w:val="center"/>
              <w:rPr>
                <w:rFonts w:ascii="宋体" w:hAnsi="宋体" w:cs="宋体" w:eastAsia="宋体" w:hint="default"/>
                <w:sz w:val="18"/>
                <w:szCs w:val="18"/>
              </w:rPr>
            </w:pPr>
            <w:r>
              <w:rPr>
                <w:rFonts w:ascii="宋体" w:hAnsi="宋体" w:cs="宋体" w:eastAsia="宋体" w:hint="default"/>
                <w:sz w:val="18"/>
                <w:szCs w:val="18"/>
              </w:rPr>
              <w:t>一、账面原值：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92"/>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00" w:right="0"/>
              <w:jc w:val="left"/>
              <w:rPr>
                <w:rFonts w:ascii="Times New Roman" w:hAnsi="Times New Roman" w:cs="Times New Roman" w:eastAsia="Times New Roman" w:hint="default"/>
                <w:sz w:val="18"/>
                <w:szCs w:val="18"/>
              </w:rPr>
            </w:pPr>
            <w:r>
              <w:rPr>
                <w:rFonts w:ascii="Times New Roman"/>
                <w:sz w:val="18"/>
              </w:rPr>
              <w:t>53,789,887.34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19,491,573.25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20,464,795.10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17,707,964.89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8" w:right="0"/>
              <w:jc w:val="left"/>
              <w:rPr>
                <w:rFonts w:ascii="Times New Roman" w:hAnsi="Times New Roman" w:cs="Times New Roman" w:eastAsia="Times New Roman" w:hint="default"/>
                <w:sz w:val="18"/>
                <w:szCs w:val="18"/>
              </w:rPr>
            </w:pPr>
            <w:r>
              <w:rPr>
                <w:rFonts w:ascii="Times New Roman"/>
                <w:sz w:val="18"/>
              </w:rPr>
              <w:t>5,769,228.99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117,223,449.57</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1,871,699.58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5,093,700.51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2,441,203.53</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9,406,603.62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8"/>
        <w:gridCol w:w="1366"/>
        <w:gridCol w:w="1368"/>
        <w:gridCol w:w="1369"/>
        <w:gridCol w:w="1366"/>
      </w:tblGrid>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61"/>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1,871,699.58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5,093,700.51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2,441,203.53</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9,406,603.62</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9" w:firstLine="341"/>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）在建工</w:t>
            </w:r>
            <w:r>
              <w:rPr>
                <w:rFonts w:ascii="宋体" w:hAnsi="宋体" w:cs="宋体" w:eastAsia="宋体" w:hint="default"/>
                <w:sz w:val="18"/>
                <w:szCs w:val="18"/>
              </w:rPr>
              <w:t> 程转入</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9" w:firstLine="341"/>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）企业合</w:t>
            </w:r>
            <w:r>
              <w:rPr>
                <w:rFonts w:ascii="宋体" w:hAnsi="宋体" w:cs="宋体" w:eastAsia="宋体" w:hint="default"/>
                <w:sz w:val="18"/>
                <w:szCs w:val="18"/>
              </w:rPr>
              <w:t> 并增加</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3,423,242.70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547,253.58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1,316,621.52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176,725.16</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5,463,842.96</w:t>
            </w:r>
          </w:p>
        </w:tc>
      </w:tr>
      <w:tr>
        <w:trPr>
          <w:trHeight w:val="71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9" w:firstLine="341"/>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547,253.58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1,316,621.52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176,725.16</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2,040,600.26</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转入投资</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3,423,242.70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3,423,242.70</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50,366,644.64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20,816,019.25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24,241,874.09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19,972,443.26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5,769,228.99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121,166,210.23</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9,681,415.51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14,679,047.20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12,225,618.32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14,310,012.47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5,285,795.77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56,181,889.27</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1,567,905.99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1,982,396.10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3,699,755.49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1,803,662.48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173,177.35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9,226,897.41</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61"/>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1,567,905.99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1,982,396.10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3,699,755.49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1,803,662.48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173,177.35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9,226,897.41</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979,669.51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519,949.75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878,078.80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378,241.61</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2,755,939.67</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9" w:firstLine="341"/>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519,949.75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878,078.80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378,241.61</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1,776,270.16</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转入投资</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979,669.51</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979,669.51</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10,269,651.99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16,141,493.55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15,047,295.01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15,735,433.34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5,458,973.12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62,652,847.01</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61"/>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9" w:firstLine="341"/>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367"/>
        <w:gridCol w:w="1366"/>
        <w:gridCol w:w="1368"/>
        <w:gridCol w:w="1366"/>
        <w:gridCol w:w="1368"/>
        <w:gridCol w:w="1369"/>
        <w:gridCol w:w="1366"/>
      </w:tblGrid>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w:t>
            </w:r>
          </w:p>
          <w:p>
            <w:pPr>
              <w:pStyle w:val="TableParagraph"/>
              <w:spacing w:line="240" w:lineRule="auto" w:before="60"/>
              <w:ind w:left="22" w:right="0"/>
              <w:jc w:val="left"/>
              <w:rPr>
                <w:rFonts w:ascii="宋体" w:hAnsi="宋体" w:cs="宋体" w:eastAsia="宋体" w:hint="default"/>
                <w:sz w:val="18"/>
                <w:szCs w:val="18"/>
              </w:rPr>
            </w:pPr>
            <w:r>
              <w:rPr>
                <w:rFonts w:ascii="宋体" w:hAnsi="宋体" w:cs="宋体" w:eastAsia="宋体" w:hint="default"/>
                <w:sz w:val="18"/>
                <w:szCs w:val="18"/>
              </w:rPr>
              <w:t>值</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40,096,992.65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4,674,525.70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9,194,579.08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4,237,009.92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310,255.87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58,513,363.22</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值</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44,108,471.83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4,812,526.05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8,239,176.78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3,397,952.42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483,433.22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61,041,560.30</w:t>
            </w:r>
          </w:p>
        </w:tc>
      </w:tr>
    </w:tbl>
    <w:p>
      <w:pPr>
        <w:spacing w:line="240" w:lineRule="auto" w:before="10"/>
        <w:rPr>
          <w:rFonts w:ascii="Times New Roman" w:hAnsi="Times New Roman" w:cs="Times New Roman" w:eastAsia="Times New Roman" w:hint="default"/>
          <w:sz w:val="21"/>
          <w:szCs w:val="21"/>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13</w:t>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）无形资产情况</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line="338" w:lineRule="auto" w:before="0"/>
        <w:ind w:left="152" w:right="1756"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上市公司从事互联网游戏业务》的披露要求 否</w:t>
      </w:r>
    </w:p>
    <w:p>
      <w:pPr>
        <w:spacing w:before="4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6"/>
        <w:gridCol w:w="1368"/>
        <w:gridCol w:w="1366"/>
        <w:gridCol w:w="1368"/>
        <w:gridCol w:w="1369"/>
        <w:gridCol w:w="1366"/>
      </w:tblGrid>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7"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07"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8"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368" w:type="dxa"/>
            <w:tcBorders>
              <w:top w:val="single" w:sz="4" w:space="0" w:color="000000"/>
              <w:left w:val="single" w:sz="10" w:space="0" w:color="D2D2D2"/>
              <w:bottom w:val="single" w:sz="4" w:space="0" w:color="000000"/>
              <w:right w:val="single" w:sz="4" w:space="0" w:color="000000"/>
            </w:tcBorders>
            <w:shd w:val="clear" w:color="auto" w:fill="E0FFFF"/>
          </w:tcPr>
          <w:p>
            <w:pPr>
              <w:pStyle w:val="TableParagraph"/>
              <w:spacing w:line="240" w:lineRule="auto" w:before="49"/>
              <w:ind w:left="400" w:right="0"/>
              <w:jc w:val="left"/>
              <w:rPr>
                <w:rFonts w:ascii="宋体" w:hAnsi="宋体" w:cs="宋体" w:eastAsia="宋体" w:hint="default"/>
                <w:sz w:val="18"/>
                <w:szCs w:val="18"/>
              </w:rPr>
            </w:pPr>
            <w:r>
              <w:rPr>
                <w:rFonts w:ascii="宋体" w:hAnsi="宋体" w:cs="宋体" w:eastAsia="宋体" w:hint="default"/>
                <w:sz w:val="18"/>
                <w:szCs w:val="18"/>
              </w:rPr>
              <w:t>著作权</w:t>
            </w:r>
          </w:p>
        </w:tc>
        <w:tc>
          <w:tcPr>
            <w:tcW w:w="1369"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软件</w:t>
            </w:r>
          </w:p>
        </w:tc>
        <w:tc>
          <w:tcPr>
            <w:tcW w:w="1366" w:type="dxa"/>
            <w:tcBorders>
              <w:top w:val="single" w:sz="4" w:space="0" w:color="000000"/>
              <w:left w:val="single" w:sz="13" w:space="0" w:color="E0FFFF"/>
              <w:bottom w:val="single" w:sz="4" w:space="0" w:color="000000"/>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66"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15"/>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9,971,717.33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15,323,814.82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237,140,608.93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5,873,077.71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268,309,218.79</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32,771,339.75</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32,771,339.75</w:t>
            </w: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9"/>
              <w:jc w:val="righ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）购置</w:t>
            </w:r>
          </w:p>
        </w:tc>
        <w:tc>
          <w:tcPr>
            <w:tcW w:w="1366"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44" w:right="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）内部</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研发</w:t>
            </w:r>
          </w:p>
        </w:tc>
        <w:tc>
          <w:tcPr>
            <w:tcW w:w="1366"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32,771,339.75</w:t>
            </w: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32,771,339.75</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19" w:firstLine="521"/>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w:t>
            </w:r>
            <w:r>
              <w:rPr>
                <w:rFonts w:ascii="宋体" w:hAnsi="宋体" w:cs="宋体" w:eastAsia="宋体" w:hint="default"/>
                <w:sz w:val="18"/>
                <w:szCs w:val="18"/>
              </w:rPr>
              <w:t> 合并增加</w:t>
            </w:r>
          </w:p>
        </w:tc>
        <w:tc>
          <w:tcPr>
            <w:tcW w:w="1366"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9"/>
              <w:jc w:val="righ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15"/>
              <w:jc w:val="righ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9,971,717.33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15,323,814.82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269,911,948.68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5,873,077.71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301,080,558.54</w:t>
            </w: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15"/>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1,167,758.43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9,189,397.10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134,252,323.90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472,496.93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145,081,976.36</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210,453.20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1,576,375.30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33,272,965.90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1,064,299.58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36,124,093.98</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9"/>
              <w:jc w:val="righ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210,453.20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1,576,375.30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33,272,965.90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1,064,299.58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36,124,093.98</w:t>
            </w: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9"/>
              <w:jc w:val="righ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8"/>
        <w:gridCol w:w="1366"/>
        <w:gridCol w:w="1368"/>
        <w:gridCol w:w="1369"/>
        <w:gridCol w:w="1366"/>
      </w:tblGrid>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1,378,211.63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10,765,772.40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167,525,289.80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1,536,796.51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181,206,070.34</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45" w:right="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w:t>
            </w:r>
          </w:p>
          <w:p>
            <w:pPr>
              <w:pStyle w:val="TableParagraph"/>
              <w:spacing w:line="240" w:lineRule="auto" w:before="61"/>
              <w:ind w:left="2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价值</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8,593,505.70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4,558,042.42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102,386,658.88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4,336,281.20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119,874,488.20</w:t>
            </w:r>
          </w:p>
        </w:tc>
      </w:tr>
      <w:tr>
        <w:trPr>
          <w:trHeight w:val="71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w:t>
            </w:r>
          </w:p>
          <w:p>
            <w:pPr>
              <w:pStyle w:val="TableParagraph"/>
              <w:spacing w:line="240" w:lineRule="auto" w:before="61"/>
              <w:ind w:left="24" w:right="0"/>
              <w:jc w:val="left"/>
              <w:rPr>
                <w:rFonts w:ascii="宋体" w:hAnsi="宋体" w:cs="宋体" w:eastAsia="宋体" w:hint="default"/>
                <w:sz w:val="18"/>
                <w:szCs w:val="18"/>
              </w:rPr>
            </w:pPr>
            <w:r>
              <w:rPr>
                <w:rFonts w:ascii="宋体" w:hAnsi="宋体" w:cs="宋体" w:eastAsia="宋体" w:hint="default"/>
                <w:sz w:val="18"/>
                <w:szCs w:val="18"/>
              </w:rPr>
              <w:t>价值</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8,803,958.90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6,134,417.72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102,888,285.03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5,400,580.78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123,227,242.43</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本报告期末通过公司内部研发形成的无形资产占无形资产余额的比例</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83.27%</w:t>
      </w:r>
      <w:r>
        <w:rPr>
          <w:rFonts w:ascii="宋体" w:hAnsi="宋体" w:cs="宋体" w:eastAsia="宋体" w:hint="default"/>
          <w:sz w:val="18"/>
          <w:szCs w:val="18"/>
        </w:rPr>
        <w:t>。</w:t>
      </w:r>
    </w:p>
    <w:p>
      <w:pPr>
        <w:spacing w:line="240" w:lineRule="auto" w:before="13"/>
        <w:rPr>
          <w:rFonts w:ascii="宋体" w:hAnsi="宋体" w:cs="宋体" w:eastAsia="宋体" w:hint="default"/>
          <w:sz w:val="25"/>
          <w:szCs w:val="25"/>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14</w:t>
      </w:r>
      <w:r>
        <w:rPr>
          <w:rFonts w:ascii="宋体" w:hAnsi="宋体" w:cs="宋体" w:eastAsia="宋体" w:hint="default"/>
          <w:b/>
          <w:bCs/>
          <w:sz w:val="21"/>
          <w:szCs w:val="21"/>
        </w:rPr>
        <w:t>、开发支出</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2"/>
        <w:gridCol w:w="1063"/>
        <w:gridCol w:w="1064"/>
        <w:gridCol w:w="1063"/>
        <w:gridCol w:w="1064"/>
        <w:gridCol w:w="1063"/>
        <w:gridCol w:w="1061"/>
        <w:gridCol w:w="1064"/>
        <w:gridCol w:w="1063"/>
      </w:tblGrid>
      <w:tr>
        <w:trPr>
          <w:trHeight w:val="403" w:hRule="exact"/>
        </w:trPr>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319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49"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18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48"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3"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4" w:lineRule="auto" w:before="49"/>
              <w:ind w:left="22" w:right="129"/>
              <w:jc w:val="left"/>
              <w:rPr>
                <w:rFonts w:ascii="Times New Roman" w:hAnsi="Times New Roman" w:cs="Times New Roman" w:eastAsia="Times New Roman" w:hint="default"/>
                <w:sz w:val="18"/>
                <w:szCs w:val="18"/>
              </w:rPr>
            </w:pPr>
            <w:r>
              <w:rPr>
                <w:rFonts w:ascii="宋体" w:hAnsi="宋体" w:cs="宋体" w:eastAsia="宋体" w:hint="default"/>
                <w:sz w:val="18"/>
                <w:szCs w:val="18"/>
              </w:rPr>
              <w:t>不动产登记 系统</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5,173,619.60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5,173,619.60</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9" w:lineRule="auto" w:before="49"/>
              <w:ind w:left="22" w:right="129"/>
              <w:jc w:val="left"/>
              <w:rPr>
                <w:rFonts w:ascii="Times New Roman" w:hAnsi="Times New Roman" w:cs="Times New Roman" w:eastAsia="Times New Roman" w:hint="default"/>
                <w:sz w:val="18"/>
                <w:szCs w:val="18"/>
              </w:rPr>
            </w:pPr>
            <w:r>
              <w:rPr>
                <w:rFonts w:ascii="宋体" w:hAnsi="宋体" w:cs="宋体" w:eastAsia="宋体" w:hint="default"/>
                <w:sz w:val="18"/>
                <w:szCs w:val="18"/>
              </w:rPr>
              <w:t>数字执法系 统</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5,969,463.84</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5,969,463.84</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38" w:lineRule="auto" w:before="49"/>
              <w:ind w:left="22" w:right="129"/>
              <w:jc w:val="both"/>
              <w:rPr>
                <w:rFonts w:ascii="Times New Roman" w:hAnsi="Times New Roman" w:cs="Times New Roman" w:eastAsia="Times New Roman" w:hint="default"/>
                <w:sz w:val="18"/>
                <w:szCs w:val="18"/>
              </w:rPr>
            </w:pPr>
            <w:r>
              <w:rPr>
                <w:rFonts w:ascii="宋体" w:hAnsi="宋体" w:cs="宋体" w:eastAsia="宋体" w:hint="default"/>
                <w:sz w:val="18"/>
                <w:szCs w:val="18"/>
              </w:rPr>
              <w:t>智慧环保管 理信息系统 </w:t>
            </w:r>
            <w:r>
              <w:rPr>
                <w:rFonts w:ascii="Times New Roman" w:hAnsi="Times New Roman" w:cs="Times New Roman" w:eastAsia="Times New Roman" w:hint="default"/>
                <w:sz w:val="18"/>
                <w:szCs w:val="18"/>
              </w:rPr>
              <w:t>2017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4,575,520.35</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4,575,520.35</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38" w:lineRule="auto" w:before="49"/>
              <w:ind w:left="22" w:right="129"/>
              <w:jc w:val="both"/>
              <w:rPr>
                <w:rFonts w:ascii="Times New Roman" w:hAnsi="Times New Roman" w:cs="Times New Roman" w:eastAsia="Times New Roman" w:hint="default"/>
                <w:sz w:val="18"/>
                <w:szCs w:val="18"/>
              </w:rPr>
            </w:pPr>
            <w:r>
              <w:rPr>
                <w:rFonts w:ascii="宋体" w:hAnsi="宋体" w:cs="宋体" w:eastAsia="宋体" w:hint="default"/>
                <w:sz w:val="18"/>
                <w:szCs w:val="18"/>
              </w:rPr>
              <w:t>智慧环卫管 理信息系统 </w:t>
            </w:r>
            <w:r>
              <w:rPr>
                <w:rFonts w:ascii="Times New Roman" w:hAnsi="Times New Roman" w:cs="Times New Roman" w:eastAsia="Times New Roman" w:hint="default"/>
                <w:sz w:val="18"/>
                <w:szCs w:val="18"/>
              </w:rPr>
              <w:t>1.0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5,284,683.29</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5,284,683.29</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38" w:lineRule="auto" w:before="49"/>
              <w:ind w:left="22" w:right="129"/>
              <w:jc w:val="both"/>
              <w:rPr>
                <w:rFonts w:ascii="Times New Roman" w:hAnsi="Times New Roman" w:cs="Times New Roman" w:eastAsia="Times New Roman" w:hint="default"/>
                <w:sz w:val="18"/>
                <w:szCs w:val="18"/>
              </w:rPr>
            </w:pPr>
            <w:r>
              <w:rPr>
                <w:rFonts w:ascii="宋体" w:hAnsi="宋体" w:cs="宋体" w:eastAsia="宋体" w:hint="default"/>
                <w:sz w:val="18"/>
                <w:szCs w:val="18"/>
              </w:rPr>
              <w:t>智慧市政综 合监管平台 </w:t>
            </w:r>
            <w:r>
              <w:rPr>
                <w:rFonts w:ascii="Times New Roman" w:hAnsi="Times New Roman" w:cs="Times New Roman" w:eastAsia="Times New Roman" w:hint="default"/>
                <w:sz w:val="18"/>
                <w:szCs w:val="18"/>
              </w:rPr>
              <w:t>1.0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5,209,775.00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5,209,775.00</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68"/>
              <w:ind w:right="105"/>
              <w:jc w:val="center"/>
              <w:rPr>
                <w:rFonts w:ascii="宋体" w:hAnsi="宋体" w:cs="宋体" w:eastAsia="宋体" w:hint="default"/>
                <w:sz w:val="18"/>
                <w:szCs w:val="18"/>
              </w:rPr>
            </w:pPr>
            <w:r>
              <w:rPr>
                <w:rFonts w:ascii="宋体" w:hAnsi="宋体" w:cs="宋体" w:eastAsia="宋体" w:hint="default"/>
                <w:sz w:val="18"/>
                <w:szCs w:val="18"/>
              </w:rPr>
              <w:t>车辆多维特</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center"/>
              <w:rPr>
                <w:rFonts w:ascii="Times New Roman" w:hAnsi="Times New Roman" w:cs="Times New Roman" w:eastAsia="Times New Roman" w:hint="default"/>
                <w:sz w:val="18"/>
                <w:szCs w:val="18"/>
              </w:rPr>
            </w:pPr>
            <w:r>
              <w:rPr>
                <w:rFonts w:ascii="Times New Roman"/>
                <w:sz w:val="18"/>
              </w:rPr>
              <w:t>1,379,417.65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0" w:right="0"/>
              <w:jc w:val="left"/>
              <w:rPr>
                <w:rFonts w:ascii="Times New Roman" w:hAnsi="Times New Roman" w:cs="Times New Roman" w:eastAsia="Times New Roman" w:hint="default"/>
                <w:sz w:val="18"/>
                <w:szCs w:val="18"/>
              </w:rPr>
            </w:pPr>
            <w:r>
              <w:rPr>
                <w:rFonts w:ascii="Times New Roman"/>
                <w:sz w:val="18"/>
              </w:rPr>
              <w:t>638,339.33</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2,017,756.98</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062"/>
        <w:gridCol w:w="1063"/>
        <w:gridCol w:w="1064"/>
        <w:gridCol w:w="1063"/>
        <w:gridCol w:w="1064"/>
        <w:gridCol w:w="1063"/>
        <w:gridCol w:w="1061"/>
        <w:gridCol w:w="1064"/>
        <w:gridCol w:w="1063"/>
      </w:tblGrid>
      <w:tr>
        <w:trPr>
          <w:trHeight w:val="675"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征识别终端</w:t>
            </w:r>
          </w:p>
          <w:p>
            <w:pPr>
              <w:pStyle w:val="TableParagraph"/>
              <w:spacing w:line="240" w:lineRule="auto" w:before="118"/>
              <w:ind w:left="22" w:right="0"/>
              <w:jc w:val="left"/>
              <w:rPr>
                <w:rFonts w:ascii="Times New Roman" w:hAnsi="Times New Roman" w:cs="Times New Roman" w:eastAsia="Times New Roman" w:hint="default"/>
                <w:sz w:val="18"/>
                <w:szCs w:val="18"/>
              </w:rPr>
            </w:pPr>
            <w:r>
              <w:rPr>
                <w:rFonts w:ascii="Times New Roman"/>
                <w:sz w:val="18"/>
              </w:rPr>
              <w:t>-Z</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right="73"/>
              <w:jc w:val="center"/>
              <w:rPr>
                <w:rFonts w:ascii="Times New Roman" w:hAnsi="Times New Roman" w:cs="Times New Roman" w:eastAsia="Times New Roman" w:hint="default"/>
                <w:sz w:val="18"/>
                <w:szCs w:val="18"/>
              </w:rPr>
            </w:pPr>
            <w:r>
              <w:rPr>
                <w:rFonts w:ascii="宋体" w:hAnsi="宋体" w:cs="宋体" w:eastAsia="宋体" w:hint="default"/>
                <w:sz w:val="18"/>
                <w:szCs w:val="18"/>
              </w:rPr>
              <w:t>云鹭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V1.0-Z</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1,720,776.71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446,943.24</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2,167,719.95</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right="73"/>
              <w:jc w:val="center"/>
              <w:rPr>
                <w:rFonts w:ascii="Times New Roman" w:hAnsi="Times New Roman" w:cs="Times New Roman" w:eastAsia="Times New Roman" w:hint="default"/>
                <w:sz w:val="18"/>
                <w:szCs w:val="18"/>
              </w:rPr>
            </w:pPr>
            <w:r>
              <w:rPr>
                <w:rFonts w:ascii="宋体" w:hAnsi="宋体" w:cs="宋体" w:eastAsia="宋体" w:hint="default"/>
                <w:sz w:val="18"/>
                <w:szCs w:val="18"/>
              </w:rPr>
              <w:t>云隼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V4.0-Z</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1,569,396.27</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803,404.47</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2,372,800.74</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38" w:lineRule="auto" w:before="49"/>
              <w:ind w:left="22" w:right="129"/>
              <w:jc w:val="both"/>
              <w:rPr>
                <w:rFonts w:ascii="Times New Roman" w:hAnsi="Times New Roman" w:cs="Times New Roman" w:eastAsia="Times New Roman" w:hint="default"/>
                <w:sz w:val="18"/>
                <w:szCs w:val="18"/>
              </w:rPr>
            </w:pPr>
            <w:r>
              <w:rPr>
                <w:rFonts w:ascii="宋体" w:hAnsi="宋体" w:cs="宋体" w:eastAsia="宋体" w:hint="default"/>
                <w:sz w:val="18"/>
                <w:szCs w:val="18"/>
              </w:rPr>
              <w:t>城市管理运 行中心平台 </w:t>
            </w:r>
            <w:r>
              <w:rPr>
                <w:rFonts w:ascii="Times New Roman" w:hAnsi="Times New Roman" w:cs="Times New Roman" w:eastAsia="Times New Roman" w:hint="default"/>
                <w:sz w:val="18"/>
                <w:szCs w:val="18"/>
              </w:rPr>
              <w:t>V1.0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8,158,010.48</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8,158,010.48</w:t>
            </w:r>
          </w:p>
        </w:tc>
      </w:tr>
      <w:tr>
        <w:trPr>
          <w:trHeight w:val="1028"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38" w:lineRule="auto" w:before="49"/>
              <w:ind w:left="22" w:right="129"/>
              <w:jc w:val="both"/>
              <w:rPr>
                <w:rFonts w:ascii="Times New Roman" w:hAnsi="Times New Roman" w:cs="Times New Roman" w:eastAsia="Times New Roman" w:hint="default"/>
                <w:sz w:val="18"/>
                <w:szCs w:val="18"/>
              </w:rPr>
            </w:pPr>
            <w:r>
              <w:rPr>
                <w:rFonts w:ascii="宋体" w:hAnsi="宋体" w:cs="宋体" w:eastAsia="宋体" w:hint="default"/>
                <w:sz w:val="18"/>
                <w:szCs w:val="18"/>
              </w:rPr>
              <w:t>建设用地智 能审批系统 </w:t>
            </w:r>
            <w:r>
              <w:rPr>
                <w:rFonts w:ascii="Times New Roman" w:hAnsi="Times New Roman" w:cs="Times New Roman" w:eastAsia="Times New Roman" w:hint="default"/>
                <w:sz w:val="18"/>
                <w:szCs w:val="18"/>
              </w:rPr>
              <w:t>V1.0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9,068,252.95</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9,068,252.95</w:t>
            </w:r>
          </w:p>
        </w:tc>
      </w:tr>
      <w:tr>
        <w:trPr>
          <w:trHeight w:val="1337"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2" w:lineRule="exact" w:before="9"/>
              <w:ind w:left="22" w:right="129"/>
              <w:jc w:val="left"/>
              <w:rPr>
                <w:rFonts w:ascii="Times New Roman" w:hAnsi="Times New Roman" w:cs="Times New Roman" w:eastAsia="Times New Roman" w:hint="default"/>
                <w:sz w:val="18"/>
                <w:szCs w:val="18"/>
              </w:rPr>
            </w:pPr>
            <w:r>
              <w:rPr>
                <w:rFonts w:ascii="宋体" w:hAnsi="宋体" w:cs="宋体" w:eastAsia="宋体" w:hint="default"/>
                <w:sz w:val="18"/>
                <w:szCs w:val="18"/>
              </w:rPr>
              <w:t>智慧城管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综合管 理信息系统 </w:t>
            </w:r>
            <w:r>
              <w:rPr>
                <w:rFonts w:ascii="Times New Roman" w:hAnsi="Times New Roman" w:cs="Times New Roman" w:eastAsia="Times New Roman" w:hint="default"/>
                <w:sz w:val="18"/>
                <w:szCs w:val="18"/>
              </w:rPr>
              <w:t>V1.0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11,485,859.7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11,485,859.7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r>
      <w:tr>
        <w:trPr>
          <w:trHeight w:val="1339"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2" w:lineRule="exact" w:before="9"/>
              <w:ind w:left="22" w:right="129"/>
              <w:jc w:val="left"/>
              <w:rPr>
                <w:rFonts w:ascii="Times New Roman" w:hAnsi="Times New Roman" w:cs="Times New Roman" w:eastAsia="Times New Roman" w:hint="default"/>
                <w:sz w:val="18"/>
                <w:szCs w:val="18"/>
              </w:rPr>
            </w:pPr>
            <w:r>
              <w:rPr>
                <w:rFonts w:ascii="宋体" w:hAnsi="宋体" w:cs="宋体" w:eastAsia="宋体" w:hint="default"/>
                <w:sz w:val="18"/>
                <w:szCs w:val="18"/>
              </w:rPr>
              <w:t>货车入城智 能管控综合 应用系统 </w:t>
            </w:r>
            <w:r>
              <w:rPr>
                <w:rFonts w:ascii="Times New Roman" w:hAnsi="Times New Roman" w:cs="Times New Roman" w:eastAsia="Times New Roman" w:hint="default"/>
                <w:sz w:val="18"/>
                <w:szCs w:val="18"/>
              </w:rPr>
              <w:t>V1.0-Z</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pacing w:val="-1"/>
                <w:sz w:val="18"/>
              </w:rPr>
              <w:t>2,192,790.42</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2,192,790.42</w:t>
            </w:r>
          </w:p>
        </w:tc>
      </w:tr>
      <w:tr>
        <w:trPr>
          <w:trHeight w:val="1025"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40" w:lineRule="auto" w:before="49"/>
              <w:ind w:left="22" w:right="129"/>
              <w:jc w:val="both"/>
              <w:rPr>
                <w:rFonts w:ascii="Garamond" w:hAnsi="Garamond" w:cs="Garamond" w:eastAsia="Garamond" w:hint="default"/>
                <w:sz w:val="18"/>
                <w:szCs w:val="18"/>
              </w:rPr>
            </w:pPr>
            <w:r>
              <w:rPr>
                <w:rFonts w:ascii="宋体" w:hAnsi="宋体" w:cs="宋体" w:eastAsia="宋体" w:hint="default"/>
                <w:sz w:val="18"/>
                <w:szCs w:val="18"/>
              </w:rPr>
              <w:t>多通合一移 动办公系统 </w:t>
            </w:r>
            <w:r>
              <w:rPr>
                <w:rFonts w:ascii="Garamond" w:hAnsi="Garamond" w:cs="Garamond" w:eastAsia="Garamond" w:hint="default"/>
                <w:sz w:val="18"/>
                <w:szCs w:val="18"/>
              </w:rPr>
              <w:t>V1.0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8,429,094.91</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8,429,094.91</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49"/>
              <w:ind w:left="22" w:right="129"/>
              <w:jc w:val="both"/>
              <w:rPr>
                <w:rFonts w:ascii="宋体" w:hAnsi="宋体" w:cs="宋体" w:eastAsia="宋体" w:hint="default"/>
                <w:sz w:val="18"/>
                <w:szCs w:val="18"/>
              </w:rPr>
            </w:pPr>
            <w:r>
              <w:rPr>
                <w:rFonts w:ascii="宋体" w:hAnsi="宋体" w:cs="宋体" w:eastAsia="宋体" w:hint="default"/>
                <w:sz w:val="18"/>
                <w:szCs w:val="18"/>
              </w:rPr>
              <w:t>多网融合综 合治理与服 务信息系统</w:t>
            </w:r>
          </w:p>
          <w:p>
            <w:pPr>
              <w:pStyle w:val="TableParagraph"/>
              <w:spacing w:line="240" w:lineRule="auto" w:before="64"/>
              <w:ind w:left="22" w:right="0"/>
              <w:jc w:val="both"/>
              <w:rPr>
                <w:rFonts w:ascii="Garamond" w:hAnsi="Garamond" w:cs="Garamond" w:eastAsia="Garamond" w:hint="default"/>
                <w:sz w:val="18"/>
                <w:szCs w:val="18"/>
              </w:rPr>
            </w:pPr>
            <w:r>
              <w:rPr>
                <w:rFonts w:ascii="Garamond"/>
                <w:sz w:val="18"/>
              </w:rPr>
              <w:t>V19</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12,764,511.6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12,764,511.6</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40" w:lineRule="auto" w:before="49"/>
              <w:ind w:left="22" w:right="129"/>
              <w:jc w:val="both"/>
              <w:rPr>
                <w:rFonts w:ascii="Garamond" w:hAnsi="Garamond" w:cs="Garamond" w:eastAsia="Garamond" w:hint="default"/>
                <w:sz w:val="18"/>
                <w:szCs w:val="18"/>
              </w:rPr>
            </w:pPr>
            <w:r>
              <w:rPr>
                <w:rFonts w:ascii="宋体" w:hAnsi="宋体" w:cs="宋体" w:eastAsia="宋体" w:hint="default"/>
                <w:sz w:val="18"/>
                <w:szCs w:val="18"/>
              </w:rPr>
              <w:t>智慧市政综 合监管平台 </w:t>
            </w:r>
            <w:r>
              <w:rPr>
                <w:rFonts w:ascii="Garamond" w:hAnsi="Garamond" w:cs="Garamond" w:eastAsia="Garamond" w:hint="default"/>
                <w:sz w:val="18"/>
                <w:szCs w:val="18"/>
              </w:rPr>
              <w:t>V2.0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8,163,737.96</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8,163,737.96</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9" w:lineRule="auto" w:before="49"/>
              <w:ind w:left="22" w:right="129"/>
              <w:jc w:val="left"/>
              <w:rPr>
                <w:rFonts w:ascii="Garamond" w:hAnsi="Garamond" w:cs="Garamond" w:eastAsia="Garamond" w:hint="default"/>
                <w:sz w:val="18"/>
                <w:szCs w:val="18"/>
              </w:rPr>
            </w:pPr>
            <w:r>
              <w:rPr>
                <w:rFonts w:ascii="宋体" w:hAnsi="宋体" w:cs="宋体" w:eastAsia="宋体" w:hint="default"/>
                <w:sz w:val="18"/>
                <w:szCs w:val="18"/>
              </w:rPr>
              <w:t>智慧执法系 统</w:t>
            </w:r>
            <w:r>
              <w:rPr>
                <w:rFonts w:ascii="宋体" w:hAnsi="宋体" w:cs="宋体" w:eastAsia="宋体" w:hint="default"/>
                <w:spacing w:val="-44"/>
                <w:sz w:val="18"/>
                <w:szCs w:val="18"/>
              </w:rPr>
              <w:t> </w:t>
            </w:r>
            <w:r>
              <w:rPr>
                <w:rFonts w:ascii="Garamond" w:hAnsi="Garamond" w:cs="Garamond" w:eastAsia="Garamond" w:hint="default"/>
                <w:sz w:val="18"/>
                <w:szCs w:val="18"/>
              </w:rPr>
              <w:t>V19</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11,017,230.0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11,017,230.0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5</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智泊彩屏</w:t>
            </w:r>
          </w:p>
          <w:p>
            <w:pPr>
              <w:pStyle w:val="TableParagraph"/>
              <w:spacing w:line="240" w:lineRule="auto" w:before="122"/>
              <w:ind w:left="22" w:right="0"/>
              <w:jc w:val="left"/>
              <w:rPr>
                <w:rFonts w:ascii="Garamond" w:hAnsi="Garamond" w:cs="Garamond" w:eastAsia="Garamond" w:hint="default"/>
                <w:sz w:val="18"/>
                <w:szCs w:val="18"/>
              </w:rPr>
            </w:pPr>
            <w:r>
              <w:rPr>
                <w:rFonts w:ascii="Garamond"/>
                <w:sz w:val="18"/>
              </w:rPr>
              <w:t>V1.0-F</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3,303,932.31</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3,303,932.31</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339"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09" w:lineRule="auto" w:before="49"/>
              <w:ind w:left="22" w:right="129"/>
              <w:jc w:val="left"/>
              <w:rPr>
                <w:rFonts w:ascii="Garamond" w:hAnsi="Garamond" w:cs="Garamond" w:eastAsia="Garamond" w:hint="default"/>
                <w:sz w:val="18"/>
                <w:szCs w:val="18"/>
              </w:rPr>
            </w:pPr>
            <w:r>
              <w:rPr>
                <w:rFonts w:ascii="宋体" w:hAnsi="宋体" w:cs="宋体" w:eastAsia="宋体" w:hint="default"/>
                <w:sz w:val="18"/>
                <w:szCs w:val="18"/>
              </w:rPr>
              <w:t>嵌入式 </w:t>
            </w:r>
            <w:r>
              <w:rPr>
                <w:rFonts w:ascii="Garamond" w:hAnsi="Garamond" w:cs="Garamond" w:eastAsia="Garamond" w:hint="default"/>
                <w:sz w:val="18"/>
                <w:szCs w:val="18"/>
              </w:rPr>
              <w:t>CMOS </w:t>
            </w:r>
            <w:r>
              <w:rPr>
                <w:rFonts w:ascii="宋体" w:hAnsi="宋体" w:cs="宋体" w:eastAsia="宋体" w:hint="default"/>
                <w:sz w:val="18"/>
                <w:szCs w:val="18"/>
              </w:rPr>
              <w:t>双网 口车牌识别 仪</w:t>
            </w:r>
            <w:r>
              <w:rPr>
                <w:rFonts w:ascii="宋体" w:hAnsi="宋体" w:cs="宋体" w:eastAsia="宋体" w:hint="default"/>
                <w:spacing w:val="-49"/>
                <w:sz w:val="18"/>
                <w:szCs w:val="18"/>
              </w:rPr>
              <w:t> </w:t>
            </w:r>
            <w:r>
              <w:rPr>
                <w:rFonts w:ascii="Garamond" w:hAnsi="Garamond" w:cs="Garamond" w:eastAsia="Garamond" w:hint="default"/>
                <w:sz w:val="18"/>
                <w:szCs w:val="18"/>
              </w:rPr>
              <w:t>V1.0-F</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2,998,765.39</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2,998,765.39</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062"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40" w:lineRule="auto" w:before="49"/>
              <w:ind w:left="22" w:right="129"/>
              <w:jc w:val="left"/>
              <w:rPr>
                <w:rFonts w:ascii="Garamond" w:hAnsi="Garamond" w:cs="Garamond" w:eastAsia="Garamond" w:hint="default"/>
                <w:sz w:val="18"/>
                <w:szCs w:val="18"/>
              </w:rPr>
            </w:pPr>
            <w:r>
              <w:rPr>
                <w:rFonts w:ascii="宋体" w:hAnsi="宋体" w:cs="宋体" w:eastAsia="宋体" w:hint="default"/>
                <w:sz w:val="18"/>
                <w:szCs w:val="18"/>
              </w:rPr>
              <w:t>高清视频车 位检测仪 </w:t>
            </w:r>
            <w:r>
              <w:rPr>
                <w:rFonts w:ascii="Garamond" w:hAnsi="Garamond" w:cs="Garamond" w:eastAsia="Garamond" w:hint="default"/>
                <w:sz w:val="18"/>
                <w:szCs w:val="18"/>
              </w:rPr>
              <w:t>V2.0-F</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818,513.48</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818,513.48</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064"/>
        <w:gridCol w:w="1063"/>
        <w:gridCol w:w="1064"/>
        <w:gridCol w:w="1063"/>
        <w:gridCol w:w="1064"/>
        <w:gridCol w:w="1063"/>
        <w:gridCol w:w="1061"/>
        <w:gridCol w:w="1064"/>
        <w:gridCol w:w="1063"/>
      </w:tblGrid>
      <w:tr>
        <w:trPr>
          <w:trHeight w:val="401"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left="24" w:right="0"/>
              <w:jc w:val="left"/>
              <w:rPr>
                <w:rFonts w:ascii="Garamond" w:hAnsi="Garamond" w:cs="Garamond" w:eastAsia="Garamond" w:hint="default"/>
                <w:sz w:val="18"/>
                <w:szCs w:val="18"/>
              </w:rPr>
            </w:pPr>
            <w:r>
              <w:rPr>
                <w:rFonts w:ascii="宋体" w:hAnsi="宋体" w:cs="宋体" w:eastAsia="宋体" w:hint="default"/>
                <w:sz w:val="18"/>
                <w:szCs w:val="18"/>
              </w:rPr>
              <w:t>云眼</w:t>
            </w:r>
            <w:r>
              <w:rPr>
                <w:rFonts w:ascii="宋体" w:hAnsi="宋体" w:cs="宋体" w:eastAsia="宋体" w:hint="default"/>
                <w:spacing w:val="-49"/>
                <w:sz w:val="18"/>
                <w:szCs w:val="18"/>
              </w:rPr>
              <w:t> </w:t>
            </w:r>
            <w:r>
              <w:rPr>
                <w:rFonts w:ascii="Garamond" w:hAnsi="Garamond" w:cs="Garamond" w:eastAsia="Garamond" w:hint="default"/>
                <w:sz w:val="18"/>
                <w:szCs w:val="18"/>
              </w:rPr>
              <w:t>V3.0-F</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585,478.15</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585,478.15</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06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436,193.07</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436,193.07</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348"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30,882,652.7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81,311,057.5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32,771,339.7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48,517,456.9</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30,904,913.5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15</w:t>
      </w:r>
      <w:r>
        <w:rPr>
          <w:rFonts w:ascii="宋体" w:hAnsi="宋体" w:cs="宋体" w:eastAsia="宋体" w:hint="default"/>
          <w:b/>
          <w:bCs/>
          <w:sz w:val="21"/>
          <w:szCs w:val="21"/>
        </w:rPr>
        <w:t>、商誉</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）商誉账面原值</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8"/>
        <w:gridCol w:w="1366"/>
        <w:gridCol w:w="1368"/>
        <w:gridCol w:w="1369"/>
        <w:gridCol w:w="1366"/>
      </w:tblGrid>
      <w:tr>
        <w:trPr>
          <w:trHeight w:val="1027"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8" w:right="48"/>
              <w:jc w:val="center"/>
              <w:rPr>
                <w:rFonts w:ascii="宋体" w:hAnsi="宋体" w:cs="宋体" w:eastAsia="宋体" w:hint="default"/>
                <w:sz w:val="18"/>
                <w:szCs w:val="18"/>
              </w:rPr>
            </w:pPr>
            <w:r>
              <w:rPr>
                <w:rFonts w:ascii="宋体" w:hAnsi="宋体" w:cs="宋体" w:eastAsia="宋体" w:hint="default"/>
                <w:sz w:val="18"/>
                <w:szCs w:val="18"/>
              </w:rPr>
              <w:t>被投资单位名称 或形成商誉的事 项</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025"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49"/>
              <w:ind w:left="24" w:right="72"/>
              <w:jc w:val="both"/>
              <w:rPr>
                <w:rFonts w:ascii="宋体" w:hAnsi="宋体" w:cs="宋体" w:eastAsia="宋体" w:hint="default"/>
                <w:sz w:val="18"/>
                <w:szCs w:val="18"/>
              </w:rPr>
            </w:pPr>
            <w:r>
              <w:rPr>
                <w:rFonts w:ascii="宋体" w:hAnsi="宋体" w:cs="宋体" w:eastAsia="宋体" w:hint="default"/>
                <w:sz w:val="18"/>
                <w:szCs w:val="18"/>
              </w:rPr>
              <w:t>保定金迪地下管 线探测工程有限 公司</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440,779,441.04</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440,779,441.04</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北京数字智通科 技有限公司</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27,283,004.88</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27,283,004.88</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468,062,445.92</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468,062,445.92</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）商誉减值准备</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8"/>
        <w:gridCol w:w="1366"/>
        <w:gridCol w:w="1368"/>
        <w:gridCol w:w="1369"/>
        <w:gridCol w:w="1366"/>
      </w:tblGrid>
      <w:tr>
        <w:trPr>
          <w:trHeight w:val="102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48" w:right="48"/>
              <w:jc w:val="center"/>
              <w:rPr>
                <w:rFonts w:ascii="宋体" w:hAnsi="宋体" w:cs="宋体" w:eastAsia="宋体" w:hint="default"/>
                <w:sz w:val="18"/>
                <w:szCs w:val="18"/>
              </w:rPr>
            </w:pPr>
            <w:r>
              <w:rPr>
                <w:rFonts w:ascii="宋体" w:hAnsi="宋体" w:cs="宋体" w:eastAsia="宋体" w:hint="default"/>
                <w:sz w:val="18"/>
                <w:szCs w:val="18"/>
              </w:rPr>
              <w:t>被投资单位名称 或形成商誉的事 项</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025"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9" w:lineRule="auto" w:before="49"/>
              <w:ind w:left="24" w:right="72"/>
              <w:jc w:val="both"/>
              <w:rPr>
                <w:rFonts w:ascii="宋体" w:hAnsi="宋体" w:cs="宋体" w:eastAsia="宋体" w:hint="default"/>
                <w:sz w:val="18"/>
                <w:szCs w:val="18"/>
              </w:rPr>
            </w:pPr>
            <w:r>
              <w:rPr>
                <w:rFonts w:ascii="宋体" w:hAnsi="宋体" w:cs="宋体" w:eastAsia="宋体" w:hint="default"/>
                <w:sz w:val="18"/>
                <w:szCs w:val="18"/>
              </w:rPr>
              <w:t>保定金迪地下管 线探测工程有限 公司</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4" w:lineRule="auto" w:before="51"/>
              <w:ind w:left="24" w:right="72"/>
              <w:jc w:val="left"/>
              <w:rPr>
                <w:rFonts w:ascii="宋体" w:hAnsi="宋体" w:cs="宋体" w:eastAsia="宋体" w:hint="default"/>
                <w:sz w:val="18"/>
                <w:szCs w:val="18"/>
              </w:rPr>
            </w:pPr>
            <w:r>
              <w:rPr>
                <w:rFonts w:ascii="宋体" w:hAnsi="宋体" w:cs="宋体" w:eastAsia="宋体" w:hint="default"/>
                <w:sz w:val="18"/>
                <w:szCs w:val="18"/>
              </w:rPr>
              <w:t>北京数字智通科 技有限公司</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2,782,199.75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24,500,805.13</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99" w:right="0"/>
              <w:jc w:val="left"/>
              <w:rPr>
                <w:rFonts w:ascii="Times New Roman" w:hAnsi="Times New Roman" w:cs="Times New Roman" w:eastAsia="Times New Roman" w:hint="default"/>
                <w:sz w:val="18"/>
                <w:szCs w:val="18"/>
              </w:rPr>
            </w:pPr>
            <w:r>
              <w:rPr>
                <w:rFonts w:ascii="Times New Roman"/>
                <w:sz w:val="18"/>
              </w:rPr>
              <w:t>27,283,004.88</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2,782,199.75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24,500,805.13</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9" w:right="0"/>
              <w:jc w:val="left"/>
              <w:rPr>
                <w:rFonts w:ascii="Times New Roman" w:hAnsi="Times New Roman" w:cs="Times New Roman" w:eastAsia="Times New Roman" w:hint="default"/>
                <w:sz w:val="18"/>
                <w:szCs w:val="18"/>
              </w:rPr>
            </w:pPr>
            <w:r>
              <w:rPr>
                <w:rFonts w:ascii="Times New Roman"/>
                <w:sz w:val="18"/>
              </w:rPr>
              <w:t>27,283,004.88</w:t>
            </w:r>
          </w:p>
        </w:tc>
      </w:tr>
    </w:tbl>
    <w:p>
      <w:pPr>
        <w:spacing w:before="49"/>
        <w:ind w:left="152" w:right="0" w:firstLine="0"/>
        <w:jc w:val="both"/>
        <w:rPr>
          <w:rFonts w:ascii="宋体" w:hAnsi="宋体" w:cs="宋体" w:eastAsia="宋体" w:hint="default"/>
          <w:sz w:val="18"/>
          <w:szCs w:val="18"/>
        </w:rPr>
      </w:pPr>
      <w:r>
        <w:rPr>
          <w:rFonts w:ascii="宋体" w:hAnsi="宋体" w:cs="宋体" w:eastAsia="宋体" w:hint="default"/>
          <w:sz w:val="18"/>
          <w:szCs w:val="18"/>
        </w:rPr>
        <w:t>商誉所在资产组或资产组组合的相关信息</w:t>
      </w:r>
    </w:p>
    <w:p>
      <w:pPr>
        <w:spacing w:line="273" w:lineRule="auto" w:before="94"/>
        <w:ind w:left="152" w:right="1126" w:firstLine="0"/>
        <w:jc w:val="both"/>
        <w:rPr>
          <w:rFonts w:ascii="宋体" w:hAnsi="宋体" w:cs="宋体" w:eastAsia="宋体" w:hint="default"/>
          <w:sz w:val="21"/>
          <w:szCs w:val="21"/>
        </w:rPr>
      </w:pPr>
      <w:r>
        <w:rPr>
          <w:rFonts w:ascii="宋体" w:hAnsi="宋体" w:cs="宋体" w:eastAsia="宋体" w:hint="default"/>
          <w:spacing w:val="-2"/>
          <w:sz w:val="21"/>
          <w:szCs w:val="21"/>
        </w:rPr>
        <w:t>注：公司期末对与商誉相关的各资产组进行了减值测试，首先将该商誉及归属于少数股东权益的商誉包括</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2"/>
          <w:sz w:val="21"/>
          <w:szCs w:val="21"/>
        </w:rPr>
        <w:t>在内，调整各资产组的账面价值，然后将调整后的各资产组账面价值与其可收回金额进行比较，以确定各</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资产组（包括商誉）是否发生了减值。</w:t>
      </w:r>
    </w:p>
    <w:p>
      <w:pPr>
        <w:spacing w:line="240" w:lineRule="auto" w:before="2"/>
        <w:rPr>
          <w:rFonts w:ascii="宋体" w:hAnsi="宋体" w:cs="宋体" w:eastAsia="宋体" w:hint="default"/>
          <w:sz w:val="29"/>
          <w:szCs w:val="29"/>
        </w:rPr>
      </w:pPr>
    </w:p>
    <w:p>
      <w:pPr>
        <w:spacing w:line="316" w:lineRule="auto" w:before="0"/>
        <w:ind w:left="152" w:right="1135" w:firstLine="0"/>
        <w:jc w:val="both"/>
        <w:rPr>
          <w:rFonts w:ascii="宋体" w:hAnsi="宋体" w:cs="宋体" w:eastAsia="宋体" w:hint="default"/>
          <w:sz w:val="18"/>
          <w:szCs w:val="18"/>
        </w:rPr>
      </w:pPr>
      <w:r>
        <w:rPr>
          <w:rFonts w:ascii="宋体" w:hAnsi="宋体" w:cs="宋体" w:eastAsia="宋体" w:hint="default"/>
          <w:spacing w:val="-2"/>
          <w:sz w:val="18"/>
          <w:szCs w:val="18"/>
        </w:rPr>
        <w:t>说明商誉减值测试过程、关键参数（如预计未来现金流量现值时的预测期增长率、稳定期增长率、利润率、折现率、预测期</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等）及商誉减值损失的确认方法：</w:t>
      </w:r>
    </w:p>
    <w:p>
      <w:pPr>
        <w:spacing w:after="0" w:line="316" w:lineRule="auto"/>
        <w:jc w:val="both"/>
        <w:rPr>
          <w:rFonts w:ascii="宋体" w:hAnsi="宋体" w:cs="宋体" w:eastAsia="宋体"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spacing w:before="36"/>
        <w:ind w:left="292" w:right="1034" w:firstLine="0"/>
        <w:jc w:val="left"/>
        <w:rPr>
          <w:rFonts w:ascii="宋体" w:hAnsi="宋体" w:cs="宋体" w:eastAsia="宋体" w:hint="default"/>
          <w:sz w:val="21"/>
          <w:szCs w:val="21"/>
        </w:rPr>
      </w:pPr>
      <w:r>
        <w:rPr>
          <w:rFonts w:ascii="宋体" w:hAnsi="宋体" w:cs="宋体" w:eastAsia="宋体" w:hint="default"/>
          <w:sz w:val="21"/>
          <w:szCs w:val="21"/>
        </w:rPr>
        <w:t>商誉减值测试情况如下：</w:t>
      </w:r>
    </w:p>
    <w:p>
      <w:pPr>
        <w:spacing w:line="240" w:lineRule="auto" w:before="5"/>
        <w:rPr>
          <w:rFonts w:ascii="宋体" w:hAnsi="宋体" w:cs="宋体" w:eastAsia="宋体" w:hint="default"/>
          <w:sz w:val="9"/>
          <w:szCs w:val="9"/>
        </w:rPr>
      </w:pPr>
    </w:p>
    <w:tbl>
      <w:tblPr>
        <w:tblW w:w="0" w:type="auto"/>
        <w:jc w:val="left"/>
        <w:tblInd w:w="104" w:type="dxa"/>
        <w:tblLayout w:type="fixed"/>
        <w:tblCellMar>
          <w:top w:w="0" w:type="dxa"/>
          <w:left w:w="0" w:type="dxa"/>
          <w:bottom w:w="0" w:type="dxa"/>
          <w:right w:w="0" w:type="dxa"/>
        </w:tblCellMar>
        <w:tblLook w:val="01E0"/>
      </w:tblPr>
      <w:tblGrid>
        <w:gridCol w:w="4533"/>
        <w:gridCol w:w="2429"/>
        <w:gridCol w:w="2378"/>
      </w:tblGrid>
      <w:tr>
        <w:trPr>
          <w:trHeight w:val="568" w:hRule="exact"/>
        </w:trPr>
        <w:tc>
          <w:tcPr>
            <w:tcW w:w="4533" w:type="dxa"/>
            <w:tcBorders>
              <w:top w:val="nil" w:sz="6" w:space="0" w:color="auto"/>
              <w:left w:val="nil" w:sz="6" w:space="0" w:color="auto"/>
              <w:bottom w:val="nil" w:sz="6" w:space="0" w:color="auto"/>
              <w:right w:val="nil" w:sz="6" w:space="0" w:color="auto"/>
            </w:tcBorders>
          </w:tcPr>
          <w:p>
            <w:pPr>
              <w:pStyle w:val="TableParagraph"/>
              <w:spacing w:line="180" w:lineRule="exact"/>
              <w:ind w:left="20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429" w:type="dxa"/>
            <w:tcBorders>
              <w:top w:val="nil" w:sz="6" w:space="0" w:color="auto"/>
              <w:left w:val="nil" w:sz="6" w:space="0" w:color="auto"/>
              <w:bottom w:val="nil" w:sz="6" w:space="0" w:color="auto"/>
              <w:right w:val="nil" w:sz="6" w:space="0" w:color="auto"/>
            </w:tcBorders>
          </w:tcPr>
          <w:p>
            <w:pPr>
              <w:pStyle w:val="TableParagraph"/>
              <w:spacing w:line="180" w:lineRule="exact"/>
              <w:ind w:left="170" w:right="0"/>
              <w:jc w:val="left"/>
              <w:rPr>
                <w:rFonts w:ascii="宋体" w:hAnsi="宋体" w:cs="宋体" w:eastAsia="宋体" w:hint="default"/>
                <w:sz w:val="18"/>
                <w:szCs w:val="18"/>
              </w:rPr>
            </w:pPr>
            <w:r>
              <w:rPr>
                <w:rFonts w:ascii="宋体" w:hAnsi="宋体" w:cs="宋体" w:eastAsia="宋体" w:hint="default"/>
                <w:spacing w:val="6"/>
                <w:sz w:val="18"/>
                <w:szCs w:val="18"/>
              </w:rPr>
              <w:t>保定金迪地下管线探测工程</w:t>
            </w:r>
          </w:p>
          <w:p>
            <w:pPr>
              <w:pStyle w:val="TableParagraph"/>
              <w:spacing w:line="240" w:lineRule="auto" w:before="76"/>
              <w:ind w:left="170"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2378" w:type="dxa"/>
            <w:tcBorders>
              <w:top w:val="nil" w:sz="6" w:space="0" w:color="auto"/>
              <w:left w:val="nil" w:sz="6" w:space="0" w:color="auto"/>
              <w:bottom w:val="nil" w:sz="6" w:space="0" w:color="auto"/>
              <w:right w:val="nil" w:sz="6" w:space="0" w:color="auto"/>
            </w:tcBorders>
          </w:tcPr>
          <w:p>
            <w:pPr>
              <w:pStyle w:val="TableParagraph"/>
              <w:spacing w:line="180" w:lineRule="exact"/>
              <w:ind w:right="205"/>
              <w:jc w:val="right"/>
              <w:rPr>
                <w:rFonts w:ascii="宋体" w:hAnsi="宋体" w:cs="宋体" w:eastAsia="宋体" w:hint="default"/>
                <w:sz w:val="18"/>
                <w:szCs w:val="18"/>
              </w:rPr>
            </w:pPr>
            <w:r>
              <w:rPr>
                <w:rFonts w:ascii="宋体" w:hAnsi="宋体" w:cs="宋体" w:eastAsia="宋体" w:hint="default"/>
                <w:sz w:val="18"/>
                <w:szCs w:val="18"/>
              </w:rPr>
              <w:t>北京数字智通科技有限公司</w:t>
            </w:r>
          </w:p>
        </w:tc>
      </w:tr>
      <w:tr>
        <w:trPr>
          <w:trHeight w:val="337" w:hRule="exact"/>
        </w:trPr>
        <w:tc>
          <w:tcPr>
            <w:tcW w:w="4533"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00" w:right="0"/>
              <w:jc w:val="left"/>
              <w:rPr>
                <w:rFonts w:ascii="宋体" w:hAnsi="宋体" w:cs="宋体" w:eastAsia="宋体" w:hint="default"/>
                <w:sz w:val="18"/>
                <w:szCs w:val="18"/>
              </w:rPr>
            </w:pPr>
            <w:r>
              <w:rPr>
                <w:rFonts w:ascii="宋体" w:hAnsi="宋体" w:cs="宋体" w:eastAsia="宋体" w:hint="default"/>
                <w:sz w:val="18"/>
                <w:szCs w:val="18"/>
              </w:rPr>
              <w:t>商誉账面余额①</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7"/>
              <w:jc w:val="right"/>
              <w:rPr>
                <w:rFonts w:ascii="Times New Roman" w:hAnsi="Times New Roman" w:cs="Times New Roman" w:eastAsia="Times New Roman" w:hint="default"/>
                <w:sz w:val="18"/>
                <w:szCs w:val="18"/>
              </w:rPr>
            </w:pPr>
            <w:r>
              <w:rPr>
                <w:rFonts w:ascii="Times New Roman"/>
                <w:spacing w:val="-1"/>
                <w:sz w:val="18"/>
              </w:rPr>
              <w:t>440,779,441.04</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98"/>
              <w:jc w:val="right"/>
              <w:rPr>
                <w:rFonts w:ascii="Times New Roman" w:hAnsi="Times New Roman" w:cs="Times New Roman" w:eastAsia="Times New Roman" w:hint="default"/>
                <w:sz w:val="18"/>
                <w:szCs w:val="18"/>
              </w:rPr>
            </w:pPr>
            <w:r>
              <w:rPr>
                <w:rFonts w:ascii="Times New Roman"/>
                <w:spacing w:val="-1"/>
                <w:sz w:val="18"/>
              </w:rPr>
              <w:t>27,283,004.88</w:t>
            </w:r>
          </w:p>
        </w:tc>
      </w:tr>
      <w:tr>
        <w:trPr>
          <w:trHeight w:val="332" w:hRule="exact"/>
        </w:trPr>
        <w:tc>
          <w:tcPr>
            <w:tcW w:w="453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00" w:right="0"/>
              <w:jc w:val="left"/>
              <w:rPr>
                <w:rFonts w:ascii="宋体" w:hAnsi="宋体" w:cs="宋体" w:eastAsia="宋体" w:hint="default"/>
                <w:sz w:val="18"/>
                <w:szCs w:val="18"/>
              </w:rPr>
            </w:pPr>
            <w:r>
              <w:rPr>
                <w:rFonts w:ascii="宋体" w:hAnsi="宋体" w:cs="宋体" w:eastAsia="宋体" w:hint="default"/>
                <w:sz w:val="18"/>
                <w:szCs w:val="18"/>
              </w:rPr>
              <w:t>商誉减值准备余额②</w:t>
            </w:r>
          </w:p>
        </w:tc>
        <w:tc>
          <w:tcPr>
            <w:tcW w:w="2429" w:type="dxa"/>
            <w:tcBorders>
              <w:top w:val="nil" w:sz="6" w:space="0" w:color="auto"/>
              <w:left w:val="nil" w:sz="6" w:space="0" w:color="auto"/>
              <w:bottom w:val="nil" w:sz="6" w:space="0" w:color="auto"/>
              <w:right w:val="nil" w:sz="6" w:space="0" w:color="auto"/>
            </w:tcBorders>
          </w:tcPr>
          <w:p>
            <w:pP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198"/>
              <w:jc w:val="right"/>
              <w:rPr>
                <w:rFonts w:ascii="Times New Roman" w:hAnsi="Times New Roman" w:cs="Times New Roman" w:eastAsia="Times New Roman" w:hint="default"/>
                <w:sz w:val="18"/>
                <w:szCs w:val="18"/>
              </w:rPr>
            </w:pPr>
            <w:r>
              <w:rPr>
                <w:rFonts w:ascii="Times New Roman"/>
                <w:spacing w:val="-1"/>
                <w:sz w:val="18"/>
              </w:rPr>
              <w:t>2,782,199.75</w:t>
            </w:r>
          </w:p>
        </w:tc>
      </w:tr>
      <w:tr>
        <w:trPr>
          <w:trHeight w:val="331" w:hRule="exact"/>
        </w:trPr>
        <w:tc>
          <w:tcPr>
            <w:tcW w:w="453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00" w:right="0"/>
              <w:jc w:val="left"/>
              <w:rPr>
                <w:rFonts w:ascii="宋体" w:hAnsi="宋体" w:cs="宋体" w:eastAsia="宋体" w:hint="default"/>
                <w:sz w:val="18"/>
                <w:szCs w:val="18"/>
              </w:rPr>
            </w:pPr>
            <w:r>
              <w:rPr>
                <w:rFonts w:ascii="宋体" w:hAnsi="宋体" w:cs="宋体" w:eastAsia="宋体" w:hint="default"/>
                <w:sz w:val="18"/>
                <w:szCs w:val="18"/>
              </w:rPr>
              <w:t>商誉的账面价值③＝①</w:t>
            </w:r>
            <w:r>
              <w:rPr>
                <w:rFonts w:ascii="Times New Roman" w:hAnsi="Times New Roman" w:cs="Times New Roman" w:eastAsia="Times New Roman" w:hint="default"/>
                <w:sz w:val="18"/>
                <w:szCs w:val="18"/>
              </w:rPr>
              <w:t>-</w:t>
            </w:r>
            <w:r>
              <w:rPr>
                <w:rFonts w:ascii="宋体" w:hAnsi="宋体" w:cs="宋体" w:eastAsia="宋体" w:hint="default"/>
                <w:sz w:val="18"/>
                <w:szCs w:val="18"/>
              </w:rPr>
              <w:t>②</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7"/>
              <w:jc w:val="right"/>
              <w:rPr>
                <w:rFonts w:ascii="Times New Roman" w:hAnsi="Times New Roman" w:cs="Times New Roman" w:eastAsia="Times New Roman" w:hint="default"/>
                <w:sz w:val="18"/>
                <w:szCs w:val="18"/>
              </w:rPr>
            </w:pPr>
            <w:r>
              <w:rPr>
                <w:rFonts w:ascii="Times New Roman"/>
                <w:spacing w:val="-1"/>
                <w:sz w:val="18"/>
              </w:rPr>
              <w:t>440,779,441.04</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98"/>
              <w:jc w:val="right"/>
              <w:rPr>
                <w:rFonts w:ascii="Times New Roman" w:hAnsi="Times New Roman" w:cs="Times New Roman" w:eastAsia="Times New Roman" w:hint="default"/>
                <w:sz w:val="18"/>
                <w:szCs w:val="18"/>
              </w:rPr>
            </w:pPr>
            <w:r>
              <w:rPr>
                <w:rFonts w:ascii="Times New Roman"/>
                <w:spacing w:val="-1"/>
                <w:sz w:val="18"/>
              </w:rPr>
              <w:t>24,500,805.13</w:t>
            </w:r>
          </w:p>
        </w:tc>
      </w:tr>
      <w:tr>
        <w:trPr>
          <w:trHeight w:val="332" w:hRule="exact"/>
        </w:trPr>
        <w:tc>
          <w:tcPr>
            <w:tcW w:w="453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00" w:right="0"/>
              <w:jc w:val="left"/>
              <w:rPr>
                <w:rFonts w:ascii="宋体" w:hAnsi="宋体" w:cs="宋体" w:eastAsia="宋体" w:hint="default"/>
                <w:sz w:val="18"/>
                <w:szCs w:val="18"/>
              </w:rPr>
            </w:pPr>
            <w:r>
              <w:rPr>
                <w:rFonts w:ascii="宋体" w:hAnsi="宋体" w:cs="宋体" w:eastAsia="宋体" w:hint="default"/>
                <w:sz w:val="18"/>
                <w:szCs w:val="18"/>
              </w:rPr>
              <w:t>未确认归属于少数股东权益的商誉价值④</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7"/>
              <w:jc w:val="right"/>
              <w:rPr>
                <w:rFonts w:ascii="Times New Roman" w:hAnsi="Times New Roman" w:cs="Times New Roman" w:eastAsia="Times New Roman" w:hint="default"/>
                <w:sz w:val="18"/>
                <w:szCs w:val="18"/>
              </w:rPr>
            </w:pPr>
            <w:r>
              <w:rPr>
                <w:rFonts w:ascii="Times New Roman"/>
                <w:spacing w:val="-1"/>
                <w:sz w:val="18"/>
              </w:rPr>
              <w:t>146,926,480.35</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00"/>
              <w:jc w:val="right"/>
              <w:rPr>
                <w:rFonts w:ascii="Garamond" w:hAnsi="Garamond" w:cs="Garamond" w:eastAsia="Garamond" w:hint="default"/>
                <w:sz w:val="18"/>
                <w:szCs w:val="18"/>
              </w:rPr>
            </w:pPr>
            <w:r>
              <w:rPr>
                <w:rFonts w:ascii="Garamond"/>
                <w:spacing w:val="-1"/>
                <w:sz w:val="18"/>
              </w:rPr>
              <w:t>3,031,444.99</w:t>
            </w:r>
          </w:p>
        </w:tc>
      </w:tr>
      <w:tr>
        <w:trPr>
          <w:trHeight w:val="332" w:hRule="exact"/>
        </w:trPr>
        <w:tc>
          <w:tcPr>
            <w:tcW w:w="453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00" w:right="0"/>
              <w:jc w:val="left"/>
              <w:rPr>
                <w:rFonts w:ascii="宋体" w:hAnsi="宋体" w:cs="宋体" w:eastAsia="宋体" w:hint="default"/>
                <w:sz w:val="18"/>
                <w:szCs w:val="18"/>
              </w:rPr>
            </w:pPr>
            <w:r>
              <w:rPr>
                <w:rFonts w:ascii="宋体" w:hAnsi="宋体" w:cs="宋体" w:eastAsia="宋体" w:hint="default"/>
                <w:sz w:val="18"/>
                <w:szCs w:val="18"/>
              </w:rPr>
              <w:t>包含未确认归属于少数股东权益的商誉价值⑤</w:t>
            </w:r>
            <w:r>
              <w:rPr>
                <w:rFonts w:ascii="Times New Roman" w:hAnsi="Times New Roman" w:cs="Times New Roman" w:eastAsia="Times New Roman" w:hint="default"/>
                <w:sz w:val="18"/>
                <w:szCs w:val="18"/>
              </w:rPr>
              <w:t>=</w:t>
            </w:r>
            <w:r>
              <w:rPr>
                <w:rFonts w:ascii="宋体" w:hAnsi="宋体" w:cs="宋体" w:eastAsia="宋体" w:hint="default"/>
                <w:sz w:val="18"/>
                <w:szCs w:val="18"/>
              </w:rPr>
              <w:t>④</w:t>
            </w:r>
            <w:r>
              <w:rPr>
                <w:rFonts w:ascii="Times New Roman" w:hAnsi="Times New Roman" w:cs="Times New Roman" w:eastAsia="Times New Roman" w:hint="default"/>
                <w:sz w:val="18"/>
                <w:szCs w:val="18"/>
              </w:rPr>
              <w:t>+</w:t>
            </w:r>
            <w:r>
              <w:rPr>
                <w:rFonts w:ascii="宋体" w:hAnsi="宋体" w:cs="宋体" w:eastAsia="宋体" w:hint="default"/>
                <w:sz w:val="18"/>
                <w:szCs w:val="18"/>
              </w:rPr>
              <w:t>③</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7"/>
              <w:jc w:val="right"/>
              <w:rPr>
                <w:rFonts w:ascii="Times New Roman" w:hAnsi="Times New Roman" w:cs="Times New Roman" w:eastAsia="Times New Roman" w:hint="default"/>
                <w:sz w:val="18"/>
                <w:szCs w:val="18"/>
              </w:rPr>
            </w:pPr>
            <w:r>
              <w:rPr>
                <w:rFonts w:ascii="Times New Roman"/>
                <w:spacing w:val="-1"/>
                <w:sz w:val="18"/>
              </w:rPr>
              <w:t>587,705,921.39</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00"/>
              <w:jc w:val="right"/>
              <w:rPr>
                <w:rFonts w:ascii="Garamond" w:hAnsi="Garamond" w:cs="Garamond" w:eastAsia="Garamond" w:hint="default"/>
                <w:sz w:val="18"/>
                <w:szCs w:val="18"/>
              </w:rPr>
            </w:pPr>
            <w:r>
              <w:rPr>
                <w:rFonts w:ascii="Garamond"/>
                <w:spacing w:val="-1"/>
                <w:sz w:val="18"/>
              </w:rPr>
              <w:t>30,314,449.87</w:t>
            </w:r>
          </w:p>
        </w:tc>
      </w:tr>
      <w:tr>
        <w:trPr>
          <w:trHeight w:val="330" w:hRule="exact"/>
        </w:trPr>
        <w:tc>
          <w:tcPr>
            <w:tcW w:w="453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00" w:right="0"/>
              <w:jc w:val="left"/>
              <w:rPr>
                <w:rFonts w:ascii="宋体" w:hAnsi="宋体" w:cs="宋体" w:eastAsia="宋体" w:hint="default"/>
                <w:sz w:val="18"/>
                <w:szCs w:val="18"/>
              </w:rPr>
            </w:pPr>
            <w:r>
              <w:rPr>
                <w:rFonts w:ascii="宋体" w:hAnsi="宋体" w:cs="宋体" w:eastAsia="宋体" w:hint="default"/>
                <w:sz w:val="18"/>
                <w:szCs w:val="18"/>
              </w:rPr>
              <w:t>资产组的账面价值⑥</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
              <w:jc w:val="right"/>
              <w:rPr>
                <w:rFonts w:ascii="Garamond" w:hAnsi="Garamond" w:cs="Garamond" w:eastAsia="Garamond" w:hint="default"/>
                <w:sz w:val="18"/>
                <w:szCs w:val="18"/>
              </w:rPr>
            </w:pPr>
            <w:r>
              <w:rPr>
                <w:rFonts w:ascii="Garamond"/>
                <w:spacing w:val="-1"/>
                <w:sz w:val="18"/>
              </w:rPr>
              <w:t>217,842,827.93</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200"/>
              <w:jc w:val="right"/>
              <w:rPr>
                <w:rFonts w:ascii="Garamond" w:hAnsi="Garamond" w:cs="Garamond" w:eastAsia="Garamond" w:hint="default"/>
                <w:sz w:val="18"/>
                <w:szCs w:val="18"/>
              </w:rPr>
            </w:pPr>
            <w:r>
              <w:rPr>
                <w:rFonts w:ascii="Garamond"/>
                <w:spacing w:val="-1"/>
                <w:sz w:val="18"/>
              </w:rPr>
              <w:t>251,809,093.19</w:t>
            </w:r>
          </w:p>
        </w:tc>
      </w:tr>
      <w:tr>
        <w:trPr>
          <w:trHeight w:val="334" w:hRule="exact"/>
        </w:trPr>
        <w:tc>
          <w:tcPr>
            <w:tcW w:w="453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00" w:right="0"/>
              <w:jc w:val="left"/>
              <w:rPr>
                <w:rFonts w:ascii="宋体" w:hAnsi="宋体" w:cs="宋体" w:eastAsia="宋体" w:hint="default"/>
                <w:sz w:val="18"/>
                <w:szCs w:val="18"/>
              </w:rPr>
            </w:pPr>
            <w:r>
              <w:rPr>
                <w:rFonts w:ascii="宋体" w:hAnsi="宋体" w:cs="宋体" w:eastAsia="宋体" w:hint="default"/>
                <w:sz w:val="18"/>
                <w:szCs w:val="18"/>
              </w:rPr>
              <w:t>包含整体商誉的资产组的公允价值⑦</w:t>
            </w:r>
            <w:r>
              <w:rPr>
                <w:rFonts w:ascii="Times New Roman" w:hAnsi="Times New Roman" w:cs="Times New Roman" w:eastAsia="Times New Roman" w:hint="default"/>
                <w:sz w:val="18"/>
                <w:szCs w:val="18"/>
              </w:rPr>
              <w:t>=</w:t>
            </w:r>
            <w:r>
              <w:rPr>
                <w:rFonts w:ascii="宋体" w:hAnsi="宋体" w:cs="宋体" w:eastAsia="宋体" w:hint="default"/>
                <w:sz w:val="18"/>
                <w:szCs w:val="18"/>
              </w:rPr>
              <w:t>⑤</w:t>
            </w:r>
            <w:r>
              <w:rPr>
                <w:rFonts w:ascii="Times New Roman" w:hAnsi="Times New Roman" w:cs="Times New Roman" w:eastAsia="Times New Roman" w:hint="default"/>
                <w:sz w:val="18"/>
                <w:szCs w:val="18"/>
              </w:rPr>
              <w:t>+</w:t>
            </w:r>
            <w:r>
              <w:rPr>
                <w:rFonts w:ascii="宋体" w:hAnsi="宋体" w:cs="宋体" w:eastAsia="宋体" w:hint="default"/>
                <w:sz w:val="18"/>
                <w:szCs w:val="18"/>
              </w:rPr>
              <w:t>⑥</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
              <w:jc w:val="right"/>
              <w:rPr>
                <w:rFonts w:ascii="Garamond" w:hAnsi="Garamond" w:cs="Garamond" w:eastAsia="Garamond" w:hint="default"/>
                <w:sz w:val="18"/>
                <w:szCs w:val="18"/>
              </w:rPr>
            </w:pPr>
            <w:r>
              <w:rPr>
                <w:rFonts w:ascii="Garamond"/>
                <w:spacing w:val="-1"/>
                <w:sz w:val="18"/>
              </w:rPr>
              <w:t>805,548,749.32</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00"/>
              <w:jc w:val="right"/>
              <w:rPr>
                <w:rFonts w:ascii="Garamond" w:hAnsi="Garamond" w:cs="Garamond" w:eastAsia="Garamond" w:hint="default"/>
                <w:sz w:val="18"/>
                <w:szCs w:val="18"/>
              </w:rPr>
            </w:pPr>
            <w:r>
              <w:rPr>
                <w:rFonts w:ascii="Garamond"/>
                <w:spacing w:val="-1"/>
                <w:sz w:val="18"/>
              </w:rPr>
              <w:t>282,123,543.06</w:t>
            </w:r>
          </w:p>
        </w:tc>
      </w:tr>
      <w:tr>
        <w:trPr>
          <w:trHeight w:val="331" w:hRule="exact"/>
        </w:trPr>
        <w:tc>
          <w:tcPr>
            <w:tcW w:w="453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00" w:right="0"/>
              <w:jc w:val="left"/>
              <w:rPr>
                <w:rFonts w:ascii="宋体" w:hAnsi="宋体" w:cs="宋体" w:eastAsia="宋体" w:hint="default"/>
                <w:sz w:val="18"/>
                <w:szCs w:val="18"/>
              </w:rPr>
            </w:pPr>
            <w:r>
              <w:rPr>
                <w:rFonts w:ascii="宋体" w:hAnsi="宋体" w:cs="宋体" w:eastAsia="宋体" w:hint="default"/>
                <w:sz w:val="18"/>
                <w:szCs w:val="18"/>
              </w:rPr>
              <w:t>资产组预计未来现金流量的现值（可回收金额）⑧</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9"/>
              <w:jc w:val="right"/>
              <w:rPr>
                <w:rFonts w:ascii="Garamond" w:hAnsi="Garamond" w:cs="Garamond" w:eastAsia="Garamond" w:hint="default"/>
                <w:sz w:val="18"/>
                <w:szCs w:val="18"/>
              </w:rPr>
            </w:pPr>
            <w:r>
              <w:rPr>
                <w:rFonts w:ascii="Garamond"/>
                <w:spacing w:val="-1"/>
                <w:sz w:val="18"/>
              </w:rPr>
              <w:t>844,154,512.32</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00"/>
              <w:jc w:val="right"/>
              <w:rPr>
                <w:rFonts w:ascii="Garamond" w:hAnsi="Garamond" w:cs="Garamond" w:eastAsia="Garamond" w:hint="default"/>
                <w:sz w:val="18"/>
                <w:szCs w:val="18"/>
              </w:rPr>
            </w:pPr>
            <w:r>
              <w:rPr>
                <w:rFonts w:ascii="Garamond"/>
                <w:spacing w:val="-1"/>
                <w:sz w:val="18"/>
              </w:rPr>
              <w:t>251,947,887.06</w:t>
            </w:r>
          </w:p>
        </w:tc>
      </w:tr>
      <w:tr>
        <w:trPr>
          <w:trHeight w:val="262" w:hRule="exact"/>
        </w:trPr>
        <w:tc>
          <w:tcPr>
            <w:tcW w:w="4533"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00" w:right="0"/>
              <w:jc w:val="left"/>
              <w:rPr>
                <w:rFonts w:ascii="宋体" w:hAnsi="宋体" w:cs="宋体" w:eastAsia="宋体" w:hint="default"/>
                <w:sz w:val="18"/>
                <w:szCs w:val="18"/>
              </w:rPr>
            </w:pPr>
            <w:r>
              <w:rPr>
                <w:rFonts w:ascii="宋体" w:hAnsi="宋体" w:cs="宋体" w:eastAsia="宋体" w:hint="default"/>
                <w:sz w:val="18"/>
                <w:szCs w:val="18"/>
              </w:rPr>
              <w:t>商誉减值损失（大于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时）⑨</w:t>
            </w:r>
            <w:r>
              <w:rPr>
                <w:rFonts w:ascii="Times New Roman" w:hAnsi="Times New Roman" w:cs="Times New Roman" w:eastAsia="Times New Roman" w:hint="default"/>
                <w:sz w:val="18"/>
                <w:szCs w:val="18"/>
              </w:rPr>
              <w:t>=</w:t>
            </w:r>
            <w:r>
              <w:rPr>
                <w:rFonts w:ascii="宋体" w:hAnsi="宋体" w:cs="宋体" w:eastAsia="宋体" w:hint="default"/>
                <w:sz w:val="18"/>
                <w:szCs w:val="18"/>
              </w:rPr>
              <w:t>⑦</w:t>
            </w:r>
            <w:r>
              <w:rPr>
                <w:rFonts w:ascii="Times New Roman" w:hAnsi="Times New Roman" w:cs="Times New Roman" w:eastAsia="Times New Roman" w:hint="default"/>
                <w:sz w:val="18"/>
                <w:szCs w:val="18"/>
              </w:rPr>
              <w:t>-</w:t>
            </w:r>
            <w:r>
              <w:rPr>
                <w:rFonts w:ascii="宋体" w:hAnsi="宋体" w:cs="宋体" w:eastAsia="宋体" w:hint="default"/>
                <w:sz w:val="18"/>
                <w:szCs w:val="18"/>
              </w:rPr>
              <w:t>⑧</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7"/>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200"/>
              <w:jc w:val="right"/>
              <w:rPr>
                <w:rFonts w:ascii="Garamond" w:hAnsi="Garamond" w:cs="Garamond" w:eastAsia="Garamond" w:hint="default"/>
                <w:sz w:val="18"/>
                <w:szCs w:val="18"/>
              </w:rPr>
            </w:pPr>
            <w:r>
              <w:rPr>
                <w:rFonts w:ascii="Garamond"/>
                <w:spacing w:val="-1"/>
                <w:sz w:val="18"/>
              </w:rPr>
              <w:t>30,175,656.00</w:t>
            </w:r>
          </w:p>
        </w:tc>
      </w:tr>
    </w:tbl>
    <w:p>
      <w:pPr>
        <w:spacing w:line="240" w:lineRule="auto" w:before="4"/>
        <w:rPr>
          <w:rFonts w:ascii="宋体" w:hAnsi="宋体" w:cs="宋体" w:eastAsia="宋体" w:hint="default"/>
          <w:sz w:val="25"/>
          <w:szCs w:val="25"/>
        </w:rPr>
      </w:pPr>
    </w:p>
    <w:p>
      <w:pPr>
        <w:spacing w:line="273" w:lineRule="auto" w:before="36"/>
        <w:ind w:left="292" w:right="1034" w:firstLine="0"/>
        <w:jc w:val="left"/>
        <w:rPr>
          <w:rFonts w:ascii="宋体" w:hAnsi="宋体" w:cs="宋体" w:eastAsia="宋体" w:hint="default"/>
          <w:sz w:val="18"/>
          <w:szCs w:val="18"/>
        </w:rPr>
      </w:pPr>
      <w:r>
        <w:rPr>
          <w:rFonts w:ascii="宋体" w:hAnsi="宋体" w:cs="宋体" w:eastAsia="宋体" w:hint="default"/>
          <w:sz w:val="21"/>
          <w:szCs w:val="21"/>
        </w:rPr>
        <w:t>说明：</w:t>
      </w:r>
      <w:r>
        <w:rPr>
          <w:rFonts w:ascii="宋体" w:hAnsi="宋体" w:cs="宋体" w:eastAsia="宋体" w:hint="default"/>
          <w:sz w:val="18"/>
          <w:szCs w:val="18"/>
        </w:rPr>
        <w:t>北京数字智通科技有限公司经减值测试应提取商誉减值</w:t>
      </w:r>
      <w:r>
        <w:rPr>
          <w:rFonts w:ascii="Garamond" w:hAnsi="Garamond" w:cs="Garamond" w:eastAsia="Garamond" w:hint="default"/>
          <w:sz w:val="18"/>
          <w:szCs w:val="18"/>
        </w:rPr>
        <w:t>=30,175,656.00*0.90-2,782,199.75=</w:t>
      </w:r>
      <w:r>
        <w:rPr>
          <w:rFonts w:ascii="Garamond" w:hAnsi="Garamond" w:cs="Garamond" w:eastAsia="Garamond" w:hint="default"/>
          <w:spacing w:val="39"/>
          <w:sz w:val="18"/>
          <w:szCs w:val="18"/>
        </w:rPr>
        <w:t> </w:t>
      </w:r>
      <w:r>
        <w:rPr>
          <w:rFonts w:ascii="Garamond" w:hAnsi="Garamond" w:cs="Garamond" w:eastAsia="Garamond" w:hint="default"/>
          <w:sz w:val="18"/>
          <w:szCs w:val="18"/>
        </w:rPr>
        <w:t>24,375,890.65</w:t>
      </w:r>
      <w:r>
        <w:rPr>
          <w:rFonts w:ascii="宋体" w:hAnsi="宋体" w:cs="宋体" w:eastAsia="宋体" w:hint="default"/>
          <w:sz w:val="18"/>
          <w:szCs w:val="18"/>
        </w:rPr>
        <w:t>元，基于谨慎 性原则实际提取减值</w:t>
      </w:r>
      <w:r>
        <w:rPr>
          <w:rFonts w:ascii="Garamond" w:hAnsi="Garamond" w:cs="Garamond" w:eastAsia="Garamond" w:hint="default"/>
          <w:sz w:val="18"/>
          <w:szCs w:val="18"/>
        </w:rPr>
        <w:t>24,500,805.13</w:t>
      </w:r>
      <w:r>
        <w:rPr>
          <w:rFonts w:ascii="宋体" w:hAnsi="宋体" w:cs="宋体" w:eastAsia="宋体" w:hint="default"/>
          <w:sz w:val="18"/>
          <w:szCs w:val="18"/>
        </w:rPr>
        <w:t>元。</w:t>
      </w:r>
    </w:p>
    <w:p>
      <w:pPr>
        <w:spacing w:line="240" w:lineRule="auto" w:before="9"/>
        <w:rPr>
          <w:rFonts w:ascii="宋体" w:hAnsi="宋体" w:cs="宋体" w:eastAsia="宋体" w:hint="default"/>
          <w:sz w:val="22"/>
          <w:szCs w:val="22"/>
        </w:rPr>
      </w:pPr>
    </w:p>
    <w:p>
      <w:pPr>
        <w:spacing w:before="0"/>
        <w:ind w:left="292" w:right="0" w:firstLine="0"/>
        <w:jc w:val="both"/>
        <w:rPr>
          <w:rFonts w:ascii="宋体" w:hAnsi="宋体" w:cs="宋体" w:eastAsia="宋体" w:hint="default"/>
          <w:sz w:val="18"/>
          <w:szCs w:val="18"/>
        </w:rPr>
      </w:pPr>
      <w:r>
        <w:rPr>
          <w:rFonts w:ascii="Garamond" w:hAnsi="Garamond" w:cs="Garamond" w:eastAsia="Garamond" w:hint="default"/>
          <w:sz w:val="21"/>
          <w:szCs w:val="21"/>
        </w:rPr>
        <w:t>(1)</w:t>
      </w:r>
      <w:r>
        <w:rPr>
          <w:rFonts w:ascii="Garamond" w:hAnsi="Garamond" w:cs="Garamond" w:eastAsia="Garamond" w:hint="default"/>
          <w:spacing w:val="51"/>
          <w:sz w:val="21"/>
          <w:szCs w:val="21"/>
        </w:rPr>
        <w:t> </w:t>
      </w:r>
      <w:r>
        <w:rPr>
          <w:rFonts w:ascii="宋体" w:hAnsi="宋体" w:cs="宋体" w:eastAsia="宋体" w:hint="default"/>
          <w:sz w:val="18"/>
          <w:szCs w:val="18"/>
        </w:rPr>
        <w:t>商誉所在资产组或资产组组合的相关信息</w:t>
      </w:r>
    </w:p>
    <w:p>
      <w:pPr>
        <w:spacing w:before="85"/>
        <w:ind w:left="292" w:right="0" w:firstLine="0"/>
        <w:jc w:val="both"/>
        <w:rPr>
          <w:rFonts w:ascii="宋体" w:hAnsi="宋体" w:cs="宋体" w:eastAsia="宋体" w:hint="default"/>
          <w:sz w:val="18"/>
          <w:szCs w:val="18"/>
        </w:rPr>
      </w:pPr>
      <w:r>
        <w:rPr>
          <w:rFonts w:ascii="Garamond" w:hAnsi="Garamond" w:cs="Garamond" w:eastAsia="Garamond" w:hint="default"/>
          <w:sz w:val="18"/>
          <w:szCs w:val="18"/>
        </w:rPr>
        <w:t>1</w:t>
      </w:r>
      <w:r>
        <w:rPr>
          <w:rFonts w:ascii="宋体" w:hAnsi="宋体" w:cs="宋体" w:eastAsia="宋体" w:hint="default"/>
          <w:sz w:val="18"/>
          <w:szCs w:val="18"/>
        </w:rPr>
        <w:t>）</w:t>
      </w:r>
      <w:r>
        <w:rPr>
          <w:rFonts w:ascii="宋体" w:hAnsi="宋体" w:cs="宋体" w:eastAsia="宋体" w:hint="default"/>
          <w:spacing w:val="5"/>
          <w:sz w:val="18"/>
          <w:szCs w:val="18"/>
        </w:rPr>
        <w:t> </w:t>
      </w:r>
      <w:r>
        <w:rPr>
          <w:rFonts w:ascii="宋体" w:hAnsi="宋体" w:cs="宋体" w:eastAsia="宋体" w:hint="default"/>
          <w:sz w:val="18"/>
          <w:szCs w:val="18"/>
        </w:rPr>
        <w:t>上述公司商誉减值测试的资产组或资产组组合构成如下：</w:t>
      </w:r>
    </w:p>
    <w:p>
      <w:pPr>
        <w:spacing w:line="357" w:lineRule="auto" w:before="133"/>
        <w:ind w:left="292" w:right="1034" w:firstLine="0"/>
        <w:jc w:val="left"/>
        <w:rPr>
          <w:rFonts w:ascii="宋体" w:hAnsi="宋体" w:cs="宋体" w:eastAsia="宋体" w:hint="default"/>
          <w:sz w:val="18"/>
          <w:szCs w:val="18"/>
        </w:rPr>
      </w:pPr>
      <w:r>
        <w:rPr>
          <w:rFonts w:ascii="宋体" w:hAnsi="宋体" w:cs="宋体" w:eastAsia="宋体" w:hint="default"/>
          <w:sz w:val="18"/>
          <w:szCs w:val="18"/>
        </w:rPr>
        <w:t>①保定金迪地下管线探测工程有限公司：是公司并购保定金迪地下管线探测工程有限公司、保定市金迪科技开发有限公司、 </w:t>
      </w:r>
      <w:r>
        <w:rPr>
          <w:rFonts w:ascii="宋体" w:hAnsi="宋体" w:cs="宋体" w:eastAsia="宋体" w:hint="default"/>
          <w:spacing w:val="-2"/>
          <w:sz w:val="18"/>
          <w:szCs w:val="18"/>
        </w:rPr>
        <w:t>保定金迪科学仪器有限公司时与商誉相关的资产组组合，该资产组与购买日以及以前年度商誉减值测试时所确定的资产组组</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合一致，包括组成资产组的固定资产、无形资产、其他。</w:t>
      </w:r>
    </w:p>
    <w:p>
      <w:pPr>
        <w:spacing w:line="357" w:lineRule="auto" w:before="65"/>
        <w:ind w:left="292" w:right="1130" w:firstLine="0"/>
        <w:jc w:val="both"/>
        <w:rPr>
          <w:rFonts w:ascii="宋体" w:hAnsi="宋体" w:cs="宋体" w:eastAsia="宋体" w:hint="default"/>
          <w:sz w:val="18"/>
          <w:szCs w:val="18"/>
        </w:rPr>
      </w:pPr>
      <w:r>
        <w:rPr>
          <w:rFonts w:ascii="宋体" w:hAnsi="宋体" w:cs="宋体" w:eastAsia="宋体" w:hint="default"/>
          <w:spacing w:val="-2"/>
          <w:sz w:val="18"/>
          <w:szCs w:val="18"/>
        </w:rPr>
        <w:t>公司基于最初收购时的目的（能够产生良好的协同效益）对保定金迪地下管线探测工程有限公司、保定市金迪科技开发有限</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公司、保定金迪科学仪器有限公司进行整合（即将保定市金迪科技开发有限公司和保定金迪科学仪器有限公司从全资子公司</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变成全资孙公司），整合好其资产组组合能够产生良好的协同效益，固将上述三家公司作为一个资产组组合予以认定。</w:t>
      </w:r>
    </w:p>
    <w:p>
      <w:pPr>
        <w:spacing w:line="355" w:lineRule="auto" w:before="67"/>
        <w:ind w:left="292" w:right="1034" w:firstLine="0"/>
        <w:jc w:val="left"/>
        <w:rPr>
          <w:rFonts w:ascii="宋体" w:hAnsi="宋体" w:cs="宋体" w:eastAsia="宋体" w:hint="default"/>
          <w:sz w:val="18"/>
          <w:szCs w:val="18"/>
        </w:rPr>
      </w:pPr>
      <w:r>
        <w:rPr>
          <w:rFonts w:ascii="宋体" w:hAnsi="宋体" w:cs="宋体" w:eastAsia="宋体" w:hint="default"/>
          <w:spacing w:val="-2"/>
          <w:sz w:val="18"/>
          <w:szCs w:val="18"/>
        </w:rPr>
        <w:t>②北京数字智通科技有限公司：是公司并购北京数字智通科技有限公司形成商誉相关的资产组，该资产组与购买日以及以前</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年度商誉减值测试时所确定的资产组一致，包括组成资产组的固定资产、无形资产、其他。</w:t>
      </w: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13"/>
          <w:szCs w:val="13"/>
        </w:rPr>
      </w:pPr>
    </w:p>
    <w:p>
      <w:pPr>
        <w:spacing w:line="340" w:lineRule="auto" w:before="0"/>
        <w:ind w:left="292" w:right="1130" w:firstLine="0"/>
        <w:jc w:val="both"/>
        <w:rPr>
          <w:rFonts w:ascii="宋体" w:hAnsi="宋体" w:cs="宋体" w:eastAsia="宋体" w:hint="default"/>
          <w:sz w:val="18"/>
          <w:szCs w:val="18"/>
        </w:rPr>
      </w:pPr>
      <w:r>
        <w:rPr>
          <w:rFonts w:ascii="宋体" w:hAnsi="宋体" w:cs="宋体" w:eastAsia="宋体" w:hint="default"/>
          <w:spacing w:val="-2"/>
          <w:sz w:val="18"/>
          <w:szCs w:val="18"/>
        </w:rPr>
        <w:t>说明：上述两个资产组预计未来现金流量的现值（可收回金额）分别利用了北京中天华资产评估有限责任公司出具的中天华</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资评报字</w:t>
      </w:r>
      <w:r>
        <w:rPr>
          <w:rFonts w:ascii="Garamond" w:hAnsi="Garamond" w:cs="Garamond" w:eastAsia="Garamond" w:hint="default"/>
          <w:sz w:val="18"/>
          <w:szCs w:val="18"/>
        </w:rPr>
        <w:t>[2019]</w:t>
      </w:r>
      <w:r>
        <w:rPr>
          <w:rFonts w:ascii="宋体" w:hAnsi="宋体" w:cs="宋体" w:eastAsia="宋体" w:hint="default"/>
          <w:sz w:val="18"/>
          <w:szCs w:val="18"/>
        </w:rPr>
        <w:t>第</w:t>
      </w:r>
      <w:r>
        <w:rPr>
          <w:rFonts w:ascii="宋体" w:hAnsi="宋体" w:cs="宋体" w:eastAsia="宋体" w:hint="default"/>
          <w:spacing w:val="-66"/>
          <w:sz w:val="18"/>
          <w:szCs w:val="18"/>
        </w:rPr>
        <w:t> </w:t>
      </w:r>
      <w:r>
        <w:rPr>
          <w:rFonts w:ascii="Garamond" w:hAnsi="Garamond" w:cs="Garamond" w:eastAsia="Garamond" w:hint="default"/>
          <w:sz w:val="18"/>
          <w:szCs w:val="18"/>
        </w:rPr>
        <w:t>3129</w:t>
      </w:r>
      <w:r>
        <w:rPr>
          <w:rFonts w:ascii="Garamond" w:hAnsi="Garamond" w:cs="Garamond" w:eastAsia="Garamond" w:hint="default"/>
          <w:spacing w:val="-22"/>
          <w:sz w:val="18"/>
          <w:szCs w:val="18"/>
        </w:rPr>
        <w:t> </w:t>
      </w:r>
      <w:r>
        <w:rPr>
          <w:rFonts w:ascii="宋体" w:hAnsi="宋体" w:cs="宋体" w:eastAsia="宋体" w:hint="default"/>
          <w:sz w:val="18"/>
          <w:szCs w:val="18"/>
        </w:rPr>
        <w:t>号《北京数字政通科技股份有限公司以财务报告为目的的商誉减值测试所涉及的保定金迪地下管线探 测工程有限公司相关资产组组合可回收价值资产评估报告》和中天华资评财报字</w:t>
      </w:r>
      <w:r>
        <w:rPr>
          <w:rFonts w:ascii="Garamond" w:hAnsi="Garamond" w:cs="Garamond" w:eastAsia="Garamond" w:hint="default"/>
          <w:sz w:val="18"/>
          <w:szCs w:val="18"/>
        </w:rPr>
        <w:t>[2019]</w:t>
      </w:r>
      <w:r>
        <w:rPr>
          <w:rFonts w:ascii="宋体" w:hAnsi="宋体" w:cs="宋体" w:eastAsia="宋体" w:hint="default"/>
          <w:sz w:val="18"/>
          <w:szCs w:val="18"/>
        </w:rPr>
        <w:t>第</w:t>
      </w:r>
      <w:r>
        <w:rPr>
          <w:rFonts w:ascii="宋体" w:hAnsi="宋体" w:cs="宋体" w:eastAsia="宋体" w:hint="default"/>
          <w:spacing w:val="-66"/>
          <w:sz w:val="18"/>
          <w:szCs w:val="18"/>
        </w:rPr>
        <w:t> </w:t>
      </w:r>
      <w:r>
        <w:rPr>
          <w:rFonts w:ascii="Garamond" w:hAnsi="Garamond" w:cs="Garamond" w:eastAsia="Garamond" w:hint="default"/>
          <w:sz w:val="18"/>
          <w:szCs w:val="18"/>
        </w:rPr>
        <w:t>3128</w:t>
      </w:r>
      <w:r>
        <w:rPr>
          <w:rFonts w:ascii="Garamond" w:hAnsi="Garamond" w:cs="Garamond" w:eastAsia="Garamond" w:hint="default"/>
          <w:spacing w:val="-21"/>
          <w:sz w:val="18"/>
          <w:szCs w:val="18"/>
        </w:rPr>
        <w:t> </w:t>
      </w:r>
      <w:r>
        <w:rPr>
          <w:rFonts w:ascii="宋体" w:hAnsi="宋体" w:cs="宋体" w:eastAsia="宋体" w:hint="default"/>
          <w:sz w:val="18"/>
          <w:szCs w:val="18"/>
        </w:rPr>
        <w:t>号《北京数字政通科技股份有 </w:t>
      </w:r>
      <w:r>
        <w:rPr>
          <w:rFonts w:ascii="宋体" w:hAnsi="宋体" w:cs="宋体" w:eastAsia="宋体" w:hint="default"/>
          <w:spacing w:val="-2"/>
          <w:sz w:val="18"/>
          <w:szCs w:val="18"/>
        </w:rPr>
        <w:t>限公司以财务报告为目的的商誉减值测试所涉及的北京数字智通科技有限公司相关资产组组合可回收价值资产评估报告》的</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评估结果。</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4"/>
          <w:szCs w:val="14"/>
        </w:rPr>
      </w:pPr>
    </w:p>
    <w:p>
      <w:pPr>
        <w:spacing w:before="0"/>
        <w:ind w:left="292" w:right="0" w:firstLine="0"/>
        <w:jc w:val="both"/>
        <w:rPr>
          <w:rFonts w:ascii="宋体" w:hAnsi="宋体" w:cs="宋体" w:eastAsia="宋体" w:hint="default"/>
          <w:sz w:val="18"/>
          <w:szCs w:val="18"/>
        </w:rPr>
      </w:pPr>
      <w:r>
        <w:rPr>
          <w:rFonts w:ascii="Garamond" w:hAnsi="Garamond" w:cs="Garamond" w:eastAsia="Garamond" w:hint="default"/>
          <w:sz w:val="21"/>
          <w:szCs w:val="21"/>
        </w:rPr>
        <w:t>(2)</w:t>
      </w:r>
      <w:r>
        <w:rPr>
          <w:rFonts w:ascii="Garamond" w:hAnsi="Garamond" w:cs="Garamond" w:eastAsia="Garamond" w:hint="default"/>
          <w:spacing w:val="50"/>
          <w:sz w:val="21"/>
          <w:szCs w:val="21"/>
        </w:rPr>
        <w:t> </w:t>
      </w:r>
      <w:r>
        <w:rPr>
          <w:rFonts w:ascii="宋体" w:hAnsi="宋体" w:cs="宋体" w:eastAsia="宋体" w:hint="default"/>
          <w:sz w:val="18"/>
          <w:szCs w:val="18"/>
        </w:rPr>
        <w:t>商誉减值测试过程、关键参数及商誉减值损失的确认方法：</w:t>
      </w:r>
    </w:p>
    <w:p>
      <w:pPr>
        <w:spacing w:before="82"/>
        <w:ind w:left="292" w:right="0" w:firstLine="0"/>
        <w:jc w:val="both"/>
        <w:rPr>
          <w:rFonts w:ascii="宋体" w:hAnsi="宋体" w:cs="宋体" w:eastAsia="宋体" w:hint="default"/>
          <w:sz w:val="18"/>
          <w:szCs w:val="18"/>
        </w:rPr>
      </w:pPr>
      <w:r>
        <w:rPr>
          <w:rFonts w:ascii="Garamond" w:hAnsi="Garamond" w:cs="Garamond" w:eastAsia="Garamond" w:hint="default"/>
          <w:sz w:val="18"/>
          <w:szCs w:val="18"/>
        </w:rPr>
        <w:t>1</w:t>
      </w:r>
      <w:r>
        <w:rPr>
          <w:rFonts w:ascii="宋体" w:hAnsi="宋体" w:cs="宋体" w:eastAsia="宋体" w:hint="default"/>
          <w:sz w:val="18"/>
          <w:szCs w:val="18"/>
        </w:rPr>
        <w:t>）</w:t>
      </w:r>
      <w:r>
        <w:rPr>
          <w:rFonts w:ascii="宋体" w:hAnsi="宋体" w:cs="宋体" w:eastAsia="宋体" w:hint="default"/>
          <w:spacing w:val="5"/>
          <w:sz w:val="18"/>
          <w:szCs w:val="18"/>
        </w:rPr>
        <w:t> </w:t>
      </w:r>
      <w:r>
        <w:rPr>
          <w:rFonts w:ascii="宋体" w:hAnsi="宋体" w:cs="宋体" w:eastAsia="宋体" w:hint="default"/>
          <w:sz w:val="18"/>
          <w:szCs w:val="18"/>
        </w:rPr>
        <w:t>重要假设及依据</w:t>
      </w:r>
    </w:p>
    <w:p>
      <w:pPr>
        <w:spacing w:line="357" w:lineRule="auto" w:before="133"/>
        <w:ind w:left="292" w:right="1034" w:firstLine="0"/>
        <w:jc w:val="left"/>
        <w:rPr>
          <w:rFonts w:ascii="宋体" w:hAnsi="宋体" w:cs="宋体" w:eastAsia="宋体" w:hint="default"/>
          <w:sz w:val="18"/>
          <w:szCs w:val="18"/>
        </w:rPr>
      </w:pPr>
      <w:r>
        <w:rPr>
          <w:rFonts w:ascii="宋体" w:hAnsi="宋体" w:cs="宋体" w:eastAsia="宋体" w:hint="default"/>
          <w:spacing w:val="-2"/>
          <w:sz w:val="18"/>
          <w:szCs w:val="18"/>
        </w:rPr>
        <w:t>①假设保定金迪地下管线探测工程有限公司和北京数字智通科技有限公司持续性经营，并在经营范围、销售模式和渠道、管</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理层等影响到生产和经营的关键方面与目前情况无重大变化；</w:t>
      </w:r>
    </w:p>
    <w:p>
      <w:pPr>
        <w:spacing w:line="355" w:lineRule="auto" w:before="67"/>
        <w:ind w:left="292" w:right="1034" w:firstLine="0"/>
        <w:jc w:val="left"/>
        <w:rPr>
          <w:rFonts w:ascii="宋体" w:hAnsi="宋体" w:cs="宋体" w:eastAsia="宋体" w:hint="default"/>
          <w:sz w:val="18"/>
          <w:szCs w:val="18"/>
        </w:rPr>
      </w:pPr>
      <w:r>
        <w:rPr>
          <w:rFonts w:ascii="宋体" w:hAnsi="宋体" w:cs="宋体" w:eastAsia="宋体" w:hint="default"/>
          <w:spacing w:val="-2"/>
          <w:sz w:val="18"/>
          <w:szCs w:val="18"/>
        </w:rPr>
        <w:t>②假设保定金迪地下管线探测工程有限公司和北京数字智通科技有限公司所处的社会经济环境不产生较大的变化，国家及公</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司所在的地区有关法律、法规、政策与现时无重大变化；</w:t>
      </w:r>
    </w:p>
    <w:p>
      <w:pPr>
        <w:spacing w:before="69"/>
        <w:ind w:left="292" w:right="0" w:firstLine="0"/>
        <w:jc w:val="both"/>
        <w:rPr>
          <w:rFonts w:ascii="宋体" w:hAnsi="宋体" w:cs="宋体" w:eastAsia="宋体" w:hint="default"/>
          <w:sz w:val="18"/>
          <w:szCs w:val="18"/>
        </w:rPr>
      </w:pPr>
      <w:r>
        <w:rPr>
          <w:rFonts w:ascii="宋体" w:hAnsi="宋体" w:cs="宋体" w:eastAsia="宋体" w:hint="default"/>
          <w:sz w:val="18"/>
          <w:szCs w:val="18"/>
        </w:rPr>
        <w:t>③假设保定金迪地下管线探测工程有限公司和北京数字智通科技有限公司经营范围、经营方式、管理模式等在保持一贯性的</w:t>
      </w:r>
    </w:p>
    <w:p>
      <w:pPr>
        <w:spacing w:after="0"/>
        <w:jc w:val="both"/>
        <w:rPr>
          <w:rFonts w:ascii="宋体" w:hAnsi="宋体" w:cs="宋体" w:eastAsia="宋体" w:hint="default"/>
          <w:sz w:val="18"/>
          <w:szCs w:val="18"/>
        </w:rPr>
        <w:sectPr>
          <w:pgSz w:w="11910" w:h="16840"/>
          <w:pgMar w:header="745" w:footer="979" w:top="1060" w:bottom="1160" w:left="840" w:right="0"/>
        </w:sectPr>
      </w:pPr>
    </w:p>
    <w:p>
      <w:pPr>
        <w:spacing w:line="240" w:lineRule="auto" w:before="8"/>
        <w:rPr>
          <w:rFonts w:ascii="宋体" w:hAnsi="宋体" w:cs="宋体" w:eastAsia="宋体" w:hint="default"/>
          <w:sz w:val="22"/>
          <w:szCs w:val="22"/>
        </w:rPr>
      </w:pPr>
    </w:p>
    <w:p>
      <w:pPr>
        <w:spacing w:before="44"/>
        <w:ind w:left="192" w:right="1034" w:firstLine="0"/>
        <w:jc w:val="left"/>
        <w:rPr>
          <w:rFonts w:ascii="宋体" w:hAnsi="宋体" w:cs="宋体" w:eastAsia="宋体" w:hint="default"/>
          <w:sz w:val="18"/>
          <w:szCs w:val="18"/>
        </w:rPr>
      </w:pPr>
      <w:r>
        <w:rPr>
          <w:rFonts w:ascii="宋体" w:hAnsi="宋体" w:cs="宋体" w:eastAsia="宋体" w:hint="default"/>
          <w:sz w:val="18"/>
          <w:szCs w:val="18"/>
        </w:rPr>
        <w:t>基础上不断改进、不断完善；</w:t>
      </w:r>
    </w:p>
    <w:p>
      <w:pPr>
        <w:spacing w:line="355" w:lineRule="auto" w:before="156"/>
        <w:ind w:left="192" w:right="1034" w:firstLine="0"/>
        <w:jc w:val="left"/>
        <w:rPr>
          <w:rFonts w:ascii="宋体" w:hAnsi="宋体" w:cs="宋体" w:eastAsia="宋体" w:hint="default"/>
          <w:sz w:val="18"/>
          <w:szCs w:val="18"/>
        </w:rPr>
      </w:pPr>
      <w:r>
        <w:rPr>
          <w:rFonts w:ascii="宋体" w:hAnsi="宋体" w:cs="宋体" w:eastAsia="宋体" w:hint="default"/>
          <w:spacing w:val="-2"/>
          <w:sz w:val="18"/>
          <w:szCs w:val="18"/>
        </w:rPr>
        <w:t>④假设保定金迪地下管线探测工程有限公司和北京数字智通科技有限公司所提供的各种产品能适应市场需求，制定的目标和</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措施能按预定的时间和进度如期实现，并取得预期效益；</w:t>
      </w:r>
    </w:p>
    <w:p>
      <w:pPr>
        <w:spacing w:before="69"/>
        <w:ind w:left="192" w:right="1034" w:firstLine="0"/>
        <w:jc w:val="left"/>
        <w:rPr>
          <w:rFonts w:ascii="宋体" w:hAnsi="宋体" w:cs="宋体" w:eastAsia="宋体" w:hint="default"/>
          <w:sz w:val="18"/>
          <w:szCs w:val="18"/>
        </w:rPr>
      </w:pPr>
      <w:r>
        <w:rPr>
          <w:rFonts w:ascii="宋体" w:hAnsi="宋体" w:cs="宋体" w:eastAsia="宋体" w:hint="default"/>
          <w:sz w:val="18"/>
          <w:szCs w:val="18"/>
        </w:rPr>
        <w:t>⑤假设利率、汇率、赋税基准及税率，在国家规定的正常范围内无重大变化等。</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0"/>
          <w:szCs w:val="20"/>
        </w:rPr>
      </w:pPr>
    </w:p>
    <w:p>
      <w:pPr>
        <w:spacing w:before="0"/>
        <w:ind w:left="192" w:right="1034" w:firstLine="0"/>
        <w:jc w:val="left"/>
        <w:rPr>
          <w:rFonts w:ascii="宋体" w:hAnsi="宋体" w:cs="宋体" w:eastAsia="宋体" w:hint="default"/>
          <w:sz w:val="18"/>
          <w:szCs w:val="18"/>
        </w:rPr>
      </w:pPr>
      <w:r>
        <w:rPr>
          <w:rFonts w:ascii="Garamond" w:hAnsi="Garamond" w:cs="Garamond" w:eastAsia="Garamond" w:hint="default"/>
          <w:sz w:val="18"/>
          <w:szCs w:val="18"/>
        </w:rPr>
        <w:t>2</w:t>
      </w:r>
      <w:r>
        <w:rPr>
          <w:rFonts w:ascii="宋体" w:hAnsi="宋体" w:cs="宋体" w:eastAsia="宋体" w:hint="default"/>
          <w:sz w:val="18"/>
          <w:szCs w:val="18"/>
        </w:rPr>
        <w:t>）</w:t>
      </w:r>
      <w:r>
        <w:rPr>
          <w:rFonts w:ascii="宋体" w:hAnsi="宋体" w:cs="宋体" w:eastAsia="宋体" w:hint="default"/>
          <w:spacing w:val="5"/>
          <w:sz w:val="18"/>
          <w:szCs w:val="18"/>
        </w:rPr>
        <w:t> </w:t>
      </w:r>
      <w:r>
        <w:rPr>
          <w:rFonts w:ascii="宋体" w:hAnsi="宋体" w:cs="宋体" w:eastAsia="宋体" w:hint="default"/>
          <w:sz w:val="18"/>
          <w:szCs w:val="18"/>
        </w:rPr>
        <w:t>关键参数</w:t>
      </w:r>
    </w:p>
    <w:p>
      <w:pPr>
        <w:spacing w:line="240" w:lineRule="auto" w:before="6"/>
        <w:rPr>
          <w:rFonts w:ascii="宋体" w:hAnsi="宋体" w:cs="宋体" w:eastAsia="宋体" w:hint="default"/>
          <w:sz w:val="14"/>
          <w:szCs w:val="14"/>
        </w:rPr>
      </w:pPr>
    </w:p>
    <w:tbl>
      <w:tblPr>
        <w:tblW w:w="0" w:type="auto"/>
        <w:jc w:val="left"/>
        <w:tblInd w:w="139" w:type="dxa"/>
        <w:tblLayout w:type="fixed"/>
        <w:tblCellMar>
          <w:top w:w="0" w:type="dxa"/>
          <w:left w:w="0" w:type="dxa"/>
          <w:bottom w:w="0" w:type="dxa"/>
          <w:right w:w="0" w:type="dxa"/>
        </w:tblCellMar>
        <w:tblLook w:val="01E0"/>
      </w:tblPr>
      <w:tblGrid>
        <w:gridCol w:w="1748"/>
        <w:gridCol w:w="1715"/>
        <w:gridCol w:w="1001"/>
        <w:gridCol w:w="1337"/>
        <w:gridCol w:w="1621"/>
        <w:gridCol w:w="1446"/>
      </w:tblGrid>
      <w:tr>
        <w:trPr>
          <w:trHeight w:val="305" w:hRule="exact"/>
        </w:trPr>
        <w:tc>
          <w:tcPr>
            <w:tcW w:w="1748" w:type="dxa"/>
            <w:tcBorders>
              <w:top w:val="nil" w:sz="6" w:space="0" w:color="auto"/>
              <w:left w:val="nil" w:sz="6" w:space="0" w:color="auto"/>
              <w:bottom w:val="nil" w:sz="6" w:space="0" w:color="auto"/>
              <w:right w:val="nil" w:sz="6" w:space="0" w:color="auto"/>
            </w:tcBorders>
          </w:tcPr>
          <w:p>
            <w:pPr>
              <w:pStyle w:val="TableParagraph"/>
              <w:spacing w:line="180" w:lineRule="exact"/>
              <w:ind w:left="200" w:right="0"/>
              <w:jc w:val="left"/>
              <w:rPr>
                <w:rFonts w:ascii="宋体" w:hAnsi="宋体" w:cs="宋体" w:eastAsia="宋体" w:hint="default"/>
                <w:sz w:val="18"/>
                <w:szCs w:val="18"/>
              </w:rPr>
            </w:pPr>
            <w:r>
              <w:rPr>
                <w:rFonts w:ascii="宋体" w:hAnsi="宋体" w:cs="宋体" w:eastAsia="宋体" w:hint="default"/>
                <w:sz w:val="18"/>
                <w:szCs w:val="18"/>
              </w:rPr>
              <w:t>单位</w:t>
            </w:r>
          </w:p>
        </w:tc>
        <w:tc>
          <w:tcPr>
            <w:tcW w:w="1715" w:type="dxa"/>
            <w:tcBorders>
              <w:top w:val="nil" w:sz="6" w:space="0" w:color="auto"/>
              <w:left w:val="nil" w:sz="6" w:space="0" w:color="auto"/>
              <w:bottom w:val="nil" w:sz="6" w:space="0" w:color="auto"/>
              <w:right w:val="nil" w:sz="6" w:space="0" w:color="auto"/>
            </w:tcBorders>
          </w:tcPr>
          <w:p>
            <w:pPr/>
          </w:p>
        </w:tc>
        <w:tc>
          <w:tcPr>
            <w:tcW w:w="1001" w:type="dxa"/>
            <w:tcBorders>
              <w:top w:val="nil" w:sz="6" w:space="0" w:color="auto"/>
              <w:left w:val="nil" w:sz="6" w:space="0" w:color="auto"/>
              <w:bottom w:val="nil" w:sz="6" w:space="0" w:color="auto"/>
              <w:right w:val="nil" w:sz="6" w:space="0" w:color="auto"/>
            </w:tcBorders>
          </w:tcPr>
          <w:p>
            <w:pPr/>
          </w:p>
        </w:tc>
        <w:tc>
          <w:tcPr>
            <w:tcW w:w="1337" w:type="dxa"/>
            <w:tcBorders>
              <w:top w:val="nil" w:sz="6" w:space="0" w:color="auto"/>
              <w:left w:val="nil" w:sz="6" w:space="0" w:color="auto"/>
              <w:bottom w:val="nil" w:sz="6" w:space="0" w:color="auto"/>
              <w:right w:val="nil" w:sz="6" w:space="0" w:color="auto"/>
            </w:tcBorders>
          </w:tcPr>
          <w:p>
            <w:pPr>
              <w:pStyle w:val="TableParagraph"/>
              <w:spacing w:line="180" w:lineRule="exact"/>
              <w:ind w:left="437" w:right="0"/>
              <w:jc w:val="left"/>
              <w:rPr>
                <w:rFonts w:ascii="宋体" w:hAnsi="宋体" w:cs="宋体" w:eastAsia="宋体" w:hint="default"/>
                <w:sz w:val="18"/>
                <w:szCs w:val="18"/>
              </w:rPr>
            </w:pPr>
            <w:r>
              <w:rPr>
                <w:rFonts w:ascii="宋体" w:hAnsi="宋体" w:cs="宋体" w:eastAsia="宋体" w:hint="default"/>
                <w:sz w:val="18"/>
                <w:szCs w:val="18"/>
              </w:rPr>
              <w:t>关键参数</w:t>
            </w:r>
          </w:p>
        </w:tc>
        <w:tc>
          <w:tcPr>
            <w:tcW w:w="1621" w:type="dxa"/>
            <w:tcBorders>
              <w:top w:val="nil" w:sz="6" w:space="0" w:color="auto"/>
              <w:left w:val="nil" w:sz="6" w:space="0" w:color="auto"/>
              <w:bottom w:val="nil" w:sz="6" w:space="0" w:color="auto"/>
              <w:right w:val="nil" w:sz="6" w:space="0" w:color="auto"/>
            </w:tcBorders>
          </w:tcPr>
          <w:p>
            <w:pPr/>
          </w:p>
        </w:tc>
        <w:tc>
          <w:tcPr>
            <w:tcW w:w="1446" w:type="dxa"/>
            <w:tcBorders>
              <w:top w:val="nil" w:sz="6" w:space="0" w:color="auto"/>
              <w:left w:val="nil" w:sz="6" w:space="0" w:color="auto"/>
              <w:bottom w:val="nil" w:sz="6" w:space="0" w:color="auto"/>
              <w:right w:val="nil" w:sz="6" w:space="0" w:color="auto"/>
            </w:tcBorders>
          </w:tcPr>
          <w:p>
            <w:pPr/>
          </w:p>
        </w:tc>
      </w:tr>
      <w:tr>
        <w:trPr>
          <w:trHeight w:val="775" w:hRule="exact"/>
        </w:trPr>
        <w:tc>
          <w:tcPr>
            <w:tcW w:w="1748"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26"/>
              <w:jc w:val="center"/>
              <w:rPr>
                <w:rFonts w:ascii="宋体" w:hAnsi="宋体" w:cs="宋体" w:eastAsia="宋体" w:hint="default"/>
                <w:sz w:val="18"/>
                <w:szCs w:val="18"/>
              </w:rPr>
            </w:pPr>
            <w:r>
              <w:rPr>
                <w:rFonts w:ascii="宋体" w:hAnsi="宋体" w:cs="宋体" w:eastAsia="宋体" w:hint="default"/>
                <w:sz w:val="18"/>
                <w:szCs w:val="18"/>
              </w:rPr>
              <w:t>预测期</w:t>
            </w:r>
          </w:p>
        </w:tc>
        <w:tc>
          <w:tcPr>
            <w:tcW w:w="1001" w:type="dxa"/>
            <w:tcBorders>
              <w:top w:val="nil" w:sz="6" w:space="0" w:color="auto"/>
              <w:left w:val="nil" w:sz="6" w:space="0" w:color="auto"/>
              <w:bottom w:val="nil" w:sz="6" w:space="0" w:color="auto"/>
              <w:right w:val="nil" w:sz="6" w:space="0" w:color="auto"/>
            </w:tcBorders>
          </w:tcPr>
          <w:p>
            <w:pPr>
              <w:pStyle w:val="TableParagraph"/>
              <w:spacing w:line="357" w:lineRule="auto" w:before="69"/>
              <w:ind w:left="409" w:right="140" w:hanging="272"/>
              <w:jc w:val="left"/>
              <w:rPr>
                <w:rFonts w:ascii="宋体" w:hAnsi="宋体" w:cs="宋体" w:eastAsia="宋体" w:hint="default"/>
                <w:sz w:val="18"/>
                <w:szCs w:val="18"/>
              </w:rPr>
            </w:pPr>
            <w:r>
              <w:rPr>
                <w:rFonts w:ascii="宋体" w:hAnsi="宋体" w:cs="宋体" w:eastAsia="宋体" w:hint="default"/>
                <w:sz w:val="18"/>
                <w:szCs w:val="18"/>
              </w:rPr>
              <w:t>预期增长 率</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42" w:right="0"/>
              <w:jc w:val="left"/>
              <w:rPr>
                <w:rFonts w:ascii="宋体" w:hAnsi="宋体" w:cs="宋体" w:eastAsia="宋体" w:hint="default"/>
                <w:sz w:val="18"/>
                <w:szCs w:val="18"/>
              </w:rPr>
            </w:pPr>
            <w:r>
              <w:rPr>
                <w:rFonts w:ascii="宋体" w:hAnsi="宋体" w:cs="宋体" w:eastAsia="宋体" w:hint="default"/>
                <w:sz w:val="18"/>
                <w:szCs w:val="18"/>
              </w:rPr>
              <w:t>稳定期增长率</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69"/>
              <w:ind w:left="522" w:right="0"/>
              <w:jc w:val="left"/>
              <w:rPr>
                <w:rFonts w:ascii="宋体" w:hAnsi="宋体" w:cs="宋体" w:eastAsia="宋体" w:hint="default"/>
                <w:sz w:val="18"/>
                <w:szCs w:val="18"/>
              </w:rPr>
            </w:pPr>
            <w:r>
              <w:rPr>
                <w:rFonts w:ascii="宋体" w:hAnsi="宋体" w:cs="宋体" w:eastAsia="宋体" w:hint="default"/>
                <w:sz w:val="18"/>
                <w:szCs w:val="18"/>
              </w:rPr>
              <w:t>利润率</w:t>
            </w:r>
          </w:p>
        </w:tc>
        <w:tc>
          <w:tcPr>
            <w:tcW w:w="1446" w:type="dxa"/>
            <w:tcBorders>
              <w:top w:val="nil" w:sz="6" w:space="0" w:color="auto"/>
              <w:left w:val="nil" w:sz="6" w:space="0" w:color="auto"/>
              <w:bottom w:val="nil" w:sz="6" w:space="0" w:color="auto"/>
              <w:right w:val="nil" w:sz="6" w:space="0" w:color="auto"/>
            </w:tcBorders>
          </w:tcPr>
          <w:p>
            <w:pPr>
              <w:pStyle w:val="TableParagraph"/>
              <w:spacing w:line="357" w:lineRule="auto" w:before="69"/>
              <w:ind w:left="115" w:right="198" w:hanging="48"/>
              <w:jc w:val="left"/>
              <w:rPr>
                <w:rFonts w:ascii="宋体" w:hAnsi="宋体" w:cs="宋体" w:eastAsia="宋体" w:hint="default"/>
                <w:sz w:val="18"/>
                <w:szCs w:val="18"/>
              </w:rPr>
            </w:pPr>
            <w:r>
              <w:rPr>
                <w:rFonts w:ascii="宋体" w:hAnsi="宋体" w:cs="宋体" w:eastAsia="宋体" w:hint="default"/>
                <w:spacing w:val="-12"/>
                <w:sz w:val="18"/>
                <w:szCs w:val="18"/>
              </w:rPr>
              <w:t>折现率（加权平</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均资本成本）</w:t>
            </w:r>
          </w:p>
        </w:tc>
      </w:tr>
      <w:tr>
        <w:trPr>
          <w:trHeight w:val="780" w:hRule="exact"/>
        </w:trPr>
        <w:tc>
          <w:tcPr>
            <w:tcW w:w="1748" w:type="dxa"/>
            <w:tcBorders>
              <w:top w:val="nil" w:sz="6" w:space="0" w:color="auto"/>
              <w:left w:val="nil" w:sz="6" w:space="0" w:color="auto"/>
              <w:bottom w:val="nil" w:sz="6" w:space="0" w:color="auto"/>
              <w:right w:val="nil" w:sz="6" w:space="0" w:color="auto"/>
            </w:tcBorders>
          </w:tcPr>
          <w:p>
            <w:pPr>
              <w:pStyle w:val="TableParagraph"/>
              <w:spacing w:line="357" w:lineRule="auto" w:before="74"/>
              <w:ind w:left="200" w:right="105"/>
              <w:jc w:val="left"/>
              <w:rPr>
                <w:rFonts w:ascii="宋体" w:hAnsi="宋体" w:cs="宋体" w:eastAsia="宋体" w:hint="default"/>
                <w:sz w:val="18"/>
                <w:szCs w:val="18"/>
              </w:rPr>
            </w:pPr>
            <w:r>
              <w:rPr>
                <w:rFonts w:ascii="宋体" w:hAnsi="宋体" w:cs="宋体" w:eastAsia="宋体" w:hint="default"/>
                <w:sz w:val="18"/>
                <w:szCs w:val="18"/>
              </w:rPr>
              <w:t>保定金迪地下管线 探测工程有限公司</w:t>
            </w:r>
          </w:p>
        </w:tc>
        <w:tc>
          <w:tcPr>
            <w:tcW w:w="1715" w:type="dxa"/>
            <w:tcBorders>
              <w:top w:val="nil" w:sz="6" w:space="0" w:color="auto"/>
              <w:left w:val="nil" w:sz="6" w:space="0" w:color="auto"/>
              <w:bottom w:val="nil" w:sz="6" w:space="0" w:color="auto"/>
              <w:right w:val="nil" w:sz="6" w:space="0" w:color="auto"/>
            </w:tcBorders>
          </w:tcPr>
          <w:p>
            <w:pPr>
              <w:pStyle w:val="TableParagraph"/>
              <w:spacing w:line="326" w:lineRule="auto" w:before="74"/>
              <w:ind w:left="302" w:right="136" w:hanging="195"/>
              <w:jc w:val="left"/>
              <w:rPr>
                <w:rFonts w:ascii="宋体" w:hAnsi="宋体" w:cs="宋体" w:eastAsia="宋体" w:hint="default"/>
                <w:sz w:val="18"/>
                <w:szCs w:val="18"/>
              </w:rPr>
            </w:pPr>
            <w:r>
              <w:rPr>
                <w:rFonts w:ascii="Garamond" w:hAnsi="Garamond" w:cs="Garamond" w:eastAsia="Garamond" w:hint="default"/>
                <w:sz w:val="18"/>
                <w:szCs w:val="18"/>
              </w:rPr>
              <w:t>2019 </w:t>
            </w:r>
            <w:r>
              <w:rPr>
                <w:rFonts w:ascii="宋体" w:hAnsi="宋体" w:cs="宋体" w:eastAsia="宋体" w:hint="default"/>
                <w:sz w:val="18"/>
                <w:szCs w:val="18"/>
              </w:rPr>
              <w:t>年</w:t>
            </w:r>
            <w:r>
              <w:rPr>
                <w:rFonts w:ascii="Garamond" w:hAnsi="Garamond" w:cs="Garamond" w:eastAsia="Garamond" w:hint="default"/>
                <w:sz w:val="18"/>
                <w:szCs w:val="18"/>
              </w:rPr>
              <w:t>-2023</w:t>
            </w:r>
            <w:r>
              <w:rPr>
                <w:rFonts w:ascii="Garamond" w:hAnsi="Garamond" w:cs="Garamond" w:eastAsia="Garamond" w:hint="default"/>
                <w:spacing w:val="-6"/>
                <w:sz w:val="18"/>
                <w:szCs w:val="18"/>
              </w:rPr>
              <w:t> </w:t>
            </w:r>
            <w:r>
              <w:rPr>
                <w:rFonts w:ascii="宋体" w:hAnsi="宋体" w:cs="宋体" w:eastAsia="宋体" w:hint="default"/>
                <w:spacing w:val="-24"/>
                <w:sz w:val="18"/>
                <w:szCs w:val="18"/>
              </w:rPr>
              <w:t>年（后</w:t>
            </w:r>
            <w:r>
              <w:rPr>
                <w:rFonts w:ascii="宋体" w:hAnsi="宋体" w:cs="宋体" w:eastAsia="宋体" w:hint="default"/>
                <w:sz w:val="18"/>
                <w:szCs w:val="18"/>
              </w:rPr>
              <w:t> 续为稳定期）</w:t>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
              <w:jc w:val="center"/>
              <w:rPr>
                <w:rFonts w:ascii="Garamond" w:hAnsi="Garamond" w:cs="Garamond" w:eastAsia="Garamond" w:hint="default"/>
                <w:sz w:val="18"/>
                <w:szCs w:val="18"/>
              </w:rPr>
            </w:pPr>
            <w:r>
              <w:rPr>
                <w:rFonts w:ascii="宋体" w:hAnsi="宋体" w:cs="宋体" w:eastAsia="宋体" w:hint="default"/>
                <w:sz w:val="18"/>
                <w:szCs w:val="18"/>
              </w:rPr>
              <w:t>注：</w:t>
            </w:r>
            <w:r>
              <w:rPr>
                <w:rFonts w:ascii="Garamond" w:hAnsi="Garamond" w:cs="Garamond" w:eastAsia="Garamond" w:hint="default"/>
                <w:sz w:val="18"/>
                <w:szCs w:val="18"/>
              </w:rPr>
              <w:t>1</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411" w:right="0"/>
              <w:jc w:val="left"/>
              <w:rPr>
                <w:rFonts w:ascii="宋体" w:hAnsi="宋体" w:cs="宋体" w:eastAsia="宋体" w:hint="default"/>
                <w:sz w:val="18"/>
                <w:szCs w:val="18"/>
              </w:rPr>
            </w:pPr>
            <w:r>
              <w:rPr>
                <w:rFonts w:ascii="宋体" w:hAnsi="宋体" w:cs="宋体" w:eastAsia="宋体" w:hint="default"/>
                <w:sz w:val="18"/>
                <w:szCs w:val="18"/>
              </w:rPr>
              <w:t>不增长</w:t>
            </w:r>
          </w:p>
        </w:tc>
        <w:tc>
          <w:tcPr>
            <w:tcW w:w="1621" w:type="dxa"/>
            <w:tcBorders>
              <w:top w:val="nil" w:sz="6" w:space="0" w:color="auto"/>
              <w:left w:val="nil" w:sz="6" w:space="0" w:color="auto"/>
              <w:bottom w:val="nil" w:sz="6" w:space="0" w:color="auto"/>
              <w:right w:val="nil" w:sz="6" w:space="0" w:color="auto"/>
            </w:tcBorders>
          </w:tcPr>
          <w:p>
            <w:pPr>
              <w:pStyle w:val="TableParagraph"/>
              <w:spacing w:line="357" w:lineRule="auto" w:before="74"/>
              <w:ind w:left="114" w:right="65"/>
              <w:jc w:val="left"/>
              <w:rPr>
                <w:rFonts w:ascii="宋体" w:hAnsi="宋体" w:cs="宋体" w:eastAsia="宋体" w:hint="default"/>
                <w:sz w:val="18"/>
                <w:szCs w:val="18"/>
              </w:rPr>
            </w:pPr>
            <w:r>
              <w:rPr>
                <w:rFonts w:ascii="宋体" w:hAnsi="宋体" w:cs="宋体" w:eastAsia="宋体" w:hint="default"/>
                <w:sz w:val="18"/>
                <w:szCs w:val="18"/>
              </w:rPr>
              <w:t>根据预测的收入、 </w:t>
            </w:r>
            <w:r>
              <w:rPr>
                <w:rFonts w:ascii="宋体" w:hAnsi="宋体" w:cs="宋体" w:eastAsia="宋体" w:hint="default"/>
                <w:spacing w:val="-11"/>
                <w:sz w:val="18"/>
                <w:szCs w:val="18"/>
              </w:rPr>
              <w:t>成本、费用等预算</w:t>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103"/>
              <w:ind w:left="394" w:right="0"/>
              <w:jc w:val="left"/>
              <w:rPr>
                <w:rFonts w:ascii="Garamond" w:hAnsi="Garamond" w:cs="Garamond" w:eastAsia="Garamond" w:hint="default"/>
                <w:sz w:val="18"/>
                <w:szCs w:val="18"/>
              </w:rPr>
            </w:pPr>
            <w:r>
              <w:rPr>
                <w:rFonts w:ascii="Garamond"/>
                <w:sz w:val="18"/>
              </w:rPr>
              <w:t>12.87%</w:t>
            </w:r>
          </w:p>
        </w:tc>
      </w:tr>
      <w:tr>
        <w:trPr>
          <w:trHeight w:val="660" w:hRule="exact"/>
        </w:trPr>
        <w:tc>
          <w:tcPr>
            <w:tcW w:w="1748" w:type="dxa"/>
            <w:tcBorders>
              <w:top w:val="nil" w:sz="6" w:space="0" w:color="auto"/>
              <w:left w:val="nil" w:sz="6" w:space="0" w:color="auto"/>
              <w:bottom w:val="nil" w:sz="6" w:space="0" w:color="auto"/>
              <w:right w:val="nil" w:sz="6" w:space="0" w:color="auto"/>
            </w:tcBorders>
          </w:tcPr>
          <w:p>
            <w:pPr>
              <w:pStyle w:val="TableParagraph"/>
              <w:spacing w:line="350" w:lineRule="exact" w:before="4"/>
              <w:ind w:left="200" w:right="105"/>
              <w:jc w:val="left"/>
              <w:rPr>
                <w:rFonts w:ascii="宋体" w:hAnsi="宋体" w:cs="宋体" w:eastAsia="宋体" w:hint="default"/>
                <w:sz w:val="18"/>
                <w:szCs w:val="18"/>
              </w:rPr>
            </w:pPr>
            <w:r>
              <w:rPr>
                <w:rFonts w:ascii="宋体" w:hAnsi="宋体" w:cs="宋体" w:eastAsia="宋体" w:hint="default"/>
                <w:sz w:val="18"/>
                <w:szCs w:val="18"/>
              </w:rPr>
              <w:t>北京数字智通科技 有限公司</w:t>
            </w:r>
          </w:p>
        </w:tc>
        <w:tc>
          <w:tcPr>
            <w:tcW w:w="1715" w:type="dxa"/>
            <w:tcBorders>
              <w:top w:val="nil" w:sz="6" w:space="0" w:color="auto"/>
              <w:left w:val="nil" w:sz="6" w:space="0" w:color="auto"/>
              <w:bottom w:val="nil" w:sz="6" w:space="0" w:color="auto"/>
              <w:right w:val="nil" w:sz="6" w:space="0" w:color="auto"/>
            </w:tcBorders>
          </w:tcPr>
          <w:p>
            <w:pPr>
              <w:pStyle w:val="TableParagraph"/>
              <w:spacing w:line="330" w:lineRule="atLeast" w:before="1"/>
              <w:ind w:left="302" w:right="136" w:hanging="195"/>
              <w:jc w:val="left"/>
              <w:rPr>
                <w:rFonts w:ascii="宋体" w:hAnsi="宋体" w:cs="宋体" w:eastAsia="宋体" w:hint="default"/>
                <w:sz w:val="18"/>
                <w:szCs w:val="18"/>
              </w:rPr>
            </w:pPr>
            <w:r>
              <w:rPr>
                <w:rFonts w:ascii="Garamond" w:hAnsi="Garamond" w:cs="Garamond" w:eastAsia="Garamond" w:hint="default"/>
                <w:sz w:val="18"/>
                <w:szCs w:val="18"/>
              </w:rPr>
              <w:t>2019 </w:t>
            </w:r>
            <w:r>
              <w:rPr>
                <w:rFonts w:ascii="宋体" w:hAnsi="宋体" w:cs="宋体" w:eastAsia="宋体" w:hint="default"/>
                <w:sz w:val="18"/>
                <w:szCs w:val="18"/>
              </w:rPr>
              <w:t>年</w:t>
            </w:r>
            <w:r>
              <w:rPr>
                <w:rFonts w:ascii="Garamond" w:hAnsi="Garamond" w:cs="Garamond" w:eastAsia="Garamond" w:hint="default"/>
                <w:sz w:val="18"/>
                <w:szCs w:val="18"/>
              </w:rPr>
              <w:t>-2023</w:t>
            </w:r>
            <w:r>
              <w:rPr>
                <w:rFonts w:ascii="Garamond" w:hAnsi="Garamond" w:cs="Garamond" w:eastAsia="Garamond" w:hint="default"/>
                <w:spacing w:val="-6"/>
                <w:sz w:val="18"/>
                <w:szCs w:val="18"/>
              </w:rPr>
              <w:t> </w:t>
            </w:r>
            <w:r>
              <w:rPr>
                <w:rFonts w:ascii="宋体" w:hAnsi="宋体" w:cs="宋体" w:eastAsia="宋体" w:hint="default"/>
                <w:spacing w:val="-24"/>
                <w:sz w:val="18"/>
                <w:szCs w:val="18"/>
              </w:rPr>
              <w:t>年（后</w:t>
            </w:r>
            <w:r>
              <w:rPr>
                <w:rFonts w:ascii="宋体" w:hAnsi="宋体" w:cs="宋体" w:eastAsia="宋体" w:hint="default"/>
                <w:sz w:val="18"/>
                <w:szCs w:val="18"/>
              </w:rPr>
              <w:t> 续为稳定期）</w:t>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74"/>
              <w:ind w:right="1"/>
              <w:jc w:val="center"/>
              <w:rPr>
                <w:rFonts w:ascii="Garamond" w:hAnsi="Garamond" w:cs="Garamond" w:eastAsia="Garamond" w:hint="default"/>
                <w:sz w:val="18"/>
                <w:szCs w:val="18"/>
              </w:rPr>
            </w:pPr>
            <w:r>
              <w:rPr>
                <w:rFonts w:ascii="宋体" w:hAnsi="宋体" w:cs="宋体" w:eastAsia="宋体" w:hint="default"/>
                <w:sz w:val="18"/>
                <w:szCs w:val="18"/>
              </w:rPr>
              <w:t>注：</w:t>
            </w:r>
            <w:r>
              <w:rPr>
                <w:rFonts w:ascii="Garamond" w:hAnsi="Garamond" w:cs="Garamond" w:eastAsia="Garamond" w:hint="default"/>
                <w:sz w:val="18"/>
                <w:szCs w:val="18"/>
              </w:rPr>
              <w:t>2</w:t>
            </w:r>
          </w:p>
        </w:tc>
        <w:tc>
          <w:tcPr>
            <w:tcW w:w="1337" w:type="dxa"/>
            <w:tcBorders>
              <w:top w:val="nil" w:sz="6" w:space="0" w:color="auto"/>
              <w:left w:val="nil" w:sz="6" w:space="0" w:color="auto"/>
              <w:bottom w:val="nil" w:sz="6" w:space="0" w:color="auto"/>
              <w:right w:val="nil" w:sz="6" w:space="0" w:color="auto"/>
            </w:tcBorders>
          </w:tcPr>
          <w:p>
            <w:pPr>
              <w:pStyle w:val="TableParagraph"/>
              <w:spacing w:line="240" w:lineRule="auto" w:before="74"/>
              <w:ind w:left="411" w:right="0"/>
              <w:jc w:val="left"/>
              <w:rPr>
                <w:rFonts w:ascii="宋体" w:hAnsi="宋体" w:cs="宋体" w:eastAsia="宋体" w:hint="default"/>
                <w:sz w:val="18"/>
                <w:szCs w:val="18"/>
              </w:rPr>
            </w:pPr>
            <w:r>
              <w:rPr>
                <w:rFonts w:ascii="宋体" w:hAnsi="宋体" w:cs="宋体" w:eastAsia="宋体" w:hint="default"/>
                <w:sz w:val="18"/>
                <w:szCs w:val="18"/>
              </w:rPr>
              <w:t>不增长</w:t>
            </w:r>
          </w:p>
        </w:tc>
        <w:tc>
          <w:tcPr>
            <w:tcW w:w="1621" w:type="dxa"/>
            <w:tcBorders>
              <w:top w:val="nil" w:sz="6" w:space="0" w:color="auto"/>
              <w:left w:val="nil" w:sz="6" w:space="0" w:color="auto"/>
              <w:bottom w:val="nil" w:sz="6" w:space="0" w:color="auto"/>
              <w:right w:val="nil" w:sz="6" w:space="0" w:color="auto"/>
            </w:tcBorders>
          </w:tcPr>
          <w:p>
            <w:pPr>
              <w:pStyle w:val="TableParagraph"/>
              <w:spacing w:line="350" w:lineRule="exact" w:before="4"/>
              <w:ind w:left="114" w:right="65"/>
              <w:jc w:val="left"/>
              <w:rPr>
                <w:rFonts w:ascii="宋体" w:hAnsi="宋体" w:cs="宋体" w:eastAsia="宋体" w:hint="default"/>
                <w:sz w:val="18"/>
                <w:szCs w:val="18"/>
              </w:rPr>
            </w:pPr>
            <w:r>
              <w:rPr>
                <w:rFonts w:ascii="宋体" w:hAnsi="宋体" w:cs="宋体" w:eastAsia="宋体" w:hint="default"/>
                <w:sz w:val="18"/>
                <w:szCs w:val="18"/>
              </w:rPr>
              <w:t>根据预测的收入、 </w:t>
            </w:r>
            <w:r>
              <w:rPr>
                <w:rFonts w:ascii="宋体" w:hAnsi="宋体" w:cs="宋体" w:eastAsia="宋体" w:hint="default"/>
                <w:spacing w:val="-11"/>
                <w:sz w:val="18"/>
                <w:szCs w:val="18"/>
              </w:rPr>
              <w:t>成本、费用等预算</w:t>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394" w:right="0"/>
              <w:jc w:val="left"/>
              <w:rPr>
                <w:rFonts w:ascii="Garamond" w:hAnsi="Garamond" w:cs="Garamond" w:eastAsia="Garamond" w:hint="default"/>
                <w:sz w:val="18"/>
                <w:szCs w:val="18"/>
              </w:rPr>
            </w:pPr>
            <w:r>
              <w:rPr>
                <w:rFonts w:ascii="Garamond"/>
                <w:sz w:val="18"/>
              </w:rPr>
              <w:t>13.11%</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spacing w:line="326" w:lineRule="auto" w:before="44"/>
        <w:ind w:left="192" w:right="1130" w:firstLine="0"/>
        <w:jc w:val="both"/>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71"/>
          <w:sz w:val="18"/>
          <w:szCs w:val="18"/>
        </w:rPr>
        <w:t> </w:t>
      </w:r>
      <w:r>
        <w:rPr>
          <w:rFonts w:ascii="Garamond" w:hAnsi="Garamond" w:cs="Garamond" w:eastAsia="Garamond" w:hint="default"/>
          <w:sz w:val="18"/>
          <w:szCs w:val="18"/>
        </w:rPr>
        <w:t>1</w:t>
      </w:r>
      <w:r>
        <w:rPr>
          <w:rFonts w:ascii="宋体" w:hAnsi="宋体" w:cs="宋体" w:eastAsia="宋体" w:hint="default"/>
          <w:sz w:val="18"/>
          <w:szCs w:val="18"/>
        </w:rPr>
        <w:t>：根据保定金迪地下管线探测工程有限公司已签订的合同、历年经营趋势、市场竞争等因素的综合分析，对未来五年的 主营业务收入及其相关的成本、费用、利润忽略经营的波动性进行预测，预计</w:t>
      </w:r>
      <w:r>
        <w:rPr>
          <w:rFonts w:ascii="宋体" w:hAnsi="宋体" w:cs="宋体" w:eastAsia="宋体" w:hint="default"/>
          <w:spacing w:val="-36"/>
          <w:sz w:val="18"/>
          <w:szCs w:val="18"/>
        </w:rPr>
        <w:t> </w:t>
      </w:r>
      <w:r>
        <w:rPr>
          <w:rFonts w:ascii="Garamond" w:hAnsi="Garamond" w:cs="Garamond" w:eastAsia="Garamond" w:hint="default"/>
          <w:sz w:val="18"/>
          <w:szCs w:val="18"/>
        </w:rPr>
        <w:t>2019</w:t>
      </w:r>
      <w:r>
        <w:rPr>
          <w:rFonts w:ascii="Garamond" w:hAnsi="Garamond" w:cs="Garamond" w:eastAsia="Garamond" w:hint="default"/>
          <w:spacing w:val="7"/>
          <w:sz w:val="18"/>
          <w:szCs w:val="18"/>
        </w:rPr>
        <w:t> </w:t>
      </w:r>
      <w:r>
        <w:rPr>
          <w:rFonts w:ascii="宋体" w:hAnsi="宋体" w:cs="宋体" w:eastAsia="宋体" w:hint="default"/>
          <w:sz w:val="18"/>
          <w:szCs w:val="18"/>
        </w:rPr>
        <w:t>年至</w:t>
      </w:r>
      <w:r>
        <w:rPr>
          <w:rFonts w:ascii="宋体" w:hAnsi="宋体" w:cs="宋体" w:eastAsia="宋体" w:hint="default"/>
          <w:spacing w:val="-37"/>
          <w:sz w:val="18"/>
          <w:szCs w:val="18"/>
        </w:rPr>
        <w:t> </w:t>
      </w:r>
      <w:r>
        <w:rPr>
          <w:rFonts w:ascii="Garamond" w:hAnsi="Garamond" w:cs="Garamond" w:eastAsia="Garamond" w:hint="default"/>
          <w:sz w:val="18"/>
          <w:szCs w:val="18"/>
        </w:rPr>
        <w:t>2023</w:t>
      </w:r>
      <w:r>
        <w:rPr>
          <w:rFonts w:ascii="Garamond" w:hAnsi="Garamond" w:cs="Garamond" w:eastAsia="Garamond" w:hint="default"/>
          <w:spacing w:val="7"/>
          <w:sz w:val="18"/>
          <w:szCs w:val="18"/>
        </w:rPr>
        <w:t> </w:t>
      </w:r>
      <w:r>
        <w:rPr>
          <w:rFonts w:ascii="宋体" w:hAnsi="宋体" w:cs="宋体" w:eastAsia="宋体" w:hint="default"/>
          <w:sz w:val="18"/>
          <w:szCs w:val="18"/>
        </w:rPr>
        <w:t>年的销售增长率分别为</w:t>
      </w:r>
      <w:r>
        <w:rPr>
          <w:rFonts w:ascii="宋体" w:hAnsi="宋体" w:cs="宋体" w:eastAsia="宋体" w:hint="default"/>
          <w:spacing w:val="-37"/>
          <w:sz w:val="18"/>
          <w:szCs w:val="18"/>
        </w:rPr>
        <w:t> </w:t>
      </w:r>
      <w:r>
        <w:rPr>
          <w:rFonts w:ascii="Garamond" w:hAnsi="Garamond" w:cs="Garamond" w:eastAsia="Garamond" w:hint="default"/>
          <w:sz w:val="18"/>
          <w:szCs w:val="18"/>
        </w:rPr>
        <w:t>3%</w:t>
      </w:r>
      <w:r>
        <w:rPr>
          <w:rFonts w:ascii="宋体" w:hAnsi="宋体" w:cs="宋体" w:eastAsia="宋体" w:hint="default"/>
          <w:sz w:val="18"/>
          <w:szCs w:val="18"/>
        </w:rPr>
        <w:t>、 </w:t>
      </w:r>
      <w:r>
        <w:rPr>
          <w:rFonts w:ascii="Garamond" w:hAnsi="Garamond" w:cs="Garamond" w:eastAsia="Garamond" w:hint="default"/>
          <w:sz w:val="18"/>
          <w:szCs w:val="18"/>
        </w:rPr>
        <w:t>5%</w:t>
      </w:r>
      <w:r>
        <w:rPr>
          <w:rFonts w:ascii="宋体" w:hAnsi="宋体" w:cs="宋体" w:eastAsia="宋体" w:hint="default"/>
          <w:sz w:val="18"/>
          <w:szCs w:val="18"/>
        </w:rPr>
        <w:t>、</w:t>
      </w:r>
      <w:r>
        <w:rPr>
          <w:rFonts w:ascii="Garamond" w:hAnsi="Garamond" w:cs="Garamond" w:eastAsia="Garamond" w:hint="default"/>
          <w:sz w:val="18"/>
          <w:szCs w:val="18"/>
        </w:rPr>
        <w:t>5%</w:t>
      </w:r>
      <w:r>
        <w:rPr>
          <w:rFonts w:ascii="宋体" w:hAnsi="宋体" w:cs="宋体" w:eastAsia="宋体" w:hint="default"/>
          <w:sz w:val="18"/>
          <w:szCs w:val="18"/>
        </w:rPr>
        <w:t>、</w:t>
      </w:r>
      <w:r>
        <w:rPr>
          <w:rFonts w:ascii="Garamond" w:hAnsi="Garamond" w:cs="Garamond" w:eastAsia="Garamond" w:hint="default"/>
          <w:sz w:val="18"/>
          <w:szCs w:val="18"/>
        </w:rPr>
        <w:t>5%</w:t>
      </w:r>
      <w:r>
        <w:rPr>
          <w:rFonts w:ascii="宋体" w:hAnsi="宋体" w:cs="宋体" w:eastAsia="宋体" w:hint="default"/>
          <w:sz w:val="18"/>
          <w:szCs w:val="18"/>
        </w:rPr>
        <w:t>、</w:t>
      </w:r>
      <w:r>
        <w:rPr>
          <w:rFonts w:ascii="Garamond" w:hAnsi="Garamond" w:cs="Garamond" w:eastAsia="Garamond" w:hint="default"/>
          <w:sz w:val="18"/>
          <w:szCs w:val="18"/>
        </w:rPr>
        <w:t>5%</w:t>
      </w:r>
      <w:r>
        <w:rPr>
          <w:rFonts w:ascii="宋体" w:hAnsi="宋体" w:cs="宋体" w:eastAsia="宋体" w:hint="default"/>
          <w:sz w:val="18"/>
          <w:szCs w:val="18"/>
        </w:rPr>
        <w:t>。</w:t>
      </w:r>
    </w:p>
    <w:p>
      <w:pPr>
        <w:spacing w:line="326" w:lineRule="auto" w:before="60"/>
        <w:ind w:left="192" w:right="1034" w:firstLine="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55"/>
          <w:sz w:val="18"/>
          <w:szCs w:val="18"/>
        </w:rPr>
        <w:t> </w:t>
      </w:r>
      <w:r>
        <w:rPr>
          <w:rFonts w:ascii="Garamond" w:hAnsi="Garamond" w:cs="Garamond" w:eastAsia="Garamond" w:hint="default"/>
          <w:sz w:val="18"/>
          <w:szCs w:val="18"/>
        </w:rPr>
        <w:t>2</w:t>
      </w:r>
      <w:r>
        <w:rPr>
          <w:rFonts w:ascii="宋体" w:hAnsi="宋体" w:cs="宋体" w:eastAsia="宋体" w:hint="default"/>
          <w:sz w:val="18"/>
          <w:szCs w:val="18"/>
        </w:rPr>
        <w:t>：根据北京数字智通科技有限公司历史年度的经营状况、未来的战略规划、市场营销计划以及对预测期经营业绩的预算 </w:t>
      </w:r>
      <w:r>
        <w:rPr>
          <w:rFonts w:ascii="宋体" w:hAnsi="宋体" w:cs="宋体" w:eastAsia="宋体" w:hint="default"/>
          <w:spacing w:val="-4"/>
          <w:sz w:val="18"/>
          <w:szCs w:val="18"/>
        </w:rPr>
        <w:t>等，对北京数字智通科技有限公司未来五年的销售收入增长率进行了预测，预计</w:t>
      </w:r>
      <w:r>
        <w:rPr>
          <w:rFonts w:ascii="宋体" w:hAnsi="宋体" w:cs="宋体" w:eastAsia="宋体" w:hint="default"/>
          <w:spacing w:val="-43"/>
          <w:sz w:val="18"/>
          <w:szCs w:val="18"/>
        </w:rPr>
        <w:t> </w:t>
      </w:r>
      <w:r>
        <w:rPr>
          <w:rFonts w:ascii="Garamond" w:hAnsi="Garamond" w:cs="Garamond" w:eastAsia="Garamond" w:hint="default"/>
          <w:sz w:val="18"/>
          <w:szCs w:val="18"/>
        </w:rPr>
        <w:t>2019 </w:t>
      </w:r>
      <w:r>
        <w:rPr>
          <w:rFonts w:ascii="宋体" w:hAnsi="宋体" w:cs="宋体" w:eastAsia="宋体" w:hint="default"/>
          <w:sz w:val="18"/>
          <w:szCs w:val="18"/>
        </w:rPr>
        <w:t>年至</w:t>
      </w:r>
      <w:r>
        <w:rPr>
          <w:rFonts w:ascii="宋体" w:hAnsi="宋体" w:cs="宋体" w:eastAsia="宋体" w:hint="default"/>
          <w:spacing w:val="-45"/>
          <w:sz w:val="18"/>
          <w:szCs w:val="18"/>
        </w:rPr>
        <w:t> </w:t>
      </w:r>
      <w:r>
        <w:rPr>
          <w:rFonts w:ascii="Garamond" w:hAnsi="Garamond" w:cs="Garamond" w:eastAsia="Garamond" w:hint="default"/>
          <w:sz w:val="18"/>
          <w:szCs w:val="18"/>
        </w:rPr>
        <w:t>2023 </w:t>
      </w:r>
      <w:r>
        <w:rPr>
          <w:rFonts w:ascii="宋体" w:hAnsi="宋体" w:cs="宋体" w:eastAsia="宋体" w:hint="default"/>
          <w:sz w:val="18"/>
          <w:szCs w:val="18"/>
        </w:rPr>
        <w:t>年的销售增长率分别为</w:t>
      </w:r>
      <w:r>
        <w:rPr>
          <w:rFonts w:ascii="宋体" w:hAnsi="宋体" w:cs="宋体" w:eastAsia="宋体" w:hint="default"/>
          <w:spacing w:val="-44"/>
          <w:sz w:val="18"/>
          <w:szCs w:val="18"/>
        </w:rPr>
        <w:t> </w:t>
      </w:r>
      <w:r>
        <w:rPr>
          <w:rFonts w:ascii="Garamond" w:hAnsi="Garamond" w:cs="Garamond" w:eastAsia="Garamond" w:hint="default"/>
          <w:sz w:val="18"/>
          <w:szCs w:val="18"/>
        </w:rPr>
        <w:t>15%</w:t>
      </w:r>
      <w:r>
        <w:rPr>
          <w:rFonts w:ascii="宋体" w:hAnsi="宋体" w:cs="宋体" w:eastAsia="宋体" w:hint="default"/>
          <w:sz w:val="18"/>
          <w:szCs w:val="18"/>
        </w:rPr>
        <w:t>、 </w:t>
      </w:r>
      <w:r>
        <w:rPr>
          <w:rFonts w:ascii="Garamond" w:hAnsi="Garamond" w:cs="Garamond" w:eastAsia="Garamond" w:hint="default"/>
          <w:sz w:val="18"/>
          <w:szCs w:val="18"/>
        </w:rPr>
        <w:t>10%</w:t>
      </w:r>
      <w:r>
        <w:rPr>
          <w:rFonts w:ascii="宋体" w:hAnsi="宋体" w:cs="宋体" w:eastAsia="宋体" w:hint="default"/>
          <w:sz w:val="18"/>
          <w:szCs w:val="18"/>
        </w:rPr>
        <w:t>、</w:t>
      </w:r>
      <w:r>
        <w:rPr>
          <w:rFonts w:ascii="Garamond" w:hAnsi="Garamond" w:cs="Garamond" w:eastAsia="Garamond" w:hint="default"/>
          <w:sz w:val="18"/>
          <w:szCs w:val="18"/>
        </w:rPr>
        <w:t>7%</w:t>
      </w:r>
      <w:r>
        <w:rPr>
          <w:rFonts w:ascii="宋体" w:hAnsi="宋体" w:cs="宋体" w:eastAsia="宋体" w:hint="default"/>
          <w:sz w:val="18"/>
          <w:szCs w:val="18"/>
        </w:rPr>
        <w:t>、</w:t>
      </w:r>
      <w:r>
        <w:rPr>
          <w:rFonts w:ascii="Garamond" w:hAnsi="Garamond" w:cs="Garamond" w:eastAsia="Garamond" w:hint="default"/>
          <w:sz w:val="18"/>
          <w:szCs w:val="18"/>
        </w:rPr>
        <w:t>7%</w:t>
      </w:r>
      <w:r>
        <w:rPr>
          <w:rFonts w:ascii="宋体" w:hAnsi="宋体" w:cs="宋体" w:eastAsia="宋体" w:hint="default"/>
          <w:sz w:val="18"/>
          <w:szCs w:val="18"/>
        </w:rPr>
        <w:t>、</w:t>
      </w:r>
      <w:r>
        <w:rPr>
          <w:rFonts w:ascii="Garamond" w:hAnsi="Garamond" w:cs="Garamond" w:eastAsia="Garamond" w:hint="default"/>
          <w:sz w:val="18"/>
          <w:szCs w:val="18"/>
        </w:rPr>
        <w:t>7%</w:t>
      </w:r>
      <w:r>
        <w:rPr>
          <w:rFonts w:ascii="宋体" w:hAnsi="宋体" w:cs="宋体" w:eastAsia="宋体" w:hint="default"/>
          <w:sz w:val="18"/>
          <w:szCs w:val="18"/>
        </w:rPr>
        <w:t>。</w:t>
      </w:r>
    </w:p>
    <w:p>
      <w:pPr>
        <w:spacing w:line="240" w:lineRule="auto" w:before="0"/>
        <w:rPr>
          <w:rFonts w:ascii="宋体" w:hAnsi="宋体" w:cs="宋体" w:eastAsia="宋体" w:hint="default"/>
          <w:sz w:val="20"/>
          <w:szCs w:val="20"/>
        </w:rPr>
      </w:pPr>
    </w:p>
    <w:p>
      <w:pPr>
        <w:spacing w:before="142"/>
        <w:ind w:left="192" w:right="1034" w:firstLine="0"/>
        <w:jc w:val="left"/>
        <w:rPr>
          <w:rFonts w:ascii="宋体" w:hAnsi="宋体" w:cs="宋体" w:eastAsia="宋体" w:hint="default"/>
          <w:sz w:val="18"/>
          <w:szCs w:val="18"/>
        </w:rPr>
      </w:pPr>
      <w:r>
        <w:rPr>
          <w:rFonts w:ascii="Garamond" w:hAnsi="Garamond" w:cs="Garamond" w:eastAsia="Garamond" w:hint="default"/>
          <w:sz w:val="21"/>
          <w:szCs w:val="21"/>
        </w:rPr>
        <w:t>(3)</w:t>
      </w:r>
      <w:r>
        <w:rPr>
          <w:rFonts w:ascii="Garamond" w:hAnsi="Garamond" w:cs="Garamond" w:eastAsia="Garamond" w:hint="default"/>
          <w:spacing w:val="51"/>
          <w:sz w:val="21"/>
          <w:szCs w:val="21"/>
        </w:rPr>
        <w:t> </w:t>
      </w:r>
      <w:r>
        <w:rPr>
          <w:rFonts w:ascii="宋体" w:hAnsi="宋体" w:cs="宋体" w:eastAsia="宋体" w:hint="default"/>
          <w:sz w:val="18"/>
          <w:szCs w:val="18"/>
        </w:rPr>
        <w:t>商誉减值测试的影响</w:t>
      </w:r>
    </w:p>
    <w:p>
      <w:pPr>
        <w:spacing w:before="85"/>
        <w:ind w:left="192" w:right="1034" w:firstLine="0"/>
        <w:jc w:val="left"/>
        <w:rPr>
          <w:rFonts w:ascii="宋体" w:hAnsi="宋体" w:cs="宋体" w:eastAsia="宋体" w:hint="default"/>
          <w:sz w:val="18"/>
          <w:szCs w:val="18"/>
        </w:rPr>
      </w:pPr>
      <w:r>
        <w:rPr>
          <w:rFonts w:ascii="Garamond" w:hAnsi="Garamond" w:cs="Garamond" w:eastAsia="Garamond" w:hint="default"/>
          <w:sz w:val="18"/>
          <w:szCs w:val="18"/>
        </w:rPr>
        <w:t>1</w:t>
      </w:r>
      <w:r>
        <w:rPr>
          <w:rFonts w:ascii="宋体" w:hAnsi="宋体" w:cs="宋体" w:eastAsia="宋体" w:hint="default"/>
          <w:sz w:val="18"/>
          <w:szCs w:val="18"/>
        </w:rPr>
        <w:t>）</w:t>
      </w:r>
      <w:r>
        <w:rPr>
          <w:rFonts w:ascii="宋体" w:hAnsi="宋体" w:cs="宋体" w:eastAsia="宋体" w:hint="default"/>
          <w:spacing w:val="5"/>
          <w:sz w:val="18"/>
          <w:szCs w:val="18"/>
        </w:rPr>
        <w:t> </w:t>
      </w:r>
      <w:r>
        <w:rPr>
          <w:rFonts w:ascii="宋体" w:hAnsi="宋体" w:cs="宋体" w:eastAsia="宋体" w:hint="default"/>
          <w:sz w:val="18"/>
          <w:szCs w:val="18"/>
        </w:rPr>
        <w:t>保定金迪地下管线探测工程有限公司业绩承诺完成情况</w:t>
      </w:r>
    </w:p>
    <w:p>
      <w:pPr>
        <w:spacing w:line="240" w:lineRule="auto" w:before="6"/>
        <w:rPr>
          <w:rFonts w:ascii="宋体" w:hAnsi="宋体" w:cs="宋体" w:eastAsia="宋体" w:hint="default"/>
          <w:sz w:val="14"/>
          <w:szCs w:val="14"/>
        </w:rPr>
      </w:pPr>
    </w:p>
    <w:tbl>
      <w:tblPr>
        <w:tblW w:w="0" w:type="auto"/>
        <w:jc w:val="left"/>
        <w:tblInd w:w="108" w:type="dxa"/>
        <w:tblLayout w:type="fixed"/>
        <w:tblCellMar>
          <w:top w:w="0" w:type="dxa"/>
          <w:left w:w="0" w:type="dxa"/>
          <w:bottom w:w="0" w:type="dxa"/>
          <w:right w:w="0" w:type="dxa"/>
        </w:tblCellMar>
        <w:tblLook w:val="01E0"/>
      </w:tblPr>
      <w:tblGrid>
        <w:gridCol w:w="1778"/>
        <w:gridCol w:w="3761"/>
        <w:gridCol w:w="3306"/>
      </w:tblGrid>
      <w:tr>
        <w:trPr>
          <w:trHeight w:val="305" w:hRule="exact"/>
        </w:trPr>
        <w:tc>
          <w:tcPr>
            <w:tcW w:w="1778" w:type="dxa"/>
            <w:tcBorders>
              <w:top w:val="nil" w:sz="6" w:space="0" w:color="auto"/>
              <w:left w:val="nil" w:sz="6" w:space="0" w:color="auto"/>
              <w:bottom w:val="nil" w:sz="6" w:space="0" w:color="auto"/>
              <w:right w:val="nil" w:sz="6" w:space="0" w:color="auto"/>
            </w:tcBorders>
          </w:tcPr>
          <w:p>
            <w:pPr>
              <w:pStyle w:val="TableParagraph"/>
              <w:spacing w:line="180" w:lineRule="exact"/>
              <w:ind w:left="200" w:right="0"/>
              <w:jc w:val="left"/>
              <w:rPr>
                <w:rFonts w:ascii="宋体" w:hAnsi="宋体" w:cs="宋体" w:eastAsia="宋体" w:hint="default"/>
                <w:sz w:val="18"/>
                <w:szCs w:val="18"/>
              </w:rPr>
            </w:pPr>
            <w:r>
              <w:rPr>
                <w:rFonts w:ascii="宋体" w:hAnsi="宋体" w:cs="宋体" w:eastAsia="宋体" w:hint="default"/>
                <w:sz w:val="18"/>
                <w:szCs w:val="18"/>
              </w:rPr>
              <w:t>考核期</w:t>
            </w:r>
          </w:p>
        </w:tc>
        <w:tc>
          <w:tcPr>
            <w:tcW w:w="3761" w:type="dxa"/>
            <w:tcBorders>
              <w:top w:val="nil" w:sz="6" w:space="0" w:color="auto"/>
              <w:left w:val="nil" w:sz="6" w:space="0" w:color="auto"/>
              <w:bottom w:val="nil" w:sz="6" w:space="0" w:color="auto"/>
              <w:right w:val="nil" w:sz="6" w:space="0" w:color="auto"/>
            </w:tcBorders>
          </w:tcPr>
          <w:p>
            <w:pPr>
              <w:pStyle w:val="TableParagraph"/>
              <w:spacing w:line="180" w:lineRule="exact"/>
              <w:ind w:left="789" w:right="0"/>
              <w:jc w:val="center"/>
              <w:rPr>
                <w:rFonts w:ascii="宋体" w:hAnsi="宋体" w:cs="宋体" w:eastAsia="宋体" w:hint="default"/>
                <w:sz w:val="18"/>
                <w:szCs w:val="18"/>
              </w:rPr>
            </w:pPr>
            <w:r>
              <w:rPr>
                <w:rFonts w:ascii="宋体" w:hAnsi="宋体" w:cs="宋体" w:eastAsia="宋体" w:hint="default"/>
                <w:sz w:val="18"/>
                <w:szCs w:val="18"/>
              </w:rPr>
              <w:t>承诺金额（扣除非经常性损益）</w:t>
            </w:r>
          </w:p>
        </w:tc>
        <w:tc>
          <w:tcPr>
            <w:tcW w:w="3306" w:type="dxa"/>
            <w:tcBorders>
              <w:top w:val="nil" w:sz="6" w:space="0" w:color="auto"/>
              <w:left w:val="nil" w:sz="6" w:space="0" w:color="auto"/>
              <w:bottom w:val="nil" w:sz="6" w:space="0" w:color="auto"/>
              <w:right w:val="nil" w:sz="6" w:space="0" w:color="auto"/>
            </w:tcBorders>
          </w:tcPr>
          <w:p>
            <w:pPr>
              <w:pStyle w:val="TableParagraph"/>
              <w:spacing w:line="180" w:lineRule="exact"/>
              <w:ind w:left="25" w:right="0"/>
              <w:jc w:val="center"/>
              <w:rPr>
                <w:rFonts w:ascii="宋体" w:hAnsi="宋体" w:cs="宋体" w:eastAsia="宋体" w:hint="default"/>
                <w:sz w:val="18"/>
                <w:szCs w:val="18"/>
              </w:rPr>
            </w:pPr>
            <w:r>
              <w:rPr>
                <w:rFonts w:ascii="宋体" w:hAnsi="宋体" w:cs="宋体" w:eastAsia="宋体" w:hint="default"/>
                <w:sz w:val="18"/>
                <w:szCs w:val="18"/>
              </w:rPr>
              <w:t>实现金额（扣除非经常性损益金额）</w:t>
            </w:r>
          </w:p>
        </w:tc>
      </w:tr>
      <w:tr>
        <w:trPr>
          <w:trHeight w:val="438" w:hRule="exact"/>
        </w:trPr>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00" w:right="0"/>
              <w:jc w:val="left"/>
              <w:rPr>
                <w:rFonts w:ascii="宋体" w:hAnsi="宋体" w:cs="宋体" w:eastAsia="宋体" w:hint="default"/>
                <w:sz w:val="18"/>
                <w:szCs w:val="18"/>
              </w:rPr>
            </w:pPr>
            <w:r>
              <w:rPr>
                <w:rFonts w:ascii="Garamond" w:hAnsi="Garamond" w:cs="Garamond" w:eastAsia="Garamond" w:hint="default"/>
                <w:sz w:val="18"/>
                <w:szCs w:val="18"/>
              </w:rPr>
              <w:t>2017</w:t>
            </w:r>
            <w:r>
              <w:rPr>
                <w:rFonts w:ascii="Garamond" w:hAnsi="Garamond" w:cs="Garamond" w:eastAsia="Garamond" w:hint="default"/>
                <w:spacing w:val="-3"/>
                <w:sz w:val="18"/>
                <w:szCs w:val="18"/>
              </w:rPr>
              <w:t> </w:t>
            </w:r>
            <w:r>
              <w:rPr>
                <w:rFonts w:ascii="宋体" w:hAnsi="宋体" w:cs="宋体" w:eastAsia="宋体" w:hint="default"/>
                <w:sz w:val="18"/>
                <w:szCs w:val="18"/>
              </w:rPr>
              <w:t>年</w:t>
            </w:r>
          </w:p>
        </w:tc>
        <w:tc>
          <w:tcPr>
            <w:tcW w:w="3761" w:type="dxa"/>
            <w:tcBorders>
              <w:top w:val="nil" w:sz="6" w:space="0" w:color="auto"/>
              <w:left w:val="nil" w:sz="6" w:space="0" w:color="auto"/>
              <w:bottom w:val="nil" w:sz="6" w:space="0" w:color="auto"/>
              <w:right w:val="nil" w:sz="6" w:space="0" w:color="auto"/>
            </w:tcBorders>
          </w:tcPr>
          <w:p>
            <w:pPr>
              <w:pStyle w:val="TableParagraph"/>
              <w:spacing w:line="240" w:lineRule="auto" w:before="69"/>
              <w:ind w:left="787" w:right="0"/>
              <w:jc w:val="center"/>
              <w:rPr>
                <w:rFonts w:ascii="宋体" w:hAnsi="宋体" w:cs="宋体" w:eastAsia="宋体" w:hint="default"/>
                <w:sz w:val="18"/>
                <w:szCs w:val="18"/>
              </w:rPr>
            </w:pPr>
            <w:r>
              <w:rPr>
                <w:rFonts w:ascii="Garamond" w:hAnsi="Garamond" w:cs="Garamond" w:eastAsia="Garamond" w:hint="default"/>
                <w:sz w:val="18"/>
                <w:szCs w:val="18"/>
              </w:rPr>
              <w:t>5,000.00</w:t>
            </w:r>
            <w:r>
              <w:rPr>
                <w:rFonts w:ascii="Garamond" w:hAnsi="Garamond" w:cs="Garamond" w:eastAsia="Garamond" w:hint="default"/>
                <w:spacing w:val="-3"/>
                <w:sz w:val="18"/>
                <w:szCs w:val="18"/>
              </w:rPr>
              <w:t> </w:t>
            </w:r>
            <w:r>
              <w:rPr>
                <w:rFonts w:ascii="宋体" w:hAnsi="宋体" w:cs="宋体" w:eastAsia="宋体" w:hint="default"/>
                <w:sz w:val="18"/>
                <w:szCs w:val="18"/>
              </w:rPr>
              <w:t>万</w:t>
            </w:r>
          </w:p>
        </w:tc>
        <w:tc>
          <w:tcPr>
            <w:tcW w:w="3306"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3" w:right="0"/>
              <w:jc w:val="center"/>
              <w:rPr>
                <w:rFonts w:ascii="宋体" w:hAnsi="宋体" w:cs="宋体" w:eastAsia="宋体" w:hint="default"/>
                <w:sz w:val="18"/>
                <w:szCs w:val="18"/>
              </w:rPr>
            </w:pPr>
            <w:r>
              <w:rPr>
                <w:rFonts w:ascii="Garamond" w:hAnsi="Garamond" w:cs="Garamond" w:eastAsia="Garamond" w:hint="default"/>
                <w:sz w:val="18"/>
                <w:szCs w:val="18"/>
              </w:rPr>
              <w:t>6,371.59</w:t>
            </w:r>
            <w:r>
              <w:rPr>
                <w:rFonts w:ascii="Garamond" w:hAnsi="Garamond" w:cs="Garamond" w:eastAsia="Garamond" w:hint="default"/>
                <w:spacing w:val="-3"/>
                <w:sz w:val="18"/>
                <w:szCs w:val="18"/>
              </w:rPr>
              <w:t> </w:t>
            </w:r>
            <w:r>
              <w:rPr>
                <w:rFonts w:ascii="宋体" w:hAnsi="宋体" w:cs="宋体" w:eastAsia="宋体" w:hint="default"/>
                <w:sz w:val="18"/>
                <w:szCs w:val="18"/>
              </w:rPr>
              <w:t>万</w:t>
            </w:r>
          </w:p>
        </w:tc>
      </w:tr>
      <w:tr>
        <w:trPr>
          <w:trHeight w:val="313" w:hRule="exact"/>
        </w:trPr>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00" w:right="0"/>
              <w:jc w:val="left"/>
              <w:rPr>
                <w:rFonts w:ascii="宋体" w:hAnsi="宋体" w:cs="宋体" w:eastAsia="宋体" w:hint="default"/>
                <w:sz w:val="18"/>
                <w:szCs w:val="18"/>
              </w:rPr>
            </w:pPr>
            <w:r>
              <w:rPr>
                <w:rFonts w:ascii="Garamond" w:hAnsi="Garamond" w:cs="Garamond" w:eastAsia="Garamond" w:hint="default"/>
                <w:sz w:val="18"/>
                <w:szCs w:val="18"/>
              </w:rPr>
              <w:t>2018</w:t>
            </w:r>
            <w:r>
              <w:rPr>
                <w:rFonts w:ascii="Garamond" w:hAnsi="Garamond" w:cs="Garamond" w:eastAsia="Garamond" w:hint="default"/>
                <w:spacing w:val="-3"/>
                <w:sz w:val="18"/>
                <w:szCs w:val="18"/>
              </w:rPr>
              <w:t> </w:t>
            </w:r>
            <w:r>
              <w:rPr>
                <w:rFonts w:ascii="宋体" w:hAnsi="宋体" w:cs="宋体" w:eastAsia="宋体" w:hint="default"/>
                <w:sz w:val="18"/>
                <w:szCs w:val="18"/>
              </w:rPr>
              <w:t>年</w:t>
            </w:r>
          </w:p>
        </w:tc>
        <w:tc>
          <w:tcPr>
            <w:tcW w:w="3761" w:type="dxa"/>
            <w:tcBorders>
              <w:top w:val="nil" w:sz="6" w:space="0" w:color="auto"/>
              <w:left w:val="nil" w:sz="6" w:space="0" w:color="auto"/>
              <w:bottom w:val="nil" w:sz="6" w:space="0" w:color="auto"/>
              <w:right w:val="nil" w:sz="6" w:space="0" w:color="auto"/>
            </w:tcBorders>
          </w:tcPr>
          <w:p>
            <w:pPr>
              <w:pStyle w:val="TableParagraph"/>
              <w:spacing w:line="240" w:lineRule="auto" w:before="61"/>
              <w:ind w:left="787" w:right="0"/>
              <w:jc w:val="center"/>
              <w:rPr>
                <w:rFonts w:ascii="宋体" w:hAnsi="宋体" w:cs="宋体" w:eastAsia="宋体" w:hint="default"/>
                <w:sz w:val="18"/>
                <w:szCs w:val="18"/>
              </w:rPr>
            </w:pPr>
            <w:r>
              <w:rPr>
                <w:rFonts w:ascii="Garamond" w:hAnsi="Garamond" w:cs="Garamond" w:eastAsia="Garamond" w:hint="default"/>
                <w:sz w:val="18"/>
                <w:szCs w:val="18"/>
              </w:rPr>
              <w:t>6,000.00</w:t>
            </w:r>
            <w:r>
              <w:rPr>
                <w:rFonts w:ascii="Garamond" w:hAnsi="Garamond" w:cs="Garamond" w:eastAsia="Garamond" w:hint="default"/>
                <w:spacing w:val="-3"/>
                <w:sz w:val="18"/>
                <w:szCs w:val="18"/>
              </w:rPr>
              <w:t> </w:t>
            </w:r>
            <w:r>
              <w:rPr>
                <w:rFonts w:ascii="宋体" w:hAnsi="宋体" w:cs="宋体" w:eastAsia="宋体" w:hint="default"/>
                <w:sz w:val="18"/>
                <w:szCs w:val="18"/>
              </w:rPr>
              <w:t>万</w:t>
            </w:r>
          </w:p>
        </w:tc>
        <w:tc>
          <w:tcPr>
            <w:tcW w:w="3306" w:type="dxa"/>
            <w:tcBorders>
              <w:top w:val="nil" w:sz="6" w:space="0" w:color="auto"/>
              <w:left w:val="nil" w:sz="6" w:space="0" w:color="auto"/>
              <w:bottom w:val="nil" w:sz="6" w:space="0" w:color="auto"/>
              <w:right w:val="nil" w:sz="6" w:space="0" w:color="auto"/>
            </w:tcBorders>
          </w:tcPr>
          <w:p>
            <w:pPr>
              <w:pStyle w:val="TableParagraph"/>
              <w:spacing w:line="240" w:lineRule="auto" w:before="61"/>
              <w:ind w:left="23" w:right="0"/>
              <w:jc w:val="center"/>
              <w:rPr>
                <w:rFonts w:ascii="宋体" w:hAnsi="宋体" w:cs="宋体" w:eastAsia="宋体" w:hint="default"/>
                <w:sz w:val="18"/>
                <w:szCs w:val="18"/>
              </w:rPr>
            </w:pPr>
            <w:r>
              <w:rPr>
                <w:rFonts w:ascii="Garamond" w:hAnsi="Garamond" w:cs="Garamond" w:eastAsia="Garamond" w:hint="default"/>
                <w:sz w:val="18"/>
                <w:szCs w:val="18"/>
              </w:rPr>
              <w:t>6,533.60</w:t>
            </w:r>
            <w:r>
              <w:rPr>
                <w:rFonts w:ascii="Garamond" w:hAnsi="Garamond" w:cs="Garamond" w:eastAsia="Garamond" w:hint="default"/>
                <w:spacing w:val="-3"/>
                <w:sz w:val="18"/>
                <w:szCs w:val="18"/>
              </w:rPr>
              <w:t> </w:t>
            </w:r>
            <w:r>
              <w:rPr>
                <w:rFonts w:ascii="宋体" w:hAnsi="宋体" w:cs="宋体" w:eastAsia="宋体" w:hint="default"/>
                <w:sz w:val="18"/>
                <w:szCs w:val="18"/>
              </w:rPr>
              <w:t>万</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spacing w:line="249" w:lineRule="auto" w:before="36"/>
        <w:ind w:left="192" w:right="1130" w:firstLine="0"/>
        <w:jc w:val="left"/>
        <w:rPr>
          <w:rFonts w:ascii="宋体" w:hAnsi="宋体" w:cs="宋体" w:eastAsia="宋体" w:hint="default"/>
          <w:sz w:val="21"/>
          <w:szCs w:val="21"/>
        </w:rPr>
      </w:pPr>
      <w:r>
        <w:rPr>
          <w:rFonts w:ascii="宋体" w:hAnsi="宋体" w:cs="宋体" w:eastAsia="宋体" w:hint="default"/>
          <w:b/>
          <w:bCs/>
          <w:sz w:val="21"/>
          <w:szCs w:val="21"/>
        </w:rPr>
        <w:t>截止</w:t>
      </w:r>
      <w:r>
        <w:rPr>
          <w:rFonts w:ascii="宋体" w:hAnsi="宋体" w:cs="宋体" w:eastAsia="宋体" w:hint="default"/>
          <w:b/>
          <w:bCs/>
          <w:spacing w:val="-45"/>
          <w:sz w:val="21"/>
          <w:szCs w:val="21"/>
        </w:rPr>
        <w:t> </w:t>
      </w:r>
      <w:r>
        <w:rPr>
          <w:rFonts w:ascii="Garamond" w:hAnsi="Garamond" w:cs="Garamond" w:eastAsia="Garamond" w:hint="default"/>
          <w:b/>
          <w:bCs/>
          <w:sz w:val="21"/>
          <w:szCs w:val="21"/>
        </w:rPr>
        <w:t>2018</w:t>
      </w:r>
      <w:r>
        <w:rPr>
          <w:rFonts w:ascii="Garamond" w:hAnsi="Garamond" w:cs="Garamond" w:eastAsia="Garamond"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b/>
          <w:bCs/>
          <w:spacing w:val="-45"/>
          <w:sz w:val="21"/>
          <w:szCs w:val="21"/>
        </w:rPr>
        <w:t> </w:t>
      </w:r>
      <w:r>
        <w:rPr>
          <w:rFonts w:ascii="Garamond" w:hAnsi="Garamond" w:cs="Garamond" w:eastAsia="Garamond" w:hint="default"/>
          <w:b/>
          <w:bCs/>
          <w:sz w:val="21"/>
          <w:szCs w:val="21"/>
        </w:rPr>
        <w:t>12</w:t>
      </w:r>
      <w:r>
        <w:rPr>
          <w:rFonts w:ascii="Garamond" w:hAnsi="Garamond" w:cs="Garamond" w:eastAsia="Garamond" w:hint="default"/>
          <w:b/>
          <w:bCs/>
          <w:spacing w:val="3"/>
          <w:sz w:val="21"/>
          <w:szCs w:val="21"/>
        </w:rPr>
        <w:t> </w:t>
      </w:r>
      <w:r>
        <w:rPr>
          <w:rFonts w:ascii="宋体" w:hAnsi="宋体" w:cs="宋体" w:eastAsia="宋体" w:hint="default"/>
          <w:b/>
          <w:bCs/>
          <w:sz w:val="21"/>
          <w:szCs w:val="21"/>
        </w:rPr>
        <w:t>月</w:t>
      </w:r>
      <w:r>
        <w:rPr>
          <w:rFonts w:ascii="宋体" w:hAnsi="宋体" w:cs="宋体" w:eastAsia="宋体" w:hint="default"/>
          <w:b/>
          <w:bCs/>
          <w:spacing w:val="-45"/>
          <w:sz w:val="21"/>
          <w:szCs w:val="21"/>
        </w:rPr>
        <w:t> </w:t>
      </w:r>
      <w:r>
        <w:rPr>
          <w:rFonts w:ascii="Garamond" w:hAnsi="Garamond" w:cs="Garamond" w:eastAsia="Garamond" w:hint="default"/>
          <w:b/>
          <w:bCs/>
          <w:sz w:val="21"/>
          <w:szCs w:val="21"/>
        </w:rPr>
        <w:t>31</w:t>
      </w:r>
      <w:r>
        <w:rPr>
          <w:rFonts w:ascii="Garamond" w:hAnsi="Garamond" w:cs="Garamond" w:eastAsia="Garamond" w:hint="default"/>
          <w:b/>
          <w:bCs/>
          <w:spacing w:val="4"/>
          <w:sz w:val="21"/>
          <w:szCs w:val="21"/>
        </w:rPr>
        <w:t> </w:t>
      </w:r>
      <w:r>
        <w:rPr>
          <w:rFonts w:ascii="宋体" w:hAnsi="宋体" w:cs="宋体" w:eastAsia="宋体" w:hint="default"/>
          <w:b/>
          <w:bCs/>
          <w:spacing w:val="-3"/>
          <w:sz w:val="21"/>
          <w:szCs w:val="21"/>
        </w:rPr>
        <w:t>日，保定金迪地下管线探测工程有限公司均超额实现其业绩承诺，经测试保定金迪地</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b/>
          <w:bCs/>
          <w:sz w:val="21"/>
          <w:szCs w:val="21"/>
        </w:rPr>
        <w:t>下管线探测工程有限公司形成的商誉在本期不存在减值迹象。</w:t>
      </w:r>
      <w:r>
        <w:rPr>
          <w:rFonts w:ascii="宋体" w:hAnsi="宋体" w:cs="宋体" w:eastAsia="宋体" w:hint="default"/>
          <w:sz w:val="21"/>
          <w:szCs w:val="21"/>
        </w:rPr>
      </w:r>
    </w:p>
    <w:p>
      <w:pPr>
        <w:spacing w:line="240" w:lineRule="auto" w:before="4"/>
        <w:rPr>
          <w:rFonts w:ascii="宋体" w:hAnsi="宋体" w:cs="宋体" w:eastAsia="宋体" w:hint="default"/>
          <w:b/>
          <w:bCs/>
          <w:sz w:val="25"/>
          <w:szCs w:val="25"/>
        </w:rPr>
      </w:pPr>
    </w:p>
    <w:p>
      <w:pPr>
        <w:spacing w:before="0"/>
        <w:ind w:left="192" w:right="103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16</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87" w:type="dxa"/>
        <w:tblLayout w:type="fixed"/>
        <w:tblCellMar>
          <w:top w:w="0" w:type="dxa"/>
          <w:left w:w="0" w:type="dxa"/>
          <w:bottom w:w="0" w:type="dxa"/>
          <w:right w:w="0" w:type="dxa"/>
        </w:tblCellMar>
        <w:tblLook w:val="01E0"/>
      </w:tblPr>
      <w:tblGrid>
        <w:gridCol w:w="1594"/>
        <w:gridCol w:w="1597"/>
        <w:gridCol w:w="1594"/>
        <w:gridCol w:w="1596"/>
        <w:gridCol w:w="1594"/>
        <w:gridCol w:w="1594"/>
      </w:tblGrid>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36,368.20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38,000.00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13,557.00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w w:val="95"/>
                <w:sz w:val="18"/>
              </w:rPr>
              <w:t>60,811.20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36,368.20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38,000.00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13,557.00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w w:val="95"/>
                <w:sz w:val="18"/>
              </w:rPr>
              <w:t>60,811.20</w:t>
            </w:r>
          </w:p>
        </w:tc>
      </w:tr>
    </w:tbl>
    <w:p>
      <w:pPr>
        <w:spacing w:before="49"/>
        <w:ind w:left="192" w:right="1034"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745" w:footer="979" w:top="1060" w:bottom="1160" w:left="940" w:right="0"/>
        </w:sectPr>
      </w:pPr>
    </w:p>
    <w:p>
      <w:pPr>
        <w:spacing w:line="240" w:lineRule="auto" w:before="10"/>
        <w:rPr>
          <w:rFonts w:ascii="宋体" w:hAnsi="宋体" w:cs="宋体" w:eastAsia="宋体" w:hint="default"/>
          <w:sz w:val="24"/>
          <w:szCs w:val="24"/>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17</w:t>
      </w:r>
      <w:r>
        <w:rPr>
          <w:rFonts w:ascii="宋体" w:hAnsi="宋体" w:cs="宋体" w:eastAsia="宋体" w:hint="default"/>
          <w:b/>
          <w:bCs/>
          <w:sz w:val="21"/>
          <w:szCs w:val="21"/>
        </w:rPr>
        <w:t>、递延所得税资产</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递延所得税负债</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）未经抵销的递延所得税资产</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206" w:hRule="exact"/>
        </w:trPr>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0" w:hRule="exact"/>
        </w:trPr>
        <w:tc>
          <w:tcPr>
            <w:tcW w:w="19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9"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913" w:type="dxa"/>
            <w:vMerge/>
            <w:tcBorders>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206" w:hRule="exact"/>
        </w:trPr>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181,275,790.71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27,361,006.85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128,125,147.24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19,375,344.14</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5,315,973.00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797,395.95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6,503,316.60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975,497.49</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1916" w:type="dxa"/>
            <w:tcBorders>
              <w:top w:val="single" w:sz="4" w:space="0" w:color="000000"/>
              <w:left w:val="single" w:sz="13" w:space="0" w:color="D2D2D2"/>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236,787.99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59,197.00</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53,994,390.81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8,099,158.62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46,464,038.47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8,488,103.02</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未实现融资收益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18,535,676.54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4,212,967.86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11,545,095.12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1,767,552.20</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股份支付</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18,963,500.00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2,844,525.00</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13,658,000.00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2,048,700.00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10,988,000.00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1,648,200.00</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272,779,831.06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42,519,229.28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222,825,885.42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35,158,418.85</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）未经抵销的递延所得税负债</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206" w:hRule="exact"/>
        </w:trPr>
        <w:tc>
          <w:tcPr>
            <w:tcW w:w="1913"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9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9" w:type="dxa"/>
            <w:gridSpan w:val="2"/>
            <w:vMerge/>
            <w:tcBorders>
              <w:left w:val="single" w:sz="4" w:space="0" w:color="000000"/>
              <w:bottom w:val="single" w:sz="4" w:space="0" w:color="000000"/>
              <w:right w:val="single" w:sz="4" w:space="0" w:color="000000"/>
            </w:tcBorders>
            <w:shd w:val="clear" w:color="auto" w:fill="D2D2D2"/>
          </w:tcPr>
          <w:p>
            <w:pPr/>
          </w:p>
        </w:tc>
      </w:tr>
      <w:tr>
        <w:trPr>
          <w:trHeight w:val="199" w:hRule="exact"/>
        </w:trPr>
        <w:tc>
          <w:tcPr>
            <w:tcW w:w="1913" w:type="dxa"/>
            <w:vMerge/>
            <w:tcBorders>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32"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32"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r>
        <w:trPr>
          <w:trHeight w:val="206" w:hRule="exact"/>
        </w:trPr>
        <w:tc>
          <w:tcPr>
            <w:tcW w:w="191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非同一控制企业合并资 产评估增值</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46,818,894.36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9,555,534.15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54,934,098.13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11,375,904.41</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46,818,894.36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9,555,534.15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54,934,098.13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11,375,904.41</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）以抵销后净额列示的递延所得税资产或负债</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901"/>
        <w:gridCol w:w="1916"/>
        <w:gridCol w:w="1916"/>
        <w:gridCol w:w="1913"/>
        <w:gridCol w:w="1916"/>
      </w:tblGrid>
      <w:tr>
        <w:trPr>
          <w:trHeight w:val="163"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51"/>
              <w:ind w:left="412"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期末互抵金额</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51"/>
              <w:ind w:left="321" w:right="51" w:hanging="269"/>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或负债期末余额</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51"/>
              <w:ind w:left="412" w:right="48"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期初互抵金额</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51"/>
              <w:ind w:left="322" w:right="51"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或负债期初余额</w:t>
            </w:r>
          </w:p>
        </w:tc>
      </w:tr>
      <w:tr>
        <w:trPr>
          <w:trHeight w:val="391" w:hRule="exact"/>
        </w:trPr>
        <w:tc>
          <w:tcPr>
            <w:tcW w:w="190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vMerge/>
            <w:tcBorders>
              <w:left w:val="single" w:sz="4" w:space="0" w:color="000000"/>
              <w:right w:val="single" w:sz="4" w:space="0" w:color="000000"/>
            </w:tcBorders>
            <w:shd w:val="clear" w:color="auto" w:fill="D2D2D2"/>
          </w:tcPr>
          <w:p>
            <w:pPr/>
          </w:p>
        </w:tc>
        <w:tc>
          <w:tcPr>
            <w:tcW w:w="1916" w:type="dxa"/>
            <w:vMerge/>
            <w:tcBorders>
              <w:left w:val="single" w:sz="4" w:space="0" w:color="000000"/>
              <w:right w:val="single" w:sz="4" w:space="0" w:color="000000"/>
            </w:tcBorders>
            <w:shd w:val="clear" w:color="auto" w:fill="D2D2D2"/>
          </w:tcPr>
          <w:p>
            <w:pPr/>
          </w:p>
        </w:tc>
        <w:tc>
          <w:tcPr>
            <w:tcW w:w="1913" w:type="dxa"/>
            <w:vMerge/>
            <w:tcBorders>
              <w:left w:val="single" w:sz="4" w:space="0" w:color="000000"/>
              <w:right w:val="single" w:sz="4" w:space="0" w:color="000000"/>
            </w:tcBorders>
            <w:shd w:val="clear" w:color="auto" w:fill="D2D2D2"/>
          </w:tcPr>
          <w:p>
            <w:pPr/>
          </w:p>
        </w:tc>
        <w:tc>
          <w:tcPr>
            <w:tcW w:w="1916" w:type="dxa"/>
            <w:vMerge/>
            <w:tcBorders>
              <w:left w:val="single" w:sz="4" w:space="0" w:color="000000"/>
              <w:right w:val="single" w:sz="4" w:space="0" w:color="000000"/>
            </w:tcBorders>
            <w:shd w:val="clear" w:color="auto" w:fill="D2D2D2"/>
          </w:tcPr>
          <w:p>
            <w:pPr/>
          </w:p>
        </w:tc>
      </w:tr>
      <w:tr>
        <w:trPr>
          <w:trHeight w:val="161"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6" w:type="dxa"/>
            <w:tcBorders>
              <w:top w:val="single" w:sz="4" w:space="0" w:color="000000"/>
              <w:left w:val="single" w:sz="13" w:space="0" w:color="D2D2D2"/>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42,519,229.28</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35,158,418.85</w:t>
            </w:r>
          </w:p>
        </w:tc>
      </w:tr>
      <w:tr>
        <w:trPr>
          <w:trHeight w:val="403"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6" w:type="dxa"/>
            <w:tcBorders>
              <w:top w:val="single" w:sz="4" w:space="0" w:color="000000"/>
              <w:left w:val="single" w:sz="13" w:space="0" w:color="D2D2D2"/>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9,555,534.15</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11,375,904.41</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）未确认递延所得税资产明细</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4"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455,352.39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497,347.67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1"/>
              <w:jc w:val="right"/>
              <w:rPr>
                <w:rFonts w:ascii="Garamond" w:hAnsi="Garamond" w:cs="Garamond" w:eastAsia="Garamond" w:hint="default"/>
                <w:sz w:val="18"/>
                <w:szCs w:val="18"/>
              </w:rPr>
            </w:pPr>
            <w:r>
              <w:rPr>
                <w:rFonts w:ascii="Garamond"/>
                <w:spacing w:val="-1"/>
                <w:sz w:val="18"/>
              </w:rPr>
              <w:t>34,757,373.46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5,281,272.44</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Garamond" w:hAnsi="Garamond" w:cs="Garamond" w:eastAsia="Garamond" w:hint="default"/>
                <w:sz w:val="18"/>
                <w:szCs w:val="18"/>
              </w:rPr>
            </w:pPr>
            <w:r>
              <w:rPr>
                <w:rFonts w:ascii="Garamond"/>
                <w:spacing w:val="-1"/>
                <w:sz w:val="18"/>
              </w:rPr>
              <w:t>35,212,725.85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5,778,620.11</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）未确认递延所得税资产的可抵扣亏损将于以下年度到期</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2020</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3,821,058.56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3,821,058.56</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4" w:right="0"/>
              <w:jc w:val="left"/>
              <w:rPr>
                <w:rFonts w:ascii="Times New Roman" w:hAnsi="Times New Roman" w:cs="Times New Roman" w:eastAsia="Times New Roman" w:hint="default"/>
                <w:sz w:val="18"/>
                <w:szCs w:val="18"/>
              </w:rPr>
            </w:pPr>
            <w:r>
              <w:rPr>
                <w:rFonts w:ascii="Times New Roman"/>
                <w:sz w:val="18"/>
              </w:rPr>
              <w:t>2021</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864,529.67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864,529.67</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2022</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595,684.21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595,684.21</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4" w:right="0"/>
              <w:jc w:val="left"/>
              <w:rPr>
                <w:rFonts w:ascii="Times New Roman" w:hAnsi="Times New Roman" w:cs="Times New Roman" w:eastAsia="Times New Roman" w:hint="default"/>
                <w:sz w:val="18"/>
                <w:szCs w:val="18"/>
              </w:rPr>
            </w:pPr>
            <w:r>
              <w:rPr>
                <w:rFonts w:ascii="Times New Roman"/>
                <w:sz w:val="18"/>
              </w:rPr>
              <w:t>2023</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19"/>
              <w:jc w:val="right"/>
              <w:rPr>
                <w:rFonts w:ascii="Garamond" w:hAnsi="Garamond" w:cs="Garamond" w:eastAsia="Garamond" w:hint="default"/>
                <w:sz w:val="18"/>
                <w:szCs w:val="18"/>
              </w:rPr>
            </w:pPr>
            <w:r>
              <w:rPr>
                <w:rFonts w:ascii="Garamond"/>
                <w:spacing w:val="-1"/>
                <w:sz w:val="18"/>
              </w:rPr>
              <w:t>29,476,101.02</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Garamond" w:hAnsi="Garamond" w:cs="Garamond" w:eastAsia="Garamond" w:hint="default"/>
                <w:sz w:val="18"/>
                <w:szCs w:val="18"/>
              </w:rPr>
            </w:pPr>
            <w:r>
              <w:rPr>
                <w:rFonts w:ascii="Garamond"/>
                <w:spacing w:val="-1"/>
                <w:sz w:val="18"/>
              </w:rPr>
              <w:t>34,757,373.46</w:t>
            </w:r>
          </w:p>
        </w:tc>
        <w:tc>
          <w:tcPr>
            <w:tcW w:w="2393"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pacing w:val="-1"/>
                <w:sz w:val="18"/>
              </w:rPr>
              <w:t>5,281,272.44</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18</w:t>
      </w:r>
      <w:r>
        <w:rPr>
          <w:rFonts w:ascii="宋体" w:hAnsi="宋体" w:cs="宋体" w:eastAsia="宋体" w:hint="default"/>
          <w:b/>
          <w:bCs/>
          <w:sz w:val="21"/>
          <w:szCs w:val="21"/>
        </w:rPr>
        <w:t>、短期借款</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）短期借款分类</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5"/>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抵押借款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14,790,217.00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60,000,000.00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89,790,217.00</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短期借款分类的说明：</w:t>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spacing w:line="256" w:lineRule="auto" w:before="0"/>
        <w:ind w:left="152" w:right="1131" w:firstLine="420"/>
        <w:jc w:val="both"/>
        <w:rPr>
          <w:rFonts w:ascii="宋体" w:hAnsi="宋体" w:cs="宋体" w:eastAsia="宋体" w:hint="default"/>
          <w:sz w:val="21"/>
          <w:szCs w:val="21"/>
        </w:rPr>
      </w:pPr>
      <w:r>
        <w:rPr>
          <w:rFonts w:ascii="宋体" w:hAnsi="宋体" w:cs="宋体" w:eastAsia="宋体" w:hint="default"/>
          <w:sz w:val="21"/>
          <w:szCs w:val="21"/>
        </w:rPr>
        <w:t>注：房产权证字第</w:t>
      </w:r>
      <w:r>
        <w:rPr>
          <w:rFonts w:ascii="Times New Roman" w:hAnsi="Times New Roman" w:cs="Times New Roman" w:eastAsia="Times New Roman" w:hint="default"/>
          <w:sz w:val="21"/>
          <w:szCs w:val="21"/>
        </w:rPr>
        <w:t>U201201885</w:t>
      </w:r>
      <w:r>
        <w:rPr>
          <w:rFonts w:ascii="宋体" w:hAnsi="宋体" w:cs="宋体" w:eastAsia="宋体" w:hint="default"/>
          <w:sz w:val="21"/>
          <w:szCs w:val="21"/>
        </w:rPr>
        <w:t>号、房产权证字第</w:t>
      </w:r>
      <w:r>
        <w:rPr>
          <w:rFonts w:ascii="Times New Roman" w:hAnsi="Times New Roman" w:cs="Times New Roman" w:eastAsia="Times New Roman" w:hint="default"/>
          <w:sz w:val="21"/>
          <w:szCs w:val="21"/>
        </w:rPr>
        <w:t>U201201886</w:t>
      </w:r>
      <w:r>
        <w:rPr>
          <w:rFonts w:ascii="宋体" w:hAnsi="宋体" w:cs="宋体" w:eastAsia="宋体" w:hint="default"/>
          <w:sz w:val="21"/>
          <w:szCs w:val="21"/>
        </w:rPr>
        <w:t>号的房屋（包括固定资产、投资性房地</w:t>
      </w:r>
      <w:r>
        <w:rPr>
          <w:rFonts w:ascii="宋体" w:hAnsi="宋体" w:cs="宋体" w:eastAsia="宋体" w:hint="default"/>
          <w:w w:val="100"/>
          <w:sz w:val="21"/>
          <w:szCs w:val="21"/>
        </w:rPr>
        <w:t> </w:t>
      </w:r>
      <w:r>
        <w:rPr>
          <w:rFonts w:ascii="宋体" w:hAnsi="宋体" w:cs="宋体" w:eastAsia="宋体" w:hint="default"/>
          <w:spacing w:val="-3"/>
          <w:sz w:val="21"/>
          <w:szCs w:val="21"/>
        </w:rPr>
        <w:t>产）及保定市国用（</w:t>
      </w:r>
      <w:r>
        <w:rPr>
          <w:rFonts w:ascii="Times New Roman" w:hAnsi="Times New Roman" w:cs="Times New Roman" w:eastAsia="Times New Roman" w:hint="default"/>
          <w:spacing w:val="-3"/>
          <w:sz w:val="21"/>
          <w:szCs w:val="21"/>
        </w:rPr>
        <w:t>2010</w:t>
      </w:r>
      <w:r>
        <w:rPr>
          <w:rFonts w:ascii="宋体" w:hAnsi="宋体" w:cs="宋体" w:eastAsia="宋体" w:hint="default"/>
          <w:spacing w:val="-3"/>
          <w:sz w:val="21"/>
          <w:szCs w:val="21"/>
        </w:rPr>
        <w:t>）第</w:t>
      </w:r>
      <w:r>
        <w:rPr>
          <w:rFonts w:ascii="Times New Roman" w:hAnsi="Times New Roman" w:cs="Times New Roman" w:eastAsia="Times New Roman" w:hint="default"/>
          <w:spacing w:val="-3"/>
          <w:sz w:val="21"/>
          <w:szCs w:val="21"/>
        </w:rPr>
        <w:t>130600005574</w:t>
      </w:r>
      <w:r>
        <w:rPr>
          <w:rFonts w:ascii="宋体" w:hAnsi="宋体" w:cs="宋体" w:eastAsia="宋体" w:hint="default"/>
          <w:spacing w:val="-3"/>
          <w:sz w:val="21"/>
          <w:szCs w:val="21"/>
        </w:rPr>
        <w:t>号的土地使用权用于贷款抵押，抵押金额 </w:t>
      </w:r>
      <w:r>
        <w:rPr>
          <w:rFonts w:ascii="Times New Roman" w:hAnsi="Times New Roman" w:cs="Times New Roman" w:eastAsia="Times New Roman" w:hint="default"/>
          <w:sz w:val="21"/>
          <w:szCs w:val="21"/>
        </w:rPr>
        <w:t>2,000.00 </w:t>
      </w:r>
      <w:r>
        <w:rPr>
          <w:rFonts w:ascii="宋体" w:hAnsi="宋体" w:cs="宋体" w:eastAsia="宋体" w:hint="default"/>
          <w:spacing w:val="-5"/>
          <w:sz w:val="21"/>
          <w:szCs w:val="21"/>
        </w:rPr>
        <w:t>万元。详见</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附注六、</w:t>
      </w:r>
      <w:r>
        <w:rPr>
          <w:rFonts w:ascii="Times New Roman" w:hAnsi="Times New Roman" w:cs="Times New Roman" w:eastAsia="Times New Roman" w:hint="default"/>
          <w:sz w:val="21"/>
          <w:szCs w:val="21"/>
        </w:rPr>
        <w:t>46</w:t>
      </w:r>
      <w:r>
        <w:rPr>
          <w:rFonts w:ascii="宋体" w:hAnsi="宋体" w:cs="宋体" w:eastAsia="宋体" w:hint="default"/>
          <w:sz w:val="21"/>
          <w:szCs w:val="21"/>
        </w:rPr>
        <w:t>所有权或使用权受限制的资产。</w:t>
      </w:r>
    </w:p>
    <w:p>
      <w:pPr>
        <w:spacing w:line="256" w:lineRule="auto" w:before="5"/>
        <w:ind w:left="152" w:right="1126" w:firstLine="420"/>
        <w:jc w:val="both"/>
        <w:rPr>
          <w:rFonts w:ascii="宋体" w:hAnsi="宋体" w:cs="宋体" w:eastAsia="宋体" w:hint="default"/>
          <w:sz w:val="21"/>
          <w:szCs w:val="21"/>
        </w:rPr>
      </w:pPr>
      <w:r>
        <w:rPr>
          <w:rFonts w:ascii="Times New Roman" w:hAnsi="Times New Roman" w:cs="Times New Roman" w:eastAsia="Times New Roman" w:hint="default"/>
          <w:spacing w:val="-1"/>
          <w:sz w:val="21"/>
          <w:szCs w:val="21"/>
        </w:rPr>
        <w:t>2018</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9</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26</w:t>
      </w:r>
      <w:r>
        <w:rPr>
          <w:rFonts w:ascii="宋体" w:hAnsi="宋体" w:cs="宋体" w:eastAsia="宋体" w:hint="default"/>
          <w:spacing w:val="-1"/>
          <w:sz w:val="21"/>
          <w:szCs w:val="21"/>
        </w:rPr>
        <w:t>日，本公司开具票据号码为</w:t>
      </w:r>
      <w:r>
        <w:rPr>
          <w:rFonts w:ascii="Times New Roman" w:hAnsi="Times New Roman" w:cs="Times New Roman" w:eastAsia="Times New Roman" w:hint="default"/>
          <w:spacing w:val="-1"/>
          <w:sz w:val="21"/>
          <w:szCs w:val="21"/>
        </w:rPr>
        <w:t>230510000121520180926261316167</w:t>
      </w:r>
      <w:r>
        <w:rPr>
          <w:rFonts w:ascii="宋体" w:hAnsi="宋体" w:cs="宋体" w:eastAsia="宋体" w:hint="default"/>
          <w:spacing w:val="-1"/>
          <w:sz w:val="21"/>
          <w:szCs w:val="21"/>
        </w:rPr>
        <w:t>的商业承兑汇票</w:t>
      </w:r>
      <w:r>
        <w:rPr>
          <w:rFonts w:ascii="Times New Roman" w:hAnsi="Times New Roman" w:cs="Times New Roman" w:eastAsia="Times New Roman" w:hint="default"/>
          <w:spacing w:val="-1"/>
          <w:sz w:val="21"/>
          <w:szCs w:val="21"/>
        </w:rPr>
        <w:t>5000.00</w:t>
      </w:r>
      <w:r>
        <w:rPr>
          <w:rFonts w:ascii="宋体" w:hAnsi="宋体" w:cs="宋体" w:eastAsia="宋体" w:hint="default"/>
          <w:spacing w:val="-1"/>
          <w:sz w:val="21"/>
          <w:szCs w:val="21"/>
        </w:rPr>
        <w:t>万</w:t>
      </w:r>
      <w:r>
        <w:rPr>
          <w:rFonts w:ascii="宋体" w:hAnsi="宋体" w:cs="宋体" w:eastAsia="宋体" w:hint="default"/>
          <w:w w:val="100"/>
          <w:sz w:val="21"/>
          <w:szCs w:val="21"/>
        </w:rPr>
        <w:t> </w:t>
      </w:r>
      <w:r>
        <w:rPr>
          <w:rFonts w:ascii="宋体" w:hAnsi="宋体" w:cs="宋体" w:eastAsia="宋体" w:hint="default"/>
          <w:spacing w:val="-4"/>
          <w:sz w:val="21"/>
          <w:szCs w:val="21"/>
        </w:rPr>
        <w:t>元，用于支付政通智慧城市运营科技有限公司（以下简称</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政通运营公司</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）项目款项。</w:t>
      </w:r>
      <w:r>
        <w:rPr>
          <w:rFonts w:ascii="Times New Roman" w:hAnsi="Times New Roman" w:cs="Times New Roman" w:eastAsia="Times New Roman" w:hint="default"/>
          <w:spacing w:val="-4"/>
          <w:sz w:val="21"/>
          <w:szCs w:val="21"/>
        </w:rPr>
        <w:t>2018</w:t>
      </w:r>
      <w:r>
        <w:rPr>
          <w:rFonts w:ascii="宋体" w:hAnsi="宋体" w:cs="宋体" w:eastAsia="宋体" w:hint="default"/>
          <w:spacing w:val="-4"/>
          <w:sz w:val="21"/>
          <w:szCs w:val="21"/>
        </w:rPr>
        <w:t>年</w:t>
      </w:r>
      <w:r>
        <w:rPr>
          <w:rFonts w:ascii="Times New Roman" w:hAnsi="Times New Roman" w:cs="Times New Roman" w:eastAsia="Times New Roman" w:hint="default"/>
          <w:spacing w:val="-4"/>
          <w:sz w:val="21"/>
          <w:szCs w:val="21"/>
        </w:rPr>
        <w:t>9</w:t>
      </w:r>
      <w:r>
        <w:rPr>
          <w:rFonts w:ascii="宋体" w:hAnsi="宋体" w:cs="宋体" w:eastAsia="宋体" w:hint="default"/>
          <w:spacing w:val="-4"/>
          <w:sz w:val="21"/>
          <w:szCs w:val="21"/>
        </w:rPr>
        <w:t>月</w:t>
      </w:r>
      <w:r>
        <w:rPr>
          <w:rFonts w:ascii="Times New Roman" w:hAnsi="Times New Roman" w:cs="Times New Roman" w:eastAsia="Times New Roman" w:hint="default"/>
          <w:spacing w:val="-4"/>
          <w:sz w:val="21"/>
          <w:szCs w:val="21"/>
        </w:rPr>
        <w:t>27</w:t>
      </w:r>
      <w:r>
        <w:rPr>
          <w:rFonts w:ascii="宋体" w:hAnsi="宋体" w:cs="宋体" w:eastAsia="宋体" w:hint="default"/>
          <w:spacing w:val="-4"/>
          <w:sz w:val="21"/>
          <w:szCs w:val="21"/>
        </w:rPr>
        <w:t>日，政</w:t>
      </w:r>
      <w:r>
        <w:rPr>
          <w:rFonts w:ascii="宋体" w:hAnsi="宋体" w:cs="宋体" w:eastAsia="宋体" w:hint="default"/>
          <w:spacing w:val="-17"/>
          <w:sz w:val="21"/>
          <w:szCs w:val="21"/>
        </w:rPr>
        <w:t> </w:t>
      </w:r>
      <w:r>
        <w:rPr>
          <w:rFonts w:ascii="宋体" w:hAnsi="宋体" w:cs="宋体" w:eastAsia="宋体" w:hint="default"/>
          <w:spacing w:val="-17"/>
          <w:sz w:val="21"/>
          <w:szCs w:val="21"/>
        </w:rPr>
      </w:r>
      <w:r>
        <w:rPr>
          <w:rFonts w:ascii="宋体" w:hAnsi="宋体" w:cs="宋体" w:eastAsia="宋体" w:hint="default"/>
          <w:spacing w:val="-3"/>
          <w:sz w:val="21"/>
          <w:szCs w:val="21"/>
        </w:rPr>
        <w:t>通运营公司将该笔商业承兑汇票背书转让给中国民生银行股份有限公司北京分行，收到</w:t>
      </w:r>
      <w:r>
        <w:rPr>
          <w:rFonts w:ascii="Times New Roman" w:hAnsi="Times New Roman" w:cs="Times New Roman" w:eastAsia="Times New Roman" w:hint="default"/>
          <w:spacing w:val="-3"/>
          <w:sz w:val="21"/>
          <w:szCs w:val="21"/>
        </w:rPr>
        <w:t>4880.00</w:t>
      </w:r>
      <w:r>
        <w:rPr>
          <w:rFonts w:ascii="宋体" w:hAnsi="宋体" w:cs="宋体" w:eastAsia="宋体" w:hint="default"/>
          <w:spacing w:val="-3"/>
          <w:sz w:val="21"/>
          <w:szCs w:val="21"/>
        </w:rPr>
        <w:t>万元银行存</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款。该笔款项具有融资性质，因此从应付票据调整到短期借款列报。</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19</w:t>
      </w:r>
      <w:r>
        <w:rPr>
          <w:rFonts w:ascii="宋体" w:hAnsi="宋体" w:cs="宋体" w:eastAsia="宋体" w:hint="default"/>
          <w:b/>
          <w:bCs/>
          <w:sz w:val="21"/>
          <w:szCs w:val="21"/>
        </w:rPr>
        <w:t>、应付票据及应付账款</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5"/>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79"/>
      </w:tblGrid>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20,351,179.75</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Garamond" w:hAnsi="Garamond" w:cs="Garamond" w:eastAsia="Garamond" w:hint="default"/>
                <w:sz w:val="18"/>
                <w:szCs w:val="18"/>
              </w:rPr>
            </w:pPr>
            <w:r>
              <w:rPr>
                <w:rFonts w:ascii="Garamond"/>
                <w:spacing w:val="-1"/>
                <w:sz w:val="18"/>
              </w:rPr>
              <w:t>292,282,879.71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298,930,488.20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Garamond" w:hAnsi="Garamond" w:cs="Garamond" w:eastAsia="Garamond" w:hint="default"/>
                <w:sz w:val="18"/>
                <w:szCs w:val="18"/>
              </w:rPr>
            </w:pPr>
            <w:r>
              <w:rPr>
                <w:rFonts w:ascii="Garamond"/>
                <w:spacing w:val="-1"/>
                <w:sz w:val="18"/>
              </w:rPr>
              <w:t>292,282,879.71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319,281,667.95</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）应付票据分类列示</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203" w:type="dxa"/>
            <w:tcBorders>
              <w:top w:val="single" w:sz="4" w:space="0" w:color="000000"/>
              <w:left w:val="single" w:sz="12"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20,351,179.75</w:t>
            </w:r>
          </w:p>
        </w:tc>
      </w:tr>
      <w:tr>
        <w:trPr>
          <w:trHeight w:val="404"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20,351,179.75</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本期末已到期未支付的应付票据总额为元。</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）应付账款列示</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应付采购款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140,955,533.41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151,464,332.38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项目服务费及数据款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Garamond" w:hAnsi="Garamond" w:cs="Garamond" w:eastAsia="Garamond" w:hint="default"/>
                <w:sz w:val="18"/>
                <w:szCs w:val="18"/>
              </w:rPr>
            </w:pPr>
            <w:r>
              <w:rPr>
                <w:rFonts w:ascii="Garamond"/>
                <w:spacing w:val="-1"/>
                <w:sz w:val="18"/>
              </w:rPr>
              <w:t>151,327,346.30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146,594,301.40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8"/>
              <w:jc w:val="right"/>
              <w:rPr>
                <w:rFonts w:ascii="Garamond" w:hAnsi="Garamond" w:cs="Garamond" w:eastAsia="Garamond" w:hint="default"/>
                <w:sz w:val="18"/>
                <w:szCs w:val="18"/>
              </w:rPr>
            </w:pPr>
            <w:r>
              <w:rPr>
                <w:rFonts w:ascii="Garamond"/>
                <w:sz w:val="18"/>
              </w:rPr>
              <w:t>-</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871,854.42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Garamond" w:hAnsi="Garamond" w:cs="Garamond" w:eastAsia="Garamond" w:hint="default"/>
                <w:sz w:val="18"/>
                <w:szCs w:val="18"/>
              </w:rPr>
            </w:pPr>
            <w:r>
              <w:rPr>
                <w:rFonts w:ascii="Garamond"/>
                <w:spacing w:val="-1"/>
                <w:sz w:val="18"/>
              </w:rPr>
              <w:t>292,282,879.71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298,930,488.20</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）账龄超过</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年的重要应付账款</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Garamond" w:hAnsi="Garamond" w:cs="Garamond" w:eastAsia="Garamond" w:hint="default"/>
                <w:sz w:val="18"/>
                <w:szCs w:val="18"/>
              </w:rPr>
            </w:pPr>
            <w:r>
              <w:rPr>
                <w:rFonts w:ascii="Garamond"/>
                <w:spacing w:val="-1"/>
                <w:sz w:val="18"/>
              </w:rPr>
              <w:t>13,736,617.00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Garamond" w:hAnsi="Garamond" w:cs="Garamond" w:eastAsia="Garamond" w:hint="default"/>
                <w:sz w:val="18"/>
                <w:szCs w:val="18"/>
              </w:rPr>
            </w:pPr>
            <w:r>
              <w:rPr>
                <w:rFonts w:ascii="Garamond"/>
                <w:spacing w:val="-1"/>
                <w:sz w:val="18"/>
              </w:rPr>
              <w:t>2,803,220.00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未结算</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9"/>
              <w:jc w:val="right"/>
              <w:rPr>
                <w:rFonts w:ascii="Garamond" w:hAnsi="Garamond" w:cs="Garamond" w:eastAsia="Garamond" w:hint="default"/>
                <w:sz w:val="18"/>
                <w:szCs w:val="18"/>
              </w:rPr>
            </w:pPr>
            <w:r>
              <w:rPr>
                <w:rFonts w:ascii="Garamond"/>
                <w:spacing w:val="-1"/>
                <w:sz w:val="18"/>
              </w:rPr>
              <w:t>2,190,000.00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Garamond" w:hAnsi="Garamond" w:cs="Garamond" w:eastAsia="Garamond" w:hint="default"/>
                <w:sz w:val="18"/>
                <w:szCs w:val="18"/>
              </w:rPr>
            </w:pPr>
            <w:r>
              <w:rPr>
                <w:rFonts w:ascii="Garamond"/>
                <w:spacing w:val="-1"/>
                <w:sz w:val="18"/>
              </w:rPr>
              <w:t>1,700,000.00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未结算</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Garamond" w:hAnsi="Garamond" w:cs="Garamond" w:eastAsia="Garamond" w:hint="default"/>
                <w:sz w:val="18"/>
                <w:szCs w:val="18"/>
              </w:rPr>
            </w:pPr>
            <w:r>
              <w:rPr>
                <w:rFonts w:ascii="Garamond"/>
                <w:spacing w:val="-1"/>
                <w:sz w:val="18"/>
              </w:rPr>
              <w:t>1,627,520.00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4"/>
              <w:ind w:right="9"/>
              <w:jc w:val="right"/>
              <w:rPr>
                <w:rFonts w:ascii="Garamond" w:hAnsi="Garamond" w:cs="Garamond" w:eastAsia="Garamond" w:hint="default"/>
                <w:sz w:val="18"/>
                <w:szCs w:val="18"/>
              </w:rPr>
            </w:pPr>
            <w:r>
              <w:rPr>
                <w:rFonts w:ascii="Garamond"/>
                <w:spacing w:val="-1"/>
                <w:sz w:val="18"/>
              </w:rPr>
              <w:t>22,057,357.00</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w:t>
      </w:r>
      <w:r>
        <w:rPr>
          <w:rFonts w:ascii="宋体" w:hAnsi="宋体" w:cs="宋体" w:eastAsia="宋体" w:hint="default"/>
          <w:b/>
          <w:bCs/>
          <w:sz w:val="21"/>
          <w:szCs w:val="21"/>
        </w:rPr>
        <w:t>、预收款项</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）预收款项列示</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预收货款及服务款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117,626,431.08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125,938,504.19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117,626,431.08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125,938,504.19</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）账龄超过</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年的重要预收款项</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2,822,553.61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2"/>
              <w:jc w:val="right"/>
              <w:rPr>
                <w:rFonts w:ascii="Garamond" w:hAnsi="Garamond" w:cs="Garamond" w:eastAsia="Garamond" w:hint="default"/>
                <w:sz w:val="18"/>
                <w:szCs w:val="18"/>
              </w:rPr>
            </w:pPr>
            <w:r>
              <w:rPr>
                <w:rFonts w:ascii="Garamond"/>
                <w:spacing w:val="-1"/>
                <w:sz w:val="18"/>
              </w:rPr>
              <w:t>1,030,475.73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2"/>
              <w:jc w:val="right"/>
              <w:rPr>
                <w:rFonts w:ascii="Garamond" w:hAnsi="Garamond" w:cs="Garamond" w:eastAsia="Garamond" w:hint="default"/>
                <w:sz w:val="18"/>
                <w:szCs w:val="18"/>
              </w:rPr>
            </w:pPr>
            <w:r>
              <w:rPr>
                <w:rFonts w:ascii="Garamond"/>
                <w:spacing w:val="-1"/>
                <w:sz w:val="18"/>
              </w:rPr>
              <w:t>1,011,709.25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Garamond" w:hAnsi="Garamond" w:cs="Garamond" w:eastAsia="Garamond" w:hint="default"/>
                <w:sz w:val="18"/>
                <w:szCs w:val="18"/>
              </w:rPr>
            </w:pPr>
            <w:r>
              <w:rPr>
                <w:rFonts w:ascii="Garamond"/>
                <w:spacing w:val="-1"/>
                <w:sz w:val="18"/>
              </w:rPr>
              <w:t>960,000.00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Garamond" w:hAnsi="Garamond" w:cs="Garamond" w:eastAsia="Garamond" w:hint="default"/>
                <w:sz w:val="18"/>
                <w:szCs w:val="18"/>
              </w:rPr>
            </w:pPr>
            <w:r>
              <w:rPr>
                <w:rFonts w:ascii="Garamond"/>
                <w:spacing w:val="-1"/>
                <w:sz w:val="18"/>
              </w:rPr>
              <w:t>728,951.31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尚未结算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4"/>
              <w:ind w:right="10"/>
              <w:jc w:val="right"/>
              <w:rPr>
                <w:rFonts w:ascii="Garamond" w:hAnsi="Garamond" w:cs="Garamond" w:eastAsia="Garamond" w:hint="default"/>
                <w:sz w:val="18"/>
                <w:szCs w:val="18"/>
              </w:rPr>
            </w:pPr>
            <w:r>
              <w:rPr>
                <w:rFonts w:ascii="Garamond"/>
                <w:spacing w:val="-1"/>
                <w:sz w:val="18"/>
              </w:rPr>
              <w:t>6,553,689.90</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21</w:t>
      </w:r>
      <w:r>
        <w:rPr>
          <w:rFonts w:ascii="宋体" w:hAnsi="宋体" w:cs="宋体" w:eastAsia="宋体" w:hint="default"/>
          <w:b/>
          <w:bCs/>
          <w:sz w:val="21"/>
          <w:szCs w:val="21"/>
        </w:rPr>
        <w:t>、应付职工薪酬</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）应付职工薪酬列示</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18,369,097.82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384,956,089.95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379,980,865.22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23,344,322.55</w:t>
            </w:r>
          </w:p>
        </w:tc>
      </w:tr>
      <w:tr>
        <w:trPr>
          <w:trHeight w:val="715"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11"/>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 存计划</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2,240,004.58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65,645,429.06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63,713,433.02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4,172,000.62</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438,786.00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438,786.00</w:t>
            </w: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20,609,102.40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451,040,305.01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444,133,084.24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27,516,323.17</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）短期薪酬列示</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49"/>
              <w:ind w:left="12" w:right="1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、工资、奖金、津贴和</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补贴</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16,545,990.18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329,028,477.40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325,987,907.10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19,586,560.48</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10,944,571.27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10,944,571.27</w:t>
            </w: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1,091,575.66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32,242,639.87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30,846,641.85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2,487,573.68</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5"/>
              <w:jc w:val="right"/>
              <w:rPr>
                <w:rFonts w:ascii="宋体" w:hAnsi="宋体" w:cs="宋体" w:eastAsia="宋体" w:hint="default"/>
                <w:sz w:val="18"/>
                <w:szCs w:val="18"/>
              </w:rPr>
            </w:pPr>
            <w:r>
              <w:rPr>
                <w:rFonts w:ascii="宋体" w:hAnsi="宋体" w:cs="宋体" w:eastAsia="宋体" w:hint="default"/>
                <w:sz w:val="18"/>
                <w:szCs w:val="18"/>
              </w:rPr>
              <w:t>其中：医疗保险费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786,075.23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26,940,159.46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25,843,310.22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1,882,924.47</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5"/>
              <w:jc w:val="right"/>
              <w:rPr>
                <w:rFonts w:ascii="宋体" w:hAnsi="宋体" w:cs="宋体" w:eastAsia="宋体" w:hint="default"/>
                <w:sz w:val="18"/>
                <w:szCs w:val="18"/>
              </w:rPr>
            </w:pPr>
            <w:r>
              <w:rPr>
                <w:rFonts w:ascii="宋体" w:hAnsi="宋体" w:cs="宋体" w:eastAsia="宋体" w:hint="default"/>
                <w:sz w:val="18"/>
                <w:szCs w:val="18"/>
              </w:rPr>
              <w:t>工伤保险费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143,757.76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1,569,118.40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1,541,168.45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171,707.71</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65"/>
              <w:jc w:val="right"/>
              <w:rPr>
                <w:rFonts w:ascii="宋体" w:hAnsi="宋体" w:cs="宋体" w:eastAsia="宋体" w:hint="default"/>
                <w:sz w:val="18"/>
                <w:szCs w:val="18"/>
              </w:rPr>
            </w:pPr>
            <w:r>
              <w:rPr>
                <w:rFonts w:ascii="宋体" w:hAnsi="宋体" w:cs="宋体" w:eastAsia="宋体" w:hint="default"/>
                <w:sz w:val="18"/>
                <w:szCs w:val="18"/>
              </w:rPr>
              <w:t>生育保险费</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156,830.33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2,458,304.90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2,316,557.92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298,577.31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1"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4,912.34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1,275,057.11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1,145,605.26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134,364.19</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120,333.46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12,399,338.42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11,874,644.90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645,026.98</w:t>
            </w: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2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、工会经费和职工教育</w:t>
            </w:r>
            <w:r>
              <w:rPr>
                <w:rFonts w:ascii="宋体" w:hAnsi="宋体" w:cs="宋体" w:eastAsia="宋体" w:hint="default"/>
                <w:sz w:val="18"/>
                <w:szCs w:val="18"/>
              </w:rPr>
              <w:t> 经费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572,645.20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320,954.99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306,065.80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587,534.39</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其他短期薪酬</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38,553.32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20,108.00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21,034.30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37,627.02</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18,369,097.82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384,956,089.95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379,980,865.22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23,344,322.55</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）设定提存计划列示</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1,523,514.80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63,442,570.43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61,371,727.17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3,594,358.06</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716,489.78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2,189,444.08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2,328,291.30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577,642.56</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长期照护险</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13,414.55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13,414.55</w:t>
            </w:r>
          </w:p>
        </w:tc>
        <w:tc>
          <w:tcPr>
            <w:tcW w:w="191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2,240,004.58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65,645,429.06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63,713,433.02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4,172,000.62</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22</w:t>
      </w:r>
      <w:r>
        <w:rPr>
          <w:rFonts w:ascii="宋体" w:hAnsi="宋体" w:cs="宋体" w:eastAsia="宋体" w:hint="default"/>
          <w:b/>
          <w:bCs/>
          <w:sz w:val="21"/>
          <w:szCs w:val="21"/>
        </w:rPr>
        <w:t>、应交税费</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39,756,012.30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34,044,011.01</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15,506,549.02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28,581,864.36</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327,302.71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13,932,358.06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2,117,776.90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2,274,356.25</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910,306.87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974,872.98</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606,912.57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649,915.31</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74,083.40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防洪税</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w w:val="95"/>
                <w:sz w:val="18"/>
              </w:rPr>
              <w:t>1,192.89</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7,771.43</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32,946.86</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59,265,578.66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80,532,654.26</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23</w:t>
      </w:r>
      <w:r>
        <w:rPr>
          <w:rFonts w:ascii="宋体" w:hAnsi="宋体" w:cs="宋体" w:eastAsia="宋体" w:hint="default"/>
          <w:b/>
          <w:bCs/>
          <w:sz w:val="21"/>
          <w:szCs w:val="21"/>
        </w:rPr>
        <w:t>、其他应付款</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33,833.34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22,656.25</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7,356,790.00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7,356,790.00</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213,744,873.95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339,021,678.69</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221,135,497.29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346,401,124.94</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）应付利息</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33,833.34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22,656.25</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33,833.34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22,656.25</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）应付股利</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中国冶金地质总局地球物理勘查院</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2,560,000.00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2,560,000.00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其他自然人</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4,796,790.00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4,796,790.00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7,356,790.00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7,356,790.00</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其他说明，包括重要的超过</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年未支付的应付股利，应披露未支付原因：</w:t>
      </w:r>
    </w:p>
    <w:p>
      <w:pPr>
        <w:spacing w:line="240" w:lineRule="auto" w:before="13"/>
        <w:rPr>
          <w:rFonts w:ascii="宋体" w:hAnsi="宋体" w:cs="宋体" w:eastAsia="宋体" w:hint="default"/>
          <w:sz w:val="25"/>
          <w:szCs w:val="25"/>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）其他应付款</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按款项性质列示其他应付款</w:t>
      </w:r>
    </w:p>
    <w:p>
      <w:pPr>
        <w:spacing w:before="10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应付股权投资款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123,275,000.00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184,807,000.00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股份支付回购义务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40,103,798.00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73,843,725.00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已报销未支付项目差旅费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28,058,384.94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58,410,941.90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备用金、押金及保证金等</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9,682,595.21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7,713,551.94</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代扣代缴款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4,219,420.52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2,661,657.86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3,600,736.18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1,948,641.29</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应付房屋租赁费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2,622,240.41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6,054,725.41</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2,182,698.69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3,581,435.29</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213,744,873.95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339,021,678.69</w:t>
            </w:r>
          </w:p>
        </w:tc>
      </w:tr>
    </w:tbl>
    <w:p>
      <w:pPr>
        <w:spacing w:before="49"/>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账龄超过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年的重要其他应付款</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5"/>
          <w:szCs w:val="25"/>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应付股权投资款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123,275,000.00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收购少数股东股权款</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股份支付回购义务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40,103,798.00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限制性股票回购义务</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已报销未支付员工差旅费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3,348,432.57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未结算</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保定雷迪科学仪器有限公司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1,488,033.64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未结算</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pacing w:val="-1"/>
                <w:sz w:val="18"/>
              </w:rPr>
              <w:t>168,215,264.21</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24</w:t>
      </w:r>
      <w:r>
        <w:rPr>
          <w:rFonts w:ascii="宋体" w:hAnsi="宋体" w:cs="宋体" w:eastAsia="宋体" w:hint="default"/>
          <w:b/>
          <w:bCs/>
          <w:sz w:val="21"/>
          <w:szCs w:val="21"/>
        </w:rPr>
        <w:t>、一年内到期的非流动负债</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一年内到期的长期应付款</w:t>
            </w:r>
          </w:p>
        </w:tc>
        <w:tc>
          <w:tcPr>
            <w:tcW w:w="3203" w:type="dxa"/>
            <w:tcBorders>
              <w:top w:val="single" w:sz="4" w:space="0" w:color="000000"/>
              <w:left w:val="single" w:sz="12"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1,664,008.26</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1,664,008.26</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25</w:t>
      </w:r>
      <w:r>
        <w:rPr>
          <w:rFonts w:ascii="宋体" w:hAnsi="宋体" w:cs="宋体" w:eastAsia="宋体" w:hint="default"/>
          <w:b/>
          <w:bCs/>
          <w:sz w:val="21"/>
          <w:szCs w:val="21"/>
        </w:rPr>
        <w:t>、预计负债</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66"/>
        <w:gridCol w:w="2407"/>
        <w:gridCol w:w="2393"/>
        <w:gridCol w:w="2393"/>
      </w:tblGrid>
      <w:tr>
        <w:trPr>
          <w:trHeight w:val="403"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1"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产品质量保证</w:t>
            </w:r>
          </w:p>
        </w:tc>
        <w:tc>
          <w:tcPr>
            <w:tcW w:w="24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13,658,000.00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10,988,000.00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维保费</w:t>
            </w:r>
          </w:p>
        </w:tc>
      </w:tr>
      <w:tr>
        <w:trPr>
          <w:trHeight w:val="403"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0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13,658,000.00</w:t>
            </w:r>
          </w:p>
        </w:tc>
        <w:tc>
          <w:tcPr>
            <w:tcW w:w="2393"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10,988,000.00</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其他说明，包括重要预计负债的相关重要假设、估计说明：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26</w:t>
      </w:r>
      <w:r>
        <w:rPr>
          <w:rFonts w:ascii="宋体" w:hAnsi="宋体" w:cs="宋体" w:eastAsia="宋体" w:hint="default"/>
          <w:b/>
          <w:bCs/>
          <w:sz w:val="21"/>
          <w:szCs w:val="21"/>
        </w:rPr>
        <w:t>、股本</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5"/>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184"/>
        <w:gridCol w:w="1210"/>
        <w:gridCol w:w="1184"/>
        <w:gridCol w:w="1195"/>
        <w:gridCol w:w="1198"/>
        <w:gridCol w:w="1195"/>
        <w:gridCol w:w="1185"/>
        <w:gridCol w:w="1208"/>
      </w:tblGrid>
      <w:tr>
        <w:trPr>
          <w:trHeight w:val="206" w:hRule="exact"/>
        </w:trPr>
        <w:tc>
          <w:tcPr>
            <w:tcW w:w="11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210" w:type="dxa"/>
            <w:tcBorders>
              <w:top w:val="single" w:sz="4" w:space="0" w:color="000000"/>
              <w:left w:val="single" w:sz="4" w:space="0" w:color="000000"/>
              <w:bottom w:val="nil" w:sz="6" w:space="0" w:color="auto"/>
              <w:right w:val="single" w:sz="4" w:space="0" w:color="000000"/>
            </w:tcBorders>
            <w:shd w:val="clear" w:color="auto" w:fill="D2D2D2"/>
          </w:tcPr>
          <w:p>
            <w:pPr/>
          </w:p>
        </w:tc>
        <w:tc>
          <w:tcPr>
            <w:tcW w:w="5957"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0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0" w:hRule="exact"/>
        </w:trPr>
        <w:tc>
          <w:tcPr>
            <w:tcW w:w="1184" w:type="dxa"/>
            <w:vMerge w:val="restart"/>
            <w:tcBorders>
              <w:top w:val="nil" w:sz="6" w:space="0" w:color="auto"/>
              <w:left w:val="single" w:sz="4" w:space="0" w:color="000000"/>
              <w:right w:val="single" w:sz="4" w:space="0" w:color="000000"/>
            </w:tcBorders>
            <w:shd w:val="clear" w:color="auto" w:fill="D2D2D2"/>
          </w:tcPr>
          <w:p>
            <w:pPr/>
          </w:p>
        </w:tc>
        <w:tc>
          <w:tcPr>
            <w:tcW w:w="121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57" w:type="dxa"/>
            <w:gridSpan w:val="5"/>
            <w:vMerge/>
            <w:tcBorders>
              <w:left w:val="single" w:sz="4" w:space="0" w:color="000000"/>
              <w:bottom w:val="single" w:sz="4" w:space="0" w:color="000000"/>
              <w:right w:val="single" w:sz="4" w:space="0" w:color="000000"/>
            </w:tcBorders>
            <w:shd w:val="clear" w:color="auto" w:fill="D2D2D2"/>
          </w:tcPr>
          <w:p>
            <w:pPr/>
          </w:p>
        </w:tc>
        <w:tc>
          <w:tcPr>
            <w:tcW w:w="12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24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202" w:hRule="exact"/>
        </w:trPr>
        <w:tc>
          <w:tcPr>
            <w:tcW w:w="1184" w:type="dxa"/>
            <w:vMerge/>
            <w:tcBorders>
              <w:left w:val="single" w:sz="4" w:space="0" w:color="000000"/>
              <w:bottom w:val="nil" w:sz="6" w:space="0" w:color="auto"/>
              <w:right w:val="single" w:sz="4" w:space="0" w:color="000000"/>
            </w:tcBorders>
            <w:shd w:val="clear" w:color="auto" w:fill="D2D2D2"/>
          </w:tcPr>
          <w:p>
            <w:pPr/>
          </w:p>
        </w:tc>
        <w:tc>
          <w:tcPr>
            <w:tcW w:w="1210" w:type="dxa"/>
            <w:vMerge/>
            <w:tcBorders>
              <w:left w:val="single" w:sz="4" w:space="0" w:color="000000"/>
              <w:bottom w:val="nil" w:sz="6" w:space="0" w:color="auto"/>
              <w:right w:val="single" w:sz="4" w:space="0" w:color="000000"/>
            </w:tcBorders>
            <w:shd w:val="clear" w:color="auto" w:fill="D2D2D2"/>
          </w:tcPr>
          <w:p>
            <w:pPr/>
          </w:p>
        </w:tc>
        <w:tc>
          <w:tcPr>
            <w:tcW w:w="11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20"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43"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8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0"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208"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1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210" w:type="dxa"/>
            <w:tcBorders>
              <w:top w:val="nil" w:sz="6" w:space="0" w:color="auto"/>
              <w:left w:val="single" w:sz="4" w:space="0" w:color="000000"/>
              <w:bottom w:val="single" w:sz="4" w:space="0" w:color="000000"/>
              <w:right w:val="single" w:sz="4" w:space="0" w:color="000000"/>
            </w:tcBorders>
            <w:shd w:val="clear" w:color="auto" w:fill="D2D2D2"/>
          </w:tcPr>
          <w:p>
            <w:pPr/>
          </w:p>
        </w:tc>
        <w:tc>
          <w:tcPr>
            <w:tcW w:w="1184"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8"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85" w:type="dxa"/>
            <w:vMerge/>
            <w:tcBorders>
              <w:left w:val="single" w:sz="4" w:space="0" w:color="000000"/>
              <w:bottom w:val="single" w:sz="4" w:space="0" w:color="000000"/>
              <w:right w:val="single" w:sz="4" w:space="0" w:color="000000"/>
            </w:tcBorders>
            <w:shd w:val="clear" w:color="auto" w:fill="D2D2D2"/>
          </w:tcPr>
          <w:p>
            <w:pPr/>
          </w:p>
        </w:tc>
        <w:tc>
          <w:tcPr>
            <w:tcW w:w="1208"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1" w:hRule="exact"/>
        </w:trPr>
        <w:tc>
          <w:tcPr>
            <w:tcW w:w="1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21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424,626,905.00</w:t>
            </w:r>
          </w:p>
        </w:tc>
        <w:tc>
          <w:tcPr>
            <w:tcW w:w="1184"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8"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2" w:right="0"/>
              <w:jc w:val="left"/>
              <w:rPr>
                <w:rFonts w:ascii="Times New Roman" w:hAnsi="Times New Roman" w:cs="Times New Roman" w:eastAsia="Times New Roman" w:hint="default"/>
                <w:sz w:val="18"/>
                <w:szCs w:val="18"/>
              </w:rPr>
            </w:pPr>
            <w:r>
              <w:rPr>
                <w:rFonts w:ascii="Times New Roman"/>
                <w:sz w:val="18"/>
              </w:rPr>
              <w:t>-286,000.00</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2" w:right="0"/>
              <w:jc w:val="left"/>
              <w:rPr>
                <w:rFonts w:ascii="Times New Roman" w:hAnsi="Times New Roman" w:cs="Times New Roman" w:eastAsia="Times New Roman" w:hint="default"/>
                <w:sz w:val="18"/>
                <w:szCs w:val="18"/>
              </w:rPr>
            </w:pPr>
            <w:r>
              <w:rPr>
                <w:rFonts w:ascii="Times New Roman"/>
                <w:sz w:val="18"/>
              </w:rPr>
              <w:t>-286,000.00</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 w:right="0"/>
              <w:jc w:val="left"/>
              <w:rPr>
                <w:rFonts w:ascii="Times New Roman" w:hAnsi="Times New Roman" w:cs="Times New Roman" w:eastAsia="Times New Roman" w:hint="default"/>
                <w:sz w:val="18"/>
                <w:szCs w:val="18"/>
              </w:rPr>
            </w:pPr>
            <w:r>
              <w:rPr>
                <w:rFonts w:ascii="Times New Roman"/>
                <w:sz w:val="18"/>
              </w:rPr>
              <w:t>424,340,905.00</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27</w:t>
      </w:r>
      <w:r>
        <w:rPr>
          <w:rFonts w:ascii="宋体" w:hAnsi="宋体" w:cs="宋体" w:eastAsia="宋体" w:hint="default"/>
          <w:b/>
          <w:bCs/>
          <w:sz w:val="21"/>
          <w:szCs w:val="21"/>
        </w:rPr>
        <w:t>、资本公积</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4"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3"/>
              <w:jc w:val="center"/>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758" w:right="0"/>
              <w:jc w:val="left"/>
              <w:rPr>
                <w:rFonts w:ascii="Times New Roman" w:hAnsi="Times New Roman" w:cs="Times New Roman" w:eastAsia="Times New Roman" w:hint="default"/>
                <w:sz w:val="18"/>
                <w:szCs w:val="18"/>
              </w:rPr>
            </w:pPr>
            <w:r>
              <w:rPr>
                <w:rFonts w:ascii="Times New Roman"/>
                <w:sz w:val="18"/>
              </w:rPr>
              <w:t>934,247,681.25</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35" w:right="0"/>
              <w:jc w:val="left"/>
              <w:rPr>
                <w:rFonts w:ascii="Times New Roman" w:hAnsi="Times New Roman" w:cs="Times New Roman" w:eastAsia="Times New Roman" w:hint="default"/>
                <w:sz w:val="18"/>
                <w:szCs w:val="18"/>
              </w:rPr>
            </w:pPr>
            <w:r>
              <w:rPr>
                <w:rFonts w:ascii="Times New Roman"/>
                <w:sz w:val="18"/>
              </w:rPr>
              <w:t>2,695,840.00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931,551,841.25</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6"/>
        <w:gridCol w:w="1913"/>
        <w:gridCol w:w="1916"/>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34,562,927.19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295,133.93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6,983,263.00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27,874,798.12</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968,810,608.44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295,133.93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9,679,103.00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959,426,639.37</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pStyle w:val="BodyText"/>
        <w:spacing w:line="357" w:lineRule="auto" w:before="145"/>
        <w:ind w:right="1140" w:firstLine="480"/>
        <w:jc w:val="both"/>
      </w:pPr>
      <w:r>
        <w:rPr/>
        <w:t>注：</w:t>
      </w:r>
      <w:r>
        <w:rPr>
          <w:rFonts w:ascii="宋体" w:hAnsi="宋体" w:cs="宋体" w:eastAsia="宋体" w:hint="default"/>
        </w:rPr>
        <w:t>2018</w:t>
      </w:r>
      <w:r>
        <w:rPr/>
        <w:t>年</w:t>
      </w:r>
      <w:r>
        <w:rPr>
          <w:rFonts w:ascii="宋体" w:hAnsi="宋体" w:cs="宋体" w:eastAsia="宋体" w:hint="default"/>
        </w:rPr>
        <w:t>1</w:t>
      </w:r>
      <w:r>
        <w:rPr/>
        <w:t>月</w:t>
      </w:r>
      <w:r>
        <w:rPr>
          <w:rFonts w:ascii="宋体" w:hAnsi="宋体" w:cs="宋体" w:eastAsia="宋体" w:hint="default"/>
        </w:rPr>
        <w:t>5</w:t>
      </w:r>
      <w:r>
        <w:rPr/>
        <w:t>日，保定金迪科学仪器有限公司收购保定市金迪双维管道内衬技术有限 公司少数股东权，合并中产生资本公积</w:t>
      </w:r>
      <w:r>
        <w:rPr>
          <w:rFonts w:ascii="宋体" w:hAnsi="宋体" w:cs="宋体" w:eastAsia="宋体" w:hint="default"/>
        </w:rPr>
        <w:t>295,133.93</w:t>
      </w:r>
      <w:r>
        <w:rPr/>
        <w:t>元。</w:t>
      </w:r>
    </w:p>
    <w:p>
      <w:pPr>
        <w:pStyle w:val="BodyText"/>
        <w:spacing w:line="357" w:lineRule="auto"/>
        <w:ind w:right="1130" w:firstLine="480"/>
        <w:jc w:val="both"/>
      </w:pPr>
      <w:r>
        <w:rPr>
          <w:rFonts w:ascii="宋体" w:hAnsi="宋体" w:cs="宋体" w:eastAsia="宋体" w:hint="default"/>
        </w:rPr>
        <w:t>2018</w:t>
      </w:r>
      <w:r>
        <w:rPr/>
        <w:t>年</w:t>
      </w:r>
      <w:r>
        <w:rPr>
          <w:rFonts w:ascii="宋体" w:hAnsi="宋体" w:cs="宋体" w:eastAsia="宋体" w:hint="default"/>
        </w:rPr>
        <w:t>1</w:t>
      </w:r>
      <w:r>
        <w:rPr/>
        <w:t>月</w:t>
      </w:r>
      <w:r>
        <w:rPr>
          <w:rFonts w:ascii="宋体" w:hAnsi="宋体" w:cs="宋体" w:eastAsia="宋体" w:hint="default"/>
        </w:rPr>
        <w:t>9</w:t>
      </w:r>
      <w:r>
        <w:rPr/>
        <w:t>日召开的第三届董事会第三十三次会议审议通过了《关于回购注销部分限制 性股票的议案》，董事会决定对冀晓东、李小龙、刘洋（身份证尾号</w:t>
      </w:r>
      <w:r>
        <w:rPr>
          <w:rFonts w:ascii="宋体" w:hAnsi="宋体" w:cs="宋体" w:eastAsia="宋体" w:hint="default"/>
        </w:rPr>
        <w:t>4735</w:t>
      </w:r>
      <w:r>
        <w:rPr/>
        <w:t>）、杨二勇、翟伟</w:t>
      </w:r>
      <w:r>
        <w:rPr>
          <w:spacing w:val="-89"/>
        </w:rPr>
        <w:t> </w:t>
      </w:r>
      <w:r>
        <w:rPr>
          <w:spacing w:val="-89"/>
        </w:rPr>
      </w:r>
      <w:r>
        <w:rPr/>
        <w:t>西、方磊、刘洋（身份证尾号</w:t>
      </w:r>
      <w:r>
        <w:rPr>
          <w:rFonts w:ascii="宋体" w:hAnsi="宋体" w:cs="宋体" w:eastAsia="宋体" w:hint="default"/>
        </w:rPr>
        <w:t>553X</w:t>
      </w:r>
      <w:r>
        <w:rPr/>
        <w:t>）、李成德、陈画梅、贺宇翔等</w:t>
      </w:r>
      <w:r>
        <w:rPr>
          <w:rFonts w:ascii="宋体" w:hAnsi="宋体" w:cs="宋体" w:eastAsia="宋体" w:hint="default"/>
        </w:rPr>
        <w:t>10</w:t>
      </w:r>
      <w:r>
        <w:rPr/>
        <w:t>人因个人原因对已获授</w:t>
      </w:r>
      <w:r>
        <w:rPr>
          <w:spacing w:val="-89"/>
        </w:rPr>
        <w:t> </w:t>
      </w:r>
      <w:r>
        <w:rPr>
          <w:spacing w:val="-89"/>
        </w:rPr>
      </w:r>
      <w:r>
        <w:rPr>
          <w:spacing w:val="-2"/>
        </w:rPr>
        <w:t>但尚未解锁的限制性股票合计</w:t>
      </w:r>
      <w:r>
        <w:rPr>
          <w:rFonts w:ascii="宋体" w:hAnsi="宋体" w:cs="宋体" w:eastAsia="宋体" w:hint="default"/>
          <w:spacing w:val="-2"/>
        </w:rPr>
        <w:t>26.80</w:t>
      </w:r>
      <w:r>
        <w:rPr>
          <w:spacing w:val="-2"/>
        </w:rPr>
        <w:t>万股进行回购注销的处理，回购价格</w:t>
      </w:r>
      <w:r>
        <w:rPr>
          <w:rFonts w:ascii="宋体" w:hAnsi="宋体" w:cs="宋体" w:eastAsia="宋体" w:hint="default"/>
          <w:spacing w:val="-2"/>
        </w:rPr>
        <w:t>10.37</w:t>
      </w:r>
      <w:r>
        <w:rPr>
          <w:spacing w:val="-2"/>
        </w:rPr>
        <w:t>元</w:t>
      </w:r>
      <w:r>
        <w:rPr>
          <w:rFonts w:ascii="宋体" w:hAnsi="宋体" w:cs="宋体" w:eastAsia="宋体" w:hint="default"/>
          <w:spacing w:val="-2"/>
        </w:rPr>
        <w:t>/</w:t>
      </w:r>
      <w:r>
        <w:rPr>
          <w:spacing w:val="-2"/>
        </w:rPr>
        <w:t>股，回购总</w:t>
      </w:r>
      <w:r>
        <w:rPr>
          <w:spacing w:val="-109"/>
        </w:rPr>
        <w:t> </w:t>
      </w:r>
      <w:r>
        <w:rPr>
          <w:spacing w:val="-109"/>
        </w:rPr>
      </w:r>
      <w:r>
        <w:rPr/>
        <w:t>金额</w:t>
      </w:r>
      <w:r>
        <w:rPr>
          <w:rFonts w:ascii="宋体" w:hAnsi="宋体" w:cs="宋体" w:eastAsia="宋体" w:hint="default"/>
        </w:rPr>
        <w:t>2,779,160.00</w:t>
      </w:r>
      <w:r>
        <w:rPr/>
        <w:t>元，减少资本溢价</w:t>
      </w:r>
      <w:r>
        <w:rPr>
          <w:rFonts w:ascii="宋体" w:hAnsi="宋体" w:cs="宋体" w:eastAsia="宋体" w:hint="default"/>
        </w:rPr>
        <w:t>2,511,160.00</w:t>
      </w:r>
      <w:r>
        <w:rPr/>
        <w:t>元；鉴于预留部分限制性股票激励对象董</w:t>
      </w:r>
      <w:r>
        <w:rPr>
          <w:spacing w:val="-88"/>
        </w:rPr>
        <w:t> </w:t>
      </w:r>
      <w:r>
        <w:rPr>
          <w:spacing w:val="-88"/>
        </w:rPr>
      </w:r>
      <w:r>
        <w:rPr/>
        <w:t>晓燚、刘吉赟、彭哲因个人原因已离职，不具备限制性股票激励计划激励对象资格，应对上</w:t>
      </w:r>
      <w:r>
        <w:rPr>
          <w:spacing w:val="-91"/>
        </w:rPr>
        <w:t> </w:t>
      </w:r>
      <w:r>
        <w:rPr>
          <w:spacing w:val="-91"/>
        </w:rPr>
      </w:r>
      <w:r>
        <w:rPr>
          <w:spacing w:val="9"/>
        </w:rPr>
        <w:t>述</w:t>
      </w:r>
      <w:r>
        <w:rPr>
          <w:rFonts w:ascii="宋体" w:hAnsi="宋体" w:cs="宋体" w:eastAsia="宋体" w:hint="default"/>
          <w:spacing w:val="9"/>
        </w:rPr>
        <w:t>3</w:t>
      </w:r>
      <w:r>
        <w:rPr>
          <w:spacing w:val="9"/>
        </w:rPr>
        <w:t>人已获授但尚未解锁的预留限制性股票合计</w:t>
      </w:r>
      <w:r>
        <w:rPr>
          <w:rFonts w:ascii="宋体" w:hAnsi="宋体" w:cs="宋体" w:eastAsia="宋体" w:hint="default"/>
          <w:spacing w:val="9"/>
        </w:rPr>
        <w:t>1.80</w:t>
      </w:r>
      <w:r>
        <w:rPr>
          <w:spacing w:val="9"/>
        </w:rPr>
        <w:t>万股进行回购注销的处理，回购价格</w:t>
      </w:r>
      <w:r>
        <w:rPr>
          <w:spacing w:val="-116"/>
        </w:rPr>
        <w:t> </w:t>
      </w:r>
      <w:r>
        <w:rPr>
          <w:spacing w:val="-116"/>
        </w:rPr>
      </w:r>
      <w:r>
        <w:rPr>
          <w:rFonts w:ascii="宋体" w:hAnsi="宋体" w:cs="宋体" w:eastAsia="宋体" w:hint="default"/>
        </w:rPr>
        <w:t>11.26</w:t>
      </w:r>
      <w:r>
        <w:rPr/>
        <w:t>元</w:t>
      </w:r>
      <w:r>
        <w:rPr>
          <w:rFonts w:ascii="宋体" w:hAnsi="宋体" w:cs="宋体" w:eastAsia="宋体" w:hint="default"/>
        </w:rPr>
        <w:t>/</w:t>
      </w:r>
      <w:r>
        <w:rPr/>
        <w:t>股，回购总金额</w:t>
      </w:r>
      <w:r>
        <w:rPr>
          <w:rFonts w:ascii="宋体" w:hAnsi="宋体" w:cs="宋体" w:eastAsia="宋体" w:hint="default"/>
        </w:rPr>
        <w:t>202,680.00</w:t>
      </w:r>
      <w:r>
        <w:rPr/>
        <w:t>元，减少资本溢价</w:t>
      </w:r>
      <w:r>
        <w:rPr>
          <w:rFonts w:ascii="宋体" w:hAnsi="宋体" w:cs="宋体" w:eastAsia="宋体" w:hint="default"/>
        </w:rPr>
        <w:t>184,680.00</w:t>
      </w:r>
      <w:r>
        <w:rPr/>
        <w:t>元。合计减少资本溢价金</w:t>
      </w:r>
      <w:r>
        <w:rPr>
          <w:spacing w:val="-85"/>
        </w:rPr>
        <w:t> </w:t>
      </w:r>
      <w:r>
        <w:rPr>
          <w:spacing w:val="-85"/>
        </w:rPr>
      </w:r>
      <w:r>
        <w:rPr/>
        <w:t>额</w:t>
      </w:r>
      <w:r>
        <w:rPr>
          <w:rFonts w:ascii="宋体" w:hAnsi="宋体" w:cs="宋体" w:eastAsia="宋体" w:hint="default"/>
        </w:rPr>
        <w:t>2,695,840.00</w:t>
      </w:r>
      <w:r>
        <w:rPr/>
        <w:t>元。</w:t>
      </w:r>
    </w:p>
    <w:p>
      <w:pPr>
        <w:pStyle w:val="BodyText"/>
        <w:spacing w:line="357" w:lineRule="auto"/>
        <w:ind w:right="1131" w:firstLine="480"/>
        <w:jc w:val="both"/>
      </w:pPr>
      <w:r>
        <w:rPr/>
        <w:t>根据《企业会计准则第</w:t>
      </w:r>
      <w:r>
        <w:rPr>
          <w:rFonts w:ascii="宋体" w:hAnsi="宋体" w:cs="宋体" w:eastAsia="宋体" w:hint="default"/>
        </w:rPr>
        <w:t>11</w:t>
      </w:r>
      <w:r>
        <w:rPr/>
        <w:t>号——股份支付》应用指南规定：“等待期内每个资产负债表 日，企业应当根据最新取得的可行权职工人数变动等后续信息做出最佳估计，修正预计可行</w:t>
      </w:r>
      <w:r>
        <w:rPr>
          <w:spacing w:val="-91"/>
        </w:rPr>
        <w:t> </w:t>
      </w:r>
      <w:r>
        <w:rPr>
          <w:spacing w:val="-91"/>
        </w:rPr>
      </w:r>
      <w:r>
        <w:rPr/>
        <w:t>权的权益工具数量。在可行权日，最终预计可行权权益工具的数量应当与实际可行权工具的</w:t>
      </w:r>
      <w:r>
        <w:rPr>
          <w:spacing w:val="-90"/>
        </w:rPr>
        <w:t> </w:t>
      </w:r>
      <w:r>
        <w:rPr>
          <w:spacing w:val="-90"/>
        </w:rPr>
      </w:r>
      <w:r>
        <w:rPr/>
        <w:t>数量一致。根据上述权益工具的公允价值和预计可行权的权益工具数量，计算截至当期累计</w:t>
      </w:r>
      <w:r>
        <w:rPr>
          <w:spacing w:val="-91"/>
        </w:rPr>
        <w:t> </w:t>
      </w:r>
      <w:r>
        <w:rPr>
          <w:spacing w:val="-91"/>
        </w:rPr>
      </w:r>
      <w:r>
        <w:rPr>
          <w:spacing w:val="-5"/>
        </w:rPr>
        <w:t>应确认的成本费用金额，再减去前期累计已确认金额，作为当期应确认的成本费用金额。</w:t>
      </w:r>
      <w:r>
        <w:rPr>
          <w:rFonts w:ascii="宋体" w:hAnsi="宋体" w:cs="宋体" w:eastAsia="宋体" w:hint="default"/>
          <w:spacing w:val="-5"/>
        </w:rPr>
        <w:t>2018</w:t>
      </w:r>
      <w:r>
        <w:rPr>
          <w:rFonts w:ascii="宋体" w:hAnsi="宋体" w:cs="宋体" w:eastAsia="宋体" w:hint="default"/>
          <w:spacing w:val="-107"/>
        </w:rPr>
        <w:t> </w:t>
      </w:r>
      <w:r>
        <w:rPr/>
        <w:t>年确认管理费用为</w:t>
      </w:r>
      <w:r>
        <w:rPr>
          <w:rFonts w:ascii="宋体" w:hAnsi="宋体" w:cs="宋体" w:eastAsia="宋体" w:hint="default"/>
        </w:rPr>
        <w:t>-6,983,263.00</w:t>
      </w:r>
      <w:r>
        <w:rPr/>
        <w:t>元，减少其他资本公积</w:t>
      </w:r>
      <w:r>
        <w:rPr>
          <w:rFonts w:ascii="宋体" w:hAnsi="宋体" w:cs="宋体" w:eastAsia="宋体" w:hint="default"/>
        </w:rPr>
        <w:t>6,983,263.00</w:t>
      </w:r>
      <w:r>
        <w:rPr/>
        <w:t>元。</w:t>
      </w:r>
    </w:p>
    <w:p>
      <w:pPr>
        <w:spacing w:line="240" w:lineRule="auto" w:before="10"/>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28</w:t>
      </w:r>
      <w:r>
        <w:rPr>
          <w:rFonts w:ascii="宋体" w:hAnsi="宋体" w:cs="宋体" w:eastAsia="宋体" w:hint="default"/>
          <w:b/>
          <w:bCs/>
          <w:sz w:val="21"/>
          <w:szCs w:val="21"/>
        </w:rPr>
        <w:t>、库存股</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5"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限制性股票未到解锁期 股份</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75,606,625.00</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35,502,827.00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40,103,798.00</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75,606,625.00</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35,502,827.00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40,103,798.00</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pStyle w:val="BodyText"/>
        <w:spacing w:line="357" w:lineRule="auto" w:before="148"/>
        <w:ind w:right="996" w:firstLine="480"/>
        <w:jc w:val="left"/>
      </w:pPr>
      <w:r>
        <w:rPr>
          <w:spacing w:val="-2"/>
        </w:rPr>
        <w:t>注：对已获授但尚未解锁的限制性股票合计</w:t>
      </w:r>
      <w:r>
        <w:rPr>
          <w:rFonts w:ascii="宋体" w:hAnsi="宋体" w:cs="宋体" w:eastAsia="宋体" w:hint="default"/>
          <w:spacing w:val="-2"/>
        </w:rPr>
        <w:t>28.6</w:t>
      </w:r>
      <w:r>
        <w:rPr>
          <w:spacing w:val="-2"/>
        </w:rPr>
        <w:t>万股进行回购注销的说明详见“附注七、</w:t>
      </w:r>
      <w:r>
        <w:rPr/>
        <w:t> </w:t>
      </w:r>
      <w:r>
        <w:rPr>
          <w:rFonts w:ascii="宋体" w:hAnsi="宋体" w:cs="宋体" w:eastAsia="宋体" w:hint="default"/>
        </w:rPr>
        <w:t>27</w:t>
      </w:r>
      <w:r>
        <w:rPr/>
        <w:t>”，合计金额</w:t>
      </w:r>
      <w:r>
        <w:rPr>
          <w:rFonts w:ascii="宋体" w:hAnsi="宋体" w:cs="宋体" w:eastAsia="宋体" w:hint="default"/>
        </w:rPr>
        <w:t>2,981,840.00</w:t>
      </w:r>
      <w:r>
        <w:rPr/>
        <w:t>元。</w:t>
      </w:r>
    </w:p>
    <w:p>
      <w:pPr>
        <w:pStyle w:val="BodyText"/>
        <w:spacing w:line="240" w:lineRule="auto"/>
        <w:ind w:left="633" w:right="982"/>
        <w:jc w:val="left"/>
      </w:pPr>
      <w:r>
        <w:rPr/>
        <w:t>根据《北京数字政通科技股份有限公司关于</w:t>
      </w:r>
      <w:r>
        <w:rPr>
          <w:rFonts w:ascii="宋体" w:hAnsi="宋体" w:cs="宋体" w:eastAsia="宋体" w:hint="default"/>
        </w:rPr>
        <w:t>2016</w:t>
      </w:r>
      <w:r>
        <w:rPr/>
        <w:t>年限制性股票激励计划预留部分第一个</w:t>
      </w:r>
    </w:p>
    <w:p>
      <w:pPr>
        <w:spacing w:after="0" w:line="240"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36"/>
        <w:jc w:val="both"/>
      </w:pPr>
      <w:r>
        <w:rPr/>
        <w:t>解锁期股份上市流通的提示性公告》、《北京数字政通科技股份有限公司关于</w:t>
      </w:r>
      <w:r>
        <w:rPr>
          <w:rFonts w:ascii="宋体" w:hAnsi="宋体" w:cs="宋体" w:eastAsia="宋体" w:hint="default"/>
        </w:rPr>
        <w:t>2016</w:t>
      </w:r>
      <w:r>
        <w:rPr/>
        <w:t>年限制性</w:t>
      </w:r>
      <w:r>
        <w:rPr>
          <w:spacing w:val="-88"/>
        </w:rPr>
        <w:t> </w:t>
      </w:r>
      <w:r>
        <w:rPr/>
        <w:t>股票激励计划第二个解锁期股份上市流通的提示性公告》、《北京数字政通科技股份有限公</w:t>
      </w:r>
      <w:r>
        <w:rPr>
          <w:spacing w:val="-91"/>
        </w:rPr>
        <w:t> </w:t>
      </w:r>
      <w:r>
        <w:rPr>
          <w:spacing w:val="-91"/>
        </w:rPr>
      </w:r>
      <w:r>
        <w:rPr/>
        <w:t>司关于</w:t>
      </w:r>
      <w:r>
        <w:rPr>
          <w:rFonts w:ascii="宋体" w:hAnsi="宋体" w:cs="宋体" w:eastAsia="宋体" w:hint="default"/>
        </w:rPr>
        <w:t>2016</w:t>
      </w:r>
      <w:r>
        <w:rPr/>
        <w:t>年限制性股票激励计划预留部分第二个解锁期股份上市流通的提示性公告》合计</w:t>
      </w:r>
      <w:r>
        <w:rPr>
          <w:spacing w:val="-91"/>
        </w:rPr>
        <w:t> </w:t>
      </w:r>
      <w:r>
        <w:rPr>
          <w:spacing w:val="-91"/>
        </w:rPr>
      </w:r>
      <w:r>
        <w:rPr/>
        <w:t>解锁库存股</w:t>
      </w:r>
      <w:r>
        <w:rPr>
          <w:rFonts w:ascii="宋体" w:hAnsi="宋体" w:cs="宋体" w:eastAsia="宋体" w:hint="default"/>
        </w:rPr>
        <w:t>3,088,200.00</w:t>
      </w:r>
      <w:r>
        <w:rPr/>
        <w:t>股，减少库存股金额库存股</w:t>
      </w:r>
      <w:r>
        <w:rPr>
          <w:rFonts w:ascii="宋体" w:hAnsi="宋体" w:cs="宋体" w:eastAsia="宋体" w:hint="default"/>
        </w:rPr>
        <w:t>32,520,987.00</w:t>
      </w:r>
      <w:r>
        <w:rPr/>
        <w:t>元。</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1"/>
          <w:szCs w:val="21"/>
        </w:rPr>
      </w:pPr>
    </w:p>
    <w:p>
      <w:pPr>
        <w:spacing w:before="0"/>
        <w:ind w:left="152" w:right="0" w:firstLine="0"/>
        <w:jc w:val="both"/>
        <w:rPr>
          <w:rFonts w:ascii="宋体" w:hAnsi="宋体" w:cs="宋体" w:eastAsia="宋体" w:hint="default"/>
          <w:sz w:val="21"/>
          <w:szCs w:val="21"/>
        </w:rPr>
      </w:pPr>
      <w:r>
        <w:rPr>
          <w:rFonts w:ascii="Times New Roman" w:hAnsi="Times New Roman" w:cs="Times New Roman" w:eastAsia="Times New Roman" w:hint="default"/>
          <w:b/>
          <w:bCs/>
          <w:sz w:val="21"/>
          <w:szCs w:val="21"/>
        </w:rPr>
        <w:t>29</w:t>
      </w:r>
      <w:r>
        <w:rPr>
          <w:rFonts w:ascii="宋体" w:hAnsi="宋体" w:cs="宋体" w:eastAsia="宋体" w:hint="default"/>
          <w:b/>
          <w:bCs/>
          <w:sz w:val="21"/>
          <w:szCs w:val="21"/>
        </w:rPr>
        <w:t>、盈余公积</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6"/>
        <w:gridCol w:w="1913"/>
        <w:gridCol w:w="1916"/>
      </w:tblGrid>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76,261,789.28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11,964,907.10</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88,226,696.38</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76,261,789.28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11,964,907.10</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88,226,696.38</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盈余公积说明，包括本期增减变动情况、变动原因说明：</w:t>
      </w:r>
    </w:p>
    <w:p>
      <w:pPr>
        <w:pStyle w:val="BodyText"/>
        <w:spacing w:line="357" w:lineRule="auto" w:before="145"/>
        <w:ind w:right="982" w:firstLine="480"/>
        <w:jc w:val="left"/>
      </w:pPr>
      <w:r>
        <w:rPr>
          <w:spacing w:val="-3"/>
        </w:rPr>
        <w:t>注：根据《公司法》、公司章程的规定，本公司按净利润的</w:t>
      </w:r>
      <w:r>
        <w:rPr>
          <w:rFonts w:ascii="宋体" w:hAnsi="宋体" w:cs="宋体" w:eastAsia="宋体" w:hint="default"/>
          <w:spacing w:val="-3"/>
        </w:rPr>
        <w:t>10%</w:t>
      </w:r>
      <w:r>
        <w:rPr>
          <w:spacing w:val="-3"/>
        </w:rPr>
        <w:t>提取法定盈余公积。法定</w:t>
      </w:r>
      <w:r>
        <w:rPr/>
        <w:t> 盈余公积累计额达到本公司注册资本</w:t>
      </w:r>
      <w:r>
        <w:rPr>
          <w:rFonts w:ascii="宋体" w:hAnsi="宋体" w:cs="宋体" w:eastAsia="宋体" w:hint="default"/>
        </w:rPr>
        <w:t>50%</w:t>
      </w:r>
      <w:r>
        <w:rPr/>
        <w:t>以上的，不再提取。</w:t>
      </w:r>
    </w:p>
    <w:p>
      <w:pPr>
        <w:spacing w:line="240" w:lineRule="auto" w:before="10"/>
        <w:rPr>
          <w:rFonts w:ascii="宋体" w:hAnsi="宋体" w:cs="宋体" w:eastAsia="宋体" w:hint="default"/>
          <w:sz w:val="21"/>
          <w:szCs w:val="21"/>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30</w:t>
      </w:r>
      <w:r>
        <w:rPr>
          <w:rFonts w:ascii="宋体" w:hAnsi="宋体" w:cs="宋体" w:eastAsia="宋体" w:hint="default"/>
          <w:b/>
          <w:bCs/>
          <w:sz w:val="21"/>
          <w:szCs w:val="21"/>
        </w:rPr>
        <w:t>、未分配利润</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703"/>
        <w:gridCol w:w="2934"/>
        <w:gridCol w:w="2919"/>
      </w:tblGrid>
      <w:tr>
        <w:trPr>
          <w:trHeight w:val="403"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646,735,486.13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501,844,043.18</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646,735,486.13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501,844,043.18</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117,186,570.99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169,594,871.96</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11,964,907.10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12,837,165.66</w:t>
            </w:r>
          </w:p>
        </w:tc>
      </w:tr>
      <w:tr>
        <w:trPr>
          <w:trHeight w:val="402"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12,736,511.81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11,866,263.35</w:t>
            </w:r>
          </w:p>
        </w:tc>
      </w:tr>
      <w:tr>
        <w:trPr>
          <w:trHeight w:val="403" w:hRule="exact"/>
        </w:trPr>
        <w:tc>
          <w:tcPr>
            <w:tcW w:w="3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3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739,220,638.21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646,735,486.13</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31</w:t>
      </w:r>
      <w:r>
        <w:rPr>
          <w:rFonts w:ascii="宋体" w:hAnsi="宋体" w:cs="宋体" w:eastAsia="宋体" w:hint="default"/>
          <w:b/>
          <w:bCs/>
          <w:sz w:val="21"/>
          <w:szCs w:val="21"/>
        </w:rPr>
        <w:t>、营业收入和营业成本</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901"/>
        <w:gridCol w:w="1916"/>
        <w:gridCol w:w="1916"/>
        <w:gridCol w:w="1913"/>
        <w:gridCol w:w="1916"/>
      </w:tblGrid>
      <w:tr>
        <w:trPr>
          <w:trHeight w:val="206"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2" w:hRule="exact"/>
        </w:trPr>
        <w:tc>
          <w:tcPr>
            <w:tcW w:w="19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9" w:type="dxa"/>
            <w:gridSpan w:val="2"/>
            <w:vMerge/>
            <w:tcBorders>
              <w:left w:val="single" w:sz="4" w:space="0" w:color="000000"/>
              <w:bottom w:val="single" w:sz="4" w:space="0" w:color="000000"/>
              <w:right w:val="single" w:sz="4" w:space="0" w:color="000000"/>
            </w:tcBorders>
            <w:shd w:val="clear" w:color="auto" w:fill="D2D2D2"/>
          </w:tcPr>
          <w:p>
            <w:pPr/>
          </w:p>
        </w:tc>
      </w:tr>
      <w:tr>
        <w:trPr>
          <w:trHeight w:val="199" w:hRule="exact"/>
        </w:trPr>
        <w:tc>
          <w:tcPr>
            <w:tcW w:w="1901" w:type="dxa"/>
            <w:vMerge/>
            <w:tcBorders>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1,280,570,554.37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911,933,683.20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1,194,528,911.52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775,022,049.81</w:t>
            </w:r>
          </w:p>
        </w:tc>
      </w:tr>
      <w:tr>
        <w:trPr>
          <w:trHeight w:val="401"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8,244,966.25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6,317,175.15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8,448,062.34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5,075,968.37</w:t>
            </w:r>
          </w:p>
        </w:tc>
      </w:tr>
      <w:tr>
        <w:trPr>
          <w:trHeight w:val="404"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1,288,815,520.62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918,250,858.35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1,202,976,973.86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780,098,018.18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32</w:t>
      </w:r>
      <w:r>
        <w:rPr>
          <w:rFonts w:ascii="宋体" w:hAnsi="宋体" w:cs="宋体" w:eastAsia="宋体" w:hint="default"/>
          <w:b/>
          <w:bCs/>
          <w:sz w:val="21"/>
          <w:szCs w:val="21"/>
        </w:rPr>
        <w:t>、税金及附加</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6,384,754.41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5,517,963.97</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2,736,522.73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2,366,859.78</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1,329,877.51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1,716,802.12</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66,358.40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67,313.80</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45,283.46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29,952.91</w:t>
            </w:r>
          </w:p>
        </w:tc>
      </w:tr>
      <w:tr>
        <w:trPr>
          <w:trHeight w:val="404"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844,296.56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749,153.61</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1,824,348.49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1,577,353.16</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501,669.22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872,380.60</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13,733,110.78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12,897,779.95</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33</w:t>
      </w:r>
      <w:r>
        <w:rPr>
          <w:rFonts w:ascii="宋体" w:hAnsi="宋体" w:cs="宋体" w:eastAsia="宋体" w:hint="default"/>
          <w:b/>
          <w:bCs/>
          <w:sz w:val="21"/>
          <w:szCs w:val="21"/>
        </w:rPr>
        <w:t>、销售费用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30,080,013.37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25,190,272.26</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25,051,688.30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24,130,095.23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9,868,446.97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7,348,804.44</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8,319,022.30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6,956,815.45</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6,516,079.07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3,468,342.12</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维保费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3,816,223.43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3,383,298.31</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交通费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1,440,702.12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1,743,123.96</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通讯费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499,195.09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1,211,864.79</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验收费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1,549,163.08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908,575.00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广告宣传费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2,798,327.14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1,137,808.76</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171,920.35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3,863,968.93</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90,110,781.22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79,342,969.25</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34</w:t>
      </w:r>
      <w:r>
        <w:rPr>
          <w:rFonts w:ascii="宋体" w:hAnsi="宋体" w:cs="宋体" w:eastAsia="宋体" w:hint="default"/>
          <w:b/>
          <w:bCs/>
          <w:sz w:val="21"/>
          <w:szCs w:val="21"/>
        </w:rPr>
        <w:t>、管理费用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79"/>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33,924,429.18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28,302,180.82</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20,463,421.38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21,003,192.11</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股份支付成本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-6,983,263.00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15,152,200.00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办公场租物业费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10,005,104.22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10,124,094.54</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10,693,130.34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5,030,453.47</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3,152,472.76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3,811,187.74</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2,255,265.93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2,528,949.33</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中介机构费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1,044,771.79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3,047,321.28</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广告宣传费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327,613.72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1,009,670.81</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216,359.97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5,120,663.57</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75,099,306.29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95,129,913.67</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35</w:t>
      </w:r>
      <w:r>
        <w:rPr>
          <w:rFonts w:ascii="宋体" w:hAnsi="宋体" w:cs="宋体" w:eastAsia="宋体" w:hint="default"/>
          <w:b/>
          <w:bCs/>
          <w:sz w:val="21"/>
          <w:szCs w:val="21"/>
        </w:rPr>
        <w:t>、研发费用</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人工费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39,003,355.92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31,754,376.75</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技术服务费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2,449,530.24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4,724,005.03</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2,016,591.59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2,757,589.52</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563,097.41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389,368.15</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1,123,364.84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2,404,158.41</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材料费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2,642,677.96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1,974,966.23</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车辆使用费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387,206.51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394,492.03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249,431.18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336,568.61</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82,201.27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318,993.68</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48,517,456.92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45,054,518.41</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36</w:t>
      </w:r>
      <w:r>
        <w:rPr>
          <w:rFonts w:ascii="宋体" w:hAnsi="宋体" w:cs="宋体" w:eastAsia="宋体" w:hint="default"/>
          <w:b/>
          <w:bCs/>
          <w:sz w:val="21"/>
          <w:szCs w:val="21"/>
        </w:rPr>
        <w:t>、财务费用</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7,783,028.02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5,250,412.80</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其中：票据贴现利息</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11,475,008.58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6,175,377.12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2.76</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手续费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436,521.31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415,348.76</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-7,385,422.44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-5,540,546.25</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-10,640,881.69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-6,050,159.05</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37</w:t>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4"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42,620,145.26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41,006,946.75</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10,488,502.93</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十三、商誉减值损失</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24,500,805.13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2,782,199.75</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77,609,453.32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43,789,146.50</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38</w:t>
      </w:r>
      <w:r>
        <w:rPr>
          <w:rFonts w:ascii="宋体" w:hAnsi="宋体" w:cs="宋体" w:eastAsia="宋体" w:hint="default"/>
          <w:b/>
          <w:bCs/>
          <w:sz w:val="21"/>
          <w:szCs w:val="21"/>
        </w:rPr>
        <w:t>、其他收益</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80"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软件增值税退税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49,184,619.42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30,962,925.75</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企业社保补贴和就业补贴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27,166.77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847,764.47</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办公用房租金补贴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326,000.00</w:t>
            </w: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96"/>
              <w:jc w:val="left"/>
              <w:rPr>
                <w:rFonts w:ascii="宋体" w:hAnsi="宋体" w:cs="宋体" w:eastAsia="宋体" w:hint="default"/>
                <w:sz w:val="18"/>
                <w:szCs w:val="18"/>
              </w:rPr>
            </w:pPr>
            <w:r>
              <w:rPr>
                <w:rFonts w:ascii="宋体" w:hAnsi="宋体" w:cs="宋体" w:eastAsia="宋体" w:hint="default"/>
                <w:sz w:val="18"/>
                <w:szCs w:val="18"/>
              </w:rPr>
              <w:t>基于大数据技术的城市公共管理服务平 台</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33,723.93</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96"/>
              <w:jc w:val="left"/>
              <w:rPr>
                <w:rFonts w:ascii="宋体" w:hAnsi="宋体" w:cs="宋体" w:eastAsia="宋体" w:hint="default"/>
                <w:sz w:val="18"/>
                <w:szCs w:val="18"/>
              </w:rPr>
            </w:pPr>
            <w:r>
              <w:rPr>
                <w:rFonts w:ascii="宋体" w:hAnsi="宋体" w:cs="宋体" w:eastAsia="宋体" w:hint="default"/>
                <w:sz w:val="18"/>
                <w:szCs w:val="18"/>
              </w:rPr>
              <w:t>基于卫星导航技术的网格化城市管理综 合应用服务平台</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73,075.54</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个税手续费返还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424,951.79</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96"/>
              <w:jc w:val="left"/>
              <w:rPr>
                <w:rFonts w:ascii="宋体" w:hAnsi="宋体" w:cs="宋体" w:eastAsia="宋体" w:hint="default"/>
                <w:sz w:val="18"/>
                <w:szCs w:val="18"/>
              </w:rPr>
            </w:pPr>
            <w:r>
              <w:rPr>
                <w:rFonts w:ascii="宋体" w:hAnsi="宋体" w:cs="宋体" w:eastAsia="宋体" w:hint="default"/>
                <w:sz w:val="18"/>
                <w:szCs w:val="18"/>
              </w:rPr>
              <w:t>中关村海淀园管理委员会企发处购买信 用报告专项资金补贴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5,000.00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96"/>
              <w:jc w:val="left"/>
              <w:rPr>
                <w:rFonts w:ascii="宋体" w:hAnsi="宋体" w:cs="宋体" w:eastAsia="宋体" w:hint="default"/>
                <w:sz w:val="18"/>
                <w:szCs w:val="18"/>
              </w:rPr>
            </w:pPr>
            <w:r>
              <w:rPr>
                <w:rFonts w:ascii="宋体" w:hAnsi="宋体" w:cs="宋体" w:eastAsia="宋体" w:hint="default"/>
                <w:sz w:val="18"/>
                <w:szCs w:val="18"/>
              </w:rPr>
              <w:t>中华人民共和国住房城乡建设部课题补 贴款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475,000.00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50,208,737.98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32,243,489.69</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39</w:t>
      </w:r>
      <w:r>
        <w:rPr>
          <w:rFonts w:ascii="宋体" w:hAnsi="宋体" w:cs="宋体" w:eastAsia="宋体" w:hint="default"/>
          <w:b/>
          <w:bCs/>
          <w:sz w:val="21"/>
          <w:szCs w:val="21"/>
        </w:rPr>
        <w:t>、投资收益</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461"/>
        <w:gridCol w:w="3190"/>
        <w:gridCol w:w="2907"/>
      </w:tblGrid>
      <w:tr>
        <w:trPr>
          <w:trHeight w:val="402" w:hRule="exact"/>
        </w:trPr>
        <w:tc>
          <w:tcPr>
            <w:tcW w:w="34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461"/>
        <w:gridCol w:w="3190"/>
        <w:gridCol w:w="2919"/>
      </w:tblGrid>
      <w:tr>
        <w:trPr>
          <w:trHeight w:val="401" w:hRule="exact"/>
        </w:trPr>
        <w:tc>
          <w:tcPr>
            <w:tcW w:w="34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-1,783,391.80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2,114,291.24</w:t>
            </w:r>
          </w:p>
        </w:tc>
      </w:tr>
      <w:tr>
        <w:trPr>
          <w:trHeight w:val="403" w:hRule="exact"/>
        </w:trPr>
        <w:tc>
          <w:tcPr>
            <w:tcW w:w="34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-88,297.38</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14,757,042.38</w:t>
            </w:r>
          </w:p>
        </w:tc>
      </w:tr>
      <w:tr>
        <w:trPr>
          <w:trHeight w:val="401" w:hRule="exact"/>
        </w:trPr>
        <w:tc>
          <w:tcPr>
            <w:tcW w:w="34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5,000.00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3,000.00</w:t>
            </w:r>
          </w:p>
        </w:tc>
      </w:tr>
      <w:tr>
        <w:trPr>
          <w:trHeight w:val="403" w:hRule="exact"/>
        </w:trPr>
        <w:tc>
          <w:tcPr>
            <w:tcW w:w="34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-1,866,689.18</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16,874,333.62</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40</w:t>
      </w:r>
      <w:r>
        <w:rPr>
          <w:rFonts w:ascii="宋体" w:hAnsi="宋体" w:cs="宋体" w:eastAsia="宋体" w:hint="default"/>
          <w:b/>
          <w:bCs/>
          <w:sz w:val="21"/>
          <w:szCs w:val="21"/>
        </w:rPr>
        <w:t>、营业外收入</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161" w:hRule="exact"/>
        </w:trPr>
        <w:tc>
          <w:tcPr>
            <w:tcW w:w="2388"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1102" w:right="111" w:hanging="992"/>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4" w:hRule="exact"/>
        </w:trPr>
        <w:tc>
          <w:tcPr>
            <w:tcW w:w="23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3" w:type="dxa"/>
            <w:vMerge/>
            <w:tcBorders>
              <w:left w:val="single" w:sz="4" w:space="0" w:color="000000"/>
              <w:right w:val="single" w:sz="4" w:space="0" w:color="000000"/>
            </w:tcBorders>
            <w:shd w:val="clear" w:color="auto" w:fill="D2D2D2"/>
          </w:tcPr>
          <w:p>
            <w:pPr/>
          </w:p>
        </w:tc>
      </w:tr>
      <w:tr>
        <w:trPr>
          <w:trHeight w:val="161" w:hRule="exact"/>
        </w:trPr>
        <w:tc>
          <w:tcPr>
            <w:tcW w:w="2388"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39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1,551,194.96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3,851,286.93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1,551,194.96</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168,048.20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34,298.23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168,048.20</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1,719,243.16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3,885,585.16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1,719,243.16</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计入当期损益的政府补助：</w:t>
      </w:r>
    </w:p>
    <w:p>
      <w:pPr>
        <w:spacing w:before="117"/>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066"/>
        <w:gridCol w:w="1063"/>
        <w:gridCol w:w="1064"/>
        <w:gridCol w:w="1063"/>
        <w:gridCol w:w="1061"/>
        <w:gridCol w:w="1063"/>
        <w:gridCol w:w="1063"/>
        <w:gridCol w:w="1064"/>
        <w:gridCol w:w="1063"/>
      </w:tblGrid>
      <w:tr>
        <w:trPr>
          <w:trHeight w:val="715"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发放主体</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发放原因</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sz w:val="18"/>
                <w:szCs w:val="18"/>
              </w:rPr>
              <w:t>性质类型</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6" w:right="72"/>
              <w:jc w:val="left"/>
              <w:rPr>
                <w:rFonts w:ascii="宋体" w:hAnsi="宋体" w:cs="宋体" w:eastAsia="宋体" w:hint="default"/>
                <w:sz w:val="18"/>
                <w:szCs w:val="18"/>
              </w:rPr>
            </w:pPr>
            <w:r>
              <w:rPr>
                <w:rFonts w:ascii="宋体" w:hAnsi="宋体" w:cs="宋体" w:eastAsia="宋体" w:hint="default"/>
                <w:sz w:val="18"/>
                <w:szCs w:val="18"/>
              </w:rPr>
              <w:t>补贴是否影 响当年盈亏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9" w:right="72" w:hanging="360"/>
              <w:jc w:val="left"/>
              <w:rPr>
                <w:rFonts w:ascii="宋体" w:hAnsi="宋体" w:cs="宋体" w:eastAsia="宋体" w:hint="default"/>
                <w:sz w:val="18"/>
                <w:szCs w:val="18"/>
              </w:rPr>
            </w:pPr>
            <w:r>
              <w:rPr>
                <w:rFonts w:ascii="宋体" w:hAnsi="宋体" w:cs="宋体" w:eastAsia="宋体" w:hint="default"/>
                <w:sz w:val="18"/>
                <w:szCs w:val="18"/>
              </w:rPr>
              <w:t>是否特殊补 贴</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6" w:right="74" w:hanging="360"/>
              <w:jc w:val="left"/>
              <w:rPr>
                <w:rFonts w:ascii="宋体" w:hAnsi="宋体" w:cs="宋体" w:eastAsia="宋体" w:hint="default"/>
                <w:sz w:val="18"/>
                <w:szCs w:val="18"/>
              </w:rPr>
            </w:pPr>
            <w:r>
              <w:rPr>
                <w:rFonts w:ascii="宋体" w:hAnsi="宋体" w:cs="宋体" w:eastAsia="宋体" w:hint="default"/>
                <w:sz w:val="18"/>
                <w:szCs w:val="18"/>
              </w:rPr>
              <w:t>本期发生金 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7" w:right="75" w:hanging="361"/>
              <w:jc w:val="left"/>
              <w:rPr>
                <w:rFonts w:ascii="宋体" w:hAnsi="宋体" w:cs="宋体" w:eastAsia="宋体" w:hint="default"/>
                <w:sz w:val="18"/>
                <w:szCs w:val="18"/>
              </w:rPr>
            </w:pPr>
            <w:r>
              <w:rPr>
                <w:rFonts w:ascii="宋体" w:hAnsi="宋体" w:cs="宋体" w:eastAsia="宋体" w:hint="default"/>
                <w:sz w:val="18"/>
                <w:szCs w:val="18"/>
              </w:rPr>
              <w:t>上期发生金 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76" w:right="48" w:hanging="24"/>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1025"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0"/>
              <w:jc w:val="both"/>
              <w:rPr>
                <w:rFonts w:ascii="宋体" w:hAnsi="宋体" w:cs="宋体" w:eastAsia="宋体" w:hint="default"/>
                <w:sz w:val="18"/>
                <w:szCs w:val="18"/>
              </w:rPr>
            </w:pPr>
            <w:r>
              <w:rPr>
                <w:rFonts w:ascii="宋体" w:hAnsi="宋体" w:cs="宋体" w:eastAsia="宋体" w:hint="default"/>
                <w:sz w:val="18"/>
                <w:szCs w:val="18"/>
              </w:rPr>
              <w:t>保定市财政 局工业转型 专项资金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9"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0"/>
              <w:jc w:val="both"/>
              <w:rPr>
                <w:rFonts w:ascii="宋体" w:hAnsi="宋体" w:cs="宋体" w:eastAsia="宋体" w:hint="default"/>
                <w:sz w:val="18"/>
                <w:szCs w:val="18"/>
              </w:rPr>
            </w:pPr>
            <w:r>
              <w:rPr>
                <w:rFonts w:ascii="宋体" w:hAnsi="宋体" w:cs="宋体" w:eastAsia="宋体" w:hint="default"/>
                <w:sz w:val="18"/>
                <w:szCs w:val="18"/>
              </w:rPr>
              <w:t>河北省科技 型中小企业 技术创新资 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961"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30"/>
              <w:jc w:val="both"/>
              <w:rPr>
                <w:rFonts w:ascii="宋体" w:hAnsi="宋体" w:cs="宋体" w:eastAsia="宋体" w:hint="default"/>
                <w:sz w:val="18"/>
                <w:szCs w:val="18"/>
              </w:rPr>
            </w:pPr>
            <w:r>
              <w:rPr>
                <w:rFonts w:ascii="宋体" w:hAnsi="宋体" w:cs="宋体" w:eastAsia="宋体" w:hint="default"/>
                <w:sz w:val="18"/>
                <w:szCs w:val="18"/>
              </w:rPr>
              <w:t>中关村海淀 园管理委员 会产规处重 点培育企业 专项资金补 贴</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3"/>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1"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81"/>
              <w:jc w:val="both"/>
              <w:rPr>
                <w:rFonts w:ascii="宋体" w:hAnsi="宋体" w:cs="宋体" w:eastAsia="宋体" w:hint="default"/>
                <w:sz w:val="18"/>
                <w:szCs w:val="18"/>
              </w:rPr>
            </w:pPr>
            <w:r>
              <w:rPr>
                <w:rFonts w:ascii="宋体" w:hAnsi="宋体" w:cs="宋体" w:eastAsia="宋体" w:hint="default"/>
                <w:sz w:val="18"/>
                <w:szCs w:val="18"/>
              </w:rPr>
              <w:t>保定国家高 新区管委会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年度协 同发展突出 贡献奖</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299"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24" w:right="83"/>
              <w:jc w:val="both"/>
              <w:rPr>
                <w:rFonts w:ascii="宋体" w:hAnsi="宋体" w:cs="宋体" w:eastAsia="宋体" w:hint="default"/>
                <w:sz w:val="18"/>
                <w:szCs w:val="18"/>
              </w:rPr>
            </w:pPr>
            <w:r>
              <w:rPr>
                <w:rFonts w:ascii="宋体" w:hAnsi="宋体" w:cs="宋体" w:eastAsia="宋体" w:hint="default"/>
                <w:sz w:val="18"/>
                <w:szCs w:val="18"/>
              </w:rPr>
              <w:t>保定市科学 技术和知识 产权局</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年度专利补</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066"/>
        <w:gridCol w:w="1063"/>
        <w:gridCol w:w="1064"/>
        <w:gridCol w:w="1063"/>
        <w:gridCol w:w="1061"/>
        <w:gridCol w:w="1063"/>
        <w:gridCol w:w="1063"/>
        <w:gridCol w:w="1064"/>
        <w:gridCol w:w="1063"/>
      </w:tblGrid>
      <w:tr>
        <w:trPr>
          <w:trHeight w:val="363"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贴</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0"/>
              <w:jc w:val="left"/>
              <w:rPr>
                <w:rFonts w:ascii="宋体" w:hAnsi="宋体" w:cs="宋体" w:eastAsia="宋体" w:hint="default"/>
                <w:sz w:val="18"/>
                <w:szCs w:val="18"/>
              </w:rPr>
            </w:pPr>
            <w:r>
              <w:rPr>
                <w:rFonts w:ascii="宋体" w:hAnsi="宋体" w:cs="宋体" w:eastAsia="宋体" w:hint="default"/>
                <w:sz w:val="18"/>
                <w:szCs w:val="18"/>
              </w:rPr>
              <w:t>北京市专利 资助金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10,400.00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3"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专利补贴</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68,320.00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1"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43,794.96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46,566.93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964"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30"/>
              <w:jc w:val="both"/>
              <w:rPr>
                <w:rFonts w:ascii="宋体" w:hAnsi="宋体" w:cs="宋体" w:eastAsia="宋体" w:hint="default"/>
                <w:sz w:val="18"/>
                <w:szCs w:val="18"/>
              </w:rPr>
            </w:pPr>
            <w:r>
              <w:rPr>
                <w:rFonts w:ascii="宋体" w:hAnsi="宋体" w:cs="宋体" w:eastAsia="宋体" w:hint="default"/>
                <w:sz w:val="18"/>
                <w:szCs w:val="18"/>
              </w:rPr>
              <w:t>保定国家高 新技术产业 开发区管理 委员会发放 科技型企业 奖励</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49"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0"/>
              <w:jc w:val="both"/>
              <w:rPr>
                <w:rFonts w:ascii="宋体" w:hAnsi="宋体" w:cs="宋体" w:eastAsia="宋体" w:hint="default"/>
                <w:sz w:val="18"/>
                <w:szCs w:val="18"/>
              </w:rPr>
            </w:pPr>
            <w:r>
              <w:rPr>
                <w:rFonts w:ascii="宋体" w:hAnsi="宋体" w:cs="宋体" w:eastAsia="宋体" w:hint="default"/>
                <w:sz w:val="18"/>
                <w:szCs w:val="18"/>
              </w:rPr>
              <w:t>中关村国家 自主创新示 范区技术创 新能力建设 专项资金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28,200.00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0"/>
              <w:jc w:val="both"/>
              <w:rPr>
                <w:rFonts w:ascii="宋体" w:hAnsi="宋体" w:cs="宋体" w:eastAsia="宋体" w:hint="default"/>
                <w:sz w:val="18"/>
                <w:szCs w:val="18"/>
              </w:rPr>
            </w:pPr>
            <w:r>
              <w:rPr>
                <w:rFonts w:ascii="宋体" w:hAnsi="宋体" w:cs="宋体" w:eastAsia="宋体" w:hint="default"/>
                <w:sz w:val="18"/>
                <w:szCs w:val="18"/>
              </w:rPr>
              <w:t>保定市高新 区纳税先进 企业奖励</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0"/>
              <w:jc w:val="left"/>
              <w:rPr>
                <w:rFonts w:ascii="宋体" w:hAnsi="宋体" w:cs="宋体" w:eastAsia="宋体" w:hint="default"/>
                <w:sz w:val="18"/>
                <w:szCs w:val="18"/>
              </w:rPr>
            </w:pPr>
            <w:r>
              <w:rPr>
                <w:rFonts w:ascii="宋体" w:hAnsi="宋体" w:cs="宋体" w:eastAsia="宋体" w:hint="default"/>
                <w:sz w:val="18"/>
                <w:szCs w:val="18"/>
              </w:rPr>
              <w:t>企业发展补 贴</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1,820,000.00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0"/>
              <w:jc w:val="both"/>
              <w:rPr>
                <w:rFonts w:ascii="宋体" w:hAnsi="宋体" w:cs="宋体" w:eastAsia="宋体" w:hint="default"/>
                <w:sz w:val="18"/>
                <w:szCs w:val="18"/>
              </w:rPr>
            </w:pPr>
            <w:r>
              <w:rPr>
                <w:rFonts w:ascii="宋体" w:hAnsi="宋体" w:cs="宋体" w:eastAsia="宋体" w:hint="default"/>
                <w:sz w:val="18"/>
                <w:szCs w:val="18"/>
              </w:rPr>
              <w:t>中关村企业 信用促进会 补贴</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569,200.00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5"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81"/>
              <w:jc w:val="both"/>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年重点 培育企业奖 励</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8"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30"/>
              <w:jc w:val="both"/>
              <w:rPr>
                <w:rFonts w:ascii="宋体" w:hAnsi="宋体" w:cs="宋体" w:eastAsia="宋体" w:hint="default"/>
                <w:sz w:val="18"/>
                <w:szCs w:val="18"/>
              </w:rPr>
            </w:pPr>
            <w:r>
              <w:rPr>
                <w:rFonts w:ascii="宋体" w:hAnsi="宋体" w:cs="宋体" w:eastAsia="宋体" w:hint="default"/>
                <w:sz w:val="18"/>
                <w:szCs w:val="18"/>
              </w:rPr>
              <w:t>中关村科技 园委员会并 购金迪补贴</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5"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0"/>
              <w:jc w:val="both"/>
              <w:rPr>
                <w:rFonts w:ascii="宋体" w:hAnsi="宋体" w:cs="宋体" w:eastAsia="宋体" w:hint="default"/>
                <w:sz w:val="18"/>
                <w:szCs w:val="18"/>
              </w:rPr>
            </w:pPr>
            <w:r>
              <w:rPr>
                <w:rFonts w:ascii="宋体" w:hAnsi="宋体" w:cs="宋体" w:eastAsia="宋体" w:hint="default"/>
                <w:sz w:val="18"/>
                <w:szCs w:val="18"/>
              </w:rPr>
              <w:t>现代服务业 业务发展奖 补</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81"/>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年度北 京市科学技 术奖奖金</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7"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30"/>
              <w:jc w:val="both"/>
              <w:rPr>
                <w:rFonts w:ascii="宋体" w:hAnsi="宋体" w:cs="宋体" w:eastAsia="宋体" w:hint="default"/>
                <w:sz w:val="18"/>
                <w:szCs w:val="18"/>
              </w:rPr>
            </w:pPr>
            <w:r>
              <w:rPr>
                <w:rFonts w:ascii="宋体" w:hAnsi="宋体" w:cs="宋体" w:eastAsia="宋体" w:hint="default"/>
                <w:sz w:val="18"/>
                <w:szCs w:val="18"/>
              </w:rPr>
              <w:t>住房和城乡 建设部队农 村人居课题 项目</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80,000.00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066"/>
        <w:gridCol w:w="1063"/>
        <w:gridCol w:w="1064"/>
        <w:gridCol w:w="1063"/>
        <w:gridCol w:w="1061"/>
        <w:gridCol w:w="1063"/>
        <w:gridCol w:w="1063"/>
        <w:gridCol w:w="1064"/>
        <w:gridCol w:w="1063"/>
      </w:tblGrid>
      <w:tr>
        <w:trPr>
          <w:trHeight w:val="1337"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30"/>
              <w:jc w:val="both"/>
              <w:rPr>
                <w:rFonts w:ascii="宋体" w:hAnsi="宋体" w:cs="宋体" w:eastAsia="宋体" w:hint="default"/>
                <w:sz w:val="18"/>
                <w:szCs w:val="18"/>
              </w:rPr>
            </w:pPr>
            <w:r>
              <w:rPr>
                <w:rFonts w:ascii="宋体" w:hAnsi="宋体" w:cs="宋体" w:eastAsia="宋体" w:hint="default"/>
                <w:sz w:val="18"/>
                <w:szCs w:val="18"/>
              </w:rPr>
              <w:t>保定市科学 技术和知识 产权局科技 进步奖</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80,000.00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9"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24" w:right="130"/>
              <w:jc w:val="both"/>
              <w:rPr>
                <w:rFonts w:ascii="宋体" w:hAnsi="宋体" w:cs="宋体" w:eastAsia="宋体" w:hint="default"/>
                <w:sz w:val="18"/>
                <w:szCs w:val="18"/>
              </w:rPr>
            </w:pPr>
            <w:r>
              <w:rPr>
                <w:rFonts w:ascii="宋体" w:hAnsi="宋体" w:cs="宋体" w:eastAsia="宋体" w:hint="default"/>
                <w:sz w:val="18"/>
                <w:szCs w:val="18"/>
              </w:rPr>
              <w:t>中关村企业 信用促进会 </w:t>
            </w:r>
            <w:r>
              <w:rPr>
                <w:rFonts w:ascii="Times New Roman" w:hAnsi="Times New Roman" w:cs="Times New Roman" w:eastAsia="Times New Roman" w:hint="default"/>
                <w:sz w:val="18"/>
                <w:szCs w:val="18"/>
              </w:rPr>
              <w:t>ISO</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中介服 务费</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7"/>
              <w:ind w:right="19"/>
              <w:jc w:val="right"/>
              <w:rPr>
                <w:rFonts w:ascii="Times New Roman" w:hAnsi="Times New Roman" w:cs="Times New Roman" w:eastAsia="Times New Roman" w:hint="default"/>
                <w:sz w:val="18"/>
                <w:szCs w:val="18"/>
              </w:rPr>
            </w:pPr>
            <w:r>
              <w:rPr>
                <w:rFonts w:ascii="Times New Roman"/>
                <w:spacing w:val="-1"/>
                <w:sz w:val="18"/>
              </w:rPr>
              <w:t>14,000.00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2"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30"/>
              <w:jc w:val="both"/>
              <w:rPr>
                <w:rFonts w:ascii="宋体" w:hAnsi="宋体" w:cs="宋体" w:eastAsia="宋体" w:hint="default"/>
                <w:sz w:val="18"/>
                <w:szCs w:val="18"/>
              </w:rPr>
            </w:pPr>
            <w:r>
              <w:rPr>
                <w:rFonts w:ascii="宋体" w:hAnsi="宋体" w:cs="宋体" w:eastAsia="宋体" w:hint="default"/>
                <w:sz w:val="18"/>
                <w:szCs w:val="18"/>
              </w:rPr>
              <w:t>中关村科技 园海淀园管 委会购买信 用报告补贴 款</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5,000.00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41</w:t>
      </w:r>
      <w:r>
        <w:rPr>
          <w:rFonts w:ascii="宋体" w:hAnsi="宋体" w:cs="宋体" w:eastAsia="宋体" w:hint="default"/>
          <w:b/>
          <w:bCs/>
          <w:sz w:val="21"/>
          <w:szCs w:val="21"/>
        </w:rPr>
        <w:t>、营业外支出</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161" w:hRule="exact"/>
        </w:trPr>
        <w:tc>
          <w:tcPr>
            <w:tcW w:w="2388"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49"/>
              <w:ind w:left="1102" w:right="111" w:hanging="992"/>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1" w:hRule="exact"/>
        </w:trPr>
        <w:tc>
          <w:tcPr>
            <w:tcW w:w="23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3" w:type="dxa"/>
            <w:vMerge/>
            <w:tcBorders>
              <w:left w:val="single" w:sz="4" w:space="0" w:color="000000"/>
              <w:right w:val="single" w:sz="4" w:space="0" w:color="000000"/>
            </w:tcBorders>
            <w:shd w:val="clear" w:color="auto" w:fill="D2D2D2"/>
          </w:tcPr>
          <w:p>
            <w:pPr/>
          </w:p>
        </w:tc>
      </w:tr>
      <w:tr>
        <w:trPr>
          <w:trHeight w:val="161" w:hRule="exact"/>
        </w:trPr>
        <w:tc>
          <w:tcPr>
            <w:tcW w:w="2388"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r>
      <w:tr>
        <w:trPr>
          <w:trHeight w:val="404"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非货币性资产交换损失</w:t>
            </w:r>
          </w:p>
        </w:tc>
        <w:tc>
          <w:tcPr>
            <w:tcW w:w="2396"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76,832.19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48,773.22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76,832.19</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6" w:type="dxa"/>
            <w:tcBorders>
              <w:top w:val="single" w:sz="4" w:space="0" w:color="000000"/>
              <w:left w:val="single" w:sz="10" w:space="0" w:color="D2D2D2"/>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21,964.69</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202,801.90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10,973.69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202,801.90</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279,634.09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81,711.60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279,634.09</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42</w:t>
      </w:r>
      <w:r>
        <w:rPr>
          <w:rFonts w:ascii="宋体" w:hAnsi="宋体" w:cs="宋体" w:eastAsia="宋体" w:hint="default"/>
          <w:b/>
          <w:bCs/>
          <w:sz w:val="21"/>
          <w:szCs w:val="21"/>
        </w:rPr>
        <w:t>、所得税费用</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）所得税费用表</w:t>
      </w:r>
      <w:r>
        <w:rPr>
          <w:rFonts w:ascii="宋体" w:hAnsi="宋体" w:cs="宋体" w:eastAsia="宋体" w:hint="default"/>
          <w:sz w:val="21"/>
          <w:szCs w:val="21"/>
        </w:rPr>
      </w:r>
    </w:p>
    <w:p>
      <w:pPr>
        <w:spacing w:line="240" w:lineRule="auto" w:before="13"/>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5"/>
        <w:gridCol w:w="3203"/>
        <w:gridCol w:w="3190"/>
      </w:tblGrid>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21,668,954.86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32,298,569.35</w:t>
            </w:r>
          </w:p>
        </w:tc>
      </w:tr>
      <w:tr>
        <w:trPr>
          <w:trHeight w:val="401"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-9,181,180.68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-11,048,818.05</w:t>
            </w:r>
          </w:p>
        </w:tc>
      </w:tr>
      <w:tr>
        <w:trPr>
          <w:trHeight w:val="403" w:hRule="exact"/>
        </w:trPr>
        <w:tc>
          <w:tcPr>
            <w:tcW w:w="3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12,487,774.18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21,249,751.30</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）会计利润与所得税费用调整过程</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78"/>
        <w:gridCol w:w="4791"/>
      </w:tblGrid>
      <w:tr>
        <w:trPr>
          <w:trHeight w:val="402" w:hRule="exact"/>
        </w:trPr>
        <w:tc>
          <w:tcPr>
            <w:tcW w:w="4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bl>
    <w:p>
      <w:pPr>
        <w:spacing w:after="0" w:line="240" w:lineRule="auto"/>
        <w:jc w:val="center"/>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4778"/>
        <w:gridCol w:w="4791"/>
      </w:tblGrid>
      <w:tr>
        <w:trPr>
          <w:trHeight w:val="402" w:hRule="exact"/>
        </w:trPr>
        <w:tc>
          <w:tcPr>
            <w:tcW w:w="4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125,858,391.06</w:t>
            </w:r>
          </w:p>
        </w:tc>
      </w:tr>
      <w:tr>
        <w:trPr>
          <w:trHeight w:val="402" w:hRule="exact"/>
        </w:trPr>
        <w:tc>
          <w:tcPr>
            <w:tcW w:w="4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18,878,758.66</w:t>
            </w:r>
          </w:p>
        </w:tc>
      </w:tr>
      <w:tr>
        <w:trPr>
          <w:trHeight w:val="402" w:hRule="exact"/>
        </w:trPr>
        <w:tc>
          <w:tcPr>
            <w:tcW w:w="4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Garamond" w:hAnsi="Garamond" w:cs="Garamond" w:eastAsia="Garamond" w:hint="default"/>
                <w:sz w:val="18"/>
                <w:szCs w:val="18"/>
              </w:rPr>
            </w:pPr>
            <w:r>
              <w:rPr>
                <w:rFonts w:ascii="Garamond"/>
                <w:spacing w:val="-1"/>
                <w:sz w:val="18"/>
              </w:rPr>
              <w:t>109,874.73</w:t>
            </w:r>
          </w:p>
        </w:tc>
      </w:tr>
      <w:tr>
        <w:trPr>
          <w:trHeight w:val="402" w:hRule="exact"/>
        </w:trPr>
        <w:tc>
          <w:tcPr>
            <w:tcW w:w="4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-7,891,858.20</w:t>
            </w:r>
          </w:p>
        </w:tc>
      </w:tr>
      <w:tr>
        <w:trPr>
          <w:trHeight w:val="402" w:hRule="exact"/>
        </w:trPr>
        <w:tc>
          <w:tcPr>
            <w:tcW w:w="4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-7,196,499.88</w:t>
            </w:r>
          </w:p>
        </w:tc>
      </w:tr>
      <w:tr>
        <w:trPr>
          <w:trHeight w:val="402" w:hRule="exact"/>
        </w:trPr>
        <w:tc>
          <w:tcPr>
            <w:tcW w:w="4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4"/>
              <w:jc w:val="right"/>
              <w:rPr>
                <w:rFonts w:ascii="Garamond" w:hAnsi="Garamond" w:cs="Garamond" w:eastAsia="Garamond" w:hint="default"/>
                <w:sz w:val="18"/>
                <w:szCs w:val="18"/>
              </w:rPr>
            </w:pPr>
            <w:r>
              <w:rPr>
                <w:rFonts w:ascii="Garamond"/>
                <w:spacing w:val="-1"/>
                <w:sz w:val="18"/>
              </w:rPr>
              <w:t>6,297,560.43</w:t>
            </w:r>
          </w:p>
        </w:tc>
      </w:tr>
      <w:tr>
        <w:trPr>
          <w:trHeight w:val="402" w:hRule="exact"/>
        </w:trPr>
        <w:tc>
          <w:tcPr>
            <w:tcW w:w="4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4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2,798.30</w:t>
            </w:r>
          </w:p>
        </w:tc>
      </w:tr>
      <w:tr>
        <w:trPr>
          <w:trHeight w:val="715" w:hRule="exact"/>
        </w:trPr>
        <w:tc>
          <w:tcPr>
            <w:tcW w:w="4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22" w:right="63"/>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 损的影响</w:t>
            </w:r>
          </w:p>
        </w:tc>
        <w:tc>
          <w:tcPr>
            <w:tcW w:w="4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24"/>
              <w:jc w:val="right"/>
              <w:rPr>
                <w:rFonts w:ascii="Garamond" w:hAnsi="Garamond" w:cs="Garamond" w:eastAsia="Garamond" w:hint="default"/>
                <w:sz w:val="18"/>
                <w:szCs w:val="18"/>
              </w:rPr>
            </w:pPr>
            <w:r>
              <w:rPr>
                <w:rFonts w:ascii="Garamond"/>
                <w:spacing w:val="-1"/>
                <w:sz w:val="18"/>
              </w:rPr>
              <w:t>4,330,712.39</w:t>
            </w:r>
          </w:p>
        </w:tc>
      </w:tr>
      <w:tr>
        <w:trPr>
          <w:trHeight w:val="401" w:hRule="exact"/>
        </w:trPr>
        <w:tc>
          <w:tcPr>
            <w:tcW w:w="4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-2,043,572.25</w:t>
            </w:r>
          </w:p>
        </w:tc>
      </w:tr>
      <w:tr>
        <w:trPr>
          <w:trHeight w:val="403" w:hRule="exact"/>
        </w:trPr>
        <w:tc>
          <w:tcPr>
            <w:tcW w:w="4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12,487,774.18</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43</w:t>
      </w:r>
      <w:r>
        <w:rPr>
          <w:rFonts w:ascii="宋体" w:hAnsi="宋体" w:cs="宋体" w:eastAsia="宋体" w:hint="default"/>
          <w:b/>
          <w:bCs/>
          <w:sz w:val="21"/>
          <w:szCs w:val="21"/>
        </w:rPr>
        <w:t>、现金流量表项目</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）收到的其他与经营活动有关的现金</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投标保证金、押金及个人备用金等</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77,399,374.64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89,345,986.34</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代收代扣款项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4,025,869.85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5,549,701.72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11,475,008.58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6,175,377.12</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除税费返还外的其他政府补助收入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2,150,361.73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5,025,051.40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个税手续费返还</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450,798.27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104,492.75</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35,835.55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1,135,916.97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95,537,248.62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107,336,526.30</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收到的其他与经营活动有关的现金说明：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）支付的其他与经营活动有关的现金</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投标保证金、押金及个人备用金等</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94,788,001.92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135,114,033.28</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30,519,658.90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29,584,399.28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代收代扣款项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5,700,032.14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6,077,384.98</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技术开发费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5,748,058.20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7,480,551.09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18,271,159.88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24,003,757.00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办公厂租物业费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13,236,623.54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8,621,794.21</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招待费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10,255,732.63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9,841,325.91</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交通费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3,301,592.28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3,028,916.59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中介机构服务费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3,007,367.26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3,614,362.03</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广告宣传费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3,685,959.41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2,280,057.82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2"/>
              <w:jc w:val="right"/>
              <w:rPr>
                <w:rFonts w:ascii="Garamond" w:hAnsi="Garamond" w:cs="Garamond" w:eastAsia="Garamond" w:hint="default"/>
                <w:sz w:val="18"/>
                <w:szCs w:val="18"/>
              </w:rPr>
            </w:pPr>
            <w:r>
              <w:rPr>
                <w:rFonts w:ascii="Garamond"/>
                <w:spacing w:val="-1"/>
                <w:sz w:val="18"/>
              </w:rPr>
              <w:t>2,973,309.24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8,585,263.33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Garamond" w:hAnsi="Garamond" w:cs="Garamond" w:eastAsia="Garamond" w:hint="default"/>
                <w:sz w:val="18"/>
                <w:szCs w:val="18"/>
              </w:rPr>
            </w:pPr>
            <w:r>
              <w:rPr>
                <w:rFonts w:ascii="Garamond"/>
                <w:spacing w:val="-1"/>
                <w:sz w:val="18"/>
              </w:rPr>
              <w:t>191,487,495.40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238,231,845.52</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支付的其他与经营活动有关的现金说明：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）收到的其他与投资活动有关的现金</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7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收到的其他与投资活动有关的现金说明：</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）支付的其他与投资活动有关的现金</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处置子公司净收入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657,172.33</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657,172.33</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支付的其他与投资活动有关的现金说明：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）收到的其他与筹资活动有关的现金</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79"/>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收到的其他与筹资活动有关的现金说明：</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）支付的其他与筹资活动有关的现金</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支付以前年度收购金迪投资款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75,000,000.00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36,725,000.00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回购本公司限制性股票支付的现金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2,349,875.00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3,957,628.08</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售后回租支付的现金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682,545.64</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支付购买少数股权款</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70,000,000.00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非公开发行验资费</w:t>
            </w:r>
          </w:p>
        </w:tc>
        <w:tc>
          <w:tcPr>
            <w:tcW w:w="3192"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r>
        <w:rPr/>
        <w:pict>
          <v:group style="position:absolute;margin-left:223.369995pt;margin-top:476.529968pt;width:151.25pt;height:40.8pt;mso-position-horizontal-relative:page;mso-position-vertical-relative:page;z-index:-880720" coordorigin="4467,9531" coordsize="3025,816">
            <v:group style="position:absolute;left:4478;top:9541;width:2;height:394" coordorigin="4478,9541" coordsize="2,394">
              <v:shape style="position:absolute;left:4478;top:9541;width:2;height:394" coordorigin="4478,9541" coordsize="0,394" path="m4478,9541l4478,9935e" filled="false" stroked="true" strokeweight="1.08pt" strokecolor="#ffffff">
                <v:path arrowok="t"/>
              </v:shape>
            </v:group>
            <v:group style="position:absolute;left:4489;top:9541;width:3003;height:394" coordorigin="4489,9541" coordsize="3003,394">
              <v:shape style="position:absolute;left:4489;top:9541;width:3003;height:394" coordorigin="4489,9541" coordsize="3003,394" path="m4489,9935l7492,9935,7492,9541,4489,9541,4489,9935xe" filled="true" fillcolor="#ffffff" stroked="false">
                <v:path arrowok="t"/>
                <v:fill type="solid"/>
              </v:shape>
            </v:group>
            <v:group style="position:absolute;left:4478;top:9945;width:2;height:392" coordorigin="4478,9945" coordsize="2,392">
              <v:shape style="position:absolute;left:4478;top:9945;width:2;height:392" coordorigin="4478,9945" coordsize="0,392" path="m4478,9945l4478,10336e" filled="false" stroked="true" strokeweight="1.08pt" strokecolor="#ffffff">
                <v:path arrowok="t"/>
              </v:shape>
            </v:group>
            <v:group style="position:absolute;left:4489;top:9945;width:3003;height:392" coordorigin="4489,9945" coordsize="3003,392">
              <v:shape style="position:absolute;left:4489;top:9945;width:3003;height:392" coordorigin="4489,9945" coordsize="3003,392" path="m4489,10336l7492,10336,7492,9945,4489,9945,4489,10336xe" filled="true" fillcolor="#ffffff" stroked="false">
                <v:path arrowok="t"/>
                <v:fill type="solid"/>
              </v:shape>
            </v:group>
            <w10:wrap type="none"/>
          </v:group>
        </w:pict>
      </w: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分红派息手续费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1"/>
              <w:jc w:val="right"/>
              <w:rPr>
                <w:rFonts w:ascii="Garamond" w:hAnsi="Garamond" w:cs="Garamond" w:eastAsia="Garamond" w:hint="default"/>
                <w:sz w:val="18"/>
                <w:szCs w:val="18"/>
              </w:rPr>
            </w:pPr>
            <w:r>
              <w:rPr>
                <w:rFonts w:ascii="Garamond"/>
                <w:spacing w:val="-1"/>
                <w:sz w:val="18"/>
              </w:rPr>
              <w:t>12,736.51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35,598.79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Garamond" w:hAnsi="Garamond" w:cs="Garamond" w:eastAsia="Garamond" w:hint="default"/>
                <w:sz w:val="18"/>
                <w:szCs w:val="18"/>
              </w:rPr>
            </w:pPr>
            <w:r>
              <w:rPr>
                <w:rFonts w:ascii="Garamond"/>
                <w:spacing w:val="-1"/>
                <w:sz w:val="18"/>
              </w:rPr>
              <w:t>78,045,157.15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110,818,226.87</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支付的其他与筹资活动有关的现金说明：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44</w:t>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5"/>
        <w:gridCol w:w="1054"/>
        <w:gridCol w:w="2015"/>
        <w:gridCol w:w="3185"/>
      </w:tblGrid>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909" w:right="0"/>
              <w:jc w:val="left"/>
              <w:rPr>
                <w:rFonts w:ascii="Times New Roman" w:hAnsi="Times New Roman" w:cs="Times New Roman" w:eastAsia="Times New Roman" w:hint="default"/>
                <w:sz w:val="18"/>
                <w:szCs w:val="18"/>
              </w:rPr>
            </w:pPr>
            <w:r>
              <w:rPr>
                <w:rFonts w:ascii="Times New Roman"/>
                <w:sz w:val="18"/>
              </w:rPr>
              <w:t>113,370,616.88</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184,457,398.80</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993" w:right="0"/>
              <w:jc w:val="left"/>
              <w:rPr>
                <w:rFonts w:ascii="Times New Roman" w:hAnsi="Times New Roman" w:cs="Times New Roman" w:eastAsia="Times New Roman" w:hint="default"/>
                <w:sz w:val="18"/>
                <w:szCs w:val="18"/>
              </w:rPr>
            </w:pPr>
            <w:r>
              <w:rPr>
                <w:rFonts w:ascii="Times New Roman"/>
                <w:sz w:val="18"/>
              </w:rPr>
              <w:t>77,609,453.32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43,789,146.50</w:t>
            </w:r>
          </w:p>
        </w:tc>
      </w:tr>
      <w:tr>
        <w:trPr>
          <w:trHeight w:val="71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 w:right="42"/>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 物资产折旧</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993" w:right="0"/>
              <w:jc w:val="left"/>
              <w:rPr>
                <w:rFonts w:ascii="Times New Roman" w:hAnsi="Times New Roman" w:cs="Times New Roman" w:eastAsia="Times New Roman" w:hint="default"/>
                <w:sz w:val="18"/>
                <w:szCs w:val="18"/>
              </w:rPr>
            </w:pPr>
            <w:r>
              <w:rPr>
                <w:rFonts w:ascii="Times New Roman"/>
                <w:sz w:val="18"/>
              </w:rPr>
              <w:t>12,460,305.80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12,957,247.37</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993" w:right="0"/>
              <w:jc w:val="left"/>
              <w:rPr>
                <w:rFonts w:ascii="Times New Roman" w:hAnsi="Times New Roman" w:cs="Times New Roman" w:eastAsia="Times New Roman" w:hint="default"/>
                <w:sz w:val="18"/>
                <w:szCs w:val="18"/>
              </w:rPr>
            </w:pPr>
            <w:r>
              <w:rPr>
                <w:rFonts w:ascii="Times New Roman"/>
                <w:sz w:val="18"/>
              </w:rPr>
              <w:t>36,124,093.98</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30,018,216.21</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13,557.00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950,308.49</w:t>
            </w:r>
          </w:p>
        </w:tc>
      </w:tr>
      <w:tr>
        <w:trPr>
          <w:trHeight w:val="716"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42"/>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 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58,702.24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-70,666.28</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80,671.47</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48,773.22</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4"/>
              <w:ind w:right="24"/>
              <w:jc w:val="right"/>
              <w:rPr>
                <w:rFonts w:ascii="Garamond" w:hAnsi="Garamond" w:cs="Garamond" w:eastAsia="Garamond" w:hint="default"/>
                <w:sz w:val="18"/>
                <w:szCs w:val="18"/>
              </w:rPr>
            </w:pPr>
            <w:r>
              <w:rPr>
                <w:rFonts w:ascii="Garamond"/>
                <w:spacing w:val="-1"/>
                <w:sz w:val="18"/>
              </w:rPr>
              <w:t>7,783,028.02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-290,133.45</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1,866,689.18</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-16,874,333.62</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1054" w:type="dxa"/>
            <w:tcBorders>
              <w:top w:val="single" w:sz="4" w:space="0" w:color="000000"/>
              <w:left w:val="single" w:sz="10" w:space="0" w:color="D2D2D2"/>
              <w:bottom w:val="single" w:sz="4" w:space="0" w:color="000000"/>
              <w:right w:val="nil" w:sz="6" w:space="0" w:color="auto"/>
            </w:tcBorders>
          </w:tcPr>
          <w:p>
            <w:pPr>
              <w:pStyle w:val="TableParagraph"/>
              <w:spacing w:line="240" w:lineRule="auto" w:before="49"/>
              <w:ind w:left="-120" w:right="0"/>
              <w:jc w:val="left"/>
              <w:rPr>
                <w:rFonts w:ascii="宋体" w:hAnsi="宋体" w:cs="宋体" w:eastAsia="宋体" w:hint="default"/>
                <w:sz w:val="18"/>
                <w:szCs w:val="18"/>
              </w:rPr>
            </w:pPr>
            <w:r>
              <w:rPr>
                <w:rFonts w:ascii="宋体" w:hAnsi="宋体" w:cs="宋体" w:eastAsia="宋体" w:hint="default"/>
                <w:sz w:val="18"/>
                <w:szCs w:val="18"/>
              </w:rPr>
              <w:t>）</w:t>
            </w:r>
          </w:p>
        </w:tc>
        <w:tc>
          <w:tcPr>
            <w:tcW w:w="20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-7,360,810.43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-9,146,461.16</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递延所得税负债增加（减少以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1054" w:type="dxa"/>
            <w:tcBorders>
              <w:top w:val="single" w:sz="4" w:space="0" w:color="000000"/>
              <w:left w:val="single" w:sz="10" w:space="0" w:color="D2D2D2"/>
              <w:bottom w:val="single" w:sz="4" w:space="0" w:color="000000"/>
              <w:right w:val="nil" w:sz="6" w:space="0" w:color="auto"/>
            </w:tcBorders>
          </w:tcPr>
          <w:p>
            <w:pPr>
              <w:pStyle w:val="TableParagraph"/>
              <w:spacing w:line="240" w:lineRule="auto" w:before="49"/>
              <w:ind w:left="-120" w:right="0"/>
              <w:jc w:val="left"/>
              <w:rPr>
                <w:rFonts w:ascii="宋体" w:hAnsi="宋体" w:cs="宋体" w:eastAsia="宋体" w:hint="default"/>
                <w:sz w:val="18"/>
                <w:szCs w:val="18"/>
              </w:rPr>
            </w:pPr>
            <w:r>
              <w:rPr>
                <w:rFonts w:ascii="宋体" w:hAnsi="宋体" w:cs="宋体" w:eastAsia="宋体" w:hint="default"/>
                <w:sz w:val="18"/>
                <w:szCs w:val="18"/>
              </w:rPr>
              <w:t>）</w:t>
            </w:r>
          </w:p>
        </w:tc>
        <w:tc>
          <w:tcPr>
            <w:tcW w:w="20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-1,820,370.26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-1,902,356.89</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993" w:right="0"/>
              <w:jc w:val="left"/>
              <w:rPr>
                <w:rFonts w:ascii="Times New Roman" w:hAnsi="Times New Roman" w:cs="Times New Roman" w:eastAsia="Times New Roman" w:hint="default"/>
                <w:sz w:val="18"/>
                <w:szCs w:val="18"/>
              </w:rPr>
            </w:pPr>
            <w:r>
              <w:rPr>
                <w:rFonts w:ascii="Times New Roman"/>
                <w:sz w:val="18"/>
              </w:rPr>
              <w:t>41,656,023.65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-17,099,866.13</w:t>
            </w:r>
          </w:p>
        </w:tc>
      </w:tr>
      <w:tr>
        <w:trPr>
          <w:trHeight w:val="71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49"/>
              <w:ind w:left="12" w:right="61"/>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42" w:right="0"/>
              <w:jc w:val="left"/>
              <w:rPr>
                <w:rFonts w:ascii="Times New Roman" w:hAnsi="Times New Roman" w:cs="Times New Roman" w:eastAsia="Times New Roman" w:hint="default"/>
                <w:sz w:val="18"/>
                <w:szCs w:val="18"/>
              </w:rPr>
            </w:pPr>
            <w:r>
              <w:rPr>
                <w:rFonts w:ascii="Times New Roman"/>
                <w:sz w:val="18"/>
              </w:rPr>
              <w:t>-103,630,518.26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-444,433,527.82</w:t>
            </w:r>
          </w:p>
        </w:tc>
      </w:tr>
      <w:tr>
        <w:trPr>
          <w:trHeight w:val="715"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2" w:right="61"/>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4"/>
              <w:jc w:val="right"/>
              <w:rPr>
                <w:rFonts w:ascii="Garamond" w:hAnsi="Garamond" w:cs="Garamond" w:eastAsia="Garamond" w:hint="default"/>
                <w:sz w:val="18"/>
                <w:szCs w:val="18"/>
              </w:rPr>
            </w:pPr>
            <w:r>
              <w:rPr>
                <w:rFonts w:ascii="Garamond"/>
                <w:spacing w:val="-1"/>
                <w:sz w:val="18"/>
              </w:rPr>
              <w:t>4,502,115.39</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181,558,464.86</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2022" w:right="0"/>
              <w:jc w:val="left"/>
              <w:rPr>
                <w:rFonts w:ascii="Times New Roman" w:hAnsi="Times New Roman" w:cs="Times New Roman" w:eastAsia="Times New Roman" w:hint="default"/>
                <w:sz w:val="18"/>
                <w:szCs w:val="18"/>
              </w:rPr>
            </w:pPr>
            <w:r>
              <w:rPr>
                <w:rFonts w:ascii="Times New Roman"/>
                <w:sz w:val="18"/>
              </w:rPr>
              <w:t>-6,983,263.00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4"/>
              <w:ind w:left="1981" w:right="0"/>
              <w:jc w:val="left"/>
              <w:rPr>
                <w:rFonts w:ascii="Garamond" w:hAnsi="Garamond" w:cs="Garamond" w:eastAsia="Garamond" w:hint="default"/>
                <w:sz w:val="18"/>
                <w:szCs w:val="18"/>
              </w:rPr>
            </w:pPr>
            <w:r>
              <w:rPr>
                <w:rFonts w:ascii="Garamond"/>
                <w:sz w:val="18"/>
              </w:rPr>
              <w:t>175,730,294.98</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-36,037,789.90</w:t>
            </w:r>
          </w:p>
        </w:tc>
      </w:tr>
      <w:tr>
        <w:trPr>
          <w:trHeight w:val="161" w:hRule="exact"/>
        </w:trPr>
        <w:tc>
          <w:tcPr>
            <w:tcW w:w="3305" w:type="dxa"/>
            <w:vMerge w:val="restart"/>
            <w:tcBorders>
              <w:top w:val="single" w:sz="4" w:space="0" w:color="000000"/>
              <w:left w:val="single" w:sz="4" w:space="0" w:color="000000"/>
              <w:right w:val="single" w:sz="4" w:space="0" w:color="000000"/>
            </w:tcBorders>
            <w:shd w:val="clear" w:color="auto" w:fill="D2D2D2"/>
          </w:tcPr>
          <w:p>
            <w:pPr>
              <w:pStyle w:val="TableParagraph"/>
              <w:spacing w:line="297" w:lineRule="auto" w:before="49"/>
              <w:ind w:left="12" w:right="12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 动：</w:t>
            </w:r>
          </w:p>
        </w:tc>
        <w:tc>
          <w:tcPr>
            <w:tcW w:w="3069"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318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3305" w:type="dxa"/>
            <w:vMerge/>
            <w:tcBorders>
              <w:left w:val="single" w:sz="4" w:space="0" w:color="000000"/>
              <w:right w:val="single" w:sz="4" w:space="0" w:color="000000"/>
            </w:tcBorders>
            <w:shd w:val="clear" w:color="auto" w:fill="D2D2D2"/>
          </w:tcPr>
          <w:p>
            <w:pPr/>
          </w:p>
        </w:tc>
        <w:tc>
          <w:tcPr>
            <w:tcW w:w="3069"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3305" w:type="dxa"/>
            <w:vMerge/>
            <w:tcBorders>
              <w:left w:val="single" w:sz="4" w:space="0" w:color="000000"/>
              <w:bottom w:val="single" w:sz="4" w:space="0" w:color="000000"/>
              <w:right w:val="single" w:sz="4" w:space="0" w:color="000000"/>
            </w:tcBorders>
            <w:shd w:val="clear" w:color="auto" w:fill="D2D2D2"/>
          </w:tcPr>
          <w:p>
            <w:pPr/>
          </w:p>
        </w:tc>
        <w:tc>
          <w:tcPr>
            <w:tcW w:w="3069"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318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902" w:right="0"/>
              <w:jc w:val="left"/>
              <w:rPr>
                <w:rFonts w:ascii="Times New Roman" w:hAnsi="Times New Roman" w:cs="Times New Roman" w:eastAsia="Times New Roman" w:hint="default"/>
                <w:sz w:val="18"/>
                <w:szCs w:val="18"/>
              </w:rPr>
            </w:pPr>
            <w:r>
              <w:rPr>
                <w:rFonts w:ascii="Times New Roman"/>
                <w:sz w:val="18"/>
              </w:rPr>
              <w:t>795,603,559.06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679,981,956.46</w:t>
            </w:r>
          </w:p>
        </w:tc>
      </w:tr>
      <w:tr>
        <w:trPr>
          <w:trHeight w:val="40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902" w:right="0"/>
              <w:jc w:val="left"/>
              <w:rPr>
                <w:rFonts w:ascii="Times New Roman" w:hAnsi="Times New Roman" w:cs="Times New Roman" w:eastAsia="Times New Roman" w:hint="default"/>
                <w:sz w:val="18"/>
                <w:szCs w:val="18"/>
              </w:rPr>
            </w:pPr>
            <w:r>
              <w:rPr>
                <w:rFonts w:ascii="Times New Roman"/>
                <w:sz w:val="18"/>
              </w:rPr>
              <w:t>679,981,956.46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398,193,141.60</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69" w:type="dxa"/>
            <w:gridSpan w:val="2"/>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909" w:right="0"/>
              <w:jc w:val="left"/>
              <w:rPr>
                <w:rFonts w:ascii="Times New Roman" w:hAnsi="Times New Roman" w:cs="Times New Roman" w:eastAsia="Times New Roman" w:hint="default"/>
                <w:sz w:val="18"/>
                <w:szCs w:val="18"/>
              </w:rPr>
            </w:pPr>
            <w:r>
              <w:rPr>
                <w:rFonts w:ascii="Times New Roman"/>
                <w:sz w:val="18"/>
              </w:rPr>
              <w:t>115,621,602.60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281,788,814.86</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）现金和现金等价物的构成</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5"/>
      </w:tblGrid>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795,603,559.06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679,981,956.46</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113,201.11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101,215.43</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795,490,357.95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669,880,741.03</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2"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3069" w:type="dxa"/>
            <w:tcBorders>
              <w:top w:val="single" w:sz="4" w:space="0" w:color="000000"/>
              <w:left w:val="single" w:sz="10" w:space="0" w:color="D2D2D2"/>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795,603,559.06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679,981,956.46</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45</w:t>
      </w:r>
      <w:r>
        <w:rPr>
          <w:rFonts w:ascii="宋体" w:hAnsi="宋体" w:cs="宋体" w:eastAsia="宋体" w:hint="default"/>
          <w:b/>
          <w:bCs/>
          <w:sz w:val="21"/>
          <w:szCs w:val="21"/>
        </w:rPr>
        <w:t>、所有权或使用权受到限制的资产</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5"/>
      </w:tblGrid>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94"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11,539,689.05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保证金</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20,114,488.61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抵押借款尚未到期</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069"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5,087,506.67</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抵押借款尚未到期</w:t>
            </w:r>
          </w:p>
        </w:tc>
      </w:tr>
      <w:tr>
        <w:trPr>
          <w:trHeight w:val="404" w:hRule="exact"/>
        </w:trPr>
        <w:tc>
          <w:tcPr>
            <w:tcW w:w="3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12,089,714.04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抵押借款尚未到期</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69"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48,831,398.37</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46</w:t>
      </w:r>
      <w:r>
        <w:rPr>
          <w:rFonts w:ascii="宋体" w:hAnsi="宋体" w:cs="宋体" w:eastAsia="宋体" w:hint="default"/>
          <w:b/>
          <w:bCs/>
          <w:sz w:val="21"/>
          <w:szCs w:val="21"/>
        </w:rPr>
        <w:t>、政府补助</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）政府补助基本情况</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列报项目</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1" w:right="0"/>
              <w:jc w:val="left"/>
              <w:rPr>
                <w:rFonts w:ascii="宋体" w:hAnsi="宋体" w:cs="宋体" w:eastAsia="宋体" w:hint="default"/>
                <w:sz w:val="18"/>
                <w:szCs w:val="18"/>
              </w:rPr>
            </w:pPr>
            <w:r>
              <w:rPr>
                <w:rFonts w:ascii="宋体" w:hAnsi="宋体" w:cs="宋体" w:eastAsia="宋体" w:hint="default"/>
                <w:sz w:val="18"/>
                <w:szCs w:val="18"/>
              </w:rPr>
              <w:t>计入当期损益的金额</w:t>
            </w:r>
          </w:p>
        </w:tc>
      </w:tr>
      <w:tr>
        <w:trPr>
          <w:trHeight w:val="715"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7"/>
              <w:jc w:val="left"/>
              <w:rPr>
                <w:rFonts w:ascii="宋体" w:hAnsi="宋体" w:cs="宋体" w:eastAsia="宋体" w:hint="default"/>
                <w:sz w:val="18"/>
                <w:szCs w:val="18"/>
              </w:rPr>
            </w:pPr>
            <w:r>
              <w:rPr>
                <w:rFonts w:ascii="宋体" w:hAnsi="宋体" w:cs="宋体" w:eastAsia="宋体" w:hint="default"/>
                <w:sz w:val="18"/>
                <w:szCs w:val="18"/>
              </w:rPr>
              <w:t>保定市财政局工业转型专项 资金</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71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7"/>
              <w:jc w:val="left"/>
              <w:rPr>
                <w:rFonts w:ascii="宋体" w:hAnsi="宋体" w:cs="宋体" w:eastAsia="宋体" w:hint="default"/>
                <w:sz w:val="18"/>
                <w:szCs w:val="18"/>
              </w:rPr>
            </w:pPr>
            <w:r>
              <w:rPr>
                <w:rFonts w:ascii="宋体" w:hAnsi="宋体" w:cs="宋体" w:eastAsia="宋体" w:hint="default"/>
                <w:sz w:val="18"/>
                <w:szCs w:val="18"/>
              </w:rPr>
              <w:t>河北省科技型中小企业技术 创新资金</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200,000.00</w:t>
            </w:r>
          </w:p>
        </w:tc>
      </w:tr>
      <w:tr>
        <w:trPr>
          <w:trHeight w:val="1027"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7"/>
              <w:jc w:val="both"/>
              <w:rPr>
                <w:rFonts w:ascii="宋体" w:hAnsi="宋体" w:cs="宋体" w:eastAsia="宋体" w:hint="default"/>
                <w:sz w:val="18"/>
                <w:szCs w:val="18"/>
              </w:rPr>
            </w:pPr>
            <w:r>
              <w:rPr>
                <w:rFonts w:ascii="宋体" w:hAnsi="宋体" w:cs="宋体" w:eastAsia="宋体" w:hint="default"/>
                <w:sz w:val="18"/>
                <w:szCs w:val="18"/>
              </w:rPr>
              <w:t>中关村海淀园管理委员会产 规处重点培育企业专项资金 补贴</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71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保定国家高新区管委会</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年度协同发展突出贡献奖</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43,794.96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43,794.96</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71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7"/>
              <w:jc w:val="left"/>
              <w:rPr>
                <w:rFonts w:ascii="宋体" w:hAnsi="宋体" w:cs="宋体" w:eastAsia="宋体" w:hint="default"/>
                <w:sz w:val="18"/>
                <w:szCs w:val="18"/>
              </w:rPr>
            </w:pPr>
            <w:r>
              <w:rPr>
                <w:rFonts w:ascii="宋体" w:hAnsi="宋体" w:cs="宋体" w:eastAsia="宋体" w:hint="default"/>
                <w:sz w:val="18"/>
                <w:szCs w:val="18"/>
              </w:rPr>
              <w:t>保定市科学技术和知识产权 局</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年度专利补贴</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35,000.00</w:t>
            </w:r>
          </w:p>
        </w:tc>
      </w:tr>
      <w:tr>
        <w:trPr>
          <w:trHeight w:val="1027"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97"/>
              <w:jc w:val="both"/>
              <w:rPr>
                <w:rFonts w:ascii="宋体" w:hAnsi="宋体" w:cs="宋体" w:eastAsia="宋体" w:hint="default"/>
                <w:sz w:val="18"/>
                <w:szCs w:val="18"/>
              </w:rPr>
            </w:pPr>
            <w:r>
              <w:rPr>
                <w:rFonts w:ascii="宋体" w:hAnsi="宋体" w:cs="宋体" w:eastAsia="宋体" w:hint="default"/>
                <w:sz w:val="18"/>
                <w:szCs w:val="18"/>
              </w:rPr>
              <w:t>保定国家高新技术产业开发 区管理委员会科技型企业奖 励</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30,000.00</w:t>
            </w:r>
          </w:p>
        </w:tc>
      </w:tr>
      <w:tr>
        <w:trPr>
          <w:trHeight w:val="71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7"/>
              <w:jc w:val="left"/>
              <w:rPr>
                <w:rFonts w:ascii="宋体" w:hAnsi="宋体" w:cs="宋体" w:eastAsia="宋体" w:hint="default"/>
                <w:sz w:val="18"/>
                <w:szCs w:val="18"/>
              </w:rPr>
            </w:pPr>
            <w:r>
              <w:rPr>
                <w:rFonts w:ascii="宋体" w:hAnsi="宋体" w:cs="宋体" w:eastAsia="宋体" w:hint="default"/>
                <w:sz w:val="18"/>
                <w:szCs w:val="18"/>
              </w:rPr>
              <w:t>中关村国家自主创新示范区 技术创新能力建设专项资金</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北京市专利资助金</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10,400.00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10,400.00</w:t>
            </w:r>
          </w:p>
        </w:tc>
      </w:tr>
      <w:tr>
        <w:trPr>
          <w:trHeight w:val="71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7"/>
              <w:jc w:val="left"/>
              <w:rPr>
                <w:rFonts w:ascii="宋体" w:hAnsi="宋体" w:cs="宋体" w:eastAsia="宋体" w:hint="default"/>
                <w:sz w:val="18"/>
                <w:szCs w:val="18"/>
              </w:rPr>
            </w:pPr>
            <w:r>
              <w:rPr>
                <w:rFonts w:ascii="宋体" w:hAnsi="宋体" w:cs="宋体" w:eastAsia="宋体" w:hint="default"/>
                <w:sz w:val="18"/>
                <w:szCs w:val="18"/>
              </w:rPr>
              <w:t>保定市高新区纳税先进企业 奖励</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2,000.00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软件增值税退税</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49,184,619.42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49,184,619.42</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个税手续费返还</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424,951.79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424,951.79</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办公用房租金补贴</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92,000.00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92,000.00</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企业社保补贴和就业补贴</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27,166.77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27,166.77</w:t>
            </w:r>
          </w:p>
        </w:tc>
      </w:tr>
      <w:tr>
        <w:trPr>
          <w:trHeight w:val="1027"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97"/>
              <w:jc w:val="both"/>
              <w:rPr>
                <w:rFonts w:ascii="宋体" w:hAnsi="宋体" w:cs="宋体" w:eastAsia="宋体" w:hint="default"/>
                <w:sz w:val="18"/>
                <w:szCs w:val="18"/>
              </w:rPr>
            </w:pPr>
            <w:r>
              <w:rPr>
                <w:rFonts w:ascii="宋体" w:hAnsi="宋体" w:cs="宋体" w:eastAsia="宋体" w:hint="default"/>
                <w:sz w:val="18"/>
                <w:szCs w:val="18"/>
              </w:rPr>
              <w:t>中关村海淀园管理委员会企 发处购买信用报告专项资金 补贴</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5,000.00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5,000.00</w:t>
            </w:r>
          </w:p>
        </w:tc>
      </w:tr>
      <w:tr>
        <w:trPr>
          <w:trHeight w:val="716"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97"/>
              <w:jc w:val="left"/>
              <w:rPr>
                <w:rFonts w:ascii="宋体" w:hAnsi="宋体" w:cs="宋体" w:eastAsia="宋体" w:hint="default"/>
                <w:sz w:val="18"/>
                <w:szCs w:val="18"/>
              </w:rPr>
            </w:pPr>
            <w:r>
              <w:rPr>
                <w:rFonts w:ascii="宋体" w:hAnsi="宋体" w:cs="宋体" w:eastAsia="宋体" w:hint="default"/>
                <w:sz w:val="18"/>
                <w:szCs w:val="18"/>
              </w:rPr>
              <w:t>中华人民共和国住房城乡建 设部课题补贴款</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475,000.00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475,000.00</w:t>
            </w:r>
          </w:p>
        </w:tc>
      </w:tr>
    </w:tbl>
    <w:p>
      <w:pPr>
        <w:spacing w:line="240" w:lineRule="auto" w:before="1"/>
        <w:rPr>
          <w:rFonts w:ascii="宋体" w:hAnsi="宋体" w:cs="宋体" w:eastAsia="宋体" w:hint="default"/>
          <w:sz w:val="18"/>
          <w:szCs w:val="18"/>
        </w:rPr>
      </w:pPr>
    </w:p>
    <w:p>
      <w:pPr>
        <w:pStyle w:val="Heading2"/>
        <w:spacing w:line="240" w:lineRule="auto" w:before="26"/>
        <w:ind w:right="982"/>
        <w:jc w:val="left"/>
        <w:rPr>
          <w:b w:val="0"/>
          <w:bCs w:val="0"/>
        </w:rPr>
      </w:pPr>
      <w:r>
        <w:rPr/>
        <w:t>八、合并范围的变更</w:t>
      </w:r>
      <w:r>
        <w:rPr>
          <w:b w:val="0"/>
          <w:bCs w:val="0"/>
        </w:rPr>
      </w:r>
    </w:p>
    <w:p>
      <w:pPr>
        <w:spacing w:line="240" w:lineRule="auto" w:before="9"/>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、其他原因的合并范围变动</w:t>
      </w:r>
      <w:r>
        <w:rPr>
          <w:rFonts w:ascii="宋体" w:hAnsi="宋体" w:cs="宋体" w:eastAsia="宋体" w:hint="default"/>
          <w:sz w:val="21"/>
          <w:szCs w:val="21"/>
        </w:rPr>
      </w:r>
    </w:p>
    <w:p>
      <w:pPr>
        <w:spacing w:line="240" w:lineRule="auto" w:before="5"/>
        <w:rPr>
          <w:rFonts w:ascii="宋体" w:hAnsi="宋体" w:cs="宋体" w:eastAsia="宋体" w:hint="default"/>
          <w:b/>
          <w:bCs/>
          <w:sz w:val="32"/>
          <w:szCs w:val="32"/>
        </w:rPr>
      </w:pPr>
    </w:p>
    <w:p>
      <w:pPr>
        <w:spacing w:before="0"/>
        <w:ind w:left="513" w:right="982" w:firstLine="0"/>
        <w:jc w:val="left"/>
        <w:rPr>
          <w:rFonts w:ascii="宋体" w:hAnsi="宋体" w:cs="宋体" w:eastAsia="宋体" w:hint="default"/>
          <w:sz w:val="18"/>
          <w:szCs w:val="18"/>
        </w:rPr>
      </w:pPr>
      <w:r>
        <w:rPr>
          <w:rFonts w:ascii="宋体" w:hAnsi="宋体" w:cs="宋体" w:eastAsia="宋体" w:hint="default"/>
          <w:sz w:val="18"/>
          <w:szCs w:val="18"/>
        </w:rPr>
        <w:t>说明其他原因导致的合并范围变动（如，新设子公司、清算子公司等）及其相关情况：</w:t>
      </w:r>
    </w:p>
    <w:p>
      <w:pPr>
        <w:spacing w:line="240" w:lineRule="auto" w:before="13"/>
        <w:rPr>
          <w:rFonts w:ascii="宋体" w:hAnsi="宋体" w:cs="宋体" w:eastAsia="宋体" w:hint="default"/>
          <w:sz w:val="16"/>
          <w:szCs w:val="16"/>
        </w:rPr>
      </w:pPr>
    </w:p>
    <w:p>
      <w:pPr>
        <w:pStyle w:val="BodyText"/>
        <w:spacing w:line="357" w:lineRule="auto" w:before="0"/>
        <w:ind w:right="1126" w:firstLine="480"/>
        <w:jc w:val="both"/>
      </w:pPr>
      <w:r>
        <w:rPr/>
        <w:t>本公司新设子公司福建政通城运信息科技有限公司，注册资本</w:t>
      </w:r>
      <w:r>
        <w:rPr>
          <w:rFonts w:ascii="宋体" w:hAnsi="宋体" w:cs="宋体" w:eastAsia="宋体" w:hint="default"/>
        </w:rPr>
        <w:t>2,000.00</w:t>
      </w:r>
      <w:r>
        <w:rPr/>
        <w:t>万元，本公司持 股比例</w:t>
      </w:r>
      <w:r>
        <w:rPr>
          <w:rFonts w:ascii="宋体" w:hAnsi="宋体" w:cs="宋体" w:eastAsia="宋体" w:hint="default"/>
        </w:rPr>
        <w:t>100%</w:t>
      </w:r>
      <w:r>
        <w:rPr/>
        <w:t>，已认缴出资额</w:t>
      </w:r>
      <w:r>
        <w:rPr>
          <w:rFonts w:ascii="宋体" w:hAnsi="宋体" w:cs="宋体" w:eastAsia="宋体" w:hint="default"/>
        </w:rPr>
        <w:t>2,000.00</w:t>
      </w:r>
      <w:r>
        <w:rPr/>
        <w:t>万元。统一社会信用代码：</w:t>
      </w:r>
      <w:r>
        <w:rPr>
          <w:rFonts w:ascii="宋体" w:hAnsi="宋体" w:cs="宋体" w:eastAsia="宋体" w:hint="default"/>
        </w:rPr>
        <w:t>91350901MA31FBUKXU</w:t>
      </w:r>
      <w:r>
        <w:rPr/>
        <w:t>，注册</w:t>
      </w:r>
      <w:r>
        <w:rPr>
          <w:spacing w:val="-83"/>
        </w:rPr>
        <w:t> </w:t>
      </w:r>
      <w:r>
        <w:rPr/>
        <w:t>地：宁德市；业务范围：计算机软件开发；计算机信息领域内的技术咨询服务、技术开发、</w:t>
      </w:r>
      <w:r>
        <w:rPr>
          <w:spacing w:val="-91"/>
        </w:rPr>
        <w:t> </w:t>
      </w:r>
      <w:r>
        <w:rPr>
          <w:spacing w:val="-91"/>
        </w:rPr>
      </w:r>
      <w:r>
        <w:rPr/>
        <w:t>技术转让；计算机网络系统工程设计、维护；品牌设计、策划；组织文化艺术交流活动；娱</w:t>
      </w:r>
      <w:r>
        <w:rPr>
          <w:spacing w:val="-91"/>
        </w:rPr>
        <w:t> </w:t>
      </w:r>
      <w:r>
        <w:rPr>
          <w:spacing w:val="-91"/>
        </w:rPr>
      </w:r>
      <w:r>
        <w:rPr/>
        <w:t>乐演出活动策划；礼仪庆典活动策划；公关策划；企业形象策划、推广；展览展示服务；礼</w:t>
      </w:r>
      <w:r>
        <w:rPr>
          <w:spacing w:val="-91"/>
        </w:rPr>
        <w:t> </w:t>
      </w:r>
      <w:r>
        <w:rPr>
          <w:spacing w:val="-91"/>
        </w:rPr>
      </w:r>
      <w:r>
        <w:rPr/>
        <w:t>仪服务；会务服务；旅游信息咨询服务；企业管理信息咨询服务（以上经营范围不含金融、</w:t>
      </w:r>
      <w:r>
        <w:rPr>
          <w:spacing w:val="-86"/>
        </w:rPr>
        <w:t> </w:t>
      </w:r>
      <w:r>
        <w:rPr>
          <w:spacing w:val="-86"/>
        </w:rPr>
      </w:r>
      <w:r>
        <w:rPr/>
        <w:t>证券、期货、保险）。（依法须经批准的项目，经相关部门批准后方可开展经营活动）。</w:t>
      </w:r>
    </w:p>
    <w:p>
      <w:pPr>
        <w:pStyle w:val="BodyText"/>
        <w:spacing w:line="357" w:lineRule="auto"/>
        <w:ind w:right="982" w:firstLine="199"/>
        <w:jc w:val="left"/>
      </w:pPr>
      <w:r>
        <w:rPr>
          <w:rFonts w:ascii="宋体" w:hAnsi="宋体" w:cs="宋体" w:eastAsia="宋体" w:hint="default"/>
          <w:spacing w:val="-2"/>
        </w:rPr>
        <w:t>2018</w:t>
      </w:r>
      <w:r>
        <w:rPr>
          <w:spacing w:val="-2"/>
        </w:rPr>
        <w:t>年</w:t>
      </w:r>
      <w:r>
        <w:rPr>
          <w:rFonts w:ascii="宋体" w:hAnsi="宋体" w:cs="宋体" w:eastAsia="宋体" w:hint="default"/>
          <w:spacing w:val="-2"/>
        </w:rPr>
        <w:t>7</w:t>
      </w:r>
      <w:r>
        <w:rPr>
          <w:spacing w:val="-2"/>
        </w:rPr>
        <w:t>月，本公司注销子公司北京数聚联盟科技有限公司，自清算之日起，北京数聚联盟</w:t>
      </w:r>
      <w:r>
        <w:rPr/>
        <w:t> 科技有限公司不再纳入本公司合并财务报表范围。</w:t>
      </w:r>
    </w:p>
    <w:p>
      <w:pPr>
        <w:spacing w:after="0" w:line="357" w:lineRule="auto"/>
        <w:jc w:val="left"/>
        <w:sectPr>
          <w:pgSz w:w="11910" w:h="16840"/>
          <w:pgMar w:header="745"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982"/>
        <w:jc w:val="left"/>
        <w:rPr>
          <w:b w:val="0"/>
          <w:bCs w:val="0"/>
        </w:rPr>
      </w:pPr>
      <w:r>
        <w:rPr/>
        <w:t>九、在其他主体中的权益</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、在子公司中的权益</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）企业集团的构成</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371"/>
        <w:gridCol w:w="1369"/>
        <w:gridCol w:w="1366"/>
        <w:gridCol w:w="1368"/>
        <w:gridCol w:w="1368"/>
        <w:gridCol w:w="1366"/>
        <w:gridCol w:w="1366"/>
      </w:tblGrid>
      <w:tr>
        <w:trPr>
          <w:trHeight w:val="401" w:hRule="exact"/>
        </w:trPr>
        <w:tc>
          <w:tcPr>
            <w:tcW w:w="13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3" w:hRule="exact"/>
        </w:trPr>
        <w:tc>
          <w:tcPr>
            <w:tcW w:w="1371"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北京数字智通科 技有限公司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计算机服务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92.53%</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收购</w:t>
            </w:r>
          </w:p>
        </w:tc>
      </w:tr>
      <w:tr>
        <w:trPr>
          <w:trHeight w:val="71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上海政通信息科 技有限公司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计算机服务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5"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both"/>
              <w:rPr>
                <w:rFonts w:ascii="宋体" w:hAnsi="宋体" w:cs="宋体" w:eastAsia="宋体" w:hint="default"/>
                <w:sz w:val="18"/>
                <w:szCs w:val="18"/>
              </w:rPr>
            </w:pPr>
            <w:r>
              <w:rPr>
                <w:rFonts w:ascii="宋体" w:hAnsi="宋体" w:cs="宋体" w:eastAsia="宋体" w:hint="default"/>
                <w:sz w:val="18"/>
                <w:szCs w:val="18"/>
              </w:rPr>
              <w:t>北京数字政通智 能泊车技术有限 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6" w:right="0"/>
              <w:jc w:val="left"/>
              <w:rPr>
                <w:rFonts w:ascii="宋体" w:hAnsi="宋体" w:cs="宋体" w:eastAsia="宋体" w:hint="default"/>
                <w:sz w:val="18"/>
                <w:szCs w:val="18"/>
              </w:rPr>
            </w:pPr>
            <w:r>
              <w:rPr>
                <w:rFonts w:ascii="宋体" w:hAnsi="宋体" w:cs="宋体" w:eastAsia="宋体" w:hint="default"/>
                <w:sz w:val="18"/>
                <w:szCs w:val="18"/>
              </w:rPr>
              <w:t>计算机服务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5"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武汉智慧政通科 技有限公司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武汉</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武汉</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计算机服务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5"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both"/>
              <w:rPr>
                <w:rFonts w:ascii="宋体" w:hAnsi="宋体" w:cs="宋体" w:eastAsia="宋体" w:hint="default"/>
                <w:sz w:val="18"/>
                <w:szCs w:val="18"/>
              </w:rPr>
            </w:pPr>
            <w:r>
              <w:rPr>
                <w:rFonts w:ascii="宋体" w:hAnsi="宋体" w:cs="宋体" w:eastAsia="宋体" w:hint="default"/>
                <w:sz w:val="18"/>
                <w:szCs w:val="18"/>
              </w:rPr>
              <w:t>克拉玛依数字政 通信息科技有限 责任公司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克拉玛依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克拉玛依</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6" w:right="0"/>
              <w:jc w:val="left"/>
              <w:rPr>
                <w:rFonts w:ascii="宋体" w:hAnsi="宋体" w:cs="宋体" w:eastAsia="宋体" w:hint="default"/>
                <w:sz w:val="18"/>
                <w:szCs w:val="18"/>
              </w:rPr>
            </w:pPr>
            <w:r>
              <w:rPr>
                <w:rFonts w:ascii="宋体" w:hAnsi="宋体" w:cs="宋体" w:eastAsia="宋体" w:hint="default"/>
                <w:sz w:val="18"/>
                <w:szCs w:val="18"/>
              </w:rPr>
              <w:t>计算机服务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5"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安徽数字政通科 技有限责任公司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合肥</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合肥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计算机服务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政通智慧城市运 营科技有限公司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计算机服务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90.00%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7"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both"/>
              <w:rPr>
                <w:rFonts w:ascii="宋体" w:hAnsi="宋体" w:cs="宋体" w:eastAsia="宋体" w:hint="default"/>
                <w:sz w:val="18"/>
                <w:szCs w:val="18"/>
              </w:rPr>
            </w:pPr>
            <w:r>
              <w:rPr>
                <w:rFonts w:ascii="宋体" w:hAnsi="宋体" w:cs="宋体" w:eastAsia="宋体" w:hint="default"/>
                <w:sz w:val="18"/>
                <w:szCs w:val="18"/>
              </w:rPr>
              <w:t>保定金迪地下管 线探测工程有限 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保定</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保定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6" w:right="70"/>
              <w:jc w:val="left"/>
              <w:rPr>
                <w:rFonts w:ascii="宋体" w:hAnsi="宋体" w:cs="宋体" w:eastAsia="宋体" w:hint="default"/>
                <w:sz w:val="18"/>
                <w:szCs w:val="18"/>
              </w:rPr>
            </w:pPr>
            <w:r>
              <w:rPr>
                <w:rFonts w:ascii="宋体" w:hAnsi="宋体" w:cs="宋体" w:eastAsia="宋体" w:hint="default"/>
                <w:sz w:val="18"/>
                <w:szCs w:val="18"/>
              </w:rPr>
              <w:t>地下管线探测检 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收购</w:t>
            </w:r>
          </w:p>
        </w:tc>
      </w:tr>
      <w:tr>
        <w:trPr>
          <w:trHeight w:val="1025"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5"/>
              <w:jc w:val="both"/>
              <w:rPr>
                <w:rFonts w:ascii="宋体" w:hAnsi="宋体" w:cs="宋体" w:eastAsia="宋体" w:hint="default"/>
                <w:sz w:val="18"/>
                <w:szCs w:val="18"/>
              </w:rPr>
            </w:pPr>
            <w:r>
              <w:rPr>
                <w:rFonts w:ascii="宋体" w:hAnsi="宋体" w:cs="宋体" w:eastAsia="宋体" w:hint="default"/>
                <w:sz w:val="18"/>
                <w:szCs w:val="18"/>
              </w:rPr>
              <w:t>焦作市市民健康 促进服务有限责 任公司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焦作</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焦作</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6" w:right="70"/>
              <w:jc w:val="left"/>
              <w:rPr>
                <w:rFonts w:ascii="宋体" w:hAnsi="宋体" w:cs="宋体" w:eastAsia="宋体" w:hint="default"/>
                <w:sz w:val="18"/>
                <w:szCs w:val="18"/>
              </w:rPr>
            </w:pPr>
            <w:r>
              <w:rPr>
                <w:rFonts w:ascii="宋体" w:hAnsi="宋体" w:cs="宋体" w:eastAsia="宋体" w:hint="default"/>
                <w:sz w:val="18"/>
                <w:szCs w:val="18"/>
              </w:rPr>
              <w:t>居民健康咨询服 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7"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4" w:right="75"/>
              <w:jc w:val="left"/>
              <w:rPr>
                <w:rFonts w:ascii="宋体" w:hAnsi="宋体" w:cs="宋体" w:eastAsia="宋体" w:hint="default"/>
                <w:sz w:val="18"/>
                <w:szCs w:val="18"/>
              </w:rPr>
            </w:pPr>
            <w:r>
              <w:rPr>
                <w:rFonts w:ascii="宋体" w:hAnsi="宋体" w:cs="宋体" w:eastAsia="宋体" w:hint="default"/>
                <w:sz w:val="18"/>
                <w:szCs w:val="18"/>
              </w:rPr>
              <w:t>江西政通城运科 技有限公司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赣州</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赣州</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both"/>
              <w:rPr>
                <w:rFonts w:ascii="宋体" w:hAnsi="宋体" w:cs="宋体" w:eastAsia="宋体" w:hint="default"/>
                <w:sz w:val="18"/>
                <w:szCs w:val="18"/>
              </w:rPr>
            </w:pPr>
            <w:r>
              <w:rPr>
                <w:rFonts w:ascii="宋体" w:hAnsi="宋体" w:cs="宋体" w:eastAsia="宋体" w:hint="default"/>
                <w:sz w:val="18"/>
                <w:szCs w:val="18"/>
              </w:rPr>
              <w:t>城市及道路照明 亮化工程专业承 包</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福建政通城运信 息科技有限公司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宁德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宁德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软件和信息技术 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line="357" w:lineRule="auto" w:before="49"/>
        <w:ind w:left="152" w:right="2834" w:firstLine="0"/>
        <w:jc w:val="left"/>
        <w:rPr>
          <w:rFonts w:ascii="宋体" w:hAnsi="宋体" w:cs="宋体" w:eastAsia="宋体" w:hint="default"/>
          <w:sz w:val="18"/>
          <w:szCs w:val="18"/>
        </w:rPr>
      </w:pPr>
      <w:r>
        <w:rPr>
          <w:rFonts w:ascii="宋体" w:hAnsi="宋体" w:cs="宋体" w:eastAsia="宋体" w:hint="default"/>
          <w:sz w:val="18"/>
          <w:szCs w:val="18"/>
        </w:rPr>
        <w:t>在子公司的持股比例不同于表决权比例的说明： 持有半数或以下表决权但仍控制被投资单位、以及持有半数以上表决权但不控制被投资单位的依据： 对于纳入合并范围的重要的结构化主体，控制的依据：</w:t>
      </w:r>
    </w:p>
    <w:p>
      <w:pPr>
        <w:spacing w:line="360" w:lineRule="auto" w:before="29"/>
        <w:ind w:left="152" w:right="7694" w:firstLine="0"/>
        <w:jc w:val="left"/>
        <w:rPr>
          <w:rFonts w:ascii="宋体" w:hAnsi="宋体" w:cs="宋体" w:eastAsia="宋体" w:hint="default"/>
          <w:sz w:val="18"/>
          <w:szCs w:val="18"/>
        </w:rPr>
      </w:pPr>
      <w:r>
        <w:rPr>
          <w:rFonts w:ascii="宋体" w:hAnsi="宋体" w:cs="宋体" w:eastAsia="宋体" w:hint="default"/>
          <w:sz w:val="18"/>
          <w:szCs w:val="18"/>
        </w:rPr>
        <w:t>确定公司是代理人还是委托人的依据： 其他说明：</w:t>
      </w:r>
    </w:p>
    <w:p>
      <w:pPr>
        <w:spacing w:after="0" w:line="360"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）重要的非全资子公司</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6"/>
        <w:gridCol w:w="1916"/>
        <w:gridCol w:w="1913"/>
        <w:gridCol w:w="1913"/>
        <w:gridCol w:w="1916"/>
      </w:tblGrid>
      <w:tr>
        <w:trPr>
          <w:trHeight w:val="766"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504"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75"/>
              <w:ind w:left="772" w:right="48" w:hanging="720"/>
              <w:jc w:val="left"/>
              <w:rPr>
                <w:rFonts w:ascii="宋体" w:hAnsi="宋体" w:cs="宋体" w:eastAsia="宋体" w:hint="default"/>
                <w:sz w:val="18"/>
                <w:szCs w:val="18"/>
              </w:rPr>
            </w:pPr>
            <w:r>
              <w:rPr>
                <w:rFonts w:ascii="宋体" w:hAnsi="宋体" w:cs="宋体" w:eastAsia="宋体" w:hint="default"/>
                <w:sz w:val="18"/>
                <w:szCs w:val="18"/>
              </w:rPr>
              <w:t>本期归属于少数股东的 损益</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75"/>
              <w:ind w:left="592" w:right="48" w:hanging="540"/>
              <w:jc w:val="left"/>
              <w:rPr>
                <w:rFonts w:ascii="宋体" w:hAnsi="宋体" w:cs="宋体" w:eastAsia="宋体" w:hint="default"/>
                <w:sz w:val="18"/>
                <w:szCs w:val="18"/>
              </w:rPr>
            </w:pPr>
            <w:r>
              <w:rPr>
                <w:rFonts w:ascii="宋体" w:hAnsi="宋体" w:cs="宋体" w:eastAsia="宋体" w:hint="default"/>
                <w:sz w:val="18"/>
                <w:szCs w:val="18"/>
              </w:rPr>
              <w:t>本期向少数股东宣告分 派的股利</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50"/>
              <w:jc w:val="right"/>
              <w:rPr>
                <w:rFonts w:ascii="宋体" w:hAnsi="宋体" w:cs="宋体" w:eastAsia="宋体" w:hint="default"/>
                <w:sz w:val="18"/>
                <w:szCs w:val="18"/>
              </w:rPr>
            </w:pPr>
            <w:r>
              <w:rPr>
                <w:rFonts w:ascii="宋体" w:hAnsi="宋体" w:cs="宋体" w:eastAsia="宋体" w:hint="default"/>
                <w:sz w:val="18"/>
                <w:szCs w:val="18"/>
              </w:rPr>
              <w:t>期末少数股东权益余额</w:t>
            </w:r>
          </w:p>
        </w:tc>
      </w:tr>
      <w:tr>
        <w:trPr>
          <w:trHeight w:val="71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81"/>
              <w:jc w:val="left"/>
              <w:rPr>
                <w:rFonts w:ascii="宋体" w:hAnsi="宋体" w:cs="宋体" w:eastAsia="宋体" w:hint="default"/>
                <w:sz w:val="18"/>
                <w:szCs w:val="18"/>
              </w:rPr>
            </w:pPr>
            <w:r>
              <w:rPr>
                <w:rFonts w:ascii="宋体" w:hAnsi="宋体" w:cs="宋体" w:eastAsia="宋体" w:hint="default"/>
                <w:sz w:val="18"/>
                <w:szCs w:val="18"/>
              </w:rPr>
              <w:t>北京数字智通科技有限 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7.47%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2"/>
              <w:jc w:val="right"/>
              <w:rPr>
                <w:rFonts w:ascii="Garamond" w:hAnsi="Garamond" w:cs="Garamond" w:eastAsia="Garamond" w:hint="default"/>
                <w:sz w:val="18"/>
                <w:szCs w:val="18"/>
              </w:rPr>
            </w:pPr>
            <w:r>
              <w:rPr>
                <w:rFonts w:ascii="Garamond"/>
                <w:spacing w:val="-1"/>
                <w:sz w:val="18"/>
              </w:rPr>
              <w:t>-3,845,897.68</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2"/>
              <w:jc w:val="right"/>
              <w:rPr>
                <w:rFonts w:ascii="Garamond" w:hAnsi="Garamond" w:cs="Garamond" w:eastAsia="Garamond" w:hint="default"/>
                <w:sz w:val="18"/>
                <w:szCs w:val="18"/>
              </w:rPr>
            </w:pPr>
            <w:r>
              <w:rPr>
                <w:rFonts w:ascii="Garamond"/>
                <w:spacing w:val="-1"/>
                <w:sz w:val="18"/>
              </w:rPr>
              <w:t>5,253,046.26</w:t>
            </w:r>
          </w:p>
        </w:tc>
      </w:tr>
      <w:tr>
        <w:trPr>
          <w:trHeight w:val="715"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1"/>
              <w:jc w:val="left"/>
              <w:rPr>
                <w:rFonts w:ascii="宋体" w:hAnsi="宋体" w:cs="宋体" w:eastAsia="宋体" w:hint="default"/>
                <w:sz w:val="18"/>
                <w:szCs w:val="18"/>
              </w:rPr>
            </w:pPr>
            <w:r>
              <w:rPr>
                <w:rFonts w:ascii="宋体" w:hAnsi="宋体" w:cs="宋体" w:eastAsia="宋体" w:hint="default"/>
                <w:sz w:val="18"/>
                <w:szCs w:val="18"/>
              </w:rPr>
              <w:t>政通智慧城市运营科技 有限公司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5"/>
              <w:jc w:val="right"/>
              <w:rPr>
                <w:rFonts w:ascii="Garamond" w:hAnsi="Garamond" w:cs="Garamond" w:eastAsia="Garamond" w:hint="default"/>
                <w:sz w:val="18"/>
                <w:szCs w:val="18"/>
              </w:rPr>
            </w:pPr>
            <w:r>
              <w:rPr>
                <w:rFonts w:ascii="Garamond"/>
                <w:spacing w:val="-1"/>
                <w:sz w:val="18"/>
              </w:rPr>
              <w:t>10.00%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Garamond" w:hAnsi="Garamond" w:cs="Garamond" w:eastAsia="Garamond" w:hint="default"/>
                <w:sz w:val="18"/>
                <w:szCs w:val="18"/>
              </w:rPr>
            </w:pPr>
            <w:r>
              <w:rPr>
                <w:rFonts w:ascii="Garamond"/>
                <w:spacing w:val="-1"/>
                <w:sz w:val="18"/>
              </w:rPr>
              <w:t>5,097.09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Garamond" w:hAnsi="Garamond" w:cs="Garamond" w:eastAsia="Garamond" w:hint="default"/>
                <w:sz w:val="18"/>
                <w:szCs w:val="18"/>
              </w:rPr>
            </w:pPr>
            <w:r>
              <w:rPr>
                <w:rFonts w:ascii="Garamond"/>
                <w:sz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Garamond" w:hAnsi="Garamond" w:cs="Garamond" w:eastAsia="Garamond" w:hint="default"/>
                <w:sz w:val="18"/>
                <w:szCs w:val="18"/>
              </w:rPr>
            </w:pPr>
            <w:r>
              <w:rPr>
                <w:rFonts w:ascii="Garamond"/>
                <w:spacing w:val="-1"/>
                <w:sz w:val="18"/>
              </w:rPr>
              <w:t>1,004,445.36</w:t>
            </w:r>
          </w:p>
        </w:tc>
      </w:tr>
      <w:tr>
        <w:trPr>
          <w:trHeight w:val="71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1"/>
              <w:jc w:val="left"/>
              <w:rPr>
                <w:rFonts w:ascii="宋体" w:hAnsi="宋体" w:cs="宋体" w:eastAsia="宋体" w:hint="default"/>
                <w:sz w:val="18"/>
                <w:szCs w:val="18"/>
              </w:rPr>
            </w:pPr>
            <w:r>
              <w:rPr>
                <w:rFonts w:ascii="宋体" w:hAnsi="宋体" w:cs="宋体" w:eastAsia="宋体" w:hint="default"/>
                <w:sz w:val="18"/>
                <w:szCs w:val="18"/>
              </w:rPr>
              <w:t>焦作市市民健康促进服 务有限责任公司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5"/>
              <w:jc w:val="right"/>
              <w:rPr>
                <w:rFonts w:ascii="Garamond" w:hAnsi="Garamond" w:cs="Garamond" w:eastAsia="Garamond" w:hint="default"/>
                <w:sz w:val="18"/>
                <w:szCs w:val="18"/>
              </w:rPr>
            </w:pPr>
            <w:r>
              <w:rPr>
                <w:rFonts w:ascii="Garamond"/>
                <w:spacing w:val="-1"/>
                <w:sz w:val="18"/>
              </w:rPr>
              <w:t>40.00%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Garamond" w:hAnsi="Garamond" w:cs="Garamond" w:eastAsia="Garamond" w:hint="default"/>
                <w:sz w:val="18"/>
                <w:szCs w:val="18"/>
              </w:rPr>
            </w:pPr>
            <w:r>
              <w:rPr>
                <w:rFonts w:ascii="Garamond"/>
                <w:spacing w:val="-1"/>
                <w:sz w:val="18"/>
              </w:rPr>
              <w:t>38,863.44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Garamond" w:hAnsi="Garamond" w:cs="Garamond" w:eastAsia="Garamond" w:hint="default"/>
                <w:sz w:val="18"/>
                <w:szCs w:val="18"/>
              </w:rPr>
            </w:pPr>
            <w:r>
              <w:rPr>
                <w:rFonts w:ascii="Garamond"/>
                <w:sz w:val="18"/>
              </w:rPr>
              <w:t>-</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Garamond" w:hAnsi="Garamond" w:cs="Garamond" w:eastAsia="Garamond" w:hint="default"/>
                <w:sz w:val="18"/>
                <w:szCs w:val="18"/>
              </w:rPr>
            </w:pPr>
            <w:r>
              <w:rPr>
                <w:rFonts w:ascii="Garamond"/>
                <w:spacing w:val="-1"/>
                <w:sz w:val="18"/>
              </w:rPr>
              <w:t>3,702,886.42</w:t>
            </w:r>
          </w:p>
        </w:tc>
      </w:tr>
    </w:tbl>
    <w:p>
      <w:pPr>
        <w:spacing w:line="360" w:lineRule="auto" w:before="49"/>
        <w:ind w:left="152" w:right="6434" w:firstLine="0"/>
        <w:jc w:val="left"/>
        <w:rPr>
          <w:rFonts w:ascii="宋体" w:hAnsi="宋体" w:cs="宋体" w:eastAsia="宋体" w:hint="default"/>
          <w:sz w:val="18"/>
          <w:szCs w:val="18"/>
        </w:rPr>
      </w:pPr>
      <w:r>
        <w:rPr>
          <w:rFonts w:ascii="宋体" w:hAnsi="宋体" w:cs="宋体" w:eastAsia="宋体" w:hint="default"/>
          <w:sz w:val="18"/>
          <w:szCs w:val="18"/>
        </w:rPr>
        <w:t>子公司少数股东的持股比例不同于表决权比例的说明： 其他说明：</w:t>
      </w:r>
    </w:p>
    <w:p>
      <w:pPr>
        <w:spacing w:line="240" w:lineRule="auto" w:before="2"/>
        <w:rPr>
          <w:rFonts w:ascii="宋体" w:hAnsi="宋体" w:cs="宋体" w:eastAsia="宋体" w:hint="default"/>
          <w:sz w:val="20"/>
          <w:szCs w:val="20"/>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）重要非全资子公司的主要财务信息</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37"/>
        <w:gridCol w:w="734"/>
        <w:gridCol w:w="737"/>
        <w:gridCol w:w="737"/>
        <w:gridCol w:w="734"/>
        <w:gridCol w:w="737"/>
        <w:gridCol w:w="734"/>
        <w:gridCol w:w="735"/>
        <w:gridCol w:w="734"/>
        <w:gridCol w:w="737"/>
        <w:gridCol w:w="737"/>
        <w:gridCol w:w="734"/>
        <w:gridCol w:w="737"/>
      </w:tblGrid>
      <w:tr>
        <w:trPr>
          <w:trHeight w:val="401" w:hRule="exact"/>
        </w:trPr>
        <w:tc>
          <w:tcPr>
            <w:tcW w:w="73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4" w:lineRule="auto"/>
              <w:ind w:left="182" w:right="92"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6" w:hRule="exact"/>
        </w:trPr>
        <w:tc>
          <w:tcPr>
            <w:tcW w:w="737" w:type="dxa"/>
            <w:vMerge/>
            <w:tcBorders>
              <w:left w:val="single" w:sz="4" w:space="0" w:color="000000"/>
              <w:bottom w:val="single" w:sz="4" w:space="0" w:color="000000"/>
              <w:right w:val="single" w:sz="4" w:space="0" w:color="000000"/>
            </w:tcBorders>
            <w:shd w:val="clear" w:color="auto" w:fill="D2D2D2"/>
          </w:tcPr>
          <w:p>
            <w:pP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73" w:right="89"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82" w:right="91" w:hanging="89"/>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73" w:right="92"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73" w:right="89"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82" w:right="91" w:hanging="89"/>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73" w:right="89" w:hanging="180"/>
              <w:jc w:val="left"/>
              <w:rPr>
                <w:rFonts w:ascii="宋体" w:hAnsi="宋体" w:cs="宋体" w:eastAsia="宋体" w:hint="default"/>
                <w:sz w:val="18"/>
                <w:szCs w:val="18"/>
              </w:rPr>
            </w:pPr>
            <w:r>
              <w:rPr>
                <w:rFonts w:ascii="宋体" w:hAnsi="宋体" w:cs="宋体" w:eastAsia="宋体" w:hint="default"/>
                <w:sz w:val="18"/>
                <w:szCs w:val="18"/>
              </w:rPr>
              <w:t>负债合 计</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74" w:right="89"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82" w:right="89" w:hanging="89"/>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73" w:right="91"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73" w:right="92"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82" w:right="89" w:hanging="89"/>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73"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r>
      <w:tr>
        <w:trPr>
          <w:trHeight w:val="1337"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1"/>
              <w:jc w:val="both"/>
              <w:rPr>
                <w:rFonts w:ascii="宋体" w:hAnsi="宋体" w:cs="宋体" w:eastAsia="宋体" w:hint="default"/>
                <w:sz w:val="18"/>
                <w:szCs w:val="18"/>
              </w:rPr>
            </w:pPr>
            <w:r>
              <w:rPr>
                <w:rFonts w:ascii="宋体" w:hAnsi="宋体" w:cs="宋体" w:eastAsia="宋体" w:hint="default"/>
                <w:sz w:val="18"/>
                <w:szCs w:val="18"/>
              </w:rPr>
              <w:t>北京数 字智通 科技有 限公司</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309,679,</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124.02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3" w:right="0"/>
              <w:jc w:val="left"/>
              <w:rPr>
                <w:rFonts w:ascii="Garamond" w:hAnsi="Garamond" w:cs="Garamond" w:eastAsia="Garamond" w:hint="default"/>
                <w:sz w:val="18"/>
                <w:szCs w:val="18"/>
              </w:rPr>
            </w:pPr>
            <w:r>
              <w:rPr>
                <w:rFonts w:ascii="Garamond"/>
                <w:sz w:val="18"/>
              </w:rPr>
              <w:t>70,688,69</w:t>
            </w:r>
          </w:p>
          <w:p>
            <w:pPr>
              <w:pStyle w:val="TableParagraph"/>
              <w:spacing w:line="240" w:lineRule="auto" w:before="109"/>
              <w:ind w:left="410" w:right="0"/>
              <w:jc w:val="left"/>
              <w:rPr>
                <w:rFonts w:ascii="Garamond" w:hAnsi="Garamond" w:cs="Garamond" w:eastAsia="Garamond" w:hint="default"/>
                <w:sz w:val="18"/>
                <w:szCs w:val="18"/>
              </w:rPr>
            </w:pPr>
            <w:r>
              <w:rPr>
                <w:rFonts w:ascii="Garamond"/>
                <w:sz w:val="18"/>
              </w:rPr>
              <w:t>5.02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3" w:right="0"/>
              <w:jc w:val="left"/>
              <w:rPr>
                <w:rFonts w:ascii="Garamond" w:hAnsi="Garamond" w:cs="Garamond" w:eastAsia="Garamond" w:hint="default"/>
                <w:sz w:val="18"/>
                <w:szCs w:val="18"/>
              </w:rPr>
            </w:pPr>
            <w:r>
              <w:rPr>
                <w:rFonts w:ascii="Garamond"/>
                <w:sz w:val="18"/>
              </w:rPr>
              <w:t>380,367,8</w:t>
            </w:r>
          </w:p>
          <w:p>
            <w:pPr>
              <w:pStyle w:val="TableParagraph"/>
              <w:spacing w:line="240" w:lineRule="auto" w:before="109"/>
              <w:ind w:left="326" w:right="0"/>
              <w:jc w:val="left"/>
              <w:rPr>
                <w:rFonts w:ascii="Garamond" w:hAnsi="Garamond" w:cs="Garamond" w:eastAsia="Garamond" w:hint="default"/>
                <w:sz w:val="18"/>
                <w:szCs w:val="18"/>
              </w:rPr>
            </w:pPr>
            <w:r>
              <w:rPr>
                <w:rFonts w:ascii="Garamond"/>
                <w:sz w:val="18"/>
              </w:rPr>
              <w:t>19.04</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304,402,</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914.60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4"/>
              <w:jc w:val="right"/>
              <w:rPr>
                <w:rFonts w:ascii="Garamond" w:hAnsi="Garamond" w:cs="Garamond" w:eastAsia="Garamond" w:hint="default"/>
                <w:sz w:val="18"/>
                <w:szCs w:val="18"/>
              </w:rPr>
            </w:pPr>
            <w:r>
              <w:rPr>
                <w:rFonts w:ascii="Garamond"/>
                <w:spacing w:val="-1"/>
                <w:sz w:val="18"/>
              </w:rPr>
              <w:t>5,642,999</w:t>
            </w:r>
          </w:p>
          <w:p>
            <w:pPr>
              <w:pStyle w:val="TableParagraph"/>
              <w:spacing w:line="240" w:lineRule="auto" w:before="109"/>
              <w:ind w:right="23"/>
              <w:jc w:val="right"/>
              <w:rPr>
                <w:rFonts w:ascii="Garamond" w:hAnsi="Garamond" w:cs="Garamond" w:eastAsia="Garamond" w:hint="default"/>
                <w:sz w:val="18"/>
                <w:szCs w:val="18"/>
              </w:rPr>
            </w:pPr>
            <w:r>
              <w:rPr>
                <w:rFonts w:ascii="Garamond"/>
                <w:spacing w:val="-1"/>
                <w:sz w:val="18"/>
              </w:rPr>
              <w:t>.99</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3" w:right="0"/>
              <w:jc w:val="left"/>
              <w:rPr>
                <w:rFonts w:ascii="Garamond" w:hAnsi="Garamond" w:cs="Garamond" w:eastAsia="Garamond" w:hint="default"/>
                <w:sz w:val="18"/>
                <w:szCs w:val="18"/>
              </w:rPr>
            </w:pPr>
            <w:r>
              <w:rPr>
                <w:rFonts w:ascii="Garamond"/>
                <w:sz w:val="18"/>
              </w:rPr>
              <w:t>310,045,9</w:t>
            </w:r>
          </w:p>
          <w:p>
            <w:pPr>
              <w:pStyle w:val="TableParagraph"/>
              <w:spacing w:line="240" w:lineRule="auto" w:before="109"/>
              <w:ind w:left="326" w:right="0"/>
              <w:jc w:val="left"/>
              <w:rPr>
                <w:rFonts w:ascii="Garamond" w:hAnsi="Garamond" w:cs="Garamond" w:eastAsia="Garamond" w:hint="default"/>
                <w:sz w:val="18"/>
                <w:szCs w:val="18"/>
              </w:rPr>
            </w:pPr>
            <w:r>
              <w:rPr>
                <w:rFonts w:ascii="Garamond"/>
                <w:sz w:val="18"/>
              </w:rPr>
              <w:t>14.59</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403,043,</w:t>
            </w:r>
          </w:p>
          <w:p>
            <w:pPr>
              <w:pStyle w:val="TableParagraph"/>
              <w:spacing w:line="240" w:lineRule="auto" w:before="105"/>
              <w:ind w:left="188" w:right="0"/>
              <w:jc w:val="center"/>
              <w:rPr>
                <w:rFonts w:ascii="Times New Roman" w:hAnsi="Times New Roman" w:cs="Times New Roman" w:eastAsia="Times New Roman" w:hint="default"/>
                <w:sz w:val="18"/>
                <w:szCs w:val="18"/>
              </w:rPr>
            </w:pPr>
            <w:r>
              <w:rPr>
                <w:rFonts w:ascii="Times New Roman"/>
                <w:sz w:val="18"/>
              </w:rPr>
              <w:t>289.78</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3" w:right="0"/>
              <w:jc w:val="left"/>
              <w:rPr>
                <w:rFonts w:ascii="Garamond" w:hAnsi="Garamond" w:cs="Garamond" w:eastAsia="Garamond" w:hint="default"/>
                <w:sz w:val="18"/>
                <w:szCs w:val="18"/>
              </w:rPr>
            </w:pPr>
            <w:r>
              <w:rPr>
                <w:rFonts w:ascii="Garamond"/>
                <w:sz w:val="18"/>
              </w:rPr>
              <w:t>94,258,24</w:t>
            </w:r>
          </w:p>
          <w:p>
            <w:pPr>
              <w:pStyle w:val="TableParagraph"/>
              <w:spacing w:line="240" w:lineRule="auto" w:before="109"/>
              <w:ind w:left="410" w:right="0"/>
              <w:jc w:val="left"/>
              <w:rPr>
                <w:rFonts w:ascii="Garamond" w:hAnsi="Garamond" w:cs="Garamond" w:eastAsia="Garamond" w:hint="default"/>
                <w:sz w:val="18"/>
                <w:szCs w:val="18"/>
              </w:rPr>
            </w:pPr>
            <w:r>
              <w:rPr>
                <w:rFonts w:ascii="Garamond"/>
                <w:sz w:val="18"/>
              </w:rPr>
              <w:t>3.13</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3" w:right="0"/>
              <w:jc w:val="left"/>
              <w:rPr>
                <w:rFonts w:ascii="Garamond" w:hAnsi="Garamond" w:cs="Garamond" w:eastAsia="Garamond" w:hint="default"/>
                <w:sz w:val="18"/>
                <w:szCs w:val="18"/>
              </w:rPr>
            </w:pPr>
            <w:r>
              <w:rPr>
                <w:rFonts w:ascii="Garamond"/>
                <w:sz w:val="18"/>
              </w:rPr>
              <w:t>497,301,5</w:t>
            </w:r>
          </w:p>
          <w:p>
            <w:pPr>
              <w:pStyle w:val="TableParagraph"/>
              <w:spacing w:line="240" w:lineRule="auto" w:before="109"/>
              <w:ind w:left="326" w:right="0"/>
              <w:jc w:val="left"/>
              <w:rPr>
                <w:rFonts w:ascii="Garamond" w:hAnsi="Garamond" w:cs="Garamond" w:eastAsia="Garamond" w:hint="default"/>
                <w:sz w:val="18"/>
                <w:szCs w:val="18"/>
              </w:rPr>
            </w:pPr>
            <w:r>
              <w:rPr>
                <w:rFonts w:ascii="Garamond"/>
                <w:sz w:val="18"/>
              </w:rPr>
              <w:t>32.91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5" w:right="0"/>
              <w:jc w:val="left"/>
              <w:rPr>
                <w:rFonts w:ascii="Garamond" w:hAnsi="Garamond" w:cs="Garamond" w:eastAsia="Garamond" w:hint="default"/>
                <w:sz w:val="18"/>
                <w:szCs w:val="18"/>
              </w:rPr>
            </w:pPr>
            <w:r>
              <w:rPr>
                <w:rFonts w:ascii="Garamond"/>
                <w:sz w:val="18"/>
              </w:rPr>
              <w:t>368,441,3</w:t>
            </w:r>
          </w:p>
          <w:p>
            <w:pPr>
              <w:pStyle w:val="TableParagraph"/>
              <w:spacing w:line="240" w:lineRule="auto" w:before="109"/>
              <w:ind w:left="328" w:right="0"/>
              <w:jc w:val="left"/>
              <w:rPr>
                <w:rFonts w:ascii="Garamond" w:hAnsi="Garamond" w:cs="Garamond" w:eastAsia="Garamond" w:hint="default"/>
                <w:sz w:val="18"/>
                <w:szCs w:val="18"/>
              </w:rPr>
            </w:pPr>
            <w:r>
              <w:rPr>
                <w:rFonts w:ascii="Garamond"/>
                <w:sz w:val="18"/>
              </w:rPr>
              <w:t>04.43</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3"/>
              <w:jc w:val="right"/>
              <w:rPr>
                <w:rFonts w:ascii="Garamond" w:hAnsi="Garamond" w:cs="Garamond" w:eastAsia="Garamond" w:hint="default"/>
                <w:sz w:val="18"/>
                <w:szCs w:val="18"/>
              </w:rPr>
            </w:pPr>
            <w:r>
              <w:rPr>
                <w:rFonts w:ascii="Garamond"/>
                <w:spacing w:val="-1"/>
                <w:sz w:val="18"/>
              </w:rPr>
              <w:t>7,053,749</w:t>
            </w:r>
          </w:p>
          <w:p>
            <w:pPr>
              <w:pStyle w:val="TableParagraph"/>
              <w:spacing w:line="240" w:lineRule="auto" w:before="109"/>
              <w:ind w:right="21"/>
              <w:jc w:val="right"/>
              <w:rPr>
                <w:rFonts w:ascii="Garamond" w:hAnsi="Garamond" w:cs="Garamond" w:eastAsia="Garamond" w:hint="default"/>
                <w:sz w:val="18"/>
                <w:szCs w:val="18"/>
              </w:rPr>
            </w:pPr>
            <w:r>
              <w:rPr>
                <w:rFonts w:ascii="Garamond"/>
                <w:spacing w:val="-1"/>
                <w:sz w:val="18"/>
              </w:rPr>
              <w:t>.99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3" w:right="0"/>
              <w:jc w:val="left"/>
              <w:rPr>
                <w:rFonts w:ascii="Garamond" w:hAnsi="Garamond" w:cs="Garamond" w:eastAsia="Garamond" w:hint="default"/>
                <w:sz w:val="18"/>
                <w:szCs w:val="18"/>
              </w:rPr>
            </w:pPr>
            <w:r>
              <w:rPr>
                <w:rFonts w:ascii="Garamond"/>
                <w:sz w:val="18"/>
              </w:rPr>
              <w:t>375,495,0</w:t>
            </w:r>
          </w:p>
          <w:p>
            <w:pPr>
              <w:pStyle w:val="TableParagraph"/>
              <w:spacing w:line="240" w:lineRule="auto" w:before="109"/>
              <w:ind w:left="326" w:right="0"/>
              <w:jc w:val="left"/>
              <w:rPr>
                <w:rFonts w:ascii="Garamond" w:hAnsi="Garamond" w:cs="Garamond" w:eastAsia="Garamond" w:hint="default"/>
                <w:sz w:val="18"/>
                <w:szCs w:val="18"/>
              </w:rPr>
            </w:pPr>
            <w:r>
              <w:rPr>
                <w:rFonts w:ascii="Garamond"/>
                <w:sz w:val="18"/>
              </w:rPr>
              <w:t>54.42</w:t>
            </w:r>
          </w:p>
        </w:tc>
      </w:tr>
      <w:tr>
        <w:trPr>
          <w:trHeight w:val="1652"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1"/>
              <w:jc w:val="both"/>
              <w:rPr>
                <w:rFonts w:ascii="宋体" w:hAnsi="宋体" w:cs="宋体" w:eastAsia="宋体" w:hint="default"/>
                <w:sz w:val="18"/>
                <w:szCs w:val="18"/>
              </w:rPr>
            </w:pPr>
            <w:r>
              <w:rPr>
                <w:rFonts w:ascii="宋体" w:hAnsi="宋体" w:cs="宋体" w:eastAsia="宋体" w:hint="default"/>
                <w:sz w:val="18"/>
                <w:szCs w:val="18"/>
              </w:rPr>
              <w:t>政通智 慧城市 运营科 技有限 公司</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Garamond" w:hAnsi="Garamond" w:cs="Garamond" w:eastAsia="Garamond" w:hint="default"/>
                <w:sz w:val="18"/>
                <w:szCs w:val="18"/>
              </w:rPr>
            </w:pPr>
            <w:r>
              <w:rPr>
                <w:rFonts w:ascii="Garamond"/>
                <w:sz w:val="18"/>
              </w:rPr>
              <w:t>40,913,80</w:t>
            </w:r>
          </w:p>
          <w:p>
            <w:pPr>
              <w:pStyle w:val="TableParagraph"/>
              <w:spacing w:line="240" w:lineRule="auto" w:before="109"/>
              <w:ind w:left="410" w:right="0"/>
              <w:jc w:val="left"/>
              <w:rPr>
                <w:rFonts w:ascii="Garamond" w:hAnsi="Garamond" w:cs="Garamond" w:eastAsia="Garamond" w:hint="default"/>
                <w:sz w:val="18"/>
                <w:szCs w:val="18"/>
              </w:rPr>
            </w:pPr>
            <w:r>
              <w:rPr>
                <w:rFonts w:ascii="Garamond"/>
                <w:sz w:val="18"/>
              </w:rPr>
              <w:t>1.00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24"/>
              <w:jc w:val="right"/>
              <w:rPr>
                <w:rFonts w:ascii="Garamond" w:hAnsi="Garamond" w:cs="Garamond" w:eastAsia="Garamond" w:hint="default"/>
                <w:sz w:val="18"/>
                <w:szCs w:val="18"/>
              </w:rPr>
            </w:pPr>
            <w:r>
              <w:rPr>
                <w:rFonts w:ascii="Garamond"/>
                <w:spacing w:val="-1"/>
                <w:sz w:val="18"/>
              </w:rPr>
              <w:t>4,775,091</w:t>
            </w:r>
          </w:p>
          <w:p>
            <w:pPr>
              <w:pStyle w:val="TableParagraph"/>
              <w:spacing w:line="240" w:lineRule="auto" w:before="109"/>
              <w:ind w:right="23"/>
              <w:jc w:val="right"/>
              <w:rPr>
                <w:rFonts w:ascii="Garamond" w:hAnsi="Garamond" w:cs="Garamond" w:eastAsia="Garamond" w:hint="default"/>
                <w:sz w:val="18"/>
                <w:szCs w:val="18"/>
              </w:rPr>
            </w:pPr>
            <w:r>
              <w:rPr>
                <w:rFonts w:ascii="Garamond"/>
                <w:spacing w:val="-1"/>
                <w:sz w:val="18"/>
              </w:rPr>
              <w:t>.04</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Garamond" w:hAnsi="Garamond" w:cs="Garamond" w:eastAsia="Garamond" w:hint="default"/>
                <w:sz w:val="18"/>
                <w:szCs w:val="18"/>
              </w:rPr>
            </w:pPr>
            <w:r>
              <w:rPr>
                <w:rFonts w:ascii="Garamond"/>
                <w:sz w:val="18"/>
              </w:rPr>
              <w:t>45,688,89</w:t>
            </w:r>
          </w:p>
          <w:p>
            <w:pPr>
              <w:pStyle w:val="TableParagraph"/>
              <w:spacing w:line="240" w:lineRule="auto" w:before="109"/>
              <w:ind w:left="410" w:right="0"/>
              <w:jc w:val="left"/>
              <w:rPr>
                <w:rFonts w:ascii="Garamond" w:hAnsi="Garamond" w:cs="Garamond" w:eastAsia="Garamond" w:hint="default"/>
                <w:sz w:val="18"/>
                <w:szCs w:val="18"/>
              </w:rPr>
            </w:pPr>
            <w:r>
              <w:rPr>
                <w:rFonts w:ascii="Garamond"/>
                <w:sz w:val="18"/>
              </w:rPr>
              <w:t>2.04</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Garamond" w:hAnsi="Garamond" w:cs="Garamond" w:eastAsia="Garamond" w:hint="default"/>
                <w:sz w:val="18"/>
                <w:szCs w:val="18"/>
              </w:rPr>
            </w:pPr>
            <w:r>
              <w:rPr>
                <w:rFonts w:ascii="Garamond"/>
                <w:sz w:val="18"/>
              </w:rPr>
              <w:t>24,644,43</w:t>
            </w:r>
          </w:p>
          <w:p>
            <w:pPr>
              <w:pStyle w:val="TableParagraph"/>
              <w:spacing w:line="240" w:lineRule="auto" w:before="109"/>
              <w:ind w:left="410" w:right="0"/>
              <w:jc w:val="left"/>
              <w:rPr>
                <w:rFonts w:ascii="Garamond" w:hAnsi="Garamond" w:cs="Garamond" w:eastAsia="Garamond" w:hint="default"/>
                <w:sz w:val="18"/>
                <w:szCs w:val="18"/>
              </w:rPr>
            </w:pPr>
            <w:r>
              <w:rPr>
                <w:rFonts w:ascii="Garamond"/>
                <w:sz w:val="18"/>
              </w:rPr>
              <w:t>8.37</w:t>
            </w: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Garamond" w:hAnsi="Garamond" w:cs="Garamond" w:eastAsia="Garamond" w:hint="default"/>
                <w:sz w:val="18"/>
                <w:szCs w:val="18"/>
              </w:rPr>
            </w:pPr>
            <w:r>
              <w:rPr>
                <w:rFonts w:ascii="Garamond"/>
                <w:sz w:val="18"/>
              </w:rPr>
              <w:t>24,644,43</w:t>
            </w:r>
          </w:p>
          <w:p>
            <w:pPr>
              <w:pStyle w:val="TableParagraph"/>
              <w:spacing w:line="240" w:lineRule="auto" w:before="109"/>
              <w:ind w:left="410" w:right="0"/>
              <w:jc w:val="left"/>
              <w:rPr>
                <w:rFonts w:ascii="Garamond" w:hAnsi="Garamond" w:cs="Garamond" w:eastAsia="Garamond" w:hint="default"/>
                <w:sz w:val="18"/>
                <w:szCs w:val="18"/>
              </w:rPr>
            </w:pPr>
            <w:r>
              <w:rPr>
                <w:rFonts w:ascii="Garamond"/>
                <w:sz w:val="18"/>
              </w:rPr>
              <w:t>8.37</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Garamond" w:hAnsi="Garamond" w:cs="Garamond" w:eastAsia="Garamond" w:hint="default"/>
                <w:sz w:val="18"/>
                <w:szCs w:val="18"/>
              </w:rPr>
            </w:pPr>
            <w:r>
              <w:rPr>
                <w:rFonts w:ascii="Garamond"/>
                <w:sz w:val="18"/>
              </w:rPr>
              <w:t>37,804,63</w:t>
            </w:r>
          </w:p>
          <w:p>
            <w:pPr>
              <w:pStyle w:val="TableParagraph"/>
              <w:spacing w:line="240" w:lineRule="auto" w:before="109"/>
              <w:ind w:left="410" w:right="0"/>
              <w:jc w:val="left"/>
              <w:rPr>
                <w:rFonts w:ascii="Garamond" w:hAnsi="Garamond" w:cs="Garamond" w:eastAsia="Garamond" w:hint="default"/>
                <w:sz w:val="18"/>
                <w:szCs w:val="18"/>
              </w:rPr>
            </w:pPr>
            <w:r>
              <w:rPr>
                <w:rFonts w:ascii="Garamond"/>
                <w:sz w:val="18"/>
              </w:rPr>
              <w:t>0.68</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23"/>
              <w:jc w:val="right"/>
              <w:rPr>
                <w:rFonts w:ascii="Garamond" w:hAnsi="Garamond" w:cs="Garamond" w:eastAsia="Garamond" w:hint="default"/>
                <w:sz w:val="18"/>
                <w:szCs w:val="18"/>
              </w:rPr>
            </w:pPr>
            <w:r>
              <w:rPr>
                <w:rFonts w:ascii="Garamond"/>
                <w:spacing w:val="-1"/>
                <w:sz w:val="18"/>
              </w:rPr>
              <w:t>3,159,047</w:t>
            </w:r>
          </w:p>
          <w:p>
            <w:pPr>
              <w:pStyle w:val="TableParagraph"/>
              <w:spacing w:line="240" w:lineRule="auto" w:before="109"/>
              <w:ind w:right="21"/>
              <w:jc w:val="right"/>
              <w:rPr>
                <w:rFonts w:ascii="Garamond" w:hAnsi="Garamond" w:cs="Garamond" w:eastAsia="Garamond" w:hint="default"/>
                <w:sz w:val="18"/>
                <w:szCs w:val="18"/>
              </w:rPr>
            </w:pPr>
            <w:r>
              <w:rPr>
                <w:rFonts w:ascii="Garamond"/>
                <w:spacing w:val="-1"/>
                <w:sz w:val="18"/>
              </w:rPr>
              <w:t>.01</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Garamond" w:hAnsi="Garamond" w:cs="Garamond" w:eastAsia="Garamond" w:hint="default"/>
                <w:sz w:val="18"/>
                <w:szCs w:val="18"/>
              </w:rPr>
            </w:pPr>
            <w:r>
              <w:rPr>
                <w:rFonts w:ascii="Garamond"/>
                <w:sz w:val="18"/>
              </w:rPr>
              <w:t>40,963,67</w:t>
            </w:r>
          </w:p>
          <w:p>
            <w:pPr>
              <w:pStyle w:val="TableParagraph"/>
              <w:spacing w:line="240" w:lineRule="auto" w:before="109"/>
              <w:ind w:left="410" w:right="0"/>
              <w:jc w:val="left"/>
              <w:rPr>
                <w:rFonts w:ascii="Garamond" w:hAnsi="Garamond" w:cs="Garamond" w:eastAsia="Garamond" w:hint="default"/>
                <w:sz w:val="18"/>
                <w:szCs w:val="18"/>
              </w:rPr>
            </w:pPr>
            <w:r>
              <w:rPr>
                <w:rFonts w:ascii="Garamond"/>
                <w:sz w:val="18"/>
              </w:rPr>
              <w:t>7.69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5" w:right="0"/>
              <w:jc w:val="left"/>
              <w:rPr>
                <w:rFonts w:ascii="Garamond" w:hAnsi="Garamond" w:cs="Garamond" w:eastAsia="Garamond" w:hint="default"/>
                <w:sz w:val="18"/>
                <w:szCs w:val="18"/>
              </w:rPr>
            </w:pPr>
            <w:r>
              <w:rPr>
                <w:rFonts w:ascii="Garamond"/>
                <w:sz w:val="18"/>
              </w:rPr>
              <w:t>19,970,19</w:t>
            </w:r>
          </w:p>
          <w:p>
            <w:pPr>
              <w:pStyle w:val="TableParagraph"/>
              <w:spacing w:line="240" w:lineRule="auto" w:before="109"/>
              <w:ind w:left="413" w:right="0"/>
              <w:jc w:val="left"/>
              <w:rPr>
                <w:rFonts w:ascii="Garamond" w:hAnsi="Garamond" w:cs="Garamond" w:eastAsia="Garamond" w:hint="default"/>
                <w:sz w:val="18"/>
                <w:szCs w:val="18"/>
              </w:rPr>
            </w:pPr>
            <w:r>
              <w:rPr>
                <w:rFonts w:ascii="Garamond"/>
                <w:sz w:val="18"/>
              </w:rPr>
              <w:t>4.94</w:t>
            </w: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Garamond" w:hAnsi="Garamond" w:cs="Garamond" w:eastAsia="Garamond" w:hint="default"/>
                <w:sz w:val="18"/>
                <w:szCs w:val="18"/>
              </w:rPr>
            </w:pPr>
            <w:r>
              <w:rPr>
                <w:rFonts w:ascii="Garamond"/>
                <w:sz w:val="18"/>
              </w:rPr>
              <w:t>19,970,19</w:t>
            </w:r>
          </w:p>
          <w:p>
            <w:pPr>
              <w:pStyle w:val="TableParagraph"/>
              <w:spacing w:line="240" w:lineRule="auto" w:before="109"/>
              <w:ind w:left="410" w:right="0"/>
              <w:jc w:val="left"/>
              <w:rPr>
                <w:rFonts w:ascii="Garamond" w:hAnsi="Garamond" w:cs="Garamond" w:eastAsia="Garamond" w:hint="default"/>
                <w:sz w:val="18"/>
                <w:szCs w:val="18"/>
              </w:rPr>
            </w:pPr>
            <w:r>
              <w:rPr>
                <w:rFonts w:ascii="Garamond"/>
                <w:sz w:val="18"/>
              </w:rPr>
              <w:t>4.94</w:t>
            </w:r>
          </w:p>
        </w:tc>
      </w:tr>
      <w:tr>
        <w:trPr>
          <w:trHeight w:val="1961" w:hRule="exact"/>
        </w:trPr>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1"/>
              <w:jc w:val="both"/>
              <w:rPr>
                <w:rFonts w:ascii="宋体" w:hAnsi="宋体" w:cs="宋体" w:eastAsia="宋体" w:hint="default"/>
                <w:sz w:val="18"/>
                <w:szCs w:val="18"/>
              </w:rPr>
            </w:pPr>
            <w:r>
              <w:rPr>
                <w:rFonts w:ascii="宋体" w:hAnsi="宋体" w:cs="宋体" w:eastAsia="宋体" w:hint="default"/>
                <w:sz w:val="18"/>
                <w:szCs w:val="18"/>
              </w:rPr>
              <w:t>焦作市 市民健 康促进 服务有 限责任 公司</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Garamond" w:hAnsi="Garamond" w:cs="Garamond" w:eastAsia="Garamond" w:hint="default"/>
                <w:sz w:val="18"/>
                <w:szCs w:val="18"/>
              </w:rPr>
            </w:pPr>
            <w:r>
              <w:rPr>
                <w:rFonts w:ascii="Garamond"/>
                <w:spacing w:val="-1"/>
                <w:sz w:val="18"/>
              </w:rPr>
              <w:t>4,125,789</w:t>
            </w:r>
          </w:p>
          <w:p>
            <w:pPr>
              <w:pStyle w:val="TableParagraph"/>
              <w:spacing w:line="240" w:lineRule="auto" w:before="109"/>
              <w:ind w:right="21"/>
              <w:jc w:val="right"/>
              <w:rPr>
                <w:rFonts w:ascii="Garamond" w:hAnsi="Garamond" w:cs="Garamond" w:eastAsia="Garamond" w:hint="default"/>
                <w:sz w:val="18"/>
                <w:szCs w:val="18"/>
              </w:rPr>
            </w:pPr>
            <w:r>
              <w:rPr>
                <w:rFonts w:ascii="Garamond"/>
                <w:spacing w:val="-1"/>
                <w:sz w:val="18"/>
              </w:rPr>
              <w:t>.17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4"/>
              <w:jc w:val="right"/>
              <w:rPr>
                <w:rFonts w:ascii="Garamond" w:hAnsi="Garamond" w:cs="Garamond" w:eastAsia="Garamond" w:hint="default"/>
                <w:sz w:val="18"/>
                <w:szCs w:val="18"/>
              </w:rPr>
            </w:pPr>
            <w:r>
              <w:rPr>
                <w:rFonts w:ascii="Garamond"/>
                <w:spacing w:val="-1"/>
                <w:sz w:val="18"/>
              </w:rPr>
              <w:t>5,307,436</w:t>
            </w:r>
          </w:p>
          <w:p>
            <w:pPr>
              <w:pStyle w:val="TableParagraph"/>
              <w:spacing w:line="240" w:lineRule="auto" w:before="109"/>
              <w:ind w:right="23"/>
              <w:jc w:val="right"/>
              <w:rPr>
                <w:rFonts w:ascii="Garamond" w:hAnsi="Garamond" w:cs="Garamond" w:eastAsia="Garamond" w:hint="default"/>
                <w:sz w:val="18"/>
                <w:szCs w:val="18"/>
              </w:rPr>
            </w:pPr>
            <w:r>
              <w:rPr>
                <w:rFonts w:ascii="Garamond"/>
                <w:spacing w:val="-1"/>
                <w:sz w:val="18"/>
              </w:rPr>
              <w:t>.39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6"/>
              <w:jc w:val="right"/>
              <w:rPr>
                <w:rFonts w:ascii="Garamond" w:hAnsi="Garamond" w:cs="Garamond" w:eastAsia="Garamond" w:hint="default"/>
                <w:sz w:val="18"/>
                <w:szCs w:val="18"/>
              </w:rPr>
            </w:pPr>
            <w:r>
              <w:rPr>
                <w:rFonts w:ascii="Garamond"/>
                <w:spacing w:val="-1"/>
                <w:sz w:val="18"/>
              </w:rPr>
              <w:t>9,433,225</w:t>
            </w:r>
          </w:p>
          <w:p>
            <w:pPr>
              <w:pStyle w:val="TableParagraph"/>
              <w:spacing w:line="240" w:lineRule="auto" w:before="109"/>
              <w:ind w:right="23"/>
              <w:jc w:val="right"/>
              <w:rPr>
                <w:rFonts w:ascii="Garamond" w:hAnsi="Garamond" w:cs="Garamond" w:eastAsia="Garamond" w:hint="default"/>
                <w:sz w:val="18"/>
                <w:szCs w:val="18"/>
              </w:rPr>
            </w:pPr>
            <w:r>
              <w:rPr>
                <w:rFonts w:ascii="Garamond"/>
                <w:spacing w:val="-1"/>
                <w:sz w:val="18"/>
              </w:rPr>
              <w:t>.56</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Garamond" w:hAnsi="Garamond" w:cs="Garamond" w:eastAsia="Garamond" w:hint="default"/>
                <w:sz w:val="18"/>
                <w:szCs w:val="18"/>
              </w:rPr>
            </w:pPr>
            <w:r>
              <w:rPr>
                <w:rFonts w:ascii="Garamond"/>
                <w:spacing w:val="-1"/>
                <w:sz w:val="18"/>
              </w:rPr>
              <w:t>176,009.5</w:t>
            </w:r>
          </w:p>
          <w:p>
            <w:pPr>
              <w:pStyle w:val="TableParagraph"/>
              <w:spacing w:line="240" w:lineRule="auto" w:before="109"/>
              <w:ind w:right="19"/>
              <w:jc w:val="right"/>
              <w:rPr>
                <w:rFonts w:ascii="Garamond" w:hAnsi="Garamond" w:cs="Garamond" w:eastAsia="Garamond" w:hint="default"/>
                <w:sz w:val="18"/>
                <w:szCs w:val="18"/>
              </w:rPr>
            </w:pPr>
            <w:r>
              <w:rPr>
                <w:rFonts w:ascii="Garamond"/>
                <w:sz w:val="18"/>
              </w:rPr>
              <w:t>2</w:t>
            </w: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Garamond" w:hAnsi="Garamond" w:cs="Garamond" w:eastAsia="Garamond" w:hint="default"/>
                <w:sz w:val="18"/>
                <w:szCs w:val="18"/>
              </w:rPr>
            </w:pPr>
            <w:r>
              <w:rPr>
                <w:rFonts w:ascii="Garamond"/>
                <w:spacing w:val="-1"/>
                <w:sz w:val="18"/>
              </w:rPr>
              <w:t>176,009.5</w:t>
            </w:r>
          </w:p>
          <w:p>
            <w:pPr>
              <w:pStyle w:val="TableParagraph"/>
              <w:spacing w:line="240" w:lineRule="auto" w:before="109"/>
              <w:ind w:right="19"/>
              <w:jc w:val="right"/>
              <w:rPr>
                <w:rFonts w:ascii="Garamond" w:hAnsi="Garamond" w:cs="Garamond" w:eastAsia="Garamond" w:hint="default"/>
                <w:sz w:val="18"/>
                <w:szCs w:val="18"/>
              </w:rPr>
            </w:pPr>
            <w:r>
              <w:rPr>
                <w:rFonts w:ascii="Garamond"/>
                <w:sz w:val="18"/>
              </w:rPr>
              <w:t>2</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Garamond" w:hAnsi="Garamond" w:cs="Garamond" w:eastAsia="Garamond" w:hint="default"/>
                <w:sz w:val="18"/>
                <w:szCs w:val="18"/>
              </w:rPr>
            </w:pPr>
            <w:r>
              <w:rPr>
                <w:rFonts w:ascii="Garamond"/>
                <w:spacing w:val="-1"/>
                <w:sz w:val="18"/>
              </w:rPr>
              <w:t>4,325,195</w:t>
            </w:r>
          </w:p>
          <w:p>
            <w:pPr>
              <w:pStyle w:val="TableParagraph"/>
              <w:spacing w:line="240" w:lineRule="auto" w:before="109"/>
              <w:ind w:right="21"/>
              <w:jc w:val="right"/>
              <w:rPr>
                <w:rFonts w:ascii="Garamond" w:hAnsi="Garamond" w:cs="Garamond" w:eastAsia="Garamond" w:hint="default"/>
                <w:sz w:val="18"/>
                <w:szCs w:val="18"/>
              </w:rPr>
            </w:pPr>
            <w:r>
              <w:rPr>
                <w:rFonts w:ascii="Garamond"/>
                <w:spacing w:val="-1"/>
                <w:sz w:val="18"/>
              </w:rPr>
              <w:t>.07</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Garamond" w:hAnsi="Garamond" w:cs="Garamond" w:eastAsia="Garamond" w:hint="default"/>
                <w:sz w:val="18"/>
                <w:szCs w:val="18"/>
              </w:rPr>
            </w:pPr>
            <w:r>
              <w:rPr>
                <w:rFonts w:ascii="Garamond"/>
                <w:spacing w:val="-1"/>
                <w:sz w:val="18"/>
              </w:rPr>
              <w:t>5,630,494</w:t>
            </w:r>
          </w:p>
          <w:p>
            <w:pPr>
              <w:pStyle w:val="TableParagraph"/>
              <w:spacing w:line="240" w:lineRule="auto" w:before="109"/>
              <w:ind w:right="21"/>
              <w:jc w:val="right"/>
              <w:rPr>
                <w:rFonts w:ascii="Garamond" w:hAnsi="Garamond" w:cs="Garamond" w:eastAsia="Garamond" w:hint="default"/>
                <w:sz w:val="18"/>
                <w:szCs w:val="18"/>
              </w:rPr>
            </w:pPr>
            <w:r>
              <w:rPr>
                <w:rFonts w:ascii="Garamond"/>
                <w:spacing w:val="-1"/>
                <w:sz w:val="18"/>
              </w:rPr>
              <w:t>.32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4"/>
              <w:jc w:val="right"/>
              <w:rPr>
                <w:rFonts w:ascii="Garamond" w:hAnsi="Garamond" w:cs="Garamond" w:eastAsia="Garamond" w:hint="default"/>
                <w:sz w:val="18"/>
                <w:szCs w:val="18"/>
              </w:rPr>
            </w:pPr>
            <w:r>
              <w:rPr>
                <w:rFonts w:ascii="Garamond"/>
                <w:spacing w:val="-1"/>
                <w:sz w:val="18"/>
              </w:rPr>
              <w:t>9,955,689</w:t>
            </w:r>
          </w:p>
          <w:p>
            <w:pPr>
              <w:pStyle w:val="TableParagraph"/>
              <w:spacing w:line="240" w:lineRule="auto" w:before="109"/>
              <w:ind w:right="23"/>
              <w:jc w:val="right"/>
              <w:rPr>
                <w:rFonts w:ascii="Garamond" w:hAnsi="Garamond" w:cs="Garamond" w:eastAsia="Garamond" w:hint="default"/>
                <w:sz w:val="18"/>
                <w:szCs w:val="18"/>
              </w:rPr>
            </w:pPr>
            <w:r>
              <w:rPr>
                <w:rFonts w:ascii="Garamond"/>
                <w:spacing w:val="-1"/>
                <w:sz w:val="18"/>
              </w:rPr>
              <w:t>.39</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Garamond" w:hAnsi="Garamond" w:cs="Garamond" w:eastAsia="Garamond" w:hint="default"/>
                <w:sz w:val="18"/>
                <w:szCs w:val="18"/>
              </w:rPr>
            </w:pPr>
            <w:r>
              <w:rPr>
                <w:rFonts w:ascii="Garamond"/>
                <w:spacing w:val="-1"/>
                <w:sz w:val="18"/>
              </w:rPr>
              <w:t>795,631.9</w:t>
            </w:r>
          </w:p>
          <w:p>
            <w:pPr>
              <w:pStyle w:val="TableParagraph"/>
              <w:spacing w:line="240" w:lineRule="auto" w:before="109"/>
              <w:ind w:right="19"/>
              <w:jc w:val="right"/>
              <w:rPr>
                <w:rFonts w:ascii="Garamond" w:hAnsi="Garamond" w:cs="Garamond" w:eastAsia="Garamond" w:hint="default"/>
                <w:sz w:val="18"/>
                <w:szCs w:val="18"/>
              </w:rPr>
            </w:pPr>
            <w:r>
              <w:rPr>
                <w:rFonts w:ascii="Garamond"/>
                <w:sz w:val="18"/>
              </w:rPr>
              <w:t>4</w:t>
            </w: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4"/>
              <w:jc w:val="right"/>
              <w:rPr>
                <w:rFonts w:ascii="Garamond" w:hAnsi="Garamond" w:cs="Garamond" w:eastAsia="Garamond" w:hint="default"/>
                <w:sz w:val="18"/>
                <w:szCs w:val="18"/>
              </w:rPr>
            </w:pPr>
            <w:r>
              <w:rPr>
                <w:rFonts w:ascii="Garamond"/>
                <w:spacing w:val="-1"/>
                <w:sz w:val="18"/>
              </w:rPr>
              <w:t>795,631.9</w:t>
            </w:r>
          </w:p>
          <w:p>
            <w:pPr>
              <w:pStyle w:val="TableParagraph"/>
              <w:spacing w:line="240" w:lineRule="auto" w:before="109"/>
              <w:ind w:right="21"/>
              <w:jc w:val="right"/>
              <w:rPr>
                <w:rFonts w:ascii="Garamond" w:hAnsi="Garamond" w:cs="Garamond" w:eastAsia="Garamond" w:hint="default"/>
                <w:sz w:val="18"/>
                <w:szCs w:val="18"/>
              </w:rPr>
            </w:pPr>
            <w:r>
              <w:rPr>
                <w:rFonts w:ascii="Garamond"/>
                <w:sz w:val="18"/>
              </w:rPr>
              <w:t>4</w:t>
            </w:r>
          </w:p>
        </w:tc>
      </w:tr>
    </w:tbl>
    <w:p>
      <w:pPr>
        <w:spacing w:before="49"/>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tbl>
      <w:tblPr>
        <w:tblW w:w="0" w:type="auto"/>
        <w:jc w:val="left"/>
        <w:tblInd w:w="149" w:type="dxa"/>
        <w:tblLayout w:type="fixed"/>
        <w:tblCellMar>
          <w:top w:w="0" w:type="dxa"/>
          <w:left w:w="0" w:type="dxa"/>
          <w:bottom w:w="0" w:type="dxa"/>
          <w:right w:w="0" w:type="dxa"/>
        </w:tblCellMar>
        <w:tblLook w:val="01E0"/>
      </w:tblPr>
      <w:tblGrid>
        <w:gridCol w:w="1060"/>
        <w:gridCol w:w="1061"/>
        <w:gridCol w:w="1064"/>
        <w:gridCol w:w="1063"/>
        <w:gridCol w:w="1066"/>
        <w:gridCol w:w="1063"/>
        <w:gridCol w:w="1063"/>
        <w:gridCol w:w="1064"/>
        <w:gridCol w:w="1055"/>
      </w:tblGrid>
      <w:tr>
        <w:trPr>
          <w:trHeight w:val="402" w:hRule="exact"/>
        </w:trPr>
        <w:tc>
          <w:tcPr>
            <w:tcW w:w="10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left="75"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25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4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060"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6" w:right="74"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9" w:right="75"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7" w:right="75" w:hanging="361"/>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9" w:right="65"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r>
    </w:tbl>
    <w:p>
      <w:pPr>
        <w:spacing w:after="0" w:line="316" w:lineRule="auto"/>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061"/>
        <w:gridCol w:w="1061"/>
        <w:gridCol w:w="1064"/>
        <w:gridCol w:w="1063"/>
        <w:gridCol w:w="1066"/>
        <w:gridCol w:w="1063"/>
        <w:gridCol w:w="1063"/>
        <w:gridCol w:w="1064"/>
        <w:gridCol w:w="1066"/>
      </w:tblGrid>
      <w:tr>
        <w:trPr>
          <w:trHeight w:val="1025"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5"/>
              <w:jc w:val="both"/>
              <w:rPr>
                <w:rFonts w:ascii="宋体" w:hAnsi="宋体" w:cs="宋体" w:eastAsia="宋体" w:hint="default"/>
                <w:sz w:val="18"/>
                <w:szCs w:val="18"/>
              </w:rPr>
            </w:pPr>
            <w:r>
              <w:rPr>
                <w:rFonts w:ascii="宋体" w:hAnsi="宋体" w:cs="宋体" w:eastAsia="宋体" w:hint="default"/>
                <w:sz w:val="18"/>
                <w:szCs w:val="18"/>
              </w:rPr>
              <w:t>北京数字智 通科技有限 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74,429,982.4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6"/>
              <w:jc w:val="right"/>
              <w:rPr>
                <w:rFonts w:ascii="Garamond" w:hAnsi="Garamond" w:cs="Garamond" w:eastAsia="Garamond" w:hint="default"/>
                <w:sz w:val="18"/>
                <w:szCs w:val="18"/>
              </w:rPr>
            </w:pPr>
            <w:r>
              <w:rPr>
                <w:rFonts w:ascii="Garamond"/>
                <w:spacing w:val="-1"/>
                <w:sz w:val="18"/>
              </w:rPr>
              <w:t>-51,484,574.0</w:t>
            </w:r>
          </w:p>
          <w:p>
            <w:pPr>
              <w:pStyle w:val="TableParagraph"/>
              <w:spacing w:line="240" w:lineRule="auto" w:before="109"/>
              <w:ind w:right="21"/>
              <w:jc w:val="right"/>
              <w:rPr>
                <w:rFonts w:ascii="Garamond" w:hAnsi="Garamond" w:cs="Garamond" w:eastAsia="Garamond" w:hint="default"/>
                <w:sz w:val="18"/>
                <w:szCs w:val="18"/>
              </w:rPr>
            </w:pPr>
            <w:r>
              <w:rPr>
                <w:rFonts w:ascii="Garamond"/>
                <w:sz w:val="18"/>
              </w:rPr>
              <w:t>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3"/>
              <w:jc w:val="right"/>
              <w:rPr>
                <w:rFonts w:ascii="Garamond" w:hAnsi="Garamond" w:cs="Garamond" w:eastAsia="Garamond" w:hint="default"/>
                <w:sz w:val="18"/>
                <w:szCs w:val="18"/>
              </w:rPr>
            </w:pPr>
            <w:r>
              <w:rPr>
                <w:rFonts w:ascii="Garamond"/>
                <w:spacing w:val="-1"/>
                <w:sz w:val="18"/>
              </w:rPr>
              <w:t>-51,484,574.0</w:t>
            </w:r>
          </w:p>
          <w:p>
            <w:pPr>
              <w:pStyle w:val="TableParagraph"/>
              <w:spacing w:line="240" w:lineRule="auto" w:before="109"/>
              <w:ind w:right="19"/>
              <w:jc w:val="right"/>
              <w:rPr>
                <w:rFonts w:ascii="Garamond" w:hAnsi="Garamond" w:cs="Garamond" w:eastAsia="Garamond" w:hint="default"/>
                <w:sz w:val="18"/>
                <w:szCs w:val="18"/>
              </w:rPr>
            </w:pPr>
            <w:r>
              <w:rPr>
                <w:rFonts w:ascii="Garamond"/>
                <w:sz w:val="18"/>
              </w:rPr>
              <w:t>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-901,308.08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151,458,657.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2"/>
              <w:jc w:val="right"/>
              <w:rPr>
                <w:rFonts w:ascii="Garamond" w:hAnsi="Garamond" w:cs="Garamond" w:eastAsia="Garamond" w:hint="default"/>
                <w:sz w:val="18"/>
                <w:szCs w:val="18"/>
              </w:rPr>
            </w:pPr>
            <w:r>
              <w:rPr>
                <w:rFonts w:ascii="Garamond"/>
                <w:spacing w:val="-1"/>
                <w:sz w:val="18"/>
              </w:rPr>
              <w:t>2,729,262.13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2"/>
              <w:jc w:val="right"/>
              <w:rPr>
                <w:rFonts w:ascii="Garamond" w:hAnsi="Garamond" w:cs="Garamond" w:eastAsia="Garamond" w:hint="default"/>
                <w:sz w:val="18"/>
                <w:szCs w:val="18"/>
              </w:rPr>
            </w:pPr>
            <w:r>
              <w:rPr>
                <w:rFonts w:ascii="Garamond"/>
                <w:spacing w:val="-1"/>
                <w:sz w:val="18"/>
              </w:rPr>
              <w:t>2,729,262.13</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80,983,365.1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r>
      <w:tr>
        <w:trPr>
          <w:trHeight w:val="1027"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25"/>
              <w:jc w:val="both"/>
              <w:rPr>
                <w:rFonts w:ascii="宋体" w:hAnsi="宋体" w:cs="宋体" w:eastAsia="宋体" w:hint="default"/>
                <w:sz w:val="18"/>
                <w:szCs w:val="18"/>
              </w:rPr>
            </w:pPr>
            <w:r>
              <w:rPr>
                <w:rFonts w:ascii="宋体" w:hAnsi="宋体" w:cs="宋体" w:eastAsia="宋体" w:hint="default"/>
                <w:sz w:val="18"/>
                <w:szCs w:val="18"/>
              </w:rPr>
              <w:t>政通智慧城 市运营科技 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2"/>
              <w:jc w:val="right"/>
              <w:rPr>
                <w:rFonts w:ascii="Garamond" w:hAnsi="Garamond" w:cs="Garamond" w:eastAsia="Garamond" w:hint="default"/>
                <w:sz w:val="18"/>
                <w:szCs w:val="18"/>
              </w:rPr>
            </w:pPr>
            <w:r>
              <w:rPr>
                <w:rFonts w:ascii="Garamond"/>
                <w:spacing w:val="-1"/>
                <w:sz w:val="18"/>
              </w:rPr>
              <w:t>259,946,443.1</w:t>
            </w:r>
          </w:p>
          <w:p>
            <w:pPr>
              <w:pStyle w:val="TableParagraph"/>
              <w:spacing w:line="240" w:lineRule="auto" w:before="107"/>
              <w:ind w:right="19"/>
              <w:jc w:val="right"/>
              <w:rPr>
                <w:rFonts w:ascii="Garamond" w:hAnsi="Garamond" w:cs="Garamond" w:eastAsia="Garamond" w:hint="default"/>
                <w:sz w:val="18"/>
                <w:szCs w:val="18"/>
              </w:rPr>
            </w:pPr>
            <w:r>
              <w:rPr>
                <w:rFonts w:ascii="Garamond"/>
                <w:sz w:val="18"/>
              </w:rPr>
              <w:t>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4"/>
              <w:jc w:val="right"/>
              <w:rPr>
                <w:rFonts w:ascii="Garamond" w:hAnsi="Garamond" w:cs="Garamond" w:eastAsia="Garamond" w:hint="default"/>
                <w:sz w:val="18"/>
                <w:szCs w:val="18"/>
              </w:rPr>
            </w:pPr>
            <w:r>
              <w:rPr>
                <w:rFonts w:ascii="Garamond"/>
                <w:spacing w:val="-1"/>
                <w:sz w:val="18"/>
              </w:rPr>
              <w:t>50,970.92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Garamond" w:hAnsi="Garamond" w:cs="Garamond" w:eastAsia="Garamond" w:hint="default"/>
                <w:sz w:val="18"/>
                <w:szCs w:val="18"/>
              </w:rPr>
            </w:pPr>
            <w:r>
              <w:rPr>
                <w:rFonts w:ascii="Garamond"/>
                <w:spacing w:val="-1"/>
                <w:sz w:val="18"/>
              </w:rPr>
              <w:t>50,970.92</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2"/>
              <w:jc w:val="right"/>
              <w:rPr>
                <w:rFonts w:ascii="Garamond" w:hAnsi="Garamond" w:cs="Garamond" w:eastAsia="Garamond" w:hint="default"/>
                <w:sz w:val="18"/>
                <w:szCs w:val="18"/>
              </w:rPr>
            </w:pPr>
            <w:r>
              <w:rPr>
                <w:rFonts w:ascii="Garamond"/>
                <w:spacing w:val="-1"/>
                <w:sz w:val="18"/>
              </w:rPr>
              <w:t>4,000,226.79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2"/>
              <w:jc w:val="right"/>
              <w:rPr>
                <w:rFonts w:ascii="Garamond" w:hAnsi="Garamond" w:cs="Garamond" w:eastAsia="Garamond" w:hint="default"/>
                <w:sz w:val="18"/>
                <w:szCs w:val="18"/>
              </w:rPr>
            </w:pPr>
            <w:r>
              <w:rPr>
                <w:rFonts w:ascii="Garamond"/>
                <w:spacing w:val="-1"/>
                <w:sz w:val="18"/>
              </w:rPr>
              <w:t>208,472,524.4</w:t>
            </w:r>
          </w:p>
          <w:p>
            <w:pPr>
              <w:pStyle w:val="TableParagraph"/>
              <w:spacing w:line="240" w:lineRule="auto" w:before="107"/>
              <w:ind w:right="19"/>
              <w:jc w:val="right"/>
              <w:rPr>
                <w:rFonts w:ascii="Garamond" w:hAnsi="Garamond" w:cs="Garamond" w:eastAsia="Garamond" w:hint="default"/>
                <w:sz w:val="18"/>
                <w:szCs w:val="18"/>
              </w:rPr>
            </w:pPr>
            <w:r>
              <w:rPr>
                <w:rFonts w:ascii="Garamond"/>
                <w:sz w:val="18"/>
              </w:rPr>
              <w:t>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Garamond" w:hAnsi="Garamond" w:cs="Garamond" w:eastAsia="Garamond" w:hint="default"/>
                <w:sz w:val="18"/>
                <w:szCs w:val="18"/>
              </w:rPr>
            </w:pPr>
            <w:r>
              <w:rPr>
                <w:rFonts w:ascii="Garamond"/>
                <w:spacing w:val="-1"/>
                <w:sz w:val="18"/>
              </w:rPr>
              <w:t>94,775.69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1"/>
              <w:jc w:val="right"/>
              <w:rPr>
                <w:rFonts w:ascii="Garamond" w:hAnsi="Garamond" w:cs="Garamond" w:eastAsia="Garamond" w:hint="default"/>
                <w:sz w:val="18"/>
                <w:szCs w:val="18"/>
              </w:rPr>
            </w:pPr>
            <w:r>
              <w:rPr>
                <w:rFonts w:ascii="Garamond"/>
                <w:spacing w:val="-1"/>
                <w:sz w:val="18"/>
              </w:rPr>
              <w:t>94,775.69</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2"/>
              <w:jc w:val="right"/>
              <w:rPr>
                <w:rFonts w:ascii="Garamond" w:hAnsi="Garamond" w:cs="Garamond" w:eastAsia="Garamond" w:hint="default"/>
                <w:sz w:val="18"/>
                <w:szCs w:val="18"/>
              </w:rPr>
            </w:pPr>
            <w:r>
              <w:rPr>
                <w:rFonts w:ascii="Garamond"/>
                <w:spacing w:val="-1"/>
                <w:sz w:val="18"/>
              </w:rPr>
              <w:t>3,470,064.68</w:t>
            </w:r>
          </w:p>
        </w:tc>
      </w:tr>
      <w:tr>
        <w:trPr>
          <w:trHeight w:val="1339"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25"/>
              <w:jc w:val="both"/>
              <w:rPr>
                <w:rFonts w:ascii="宋体" w:hAnsi="宋体" w:cs="宋体" w:eastAsia="宋体" w:hint="default"/>
                <w:sz w:val="18"/>
                <w:szCs w:val="18"/>
              </w:rPr>
            </w:pPr>
            <w:r>
              <w:rPr>
                <w:rFonts w:ascii="宋体" w:hAnsi="宋体" w:cs="宋体" w:eastAsia="宋体" w:hint="default"/>
                <w:sz w:val="18"/>
                <w:szCs w:val="18"/>
              </w:rPr>
              <w:t>焦作市市民 健康促进服 务有限责任 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51" w:right="0"/>
              <w:jc w:val="left"/>
              <w:rPr>
                <w:rFonts w:ascii="Garamond" w:hAnsi="Garamond" w:cs="Garamond" w:eastAsia="Garamond" w:hint="default"/>
                <w:sz w:val="18"/>
                <w:szCs w:val="18"/>
              </w:rPr>
            </w:pPr>
            <w:r>
              <w:rPr>
                <w:rFonts w:ascii="Garamond"/>
                <w:sz w:val="18"/>
              </w:rPr>
              <w:t>2,269,029.12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4"/>
              <w:jc w:val="right"/>
              <w:rPr>
                <w:rFonts w:ascii="Garamond" w:hAnsi="Garamond" w:cs="Garamond" w:eastAsia="Garamond" w:hint="default"/>
                <w:sz w:val="18"/>
                <w:szCs w:val="18"/>
              </w:rPr>
            </w:pPr>
            <w:r>
              <w:rPr>
                <w:rFonts w:ascii="Garamond"/>
                <w:spacing w:val="-1"/>
                <w:sz w:val="18"/>
              </w:rPr>
              <w:t>97,158.59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Garamond" w:hAnsi="Garamond" w:cs="Garamond" w:eastAsia="Garamond" w:hint="default"/>
                <w:sz w:val="18"/>
                <w:szCs w:val="18"/>
              </w:rPr>
            </w:pPr>
            <w:r>
              <w:rPr>
                <w:rFonts w:ascii="Garamond"/>
                <w:spacing w:val="-1"/>
                <w:sz w:val="18"/>
              </w:rPr>
              <w:t>97,158.59</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Garamond" w:hAnsi="Garamond" w:cs="Garamond" w:eastAsia="Garamond" w:hint="default"/>
                <w:sz w:val="18"/>
                <w:szCs w:val="18"/>
              </w:rPr>
            </w:pPr>
            <w:r>
              <w:rPr>
                <w:rFonts w:ascii="Garamond"/>
                <w:spacing w:val="-1"/>
                <w:sz w:val="18"/>
              </w:rPr>
              <w:t>-1,332,800.87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278" w:right="0"/>
              <w:jc w:val="left"/>
              <w:rPr>
                <w:rFonts w:ascii="Garamond" w:hAnsi="Garamond" w:cs="Garamond" w:eastAsia="Garamond" w:hint="default"/>
                <w:sz w:val="18"/>
                <w:szCs w:val="18"/>
              </w:rPr>
            </w:pPr>
            <w:r>
              <w:rPr>
                <w:rFonts w:ascii="Garamond"/>
                <w:sz w:val="18"/>
              </w:rPr>
              <w:t>331,553.41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Garamond" w:hAnsi="Garamond" w:cs="Garamond" w:eastAsia="Garamond" w:hint="default"/>
                <w:sz w:val="18"/>
                <w:szCs w:val="18"/>
              </w:rPr>
            </w:pPr>
            <w:r>
              <w:rPr>
                <w:rFonts w:ascii="Garamond"/>
                <w:spacing w:val="-1"/>
                <w:sz w:val="18"/>
              </w:rPr>
              <w:t>-427,799.71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Garamond" w:hAnsi="Garamond" w:cs="Garamond" w:eastAsia="Garamond" w:hint="default"/>
                <w:sz w:val="18"/>
                <w:szCs w:val="18"/>
              </w:rPr>
            </w:pPr>
            <w:r>
              <w:rPr>
                <w:rFonts w:ascii="Garamond"/>
                <w:spacing w:val="-1"/>
                <w:sz w:val="18"/>
              </w:rPr>
              <w:t>-427,799.71</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Garamond" w:hAnsi="Garamond" w:cs="Garamond" w:eastAsia="Garamond" w:hint="default"/>
                <w:sz w:val="18"/>
                <w:szCs w:val="18"/>
              </w:rPr>
            </w:pPr>
            <w:r>
              <w:rPr>
                <w:rFonts w:ascii="Garamond"/>
                <w:spacing w:val="-1"/>
                <w:sz w:val="18"/>
              </w:rPr>
              <w:t>-267,774.42</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17"/>
          <w:szCs w:val="17"/>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、在合营安排或联营企业中的权益</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）重要的合营企业或联营企业</w:t>
      </w:r>
      <w:r>
        <w:rPr>
          <w:rFonts w:ascii="宋体" w:hAnsi="宋体" w:cs="宋体" w:eastAsia="宋体" w:hint="default"/>
          <w:sz w:val="21"/>
          <w:szCs w:val="21"/>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371"/>
        <w:gridCol w:w="1369"/>
        <w:gridCol w:w="1366"/>
        <w:gridCol w:w="1368"/>
        <w:gridCol w:w="425"/>
        <w:gridCol w:w="943"/>
        <w:gridCol w:w="1366"/>
        <w:gridCol w:w="1366"/>
      </w:tblGrid>
      <w:tr>
        <w:trPr>
          <w:trHeight w:val="403" w:hRule="exact"/>
        </w:trPr>
        <w:tc>
          <w:tcPr>
            <w:tcW w:w="13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22" w:right="48" w:hanging="272"/>
              <w:jc w:val="left"/>
              <w:rPr>
                <w:rFonts w:ascii="宋体" w:hAnsi="宋体" w:cs="宋体" w:eastAsia="宋体" w:hint="default"/>
                <w:sz w:val="18"/>
                <w:szCs w:val="18"/>
              </w:rPr>
            </w:pPr>
            <w:r>
              <w:rPr>
                <w:rFonts w:ascii="宋体" w:hAnsi="宋体" w:cs="宋体" w:eastAsia="宋体" w:hint="default"/>
                <w:sz w:val="18"/>
                <w:szCs w:val="18"/>
              </w:rPr>
              <w:t>合营企业或联营 企业名称</w:t>
            </w:r>
          </w:p>
        </w:tc>
        <w:tc>
          <w:tcPr>
            <w:tcW w:w="136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407"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32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47" w:right="47"/>
              <w:jc w:val="center"/>
              <w:rPr>
                <w:rFonts w:ascii="宋体" w:hAnsi="宋体" w:cs="宋体" w:eastAsia="宋体" w:hint="default"/>
                <w:sz w:val="18"/>
                <w:szCs w:val="18"/>
              </w:rPr>
            </w:pPr>
            <w:r>
              <w:rPr>
                <w:rFonts w:ascii="宋体" w:hAnsi="宋体" w:cs="宋体" w:eastAsia="宋体" w:hint="default"/>
                <w:sz w:val="18"/>
                <w:szCs w:val="18"/>
              </w:rPr>
              <w:t>对合营企业或联 营企业投资的会 计处理方法</w:t>
            </w:r>
          </w:p>
        </w:tc>
      </w:tr>
      <w:tr>
        <w:trPr>
          <w:trHeight w:val="624" w:hRule="exact"/>
        </w:trPr>
        <w:tc>
          <w:tcPr>
            <w:tcW w:w="1371" w:type="dxa"/>
            <w:vMerge/>
            <w:tcBorders>
              <w:left w:val="single" w:sz="4" w:space="0" w:color="000000"/>
              <w:bottom w:val="single" w:sz="4" w:space="0" w:color="000000"/>
              <w:right w:val="single" w:sz="4" w:space="0" w:color="000000"/>
            </w:tcBorders>
            <w:shd w:val="clear" w:color="auto" w:fill="D2D2D2"/>
          </w:tcPr>
          <w:p>
            <w:pPr/>
          </w:p>
        </w:tc>
        <w:tc>
          <w:tcPr>
            <w:tcW w:w="1369"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left="1"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北京通通易联科 技有限公司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6" w:right="108"/>
              <w:jc w:val="left"/>
              <w:rPr>
                <w:rFonts w:ascii="宋体" w:hAnsi="宋体" w:cs="宋体" w:eastAsia="宋体" w:hint="default"/>
                <w:sz w:val="18"/>
                <w:szCs w:val="18"/>
              </w:rPr>
            </w:pPr>
            <w:r>
              <w:rPr>
                <w:rFonts w:ascii="宋体" w:hAnsi="宋体" w:cs="宋体" w:eastAsia="宋体" w:hint="default"/>
                <w:spacing w:val="-6"/>
                <w:sz w:val="18"/>
                <w:szCs w:val="18"/>
              </w:rPr>
              <w:t>技术转让、咨询</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服务</w:t>
            </w:r>
          </w:p>
        </w:tc>
        <w:tc>
          <w:tcPr>
            <w:tcW w:w="4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9"/>
              <w:ind w:left="-121" w:right="0"/>
              <w:jc w:val="left"/>
              <w:rPr>
                <w:rFonts w:ascii="宋体" w:hAnsi="宋体" w:cs="宋体" w:eastAsia="宋体" w:hint="default"/>
                <w:sz w:val="18"/>
                <w:szCs w:val="18"/>
              </w:rPr>
            </w:pPr>
            <w:r>
              <w:rPr>
                <w:rFonts w:ascii="宋体" w:hAnsi="宋体" w:cs="宋体" w:eastAsia="宋体" w:hint="default"/>
                <w:sz w:val="18"/>
                <w:szCs w:val="18"/>
              </w:rPr>
              <w:t>、</w:t>
            </w:r>
          </w:p>
        </w:tc>
        <w:tc>
          <w:tcPr>
            <w:tcW w:w="9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360" w:right="0"/>
              <w:jc w:val="left"/>
              <w:rPr>
                <w:rFonts w:ascii="Times New Roman" w:hAnsi="Times New Roman" w:cs="Times New Roman" w:eastAsia="Times New Roman" w:hint="default"/>
                <w:sz w:val="18"/>
                <w:szCs w:val="18"/>
              </w:rPr>
            </w:pPr>
            <w:r>
              <w:rPr>
                <w:rFonts w:ascii="Times New Roman"/>
                <w:sz w:val="18"/>
              </w:rPr>
              <w:t>33.91%</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spacing w:before="49"/>
        <w:ind w:left="152" w:right="982" w:firstLine="0"/>
        <w:jc w:val="left"/>
        <w:rPr>
          <w:rFonts w:ascii="宋体" w:hAnsi="宋体" w:cs="宋体" w:eastAsia="宋体" w:hint="default"/>
          <w:sz w:val="18"/>
          <w:szCs w:val="18"/>
        </w:rPr>
      </w:pPr>
      <w:r>
        <w:rPr/>
        <w:pict>
          <v:group style="position:absolute;margin-left:330.670013pt;margin-top:-35.662266pt;width:67.8pt;height:27.95pt;mso-position-horizontal-relative:page;mso-position-vertical-relative:paragraph;z-index:-880696" coordorigin="6613,-713" coordsize="1356,559">
            <v:group style="position:absolute;left:6613;top:-713;width:1356;height:157" coordorigin="6613,-713" coordsize="1356,157">
              <v:shape style="position:absolute;left:6613;top:-713;width:1356;height:157" coordorigin="6613,-713" coordsize="1356,157" path="m6613,-557l7969,-557,7969,-713,6613,-713,6613,-557xe" filled="true" fillcolor="#ffffff" stroked="false">
                <v:path arrowok="t"/>
                <v:fill type="solid"/>
              </v:shape>
            </v:group>
            <v:group style="position:absolute;left:6624;top:-557;width:2;height:392" coordorigin="6624,-557" coordsize="2,392">
              <v:shape style="position:absolute;left:6624;top:-557;width:2;height:392" coordorigin="6624,-557" coordsize="0,392" path="m6624,-557l6624,-166e" filled="false" stroked="true" strokeweight="1.08pt" strokecolor="#ffffff">
                <v:path arrowok="t"/>
              </v:shape>
            </v:group>
            <v:group style="position:absolute;left:6635;top:-557;width:1311;height:392" coordorigin="6635,-557" coordsize="1311,392">
              <v:shape style="position:absolute;left:6635;top:-557;width:1311;height:392" coordorigin="6635,-557" coordsize="1311,392" path="m6635,-166l7945,-166,7945,-557,6635,-557,6635,-166xe" filled="true" fillcolor="#ffffff" stroked="false">
                <v:path arrowok="t"/>
                <v:fill type="solid"/>
              </v:shape>
            </v:group>
            <w10:wrap type="none"/>
          </v:group>
        </w:pict>
      </w:r>
      <w:r>
        <w:rPr>
          <w:rFonts w:ascii="宋体" w:hAnsi="宋体" w:cs="宋体" w:eastAsia="宋体" w:hint="default"/>
          <w:sz w:val="18"/>
          <w:szCs w:val="18"/>
        </w:rPr>
        <w:t>在合营企业或联营企业的持股比例不同于表决权比例的说明：</w:t>
      </w:r>
    </w:p>
    <w:p>
      <w:pPr>
        <w:spacing w:before="117"/>
        <w:ind w:left="152" w:right="982" w:firstLine="0"/>
        <w:jc w:val="left"/>
        <w:rPr>
          <w:rFonts w:ascii="宋体" w:hAnsi="宋体" w:cs="宋体" w:eastAsia="宋体" w:hint="default"/>
          <w:sz w:val="18"/>
          <w:szCs w:val="18"/>
        </w:rPr>
      </w:pPr>
      <w:r>
        <w:rPr>
          <w:rFonts w:ascii="宋体" w:hAnsi="宋体" w:cs="宋体" w:eastAsia="宋体" w:hint="default"/>
          <w:sz w:val="18"/>
          <w:szCs w:val="18"/>
        </w:rPr>
        <w:t>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以下表决权但具有重大影响，或者持有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或以上表决权但不具有重大影响的依据：</w:t>
      </w:r>
    </w:p>
    <w:p>
      <w:pPr>
        <w:spacing w:line="240" w:lineRule="auto" w:before="13"/>
        <w:rPr>
          <w:rFonts w:ascii="宋体" w:hAnsi="宋体" w:cs="宋体" w:eastAsia="宋体" w:hint="default"/>
          <w:sz w:val="25"/>
          <w:szCs w:val="25"/>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）重要合营企业的主要财务信息</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3"/>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66"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4"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01" w:type="dxa"/>
            <w:tcBorders>
              <w:top w:val="single" w:sz="4" w:space="0" w:color="000000"/>
              <w:left w:val="single" w:sz="10" w:space="0" w:color="D2D2D2"/>
              <w:bottom w:val="single" w:sz="4" w:space="0" w:color="000000"/>
              <w:right w:val="single" w:sz="4" w:space="0" w:color="000000"/>
            </w:tcBorders>
            <w:shd w:val="clear" w:color="auto" w:fill="E0FFFF"/>
          </w:tcPr>
          <w:p>
            <w:pPr/>
          </w:p>
        </w:tc>
        <w:tc>
          <w:tcPr>
            <w:tcW w:w="3193" w:type="dxa"/>
            <w:tcBorders>
              <w:top w:val="single" w:sz="4" w:space="0" w:color="000000"/>
              <w:left w:val="single" w:sz="4" w:space="0" w:color="000000"/>
              <w:bottom w:val="single" w:sz="4" w:space="0" w:color="000000"/>
              <w:right w:val="single" w:sz="4" w:space="0" w:color="000000"/>
            </w:tcBorders>
            <w:shd w:val="clear" w:color="auto" w:fill="E0FFFF"/>
          </w:tcPr>
          <w:p>
            <w:pP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128,128,787.58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92,276,474.24</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4,270,404.37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5,380,807.72</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132,399,191.95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97,657,281.96</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109,010,191.90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69,077,871.14</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109,010,191.90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69,077,871.14</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68,315.37</w:t>
            </w: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23,320,684.68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28,579,410.82</w:t>
            </w:r>
          </w:p>
        </w:tc>
      </w:tr>
      <w:tr>
        <w:trPr>
          <w:trHeight w:val="404"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按持股比例计算的净资产份额</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7,908,743.80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9,692,135.59</w:t>
            </w: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对合营企业权益投资的账面价值</w:t>
            </w:r>
          </w:p>
        </w:tc>
        <w:tc>
          <w:tcPr>
            <w:tcW w:w="320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7,908,743.80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9,692,135.59</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3"/>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81,179,394.62</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81,807,577.72</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-5,590,410.77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4"/>
              <w:jc w:val="right"/>
              <w:rPr>
                <w:rFonts w:ascii="Garamond" w:hAnsi="Garamond" w:cs="Garamond" w:eastAsia="Garamond" w:hint="default"/>
                <w:sz w:val="18"/>
                <w:szCs w:val="18"/>
              </w:rPr>
            </w:pPr>
            <w:r>
              <w:rPr>
                <w:rFonts w:ascii="Garamond"/>
                <w:spacing w:val="-1"/>
                <w:sz w:val="18"/>
              </w:rPr>
              <w:t>5,670,048.61</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-5,590,410.77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4"/>
              <w:jc w:val="right"/>
              <w:rPr>
                <w:rFonts w:ascii="Garamond" w:hAnsi="Garamond" w:cs="Garamond" w:eastAsia="Garamond" w:hint="default"/>
                <w:sz w:val="18"/>
                <w:szCs w:val="18"/>
              </w:rPr>
            </w:pPr>
            <w:r>
              <w:rPr>
                <w:rFonts w:ascii="Garamond"/>
                <w:spacing w:val="-1"/>
                <w:sz w:val="18"/>
              </w:rPr>
              <w:t>5,670,048.61</w:t>
            </w:r>
          </w:p>
        </w:tc>
      </w:tr>
    </w:tbl>
    <w:p>
      <w:pPr>
        <w:spacing w:before="49"/>
        <w:ind w:left="152" w:right="0" w:firstLine="0"/>
        <w:jc w:val="both"/>
        <w:rPr>
          <w:rFonts w:ascii="宋体" w:hAnsi="宋体" w:cs="宋体" w:eastAsia="宋体" w:hint="default"/>
          <w:sz w:val="18"/>
          <w:szCs w:val="18"/>
        </w:rPr>
      </w:pPr>
      <w:r>
        <w:rPr>
          <w:rFonts w:ascii="宋体" w:hAnsi="宋体" w:cs="宋体" w:eastAsia="宋体" w:hint="default"/>
          <w:sz w:val="18"/>
          <w:szCs w:val="18"/>
        </w:rPr>
        <w:t>其他说明</w:t>
      </w:r>
    </w:p>
    <w:p>
      <w:pPr>
        <w:spacing w:line="692" w:lineRule="exact" w:before="54"/>
        <w:ind w:left="633" w:right="982" w:hanging="481"/>
        <w:jc w:val="left"/>
        <w:rPr>
          <w:rFonts w:ascii="宋体" w:hAnsi="宋体" w:cs="宋体" w:eastAsia="宋体" w:hint="default"/>
          <w:sz w:val="24"/>
          <w:szCs w:val="24"/>
        </w:rPr>
      </w:pPr>
      <w:r>
        <w:rPr>
          <w:rFonts w:ascii="宋体" w:hAnsi="宋体" w:cs="宋体" w:eastAsia="宋体" w:hint="default"/>
          <w:b/>
          <w:bCs/>
          <w:sz w:val="24"/>
          <w:szCs w:val="24"/>
        </w:rPr>
        <w:t>十、与金融工具相关的风险</w:t>
      </w:r>
      <w:r>
        <w:rPr>
          <w:rFonts w:ascii="宋体" w:hAnsi="宋体" w:cs="宋体" w:eastAsia="宋体" w:hint="default"/>
          <w:b/>
          <w:bCs/>
          <w:w w:val="99"/>
          <w:sz w:val="24"/>
          <w:szCs w:val="24"/>
        </w:rPr>
        <w:t> </w:t>
      </w:r>
      <w:r>
        <w:rPr>
          <w:rFonts w:ascii="宋体" w:hAnsi="宋体" w:cs="宋体" w:eastAsia="宋体" w:hint="default"/>
          <w:sz w:val="24"/>
          <w:szCs w:val="24"/>
        </w:rPr>
        <w:t>本公司的主要金融工具包括股权投资、借款、应收账款、长期应收款、应付账款、长期</w:t>
      </w:r>
    </w:p>
    <w:p>
      <w:pPr>
        <w:pStyle w:val="BodyText"/>
        <w:spacing w:line="357" w:lineRule="auto" w:before="49"/>
        <w:ind w:right="1139"/>
        <w:jc w:val="both"/>
      </w:pPr>
      <w:r>
        <w:rPr/>
        <w:t>应付款等，各项金融工具的详细情况说明见本附注、六相关项目。与这些金融工具有关的风</w:t>
      </w:r>
      <w:r>
        <w:rPr>
          <w:spacing w:val="-91"/>
        </w:rPr>
        <w:t> </w:t>
      </w:r>
      <w:r>
        <w:rPr>
          <w:spacing w:val="-91"/>
        </w:rPr>
      </w:r>
      <w:r>
        <w:rPr/>
        <w:t>险，以及本公司为降低这些风险所采取的风险管理政策如下所述。本公司管理层对这些风险</w:t>
      </w:r>
      <w:r>
        <w:rPr>
          <w:spacing w:val="-91"/>
        </w:rPr>
        <w:t> </w:t>
      </w:r>
      <w:r>
        <w:rPr>
          <w:spacing w:val="-91"/>
        </w:rPr>
      </w:r>
      <w:r>
        <w:rPr/>
        <w:t>敞口进行管理和监控以确保将上述风险控制在限定的范围之内。</w:t>
      </w:r>
    </w:p>
    <w:p>
      <w:pPr>
        <w:spacing w:line="240" w:lineRule="auto" w:before="0"/>
        <w:rPr>
          <w:rFonts w:ascii="宋体" w:hAnsi="宋体" w:cs="宋体" w:eastAsia="宋体" w:hint="default"/>
          <w:sz w:val="24"/>
          <w:szCs w:val="24"/>
        </w:rPr>
      </w:pPr>
    </w:p>
    <w:p>
      <w:pPr>
        <w:spacing w:line="357" w:lineRule="auto" w:before="190"/>
        <w:ind w:left="633" w:right="982" w:firstLine="2"/>
        <w:jc w:val="left"/>
        <w:rPr>
          <w:rFonts w:ascii="宋体" w:hAnsi="宋体" w:cs="宋体" w:eastAsia="宋体" w:hint="default"/>
          <w:sz w:val="24"/>
          <w:szCs w:val="24"/>
        </w:rPr>
      </w:pPr>
      <w:r>
        <w:rPr>
          <w:rFonts w:ascii="宋体" w:hAnsi="宋体" w:cs="宋体" w:eastAsia="宋体" w:hint="default"/>
          <w:b/>
          <w:bCs/>
          <w:sz w:val="24"/>
          <w:szCs w:val="24"/>
        </w:rPr>
        <w:t>风险管理目标和政策</w:t>
      </w:r>
      <w:r>
        <w:rPr>
          <w:rFonts w:ascii="宋体" w:hAnsi="宋体" w:cs="宋体" w:eastAsia="宋体" w:hint="default"/>
          <w:b/>
          <w:bCs/>
          <w:w w:val="99"/>
          <w:sz w:val="24"/>
          <w:szCs w:val="24"/>
        </w:rPr>
        <w:t> </w:t>
      </w:r>
      <w:r>
        <w:rPr>
          <w:rFonts w:ascii="宋体" w:hAnsi="宋体" w:cs="宋体" w:eastAsia="宋体" w:hint="default"/>
          <w:sz w:val="24"/>
          <w:szCs w:val="24"/>
        </w:rPr>
        <w:t>本公司从事风险管理的目标是在风险和收益之间取得适当的平衡，将风险对本公司经营</w:t>
      </w:r>
    </w:p>
    <w:p>
      <w:pPr>
        <w:pStyle w:val="BodyText"/>
        <w:spacing w:line="357" w:lineRule="auto"/>
        <w:ind w:right="1139"/>
        <w:jc w:val="both"/>
      </w:pPr>
      <w:r>
        <w:rPr/>
        <w:t>业绩的负面影响降低到最低水平，使股东及其其他权益投资者的利益最大化。基于该风险管</w:t>
      </w:r>
      <w:r>
        <w:rPr>
          <w:spacing w:val="-91"/>
        </w:rPr>
        <w:t> </w:t>
      </w:r>
      <w:r>
        <w:rPr>
          <w:spacing w:val="-91"/>
        </w:rPr>
      </w:r>
      <w:r>
        <w:rPr/>
        <w:t>理目标，本公司风险管理的基本策略是确定和分析本公司所面临的各种风险，建立适当的风</w:t>
      </w:r>
      <w:r>
        <w:rPr>
          <w:spacing w:val="-91"/>
        </w:rPr>
        <w:t> </w:t>
      </w:r>
      <w:r>
        <w:rPr>
          <w:spacing w:val="-91"/>
        </w:rPr>
      </w:r>
      <w:r>
        <w:rPr/>
        <w:t>险承受底线和进行风险管理，并及时可靠地对各种风险进行监督，将风险控制在限定的范围</w:t>
      </w:r>
      <w:r>
        <w:rPr>
          <w:spacing w:val="-91"/>
        </w:rPr>
        <w:t> </w:t>
      </w:r>
      <w:r>
        <w:rPr>
          <w:spacing w:val="-91"/>
        </w:rPr>
      </w:r>
      <w:r>
        <w:rPr/>
        <w:t>之内。</w:t>
      </w:r>
    </w:p>
    <w:p>
      <w:pPr>
        <w:spacing w:line="240" w:lineRule="auto" w:before="0"/>
        <w:rPr>
          <w:rFonts w:ascii="宋体" w:hAnsi="宋体" w:cs="宋体" w:eastAsia="宋体" w:hint="default"/>
          <w:sz w:val="24"/>
          <w:szCs w:val="24"/>
        </w:rPr>
      </w:pPr>
    </w:p>
    <w:p>
      <w:pPr>
        <w:pStyle w:val="BodyText"/>
        <w:spacing w:line="357" w:lineRule="auto" w:before="190"/>
        <w:ind w:left="633" w:right="982"/>
        <w:jc w:val="left"/>
      </w:pPr>
      <w:r>
        <w:rPr>
          <w:rFonts w:ascii="宋体" w:hAnsi="宋体" w:cs="宋体" w:eastAsia="宋体" w:hint="default"/>
        </w:rPr>
        <w:t>1</w:t>
      </w:r>
      <w:r>
        <w:rPr/>
        <w:t>、市场风险 利率风险－现金流量变动风险本公司因利率变动引起金融工具现金流量变动的风险主要</w:t>
      </w:r>
    </w:p>
    <w:p>
      <w:pPr>
        <w:pStyle w:val="BodyText"/>
        <w:spacing w:line="357" w:lineRule="auto"/>
        <w:ind w:left="633" w:right="3314" w:hanging="481"/>
        <w:jc w:val="left"/>
      </w:pPr>
      <w:r>
        <w:rPr/>
        <w:t>与浮动利率银行借款有关。本公司的政策是保持这些借款的固定利率。 </w:t>
      </w:r>
      <w:r>
        <w:rPr>
          <w:rFonts w:ascii="宋体" w:hAnsi="宋体" w:cs="宋体" w:eastAsia="宋体" w:hint="default"/>
        </w:rPr>
        <w:t>2</w:t>
      </w:r>
      <w:r>
        <w:rPr/>
        <w:t>、信用风险</w:t>
      </w:r>
    </w:p>
    <w:p>
      <w:pPr>
        <w:pStyle w:val="BodyText"/>
        <w:spacing w:line="357" w:lineRule="auto" w:before="37"/>
        <w:ind w:right="1132" w:firstLine="480"/>
        <w:jc w:val="both"/>
      </w:pPr>
      <w:r>
        <w:rPr>
          <w:rFonts w:ascii="宋体" w:hAnsi="宋体" w:cs="宋体" w:eastAsia="宋体" w:hint="default"/>
        </w:rPr>
        <w:t>2018 </w:t>
      </w:r>
      <w:r>
        <w:rPr/>
        <w:t>年 </w:t>
      </w:r>
      <w:r>
        <w:rPr>
          <w:rFonts w:ascii="宋体" w:hAnsi="宋体" w:cs="宋体" w:eastAsia="宋体" w:hint="default"/>
        </w:rPr>
        <w:t>12 </w:t>
      </w:r>
      <w:r>
        <w:rPr/>
        <w:t>月 </w:t>
      </w:r>
      <w:r>
        <w:rPr>
          <w:rFonts w:ascii="宋体" w:hAnsi="宋体" w:cs="宋体" w:eastAsia="宋体" w:hint="default"/>
        </w:rPr>
        <w:t>31</w:t>
      </w:r>
      <w:r>
        <w:rPr>
          <w:rFonts w:ascii="宋体" w:hAnsi="宋体" w:cs="宋体" w:eastAsia="宋体" w:hint="default"/>
          <w:spacing w:val="6"/>
        </w:rPr>
        <w:t> </w:t>
      </w:r>
      <w:r>
        <w:rPr>
          <w:spacing w:val="-3"/>
        </w:rPr>
        <w:t>日，可能引起本公司财务损失的最大信用风险敞口主要来自于合同另</w:t>
      </w:r>
      <w:r>
        <w:rPr/>
        <w:t> 一方未能履行义务而导致本公司金融资产产生的损失具体包括：合并资产负债表中已确认的</w:t>
      </w:r>
      <w:r>
        <w:rPr>
          <w:spacing w:val="-91"/>
        </w:rPr>
        <w:t> </w:t>
      </w:r>
      <w:r>
        <w:rPr>
          <w:spacing w:val="-91"/>
        </w:rPr>
      </w:r>
      <w:r>
        <w:rPr/>
        <w:t>金融资产的账面金额。</w:t>
      </w:r>
    </w:p>
    <w:p>
      <w:pPr>
        <w:pStyle w:val="BodyText"/>
        <w:spacing w:line="357" w:lineRule="auto"/>
        <w:ind w:right="1139" w:firstLine="480"/>
        <w:jc w:val="both"/>
      </w:pPr>
      <w:r>
        <w:rPr/>
        <w:t>为降低信用风险，本公司严控信用审批，并执行其他监控程序以确保采取必要的措施回 收过期债权。此外，本公司于每个资产负债表日审核每一单项应收款的回收情况，以确保就</w:t>
      </w:r>
      <w:r>
        <w:rPr>
          <w:spacing w:val="-91"/>
        </w:rPr>
        <w:t> </w:t>
      </w:r>
      <w:r>
        <w:rPr>
          <w:spacing w:val="-91"/>
        </w:rPr>
      </w:r>
      <w:r>
        <w:rPr/>
        <w:t>无法回收的款项计提充分的坏账准备。因此，本公司管理层认为本公司所承担的信用风险已</w:t>
      </w:r>
      <w:r>
        <w:rPr>
          <w:spacing w:val="-91"/>
        </w:rPr>
        <w:t> </w:t>
      </w:r>
      <w:r>
        <w:rPr>
          <w:spacing w:val="-91"/>
        </w:rPr>
      </w:r>
      <w:r>
        <w:rPr/>
        <w:t>经大为降低。本公司的流动资金存放在信用评级较高的银行，故流动资金的信用风险较低。</w:t>
      </w:r>
    </w:p>
    <w:p>
      <w:pPr>
        <w:spacing w:after="0" w:line="357" w:lineRule="auto"/>
        <w:jc w:val="both"/>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left="633" w:right="982"/>
        <w:jc w:val="left"/>
      </w:pPr>
      <w:r>
        <w:rPr>
          <w:rFonts w:ascii="宋体" w:hAnsi="宋体" w:cs="宋体" w:eastAsia="宋体" w:hint="default"/>
        </w:rPr>
        <w:t>3</w:t>
      </w:r>
      <w:r>
        <w:rPr/>
        <w:t>、流动风险 管理流动风险时，本公司保持管理层认为充分的现金及现金等价物并对其进行监控，以</w:t>
      </w:r>
    </w:p>
    <w:p>
      <w:pPr>
        <w:pStyle w:val="BodyText"/>
        <w:spacing w:line="357" w:lineRule="auto"/>
        <w:ind w:right="982"/>
        <w:jc w:val="left"/>
      </w:pPr>
      <w:r>
        <w:rPr/>
        <w:t>满足本公司经营需要，并降低现金流量波动的影响。本公司管理层对银行借款的使用情况进</w:t>
      </w:r>
      <w:r>
        <w:rPr>
          <w:spacing w:val="-91"/>
        </w:rPr>
        <w:t> </w:t>
      </w:r>
      <w:r>
        <w:rPr>
          <w:spacing w:val="-91"/>
        </w:rPr>
      </w:r>
      <w:r>
        <w:rPr/>
        <w:t>行监控并确保遵守借款协议</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31"/>
          <w:szCs w:val="31"/>
        </w:rPr>
      </w:pPr>
    </w:p>
    <w:p>
      <w:pPr>
        <w:pStyle w:val="Heading2"/>
        <w:spacing w:line="240" w:lineRule="auto"/>
        <w:ind w:right="982"/>
        <w:jc w:val="left"/>
        <w:rPr>
          <w:b w:val="0"/>
          <w:bCs w:val="0"/>
        </w:rPr>
      </w:pPr>
      <w:r>
        <w:rPr/>
        <w:t>十一、关联方及关联交易</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、本企业的母公司情况</w:t>
      </w:r>
      <w:r>
        <w:rPr>
          <w:rFonts w:ascii="宋体" w:hAnsi="宋体" w:cs="宋体" w:eastAsia="宋体" w:hint="default"/>
          <w:sz w:val="21"/>
          <w:szCs w:val="21"/>
        </w:rPr>
      </w:r>
    </w:p>
    <w:p>
      <w:pPr>
        <w:spacing w:line="240" w:lineRule="auto" w:before="7"/>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595"/>
        <w:gridCol w:w="1594"/>
        <w:gridCol w:w="1594"/>
        <w:gridCol w:w="1594"/>
        <w:gridCol w:w="1595"/>
        <w:gridCol w:w="1595"/>
      </w:tblGrid>
      <w:tr>
        <w:trPr>
          <w:trHeight w:val="715"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342" w:right="0"/>
              <w:jc w:val="left"/>
              <w:rPr>
                <w:rFonts w:ascii="宋体" w:hAnsi="宋体" w:cs="宋体" w:eastAsia="宋体" w:hint="default"/>
                <w:sz w:val="18"/>
                <w:szCs w:val="18"/>
              </w:rPr>
            </w:pPr>
            <w:r>
              <w:rPr>
                <w:rFonts w:ascii="宋体" w:hAnsi="宋体" w:cs="宋体" w:eastAsia="宋体" w:hint="default"/>
                <w:sz w:val="18"/>
                <w:szCs w:val="18"/>
              </w:rPr>
              <w:t>母公司名称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523"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2" w:right="71" w:hanging="360"/>
              <w:jc w:val="left"/>
              <w:rPr>
                <w:rFonts w:ascii="宋体" w:hAnsi="宋体" w:cs="宋体" w:eastAsia="宋体" w:hint="default"/>
                <w:sz w:val="18"/>
                <w:szCs w:val="18"/>
              </w:rPr>
            </w:pPr>
            <w:r>
              <w:rPr>
                <w:rFonts w:ascii="宋体" w:hAnsi="宋体" w:cs="宋体" w:eastAsia="宋体" w:hint="default"/>
                <w:sz w:val="18"/>
                <w:szCs w:val="18"/>
              </w:rPr>
              <w:t>母公司对本企业的 持股比例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42" w:right="72" w:hanging="272"/>
              <w:jc w:val="left"/>
              <w:rPr>
                <w:rFonts w:ascii="宋体" w:hAnsi="宋体" w:cs="宋体" w:eastAsia="宋体" w:hint="default"/>
                <w:sz w:val="18"/>
                <w:szCs w:val="18"/>
              </w:rPr>
            </w:pPr>
            <w:r>
              <w:rPr>
                <w:rFonts w:ascii="宋体" w:hAnsi="宋体" w:cs="宋体" w:eastAsia="宋体" w:hint="default"/>
                <w:sz w:val="18"/>
                <w:szCs w:val="18"/>
              </w:rPr>
              <w:t>母公司对本企业的 表决权比例</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本企业的母公司情况的说明</w:t>
      </w:r>
    </w:p>
    <w:p>
      <w:pPr>
        <w:spacing w:before="94"/>
        <w:ind w:left="152" w:right="982" w:firstLine="0"/>
        <w:jc w:val="left"/>
        <w:rPr>
          <w:rFonts w:ascii="宋体" w:hAnsi="宋体" w:cs="宋体" w:eastAsia="宋体" w:hint="default"/>
          <w:sz w:val="21"/>
          <w:szCs w:val="21"/>
        </w:rPr>
      </w:pPr>
      <w:r>
        <w:rPr>
          <w:rFonts w:ascii="宋体" w:hAnsi="宋体" w:cs="宋体" w:eastAsia="宋体" w:hint="default"/>
          <w:sz w:val="21"/>
          <w:szCs w:val="21"/>
        </w:rPr>
        <w:t>本企业股东吴强华为实际控制人，持有公司 </w:t>
      </w:r>
      <w:r>
        <w:rPr>
          <w:rFonts w:ascii="Times New Roman" w:hAnsi="Times New Roman" w:cs="Times New Roman" w:eastAsia="Times New Roman" w:hint="default"/>
          <w:sz w:val="21"/>
          <w:szCs w:val="21"/>
        </w:rPr>
        <w:t>28.38%</w:t>
      </w:r>
      <w:r>
        <w:rPr>
          <w:rFonts w:ascii="宋体" w:hAnsi="宋体" w:cs="宋体" w:eastAsia="宋体" w:hint="default"/>
          <w:sz w:val="21"/>
          <w:szCs w:val="21"/>
        </w:rPr>
        <w:t>的股权，对本公司的表决权比例为</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28.38%</w:t>
      </w:r>
      <w:r>
        <w:rPr>
          <w:rFonts w:ascii="宋体" w:hAnsi="宋体" w:cs="宋体" w:eastAsia="宋体" w:hint="default"/>
          <w:sz w:val="21"/>
          <w:szCs w:val="21"/>
        </w:rPr>
        <w:t>。</w:t>
      </w:r>
    </w:p>
    <w:p>
      <w:pPr>
        <w:spacing w:line="357" w:lineRule="auto" w:before="82"/>
        <w:ind w:left="152" w:right="8414" w:firstLine="0"/>
        <w:jc w:val="left"/>
        <w:rPr>
          <w:rFonts w:ascii="宋体" w:hAnsi="宋体" w:cs="宋体" w:eastAsia="宋体" w:hint="default"/>
          <w:sz w:val="18"/>
          <w:szCs w:val="18"/>
        </w:rPr>
      </w:pPr>
      <w:r>
        <w:rPr>
          <w:rFonts w:ascii="宋体" w:hAnsi="宋体" w:cs="宋体" w:eastAsia="宋体" w:hint="default"/>
          <w:sz w:val="18"/>
          <w:szCs w:val="18"/>
        </w:rPr>
        <w:t>本企业最终控制方是。 其他说明：</w:t>
      </w:r>
    </w:p>
    <w:p>
      <w:pPr>
        <w:spacing w:line="240" w:lineRule="auto" w:before="6"/>
        <w:rPr>
          <w:rFonts w:ascii="宋体" w:hAnsi="宋体" w:cs="宋体" w:eastAsia="宋体" w:hint="default"/>
          <w:sz w:val="20"/>
          <w:szCs w:val="20"/>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宋体" w:hAnsi="宋体" w:cs="宋体" w:eastAsia="宋体" w:hint="default"/>
          <w:sz w:val="18"/>
          <w:szCs w:val="18"/>
        </w:rPr>
        <w:t>本企业子公司的情况详见附注在子公司中的权益。</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、其他关联方情况</w:t>
      </w:r>
      <w:r>
        <w:rPr>
          <w:rFonts w:ascii="宋体" w:hAnsi="宋体" w:cs="宋体" w:eastAsia="宋体" w:hint="default"/>
          <w:sz w:val="21"/>
          <w:szCs w:val="21"/>
        </w:rPr>
      </w:r>
    </w:p>
    <w:p>
      <w:pPr>
        <w:spacing w:line="240" w:lineRule="auto" w:before="8"/>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399"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北京天健源达科技有限公司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不具有控制、共同控制或重大影响的其他关联方</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重庆小爱科技有限公司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不具有控制、共同控制或重大影响的其他关联方</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18"/>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、关联交易情况</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）购销商品、提供和接受劳务的关联交易</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接受劳务情况表</w:t>
      </w:r>
    </w:p>
    <w:p>
      <w:pPr>
        <w:spacing w:before="10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41"/>
        <w:gridCol w:w="1455"/>
        <w:gridCol w:w="1452"/>
        <w:gridCol w:w="1709"/>
        <w:gridCol w:w="1707"/>
        <w:gridCol w:w="1706"/>
      </w:tblGrid>
      <w:tr>
        <w:trPr>
          <w:trHeight w:val="403" w:hRule="exact"/>
        </w:trPr>
        <w:tc>
          <w:tcPr>
            <w:tcW w:w="15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8"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9"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3"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北京通通易联科技 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52" w:type="dxa"/>
            <w:tcBorders>
              <w:top w:val="single" w:sz="4" w:space="0" w:color="000000"/>
              <w:left w:val="single" w:sz="4" w:space="0" w:color="000000"/>
              <w:bottom w:val="single" w:sz="4" w:space="0" w:color="000000"/>
              <w:right w:val="single" w:sz="4" w:space="0" w:color="000000"/>
            </w:tcBorders>
          </w:tcPr>
          <w:p>
            <w:pPr/>
          </w:p>
        </w:tc>
        <w:tc>
          <w:tcPr>
            <w:tcW w:w="1709"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5,088,464.51</w:t>
            </w:r>
          </w:p>
        </w:tc>
      </w:tr>
      <w:tr>
        <w:trPr>
          <w:trHeight w:val="716"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北京通通易联科技 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452" w:type="dxa"/>
            <w:tcBorders>
              <w:top w:val="single" w:sz="4" w:space="0" w:color="000000"/>
              <w:left w:val="single" w:sz="4" w:space="0" w:color="000000"/>
              <w:bottom w:val="single" w:sz="4" w:space="0" w:color="000000"/>
              <w:right w:val="single" w:sz="4" w:space="0" w:color="000000"/>
            </w:tcBorders>
          </w:tcPr>
          <w:p>
            <w:pPr/>
          </w:p>
        </w:tc>
        <w:tc>
          <w:tcPr>
            <w:tcW w:w="1709"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1,228,252.65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41"/>
        <w:gridCol w:w="1455"/>
        <w:gridCol w:w="1452"/>
        <w:gridCol w:w="1709"/>
        <w:gridCol w:w="1707"/>
        <w:gridCol w:w="1706"/>
      </w:tblGrid>
      <w:tr>
        <w:trPr>
          <w:trHeight w:val="716" w:hRule="exact"/>
        </w:trPr>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北京天健源达科技 股份有限公司</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452" w:type="dxa"/>
            <w:tcBorders>
              <w:top w:val="single" w:sz="4" w:space="0" w:color="000000"/>
              <w:left w:val="single" w:sz="4" w:space="0" w:color="000000"/>
              <w:bottom w:val="single" w:sz="4" w:space="0" w:color="000000"/>
              <w:right w:val="single" w:sz="4" w:space="0" w:color="000000"/>
            </w:tcBorders>
          </w:tcPr>
          <w:p>
            <w:pPr/>
          </w:p>
        </w:tc>
        <w:tc>
          <w:tcPr>
            <w:tcW w:w="1709"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29" w:right="0"/>
              <w:jc w:val="left"/>
              <w:rPr>
                <w:rFonts w:ascii="Times New Roman" w:hAnsi="Times New Roman" w:cs="Times New Roman" w:eastAsia="Times New Roman" w:hint="default"/>
                <w:sz w:val="18"/>
                <w:szCs w:val="18"/>
              </w:rPr>
            </w:pPr>
            <w:r>
              <w:rPr>
                <w:rFonts w:ascii="Times New Roman"/>
                <w:sz w:val="18"/>
              </w:rPr>
              <w:t>5,180,000.00</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出售商品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提供劳务情况表</w:t>
      </w:r>
    </w:p>
    <w:p>
      <w:pPr>
        <w:spacing w:before="101"/>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8"/>
        <w:gridCol w:w="2259"/>
        <w:gridCol w:w="2259"/>
        <w:gridCol w:w="2655"/>
      </w:tblGrid>
      <w:tr>
        <w:trPr>
          <w:trHeight w:val="401" w:hRule="exact"/>
        </w:trPr>
        <w:tc>
          <w:tcPr>
            <w:tcW w:w="23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86"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7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7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北京通通易联科技有限公司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出售商品</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16,773,590.28</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35,829,812.33</w:t>
            </w:r>
          </w:p>
        </w:tc>
      </w:tr>
      <w:tr>
        <w:trPr>
          <w:trHeight w:val="401"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北京通通易联科技有限公司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10,799,433.97</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3,300,000.00</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购销商品、提供和接受劳务的关联交易说明</w:t>
      </w:r>
    </w:p>
    <w:p>
      <w:pPr>
        <w:spacing w:line="240" w:lineRule="auto" w:before="0"/>
        <w:rPr>
          <w:rFonts w:ascii="宋体" w:hAnsi="宋体" w:cs="宋体" w:eastAsia="宋体" w:hint="default"/>
          <w:sz w:val="18"/>
          <w:szCs w:val="18"/>
        </w:rPr>
      </w:pPr>
    </w:p>
    <w:p>
      <w:pPr>
        <w:spacing w:before="121"/>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）关联租赁情况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宋体" w:hAnsi="宋体" w:cs="宋体" w:eastAsia="宋体" w:hint="default"/>
          <w:sz w:val="18"/>
          <w:szCs w:val="18"/>
        </w:rPr>
        <w:t>本公司作为出租方：</w:t>
      </w:r>
    </w:p>
    <w:p>
      <w:pPr>
        <w:spacing w:before="115"/>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9"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3"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1"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北京通通易联科技有限公司</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经营租赁资产</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550" w:right="0"/>
              <w:jc w:val="left"/>
              <w:rPr>
                <w:rFonts w:ascii="Times New Roman" w:hAnsi="Times New Roman" w:cs="Times New Roman" w:eastAsia="Times New Roman" w:hint="default"/>
                <w:sz w:val="18"/>
                <w:szCs w:val="18"/>
              </w:rPr>
            </w:pPr>
            <w:r>
              <w:rPr>
                <w:rFonts w:ascii="Times New Roman"/>
                <w:sz w:val="18"/>
              </w:rPr>
              <w:t>157,090.91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141,587.45</w:t>
            </w:r>
          </w:p>
        </w:tc>
      </w:tr>
      <w:tr>
        <w:trPr>
          <w:trHeight w:val="715"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2"/>
              <w:jc w:val="left"/>
              <w:rPr>
                <w:rFonts w:ascii="宋体" w:hAnsi="宋体" w:cs="宋体" w:eastAsia="宋体" w:hint="default"/>
                <w:sz w:val="18"/>
                <w:szCs w:val="18"/>
              </w:rPr>
            </w:pPr>
            <w:r>
              <w:rPr>
                <w:rFonts w:ascii="宋体" w:hAnsi="宋体" w:cs="宋体" w:eastAsia="宋体" w:hint="default"/>
                <w:sz w:val="18"/>
                <w:szCs w:val="18"/>
              </w:rPr>
              <w:t>北京天健源达科技股份有限 公司</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4,821.62</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本公司作为承租方：</w:t>
      </w:r>
    </w:p>
    <w:p>
      <w:pPr>
        <w:spacing w:before="115"/>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0"/>
        <w:gridCol w:w="2395"/>
        <w:gridCol w:w="2392"/>
        <w:gridCol w:w="2381"/>
      </w:tblGrid>
      <w:tr>
        <w:trPr>
          <w:trHeight w:val="401"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0"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2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3"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9" w:right="0"/>
              <w:jc w:val="left"/>
              <w:rPr>
                <w:rFonts w:ascii="宋体" w:hAnsi="宋体" w:cs="宋体" w:eastAsia="宋体" w:hint="default"/>
                <w:sz w:val="18"/>
                <w:szCs w:val="18"/>
              </w:rPr>
            </w:pPr>
            <w:r>
              <w:rPr>
                <w:rFonts w:ascii="宋体" w:hAnsi="宋体" w:cs="宋体" w:eastAsia="宋体" w:hint="default"/>
                <w:sz w:val="18"/>
                <w:szCs w:val="18"/>
              </w:rPr>
              <w:t>本期确认的租赁费</w:t>
            </w:r>
          </w:p>
        </w:tc>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0" w:right="0"/>
              <w:jc w:val="left"/>
              <w:rPr>
                <w:rFonts w:ascii="宋体" w:hAnsi="宋体" w:cs="宋体" w:eastAsia="宋体" w:hint="default"/>
                <w:sz w:val="18"/>
                <w:szCs w:val="18"/>
              </w:rPr>
            </w:pPr>
            <w:r>
              <w:rPr>
                <w:rFonts w:ascii="宋体" w:hAnsi="宋体" w:cs="宋体" w:eastAsia="宋体" w:hint="default"/>
                <w:sz w:val="18"/>
                <w:szCs w:val="18"/>
              </w:rPr>
              <w:t>上期确认的租赁费</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关联租赁情况说明</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）关联担保情况</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宋体" w:hAnsi="宋体" w:cs="宋体" w:eastAsia="宋体" w:hint="default"/>
          <w:sz w:val="18"/>
          <w:szCs w:val="18"/>
        </w:rPr>
        <w:t>本公司作为担保方</w:t>
      </w:r>
    </w:p>
    <w:p>
      <w:pPr>
        <w:spacing w:before="117"/>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880"/>
        <w:gridCol w:w="1949"/>
        <w:gridCol w:w="1916"/>
      </w:tblGrid>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被担保方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担保金额</w:t>
            </w:r>
          </w:p>
        </w:tc>
        <w:tc>
          <w:tcPr>
            <w:tcW w:w="18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 w:right="0"/>
              <w:jc w:val="center"/>
              <w:rPr>
                <w:rFonts w:ascii="宋体" w:hAnsi="宋体" w:cs="宋体" w:eastAsia="宋体" w:hint="default"/>
                <w:sz w:val="18"/>
                <w:szCs w:val="18"/>
              </w:rPr>
            </w:pPr>
            <w:r>
              <w:rPr>
                <w:rFonts w:ascii="宋体" w:hAnsi="宋体" w:cs="宋体" w:eastAsia="宋体" w:hint="default"/>
                <w:sz w:val="18"/>
                <w:szCs w:val="18"/>
              </w:rPr>
              <w:t>担保起始日</w:t>
            </w:r>
          </w:p>
        </w:tc>
        <w:tc>
          <w:tcPr>
            <w:tcW w:w="19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5" w:right="0"/>
              <w:jc w:val="center"/>
              <w:rPr>
                <w:rFonts w:ascii="宋体" w:hAnsi="宋体" w:cs="宋体" w:eastAsia="宋体" w:hint="default"/>
                <w:sz w:val="18"/>
                <w:szCs w:val="18"/>
              </w:rPr>
            </w:pPr>
            <w:r>
              <w:rPr>
                <w:rFonts w:ascii="宋体" w:hAnsi="宋体" w:cs="宋体" w:eastAsia="宋体" w:hint="default"/>
                <w:sz w:val="18"/>
                <w:szCs w:val="18"/>
              </w:rPr>
              <w:t>担保到期日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716"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北京数字智通科技有限 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Garamond" w:hAnsi="Garamond" w:cs="Garamond" w:eastAsia="Garamond" w:hint="default"/>
                <w:sz w:val="18"/>
                <w:szCs w:val="18"/>
              </w:rPr>
            </w:pPr>
            <w:r>
              <w:rPr>
                <w:rFonts w:ascii="Garamond"/>
                <w:sz w:val="18"/>
              </w:rPr>
              <w:t>12,000,000.00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36"/>
              <w:jc w:val="center"/>
              <w:rPr>
                <w:rFonts w:ascii="Garamond" w:hAnsi="Garamond" w:cs="Garamond" w:eastAsia="Garamond" w:hint="default"/>
                <w:sz w:val="18"/>
                <w:szCs w:val="18"/>
              </w:rPr>
            </w:pPr>
            <w:r>
              <w:rPr>
                <w:rFonts w:ascii="Garamond"/>
                <w:sz w:val="18"/>
              </w:rPr>
              <w:t>2018/4/19</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33"/>
              <w:jc w:val="center"/>
              <w:rPr>
                <w:rFonts w:ascii="Garamond" w:hAnsi="Garamond" w:cs="Garamond" w:eastAsia="Garamond" w:hint="default"/>
                <w:sz w:val="18"/>
                <w:szCs w:val="18"/>
              </w:rPr>
            </w:pPr>
            <w:r>
              <w:rPr>
                <w:rFonts w:ascii="Garamond"/>
                <w:sz w:val="18"/>
              </w:rPr>
              <w:t>2019/4/19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北京数字智通科技有限 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Garamond" w:hAnsi="Garamond" w:cs="Garamond" w:eastAsia="Garamond" w:hint="default"/>
                <w:sz w:val="18"/>
                <w:szCs w:val="18"/>
              </w:rPr>
            </w:pPr>
            <w:r>
              <w:rPr>
                <w:rFonts w:ascii="Garamond"/>
                <w:sz w:val="18"/>
              </w:rPr>
              <w:t>5,000,000.00</w:t>
            </w:r>
          </w:p>
        </w:tc>
        <w:tc>
          <w:tcPr>
            <w:tcW w:w="1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36"/>
              <w:jc w:val="center"/>
              <w:rPr>
                <w:rFonts w:ascii="Garamond" w:hAnsi="Garamond" w:cs="Garamond" w:eastAsia="Garamond" w:hint="default"/>
                <w:sz w:val="18"/>
                <w:szCs w:val="18"/>
              </w:rPr>
            </w:pPr>
            <w:r>
              <w:rPr>
                <w:rFonts w:ascii="Garamond"/>
                <w:sz w:val="18"/>
              </w:rPr>
              <w:t>2018/7/10</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33"/>
              <w:jc w:val="center"/>
              <w:rPr>
                <w:rFonts w:ascii="Garamond" w:hAnsi="Garamond" w:cs="Garamond" w:eastAsia="Garamond" w:hint="default"/>
                <w:sz w:val="18"/>
                <w:szCs w:val="18"/>
              </w:rPr>
            </w:pPr>
            <w:r>
              <w:rPr>
                <w:rFonts w:ascii="Garamond"/>
                <w:sz w:val="18"/>
              </w:rPr>
              <w:t>2019/7/10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本公司作为被担保方</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、关联方应收应付款项</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）应收项目</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5"/>
        <w:gridCol w:w="1594"/>
        <w:gridCol w:w="3190"/>
        <w:gridCol w:w="3177"/>
      </w:tblGrid>
      <w:tr>
        <w:trPr>
          <w:trHeight w:val="401"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3"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1"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北京通通易联科技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48,437,414.98</w:t>
            </w:r>
          </w:p>
        </w:tc>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26,337,040.95</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北京天健源达科技 股份有限公司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4,790,166.48</w:t>
            </w:r>
          </w:p>
        </w:tc>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5,728,371.79</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北京通通易联科技 有限公司</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1,253,580.33</w:t>
            </w:r>
          </w:p>
        </w:tc>
        <w:tc>
          <w:tcPr>
            <w:tcW w:w="159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）应付项目</w:t>
      </w:r>
      <w:r>
        <w:rPr>
          <w:rFonts w:ascii="宋体" w:hAnsi="宋体" w:cs="宋体" w:eastAsia="宋体" w:hint="default"/>
          <w:sz w:val="21"/>
          <w:szCs w:val="21"/>
        </w:rPr>
      </w:r>
    </w:p>
    <w:p>
      <w:pPr>
        <w:spacing w:line="240" w:lineRule="auto" w:before="13"/>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1"/>
        <w:gridCol w:w="2393"/>
        <w:gridCol w:w="2393"/>
        <w:gridCol w:w="2393"/>
      </w:tblGrid>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北京通通易联科技有限公司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1,228,252.65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4" w:right="0"/>
              <w:jc w:val="left"/>
              <w:rPr>
                <w:rFonts w:ascii="Times New Roman" w:hAnsi="Times New Roman" w:cs="Times New Roman" w:eastAsia="Times New Roman" w:hint="default"/>
                <w:sz w:val="18"/>
                <w:szCs w:val="18"/>
              </w:rPr>
            </w:pPr>
            <w:r>
              <w:rPr>
                <w:rFonts w:ascii="Times New Roman"/>
                <w:sz w:val="18"/>
              </w:rPr>
              <w:t>1,228,252.65</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北京通通易联科技有限公司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40,000.00</w:t>
            </w:r>
          </w:p>
        </w:tc>
        <w:tc>
          <w:tcPr>
            <w:tcW w:w="239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
        <w:rPr>
          <w:rFonts w:ascii="宋体" w:hAnsi="宋体" w:cs="宋体" w:eastAsia="宋体" w:hint="default"/>
          <w:sz w:val="18"/>
          <w:szCs w:val="18"/>
        </w:rPr>
      </w:pPr>
    </w:p>
    <w:p>
      <w:pPr>
        <w:pStyle w:val="Heading2"/>
        <w:spacing w:line="240" w:lineRule="auto" w:before="26"/>
        <w:ind w:right="982"/>
        <w:jc w:val="left"/>
        <w:rPr>
          <w:b w:val="0"/>
          <w:bCs w:val="0"/>
        </w:rPr>
      </w:pPr>
      <w:r>
        <w:rPr/>
        <w:t>十二、股份支付</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、股份支付总体情况</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5455"/>
        <w:gridCol w:w="4114"/>
      </w:tblGrid>
      <w:tr>
        <w:trPr>
          <w:trHeight w:val="403"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3,088,200.00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286,000.00</w:t>
            </w:r>
          </w:p>
        </w:tc>
      </w:tr>
      <w:tr>
        <w:trPr>
          <w:trHeight w:val="2900"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0"/>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公司期末发行在外的其他权益工具行权价格的范围和合同剩余期限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 </w:t>
            </w:r>
            <w:r>
              <w:rPr>
                <w:rFonts w:ascii="Times New Roman" w:hAnsi="Times New Roman" w:cs="Times New Roman" w:eastAsia="Times New Roman" w:hint="default"/>
                <w:sz w:val="18"/>
                <w:szCs w:val="18"/>
              </w:rPr>
              <w:t>5  </w:t>
            </w:r>
            <w:r>
              <w:rPr>
                <w:rFonts w:ascii="宋体" w:hAnsi="宋体" w:cs="宋体" w:eastAsia="宋体" w:hint="default"/>
                <w:sz w:val="18"/>
                <w:szCs w:val="18"/>
              </w:rPr>
              <w:t>月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日授予限制性股票行权价格为</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10.37  </w:t>
            </w:r>
            <w:r>
              <w:rPr>
                <w:rFonts w:ascii="宋体" w:hAnsi="宋体" w:cs="宋体" w:eastAsia="宋体" w:hint="default"/>
                <w:sz w:val="18"/>
                <w:szCs w:val="18"/>
              </w:rPr>
              <w:t>元，合同剩余期限为 </w:t>
            </w:r>
            <w:r>
              <w:rPr>
                <w:rFonts w:ascii="Times New Roman" w:hAnsi="Times New Roman" w:cs="Times New Roman" w:eastAsia="Times New Roman" w:hint="default"/>
                <w:sz w:val="18"/>
                <w:szCs w:val="18"/>
              </w:rPr>
              <w:t>4 </w:t>
            </w:r>
            <w:r>
              <w:rPr>
                <w:rFonts w:ascii="宋体" w:hAnsi="宋体" w:cs="宋体" w:eastAsia="宋体" w:hint="default"/>
                <w:sz w:val="18"/>
                <w:szCs w:val="18"/>
              </w:rPr>
              <w:t>个月；</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 </w:t>
            </w:r>
            <w:r>
              <w:rPr>
                <w:rFonts w:ascii="Times New Roman" w:hAnsi="Times New Roman" w:cs="Times New Roman" w:eastAsia="Times New Roman" w:hint="default"/>
                <w:spacing w:val="-5"/>
                <w:sz w:val="18"/>
                <w:szCs w:val="18"/>
              </w:rPr>
              <w:t>11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日授予限制性股票行权价格为 </w:t>
            </w:r>
            <w:r>
              <w:rPr>
                <w:rFonts w:ascii="Times New Roman" w:hAnsi="Times New Roman" w:cs="Times New Roman" w:eastAsia="Times New Roman" w:hint="default"/>
                <w:sz w:val="18"/>
                <w:szCs w:val="18"/>
              </w:rPr>
              <w:t>11.26</w:t>
            </w:r>
            <w:r>
              <w:rPr>
                <w:rFonts w:ascii="Times New Roman" w:hAnsi="Times New Roman" w:cs="Times New Roman" w:eastAsia="Times New Roman" w:hint="default"/>
                <w:spacing w:val="41"/>
                <w:sz w:val="18"/>
                <w:szCs w:val="18"/>
              </w:rPr>
              <w:t> </w:t>
            </w:r>
            <w:r>
              <w:rPr>
                <w:rFonts w:ascii="宋体" w:hAnsi="宋体" w:cs="宋体" w:eastAsia="宋体" w:hint="default"/>
                <w:spacing w:val="-7"/>
                <w:sz w:val="18"/>
                <w:szCs w:val="18"/>
              </w:rPr>
              <w:t>元，合同剩</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余期限为</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z w:val="18"/>
                <w:szCs w:val="18"/>
              </w:rPr>
              <w:t> </w:t>
            </w:r>
            <w:r>
              <w:rPr>
                <w:rFonts w:ascii="宋体" w:hAnsi="宋体" w:cs="宋体" w:eastAsia="宋体" w:hint="default"/>
                <w:spacing w:val="-5"/>
                <w:sz w:val="18"/>
                <w:szCs w:val="18"/>
              </w:rPr>
              <w:t>个月；</w:t>
            </w:r>
            <w:r>
              <w:rPr>
                <w:rFonts w:ascii="Times New Roman" w:hAnsi="Times New Roman" w:cs="Times New Roman" w:eastAsia="Times New Roman" w:hint="default"/>
                <w:spacing w:val="-5"/>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日授予限制性股</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630.00 </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万股，每股行权价格为</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5.60</w:t>
            </w:r>
            <w:r>
              <w:rPr>
                <w:rFonts w:ascii="Times New Roman" w:hAnsi="Times New Roman" w:cs="Times New Roman" w:eastAsia="Times New Roman" w:hint="default"/>
                <w:spacing w:val="3"/>
                <w:sz w:val="18"/>
                <w:szCs w:val="18"/>
              </w:rPr>
              <w:t> </w:t>
            </w:r>
            <w:r>
              <w:rPr>
                <w:rFonts w:ascii="宋体" w:hAnsi="宋体" w:cs="宋体" w:eastAsia="宋体" w:hint="default"/>
                <w:spacing w:val="-4"/>
                <w:sz w:val="18"/>
                <w:szCs w:val="18"/>
              </w:rPr>
              <w:t>元，合同剩余</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期限为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个月。在授予日之后的资金缴纳、股份登</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记过程中</w:t>
            </w:r>
            <w:r>
              <w:rPr>
                <w:rFonts w:ascii="宋体" w:hAnsi="宋体" w:cs="宋体" w:eastAsia="宋体" w:hint="default"/>
                <w:spacing w:val="-75"/>
                <w:sz w:val="18"/>
                <w:szCs w:val="18"/>
              </w:rPr>
              <w:t>，</w:t>
            </w:r>
            <w:r>
              <w:rPr>
                <w:rFonts w:ascii="宋体" w:hAnsi="宋体" w:cs="宋体" w:eastAsia="宋体" w:hint="default"/>
                <w:sz w:val="18"/>
                <w:szCs w:val="18"/>
              </w:rPr>
              <w:t>有</w:t>
            </w:r>
            <w:r>
              <w:rPr>
                <w:rFonts w:ascii="宋体" w:hAnsi="宋体" w:cs="宋体" w:eastAsia="宋体" w:hint="default"/>
                <w:spacing w:val="1"/>
                <w:sz w:val="18"/>
                <w:szCs w:val="18"/>
              </w:rPr>
              <w:t> </w:t>
            </w:r>
            <w:r>
              <w:rPr>
                <w:rFonts w:ascii="Times New Roman" w:hAnsi="Times New Roman" w:cs="Times New Roman" w:eastAsia="Times New Roman" w:hint="default"/>
                <w:spacing w:val="-9"/>
                <w:sz w:val="18"/>
                <w:szCs w:val="18"/>
              </w:rPr>
              <w:t>1</w:t>
            </w: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名激励对象</w:t>
            </w:r>
            <w:r>
              <w:rPr>
                <w:rFonts w:ascii="宋体" w:hAnsi="宋体" w:cs="宋体" w:eastAsia="宋体" w:hint="default"/>
                <w:spacing w:val="-3"/>
                <w:sz w:val="18"/>
                <w:szCs w:val="18"/>
              </w:rPr>
              <w:t>因</w:t>
            </w:r>
            <w:r>
              <w:rPr>
                <w:rFonts w:ascii="宋体" w:hAnsi="宋体" w:cs="宋体" w:eastAsia="宋体" w:hint="default"/>
                <w:sz w:val="18"/>
                <w:szCs w:val="18"/>
              </w:rPr>
              <w:t>个人原因自动放弃认</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购其对应的限制性股票 </w:t>
            </w:r>
            <w:r>
              <w:rPr>
                <w:rFonts w:ascii="Times New Roman" w:hAnsi="Times New Roman" w:cs="Times New Roman" w:eastAsia="Times New Roman" w:hint="default"/>
                <w:sz w:val="18"/>
                <w:szCs w:val="18"/>
              </w:rPr>
              <w:t>26.00</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万股，实际授予数量</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为 </w:t>
            </w:r>
            <w:r>
              <w:rPr>
                <w:rFonts w:ascii="Times New Roman" w:hAnsi="Times New Roman" w:cs="Times New Roman" w:eastAsia="Times New Roman" w:hint="default"/>
                <w:sz w:val="18"/>
                <w:szCs w:val="18"/>
              </w:rPr>
              <w:t>604.00  </w:t>
            </w:r>
            <w:r>
              <w:rPr>
                <w:rFonts w:ascii="宋体" w:hAnsi="宋体" w:cs="宋体" w:eastAsia="宋体" w:hint="default"/>
                <w:sz w:val="18"/>
                <w:szCs w:val="18"/>
              </w:rPr>
              <w:t>万股</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pStyle w:val="BodyText"/>
        <w:spacing w:line="240" w:lineRule="auto" w:before="145"/>
        <w:ind w:left="633" w:right="982"/>
        <w:jc w:val="left"/>
        <w:rPr>
          <w:rFonts w:ascii="宋体" w:hAnsi="宋体" w:cs="宋体" w:eastAsia="宋体" w:hint="default"/>
        </w:rPr>
      </w:pPr>
      <w:r>
        <w:rPr>
          <w:rFonts w:ascii="宋体" w:hAnsi="宋体" w:cs="宋体" w:eastAsia="宋体" w:hint="default"/>
        </w:rPr>
        <w:t>2016</w:t>
      </w:r>
      <w:r>
        <w:rPr>
          <w:rFonts w:ascii="宋体" w:hAnsi="宋体" w:cs="宋体" w:eastAsia="宋体" w:hint="default"/>
          <w:spacing w:val="-1"/>
        </w:rPr>
        <w:t> </w:t>
      </w:r>
      <w:r>
        <w:rPr/>
        <w:t>年 </w:t>
      </w:r>
      <w:r>
        <w:rPr>
          <w:rFonts w:ascii="宋体" w:hAnsi="宋体" w:cs="宋体" w:eastAsia="宋体" w:hint="default"/>
        </w:rPr>
        <w:t>5 </w:t>
      </w:r>
      <w:r>
        <w:rPr/>
        <w:t>月 </w:t>
      </w:r>
      <w:r>
        <w:rPr>
          <w:rFonts w:ascii="宋体" w:hAnsi="宋体" w:cs="宋体" w:eastAsia="宋体" w:hint="default"/>
        </w:rPr>
        <w:t>3 </w:t>
      </w:r>
      <w:r>
        <w:rPr/>
        <w:t>日授予限制性股票行权价格为</w:t>
      </w:r>
      <w:r>
        <w:rPr>
          <w:spacing w:val="1"/>
        </w:rPr>
        <w:t> </w:t>
      </w:r>
      <w:r>
        <w:rPr>
          <w:rFonts w:ascii="宋体" w:hAnsi="宋体" w:cs="宋体" w:eastAsia="宋体" w:hint="default"/>
        </w:rPr>
        <w:t>10.37 </w:t>
      </w:r>
      <w:r>
        <w:rPr/>
        <w:t>元</w:t>
      </w:r>
      <w:r>
        <w:rPr>
          <w:spacing w:val="-101"/>
        </w:rPr>
        <w:t>，</w:t>
      </w:r>
      <w:r>
        <w:rPr/>
        <w:t>合同剩余期限为 </w:t>
      </w:r>
      <w:r>
        <w:rPr>
          <w:rFonts w:ascii="宋体" w:hAnsi="宋体" w:cs="宋体" w:eastAsia="宋体" w:hint="default"/>
        </w:rPr>
        <w:t>4</w:t>
      </w:r>
      <w:r>
        <w:rPr/>
        <w:t>个月</w:t>
      </w:r>
      <w:r>
        <w:rPr>
          <w:spacing w:val="-101"/>
        </w:rPr>
        <w:t>；</w:t>
      </w:r>
      <w:r>
        <w:rPr>
          <w:rFonts w:ascii="宋体" w:hAnsi="宋体" w:cs="宋体" w:eastAsia="宋体" w:hint="default"/>
        </w:rPr>
        <w:t>2016</w:t>
      </w:r>
    </w:p>
    <w:p>
      <w:pPr>
        <w:pStyle w:val="BodyText"/>
        <w:spacing w:line="240" w:lineRule="auto" w:before="154"/>
        <w:ind w:right="982"/>
        <w:jc w:val="left"/>
        <w:rPr>
          <w:rFonts w:ascii="宋体" w:hAnsi="宋体" w:cs="宋体" w:eastAsia="宋体" w:hint="default"/>
        </w:rPr>
      </w:pPr>
      <w:r>
        <w:rPr/>
        <w:t>年 </w:t>
      </w:r>
      <w:r>
        <w:rPr>
          <w:rFonts w:ascii="宋体" w:hAnsi="宋体" w:cs="宋体" w:eastAsia="宋体" w:hint="default"/>
        </w:rPr>
        <w:t>11 </w:t>
      </w:r>
      <w:r>
        <w:rPr/>
        <w:t>月 </w:t>
      </w:r>
      <w:r>
        <w:rPr>
          <w:rFonts w:ascii="宋体" w:hAnsi="宋体" w:cs="宋体" w:eastAsia="宋体" w:hint="default"/>
        </w:rPr>
        <w:t>10 </w:t>
      </w:r>
      <w:r>
        <w:rPr/>
        <w:t>日授予限制性股票行权价格为 </w:t>
      </w:r>
      <w:r>
        <w:rPr>
          <w:rFonts w:ascii="宋体" w:hAnsi="宋体" w:cs="宋体" w:eastAsia="宋体" w:hint="default"/>
        </w:rPr>
        <w:t>11.26 </w:t>
      </w:r>
      <w:r>
        <w:rPr/>
        <w:t>元，合同剩余期限为</w:t>
      </w:r>
      <w:r>
        <w:rPr>
          <w:rFonts w:ascii="宋体" w:hAnsi="宋体" w:cs="宋体" w:eastAsia="宋体" w:hint="default"/>
        </w:rPr>
        <w:t>11</w:t>
      </w:r>
      <w:r>
        <w:rPr/>
        <w:t>个月；公司</w:t>
      </w:r>
      <w:r>
        <w:rPr>
          <w:spacing w:val="30"/>
        </w:rPr>
        <w:t> </w:t>
      </w:r>
      <w:r>
        <w:rPr>
          <w:rFonts w:ascii="宋体" w:hAnsi="宋体" w:cs="宋体" w:eastAsia="宋体" w:hint="default"/>
        </w:rPr>
        <w:t>2018</w:t>
      </w:r>
    </w:p>
    <w:p>
      <w:pPr>
        <w:pStyle w:val="BodyText"/>
        <w:spacing w:line="240" w:lineRule="auto" w:before="154"/>
        <w:ind w:right="982"/>
        <w:jc w:val="left"/>
      </w:pPr>
      <w:r>
        <w:rPr>
          <w:spacing w:val="-3"/>
        </w:rPr>
        <w:t>年经营业绩未能达到限制性股票第三个解锁期的解锁条件；同时 </w:t>
      </w:r>
      <w:r>
        <w:rPr>
          <w:rFonts w:ascii="宋体" w:hAnsi="宋体" w:cs="宋体" w:eastAsia="宋体" w:hint="default"/>
        </w:rPr>
        <w:t>9</w:t>
      </w:r>
      <w:r>
        <w:rPr>
          <w:rFonts w:ascii="宋体" w:hAnsi="宋体" w:cs="宋体" w:eastAsia="宋体" w:hint="default"/>
          <w:spacing w:val="6"/>
        </w:rPr>
        <w:t> </w:t>
      </w:r>
      <w:r>
        <w:rPr/>
        <w:t>名激励对象因个人原因离</w:t>
      </w:r>
    </w:p>
    <w:p>
      <w:pPr>
        <w:pStyle w:val="BodyText"/>
        <w:spacing w:line="240" w:lineRule="auto" w:before="154"/>
        <w:ind w:right="982"/>
        <w:jc w:val="left"/>
      </w:pPr>
      <w:r>
        <w:rPr/>
        <w:t>职，已不符合激励对象条件。因此，公司将回购注销第三期的全部限制性股票 </w:t>
      </w:r>
      <w:r>
        <w:rPr>
          <w:rFonts w:ascii="宋体" w:hAnsi="宋体" w:cs="宋体" w:eastAsia="宋体" w:hint="default"/>
        </w:rPr>
        <w:t>371.28</w:t>
      </w:r>
      <w:r>
        <w:rPr>
          <w:rFonts w:ascii="宋体" w:hAnsi="宋体" w:cs="宋体" w:eastAsia="宋体" w:hint="default"/>
          <w:spacing w:val="32"/>
        </w:rPr>
        <w:t> </w:t>
      </w:r>
      <w:r>
        <w:rPr/>
        <w:t>万股</w:t>
      </w:r>
    </w:p>
    <w:p>
      <w:pPr>
        <w:spacing w:after="0" w:line="240" w:lineRule="auto"/>
        <w:jc w:val="left"/>
        <w:sectPr>
          <w:pgSz w:w="11910" w:h="16840"/>
          <w:pgMar w:header="745" w:footer="979" w:top="1060" w:bottom="1160" w:left="980" w:right="0"/>
        </w:sectPr>
      </w:pPr>
    </w:p>
    <w:p>
      <w:pPr>
        <w:spacing w:line="240" w:lineRule="auto" w:before="7"/>
        <w:rPr>
          <w:rFonts w:ascii="宋体" w:hAnsi="宋体" w:cs="宋体" w:eastAsia="宋体" w:hint="default"/>
          <w:sz w:val="29"/>
          <w:szCs w:val="29"/>
        </w:rPr>
      </w:pPr>
    </w:p>
    <w:p>
      <w:pPr>
        <w:pStyle w:val="BodyText"/>
        <w:spacing w:line="357" w:lineRule="auto" w:before="26"/>
        <w:ind w:right="1121"/>
        <w:jc w:val="left"/>
      </w:pPr>
      <w:r>
        <w:rPr/>
        <w:t>和已离职激励对象尚未解锁的限制性股票 </w:t>
      </w:r>
      <w:r>
        <w:rPr>
          <w:rFonts w:ascii="宋体" w:hAnsi="宋体" w:cs="宋体" w:eastAsia="宋体" w:hint="default"/>
        </w:rPr>
        <w:t>11.55 </w:t>
      </w:r>
      <w:r>
        <w:rPr/>
        <w:t>万股，回购注销股票共计</w:t>
      </w:r>
      <w:r>
        <w:rPr>
          <w:rFonts w:ascii="宋体" w:hAnsi="宋体" w:cs="宋体" w:eastAsia="宋体" w:hint="default"/>
        </w:rPr>
        <w:t>382.83</w:t>
      </w:r>
      <w:r>
        <w:rPr>
          <w:rFonts w:ascii="宋体" w:hAnsi="宋体" w:cs="宋体" w:eastAsia="宋体" w:hint="default"/>
          <w:spacing w:val="33"/>
        </w:rPr>
        <w:t> </w:t>
      </w:r>
      <w:r>
        <w:rPr/>
        <w:t>万股，本 次激励计划首批授予的限制性股票回购价格为 </w:t>
      </w:r>
      <w:r>
        <w:rPr>
          <w:rFonts w:ascii="宋体" w:hAnsi="宋体" w:cs="宋体" w:eastAsia="宋体" w:hint="default"/>
        </w:rPr>
        <w:t>10.37</w:t>
      </w:r>
      <w:r>
        <w:rPr>
          <w:rFonts w:ascii="宋体" w:hAnsi="宋体" w:cs="宋体" w:eastAsia="宋体" w:hint="default"/>
          <w:spacing w:val="32"/>
        </w:rPr>
        <w:t> </w:t>
      </w:r>
      <w:r>
        <w:rPr/>
        <w:t>元</w:t>
      </w:r>
      <w:r>
        <w:rPr>
          <w:rFonts w:ascii="宋体" w:hAnsi="宋体" w:cs="宋体" w:eastAsia="宋体" w:hint="default"/>
        </w:rPr>
        <w:t>/</w:t>
      </w:r>
      <w:r>
        <w:rPr/>
        <w:t>股，预留部分的限制性股票回购价</w:t>
      </w:r>
    </w:p>
    <w:p>
      <w:pPr>
        <w:pStyle w:val="BodyText"/>
        <w:spacing w:line="240" w:lineRule="auto"/>
        <w:ind w:right="982"/>
        <w:jc w:val="left"/>
      </w:pPr>
      <w:r>
        <w:rPr/>
        <w:t>格为 </w:t>
      </w:r>
      <w:r>
        <w:rPr>
          <w:rFonts w:ascii="宋体" w:hAnsi="宋体" w:cs="宋体" w:eastAsia="宋体" w:hint="default"/>
        </w:rPr>
        <w:t>11.26 </w:t>
      </w:r>
      <w:r>
        <w:rPr/>
        <w:t>元</w:t>
      </w:r>
      <w:r>
        <w:rPr>
          <w:rFonts w:ascii="宋体" w:hAnsi="宋体" w:cs="宋体" w:eastAsia="宋体" w:hint="default"/>
        </w:rPr>
        <w:t>/</w:t>
      </w:r>
      <w:r>
        <w:rPr/>
        <w:t>股，回购总金额为 </w:t>
      </w:r>
      <w:r>
        <w:rPr>
          <w:rFonts w:ascii="宋体" w:hAnsi="宋体" w:cs="宋体" w:eastAsia="宋体" w:hint="default"/>
        </w:rPr>
        <w:t>40,103,798</w:t>
      </w:r>
      <w:r>
        <w:rPr>
          <w:rFonts w:ascii="宋体" w:hAnsi="宋体" w:cs="宋体" w:eastAsia="宋体" w:hint="default"/>
          <w:spacing w:val="-1"/>
        </w:rPr>
        <w:t> </w:t>
      </w:r>
      <w:r>
        <w:rPr/>
        <w:t>元。</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30"/>
          <w:szCs w:val="30"/>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、以权益结算的股份支付情况</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1"/>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2"/>
        <w:gridCol w:w="4587"/>
      </w:tblGrid>
      <w:tr>
        <w:trPr>
          <w:trHeight w:val="403"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Black-Scholes</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模型</w:t>
            </w:r>
          </w:p>
        </w:tc>
      </w:tr>
      <w:tr>
        <w:trPr>
          <w:trHeight w:val="714"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0"/>
              <w:ind w:left="23" w:right="51"/>
              <w:jc w:val="left"/>
              <w:rPr>
                <w:rFonts w:ascii="宋体" w:hAnsi="宋体" w:cs="宋体" w:eastAsia="宋体" w:hint="default"/>
                <w:sz w:val="18"/>
                <w:szCs w:val="18"/>
              </w:rPr>
            </w:pPr>
            <w:r>
              <w:rPr>
                <w:rFonts w:ascii="宋体" w:hAnsi="宋体" w:cs="宋体" w:eastAsia="宋体" w:hint="default"/>
                <w:sz w:val="18"/>
                <w:szCs w:val="18"/>
              </w:rPr>
              <w:t>根据最新取得的可行权人数变动、业绩指标完成情况等后 续信息，修正预计可行权的股票期权数量。</w:t>
            </w:r>
          </w:p>
        </w:tc>
      </w:tr>
      <w:tr>
        <w:trPr>
          <w:trHeight w:val="402"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22,614,637.00</w:t>
            </w:r>
          </w:p>
        </w:tc>
      </w:tr>
      <w:tr>
        <w:trPr>
          <w:trHeight w:val="403"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-6,983,263.00</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、以现金结算的股份支付情况</w:t>
      </w:r>
      <w:r>
        <w:rPr>
          <w:rFonts w:ascii="宋体" w:hAnsi="宋体" w:cs="宋体" w:eastAsia="宋体" w:hint="default"/>
          <w:sz w:val="21"/>
          <w:szCs w:val="21"/>
        </w:rPr>
      </w:r>
    </w:p>
    <w:p>
      <w:pPr>
        <w:spacing w:line="240" w:lineRule="auto" w:before="2"/>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24"/>
          <w:szCs w:val="24"/>
        </w:rPr>
      </w:pPr>
    </w:p>
    <w:p>
      <w:pPr>
        <w:pStyle w:val="Heading2"/>
        <w:spacing w:line="240" w:lineRule="auto"/>
        <w:ind w:right="982"/>
        <w:jc w:val="left"/>
        <w:rPr>
          <w:b w:val="0"/>
          <w:bCs w:val="0"/>
        </w:rPr>
      </w:pPr>
      <w:r>
        <w:rPr/>
        <w:t>十三、母公司财务报表主要项目注释</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、应收票据及应收账款</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4,948,758.55</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694,377,552.55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665,246,465.49</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699,326,311.10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665,246,465.49</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）应收票据</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应收票据分类列示</w:t>
      </w:r>
    </w:p>
    <w:p>
      <w:pPr>
        <w:spacing w:before="101"/>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4,751,750.00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197,008.55</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4,948,758.55</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10"/>
        <w:rPr>
          <w:rFonts w:ascii="宋体" w:hAnsi="宋体" w:cs="宋体" w:eastAsia="宋体" w:hint="default"/>
          <w:sz w:val="25"/>
          <w:szCs w:val="25"/>
        </w:rPr>
      </w:pPr>
    </w:p>
    <w:p>
      <w:pPr>
        <w:spacing w:before="44"/>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期末公司已质押的应收票据</w:t>
      </w:r>
    </w:p>
    <w:p>
      <w:pPr>
        <w:spacing w:before="10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期末已质押金额</w:t>
            </w:r>
          </w:p>
        </w:tc>
      </w:tr>
    </w:tbl>
    <w:p>
      <w:pPr>
        <w:spacing w:before="49"/>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期末公司已背书或贴现且在资产负债表日尚未到期的应收票据</w:t>
      </w:r>
    </w:p>
    <w:p>
      <w:pPr>
        <w:spacing w:before="101"/>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82"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1,590,000.00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1,590,000.00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应收账款分类披露</w:t>
      </w:r>
    </w:p>
    <w:p>
      <w:pPr>
        <w:spacing w:before="10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612"/>
        <w:gridCol w:w="774"/>
        <w:gridCol w:w="761"/>
        <w:gridCol w:w="763"/>
        <w:gridCol w:w="763"/>
        <w:gridCol w:w="788"/>
        <w:gridCol w:w="655"/>
        <w:gridCol w:w="761"/>
        <w:gridCol w:w="814"/>
        <w:gridCol w:w="934"/>
        <w:gridCol w:w="931"/>
      </w:tblGrid>
      <w:tr>
        <w:trPr>
          <w:trHeight w:val="396" w:hRule="exact"/>
        </w:trPr>
        <w:tc>
          <w:tcPr>
            <w:tcW w:w="1612" w:type="dxa"/>
            <w:vMerge w:val="restart"/>
            <w:tcBorders>
              <w:top w:val="single" w:sz="4" w:space="0" w:color="000000"/>
              <w:left w:val="single" w:sz="4" w:space="0" w:color="000000"/>
              <w:right w:val="single" w:sz="4" w:space="0" w:color="000000"/>
            </w:tcBorders>
            <w:shd w:val="clear" w:color="auto" w:fill="D2D2D2"/>
          </w:tcPr>
          <w:p>
            <w:pPr/>
          </w:p>
        </w:tc>
        <w:tc>
          <w:tcPr>
            <w:tcW w:w="384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12" w:type="dxa"/>
            <w:vMerge/>
            <w:tcBorders>
              <w:left w:val="single" w:sz="4" w:space="0" w:color="000000"/>
              <w:bottom w:val="nil" w:sz="6" w:space="0" w:color="auto"/>
              <w:right w:val="single" w:sz="4" w:space="0" w:color="000000"/>
            </w:tcBorders>
            <w:shd w:val="clear" w:color="auto" w:fill="D2D2D2"/>
          </w:tcPr>
          <w:p>
            <w:pPr/>
          </w:p>
        </w:tc>
        <w:tc>
          <w:tcPr>
            <w:tcW w:w="15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8"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1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42" w:hRule="exact"/>
        </w:trPr>
        <w:tc>
          <w:tcPr>
            <w:tcW w:w="161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35" w:type="dxa"/>
            <w:gridSpan w:val="2"/>
            <w:vMerge/>
            <w:tcBorders>
              <w:left w:val="single" w:sz="4" w:space="0" w:color="000000"/>
              <w:bottom w:val="single" w:sz="4" w:space="0" w:color="000000"/>
              <w:right w:val="single" w:sz="4" w:space="0" w:color="000000"/>
            </w:tcBorders>
            <w:shd w:val="clear" w:color="auto" w:fill="D2D2D2"/>
          </w:tcPr>
          <w:p>
            <w:pPr/>
          </w:p>
        </w:tc>
        <w:tc>
          <w:tcPr>
            <w:tcW w:w="1526" w:type="dxa"/>
            <w:gridSpan w:val="2"/>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8"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12" w:type="dxa"/>
            <w:vMerge/>
            <w:tcBorders>
              <w:left w:val="single" w:sz="4" w:space="0" w:color="000000"/>
              <w:bottom w:val="single" w:sz="4" w:space="0" w:color="FFFFFF"/>
              <w:right w:val="single" w:sz="4" w:space="0" w:color="000000"/>
            </w:tcBorders>
            <w:shd w:val="clear" w:color="auto" w:fill="D2D2D2"/>
          </w:tcPr>
          <w:p>
            <w:pPr/>
          </w:p>
        </w:tc>
        <w:tc>
          <w:tcPr>
            <w:tcW w:w="774"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1"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3"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1"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2" w:hRule="exact"/>
        </w:trPr>
        <w:tc>
          <w:tcPr>
            <w:tcW w:w="1612" w:type="dxa"/>
            <w:vMerge w:val="restart"/>
            <w:tcBorders>
              <w:top w:val="single" w:sz="4" w:space="0" w:color="FFFFFF"/>
              <w:left w:val="single" w:sz="4" w:space="0" w:color="000000"/>
              <w:right w:val="single" w:sz="4" w:space="0" w:color="000000"/>
            </w:tcBorders>
            <w:shd w:val="clear" w:color="auto" w:fill="D2D2D2"/>
          </w:tcPr>
          <w:p>
            <w:pPr/>
          </w:p>
        </w:tc>
        <w:tc>
          <w:tcPr>
            <w:tcW w:w="774"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vMerge/>
            <w:tcBorders>
              <w:left w:val="single" w:sz="4" w:space="0" w:color="000000"/>
              <w:right w:val="single" w:sz="4" w:space="0" w:color="000000"/>
            </w:tcBorders>
            <w:shd w:val="clear" w:color="auto" w:fill="D2D2D2"/>
          </w:tcPr>
          <w:p>
            <w:pPr/>
          </w:p>
        </w:tc>
        <w:tc>
          <w:tcPr>
            <w:tcW w:w="788" w:type="dxa"/>
            <w:vMerge/>
            <w:tcBorders>
              <w:left w:val="single" w:sz="4" w:space="0" w:color="000000"/>
              <w:bottom w:val="nil" w:sz="6" w:space="0" w:color="auto"/>
              <w:right w:val="single" w:sz="4" w:space="0" w:color="000000"/>
            </w:tcBorders>
            <w:shd w:val="clear" w:color="auto" w:fill="D2D2D2"/>
          </w:tcPr>
          <w:p>
            <w:pPr/>
          </w:p>
        </w:tc>
        <w:tc>
          <w:tcPr>
            <w:tcW w:w="65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2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12" w:type="dxa"/>
            <w:vMerge/>
            <w:tcBorders>
              <w:left w:val="single" w:sz="4" w:space="0" w:color="000000"/>
              <w:right w:val="single" w:sz="4" w:space="0" w:color="000000"/>
            </w:tcBorders>
            <w:shd w:val="clear" w:color="auto" w:fill="D2D2D2"/>
          </w:tcPr>
          <w:p>
            <w:pPr/>
          </w:p>
        </w:tc>
        <w:tc>
          <w:tcPr>
            <w:tcW w:w="774"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right w:val="single" w:sz="4" w:space="0" w:color="000000"/>
            </w:tcBorders>
            <w:shd w:val="clear" w:color="auto" w:fill="D2D2D2"/>
          </w:tcPr>
          <w:p>
            <w:pPr/>
          </w:p>
        </w:tc>
        <w:tc>
          <w:tcPr>
            <w:tcW w:w="788" w:type="dxa"/>
            <w:vMerge w:val="restart"/>
            <w:tcBorders>
              <w:top w:val="nil" w:sz="6" w:space="0" w:color="auto"/>
              <w:left w:val="single" w:sz="4" w:space="0" w:color="000000"/>
              <w:right w:val="single" w:sz="4" w:space="0" w:color="000000"/>
            </w:tcBorders>
            <w:shd w:val="clear" w:color="auto" w:fill="D2D2D2"/>
          </w:tcPr>
          <w:p>
            <w:pPr/>
          </w:p>
        </w:tc>
        <w:tc>
          <w:tcPr>
            <w:tcW w:w="655"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814" w:type="dxa"/>
            <w:vMerge/>
            <w:tcBorders>
              <w:left w:val="single" w:sz="4" w:space="0" w:color="000000"/>
              <w:bottom w:val="nil" w:sz="6" w:space="0" w:color="auto"/>
              <w:right w:val="single" w:sz="4" w:space="0" w:color="000000"/>
            </w:tcBorders>
            <w:shd w:val="clear" w:color="auto" w:fill="D2D2D2"/>
          </w:tcPr>
          <w:p>
            <w:pPr/>
          </w:p>
        </w:tc>
        <w:tc>
          <w:tcPr>
            <w:tcW w:w="934"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12" w:type="dxa"/>
            <w:vMerge/>
            <w:tcBorders>
              <w:left w:val="single" w:sz="4" w:space="0" w:color="000000"/>
              <w:bottom w:val="single" w:sz="4" w:space="0" w:color="000000"/>
              <w:right w:val="single" w:sz="4" w:space="0" w:color="000000"/>
            </w:tcBorders>
            <w:shd w:val="clear" w:color="auto" w:fill="D2D2D2"/>
          </w:tcPr>
          <w:p>
            <w:pPr/>
          </w:p>
        </w:tc>
        <w:tc>
          <w:tcPr>
            <w:tcW w:w="77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4" w:space="0" w:color="000000"/>
              <w:bottom w:val="single" w:sz="4" w:space="0" w:color="000000"/>
              <w:right w:val="single" w:sz="4" w:space="0" w:color="000000"/>
            </w:tcBorders>
            <w:shd w:val="clear" w:color="auto" w:fill="D2D2D2"/>
          </w:tcPr>
          <w:p>
            <w:pPr/>
          </w:p>
        </w:tc>
        <w:tc>
          <w:tcPr>
            <w:tcW w:w="788" w:type="dxa"/>
            <w:vMerge/>
            <w:tcBorders>
              <w:left w:val="single" w:sz="4" w:space="0" w:color="000000"/>
              <w:bottom w:val="single" w:sz="4" w:space="0" w:color="000000"/>
              <w:right w:val="single" w:sz="4" w:space="0" w:color="000000"/>
            </w:tcBorders>
            <w:shd w:val="clear" w:color="auto" w:fill="D2D2D2"/>
          </w:tcPr>
          <w:p>
            <w:pPr/>
          </w:p>
        </w:tc>
        <w:tc>
          <w:tcPr>
            <w:tcW w:w="65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81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8" w:hRule="exact"/>
        </w:trPr>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2"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74"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4" w:right="0"/>
              <w:jc w:val="center"/>
              <w:rPr>
                <w:rFonts w:ascii="Times New Roman" w:hAnsi="Times New Roman" w:cs="Times New Roman" w:eastAsia="Times New Roman" w:hint="default"/>
                <w:sz w:val="18"/>
                <w:szCs w:val="18"/>
              </w:rPr>
            </w:pPr>
            <w:r>
              <w:rPr>
                <w:rFonts w:ascii="Times New Roman"/>
                <w:sz w:val="18"/>
              </w:rPr>
              <w:t>778,548,</w:t>
            </w:r>
          </w:p>
          <w:p>
            <w:pPr>
              <w:pStyle w:val="TableParagraph"/>
              <w:spacing w:line="240" w:lineRule="auto" w:before="105"/>
              <w:ind w:left="221" w:right="0"/>
              <w:jc w:val="center"/>
              <w:rPr>
                <w:rFonts w:ascii="Times New Roman" w:hAnsi="Times New Roman" w:cs="Times New Roman" w:eastAsia="Times New Roman" w:hint="default"/>
                <w:sz w:val="18"/>
                <w:szCs w:val="18"/>
              </w:rPr>
            </w:pPr>
            <w:r>
              <w:rPr>
                <w:rFonts w:ascii="Times New Roman"/>
                <w:sz w:val="18"/>
              </w:rPr>
              <w:t>205.88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84,170,6</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53.33</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7" w:right="0"/>
              <w:jc w:val="left"/>
              <w:rPr>
                <w:rFonts w:ascii="Times New Roman" w:hAnsi="Times New Roman" w:cs="Times New Roman" w:eastAsia="Times New Roman" w:hint="default"/>
                <w:sz w:val="18"/>
                <w:szCs w:val="18"/>
              </w:rPr>
            </w:pPr>
            <w:r>
              <w:rPr>
                <w:rFonts w:ascii="Times New Roman"/>
                <w:sz w:val="18"/>
              </w:rPr>
              <w:t>10.81%</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694,377,5</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52.55</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736,954</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,875.56</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71,708,41</w:t>
            </w:r>
          </w:p>
          <w:p>
            <w:pPr>
              <w:pStyle w:val="TableParagraph"/>
              <w:spacing w:line="240" w:lineRule="auto" w:before="105"/>
              <w:ind w:left="468" w:right="0"/>
              <w:jc w:val="left"/>
              <w:rPr>
                <w:rFonts w:ascii="Times New Roman" w:hAnsi="Times New Roman" w:cs="Times New Roman" w:eastAsia="Times New Roman" w:hint="default"/>
                <w:sz w:val="18"/>
                <w:szCs w:val="18"/>
              </w:rPr>
            </w:pPr>
            <w:r>
              <w:rPr>
                <w:rFonts w:ascii="Times New Roman"/>
                <w:sz w:val="18"/>
              </w:rPr>
              <w:t>0.07</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34" w:right="0"/>
              <w:jc w:val="left"/>
              <w:rPr>
                <w:rFonts w:ascii="Times New Roman" w:hAnsi="Times New Roman" w:cs="Times New Roman" w:eastAsia="Times New Roman" w:hint="default"/>
                <w:sz w:val="18"/>
                <w:szCs w:val="18"/>
              </w:rPr>
            </w:pPr>
            <w:r>
              <w:rPr>
                <w:rFonts w:ascii="Times New Roman"/>
                <w:sz w:val="18"/>
              </w:rPr>
              <w:t>9.73%</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665,246,46</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5.49</w:t>
            </w:r>
          </w:p>
        </w:tc>
      </w:tr>
      <w:tr>
        <w:trPr>
          <w:trHeight w:val="161" w:hRule="exact"/>
        </w:trPr>
        <w:tc>
          <w:tcPr>
            <w:tcW w:w="1612" w:type="dxa"/>
            <w:tcBorders>
              <w:top w:val="single" w:sz="4" w:space="0" w:color="000000"/>
              <w:left w:val="single" w:sz="4" w:space="0" w:color="000000"/>
              <w:bottom w:val="nil" w:sz="6" w:space="0" w:color="auto"/>
              <w:right w:val="single" w:sz="4" w:space="0" w:color="000000"/>
            </w:tcBorders>
            <w:shd w:val="clear" w:color="auto" w:fill="D2D2D2"/>
          </w:tcPr>
          <w:p>
            <w:pPr/>
          </w:p>
        </w:tc>
        <w:tc>
          <w:tcPr>
            <w:tcW w:w="774" w:type="dxa"/>
            <w:vMerge w:val="restart"/>
            <w:tcBorders>
              <w:top w:val="single" w:sz="4" w:space="0" w:color="000000"/>
              <w:left w:val="single" w:sz="9" w:space="0" w:color="D2D2D2"/>
              <w:right w:val="single" w:sz="4" w:space="0" w:color="000000"/>
            </w:tcBorders>
          </w:tcPr>
          <w:p>
            <w:pPr>
              <w:pStyle w:val="TableParagraph"/>
              <w:spacing w:line="240" w:lineRule="auto" w:before="91"/>
              <w:ind w:left="84" w:right="0"/>
              <w:jc w:val="center"/>
              <w:rPr>
                <w:rFonts w:ascii="Times New Roman" w:hAnsi="Times New Roman" w:cs="Times New Roman" w:eastAsia="Times New Roman" w:hint="default"/>
                <w:sz w:val="18"/>
                <w:szCs w:val="18"/>
              </w:rPr>
            </w:pPr>
            <w:r>
              <w:rPr>
                <w:rFonts w:ascii="Times New Roman"/>
                <w:sz w:val="18"/>
              </w:rPr>
              <w:t>778,548,</w:t>
            </w:r>
          </w:p>
          <w:p>
            <w:pPr>
              <w:pStyle w:val="TableParagraph"/>
              <w:spacing w:line="240" w:lineRule="auto" w:before="102"/>
              <w:ind w:left="221" w:right="0"/>
              <w:jc w:val="center"/>
              <w:rPr>
                <w:rFonts w:ascii="Times New Roman" w:hAnsi="Times New Roman" w:cs="Times New Roman" w:eastAsia="Times New Roman" w:hint="default"/>
                <w:sz w:val="18"/>
                <w:szCs w:val="18"/>
              </w:rPr>
            </w:pPr>
            <w:r>
              <w:rPr>
                <w:rFonts w:ascii="Times New Roman"/>
                <w:sz w:val="18"/>
              </w:rPr>
              <w:t>205.88</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84,170,6</w:t>
            </w:r>
          </w:p>
          <w:p>
            <w:pPr>
              <w:pStyle w:val="TableParagraph"/>
              <w:spacing w:line="240" w:lineRule="auto" w:before="102"/>
              <w:ind w:left="323" w:right="0"/>
              <w:jc w:val="left"/>
              <w:rPr>
                <w:rFonts w:ascii="Times New Roman" w:hAnsi="Times New Roman" w:cs="Times New Roman" w:eastAsia="Times New Roman" w:hint="default"/>
                <w:sz w:val="18"/>
                <w:szCs w:val="18"/>
              </w:rPr>
            </w:pPr>
            <w:r>
              <w:rPr>
                <w:rFonts w:ascii="Times New Roman"/>
                <w:sz w:val="18"/>
              </w:rPr>
              <w:t>53.33</w:t>
            </w:r>
          </w:p>
        </w:tc>
        <w:tc>
          <w:tcPr>
            <w:tcW w:w="7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7" w:right="0"/>
              <w:jc w:val="left"/>
              <w:rPr>
                <w:rFonts w:ascii="Times New Roman" w:hAnsi="Times New Roman" w:cs="Times New Roman" w:eastAsia="Times New Roman" w:hint="default"/>
                <w:sz w:val="18"/>
                <w:szCs w:val="18"/>
              </w:rPr>
            </w:pPr>
            <w:r>
              <w:rPr>
                <w:rFonts w:ascii="Times New Roman"/>
                <w:sz w:val="18"/>
              </w:rPr>
              <w:t>10.81%</w:t>
            </w:r>
          </w:p>
        </w:tc>
        <w:tc>
          <w:tcPr>
            <w:tcW w:w="788" w:type="dxa"/>
            <w:vMerge w:val="restart"/>
            <w:tcBorders>
              <w:top w:val="single" w:sz="4" w:space="0" w:color="000000"/>
              <w:left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694,377,5</w:t>
            </w:r>
          </w:p>
          <w:p>
            <w:pPr>
              <w:pStyle w:val="TableParagraph"/>
              <w:spacing w:line="240" w:lineRule="auto" w:before="102"/>
              <w:ind w:left="350" w:right="0"/>
              <w:jc w:val="left"/>
              <w:rPr>
                <w:rFonts w:ascii="Times New Roman" w:hAnsi="Times New Roman" w:cs="Times New Roman" w:eastAsia="Times New Roman" w:hint="default"/>
                <w:sz w:val="18"/>
                <w:szCs w:val="18"/>
              </w:rPr>
            </w:pPr>
            <w:r>
              <w:rPr>
                <w:rFonts w:ascii="Times New Roman"/>
                <w:sz w:val="18"/>
              </w:rPr>
              <w:t>52.55</w:t>
            </w:r>
          </w:p>
        </w:tc>
        <w:tc>
          <w:tcPr>
            <w:tcW w:w="655" w:type="dxa"/>
            <w:vMerge w:val="restart"/>
            <w:tcBorders>
              <w:top w:val="single" w:sz="4" w:space="0" w:color="000000"/>
              <w:left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736,954</w:t>
            </w:r>
          </w:p>
          <w:p>
            <w:pPr>
              <w:pStyle w:val="TableParagraph"/>
              <w:spacing w:line="240" w:lineRule="auto" w:before="102"/>
              <w:ind w:left="83" w:right="0"/>
              <w:jc w:val="left"/>
              <w:rPr>
                <w:rFonts w:ascii="Times New Roman" w:hAnsi="Times New Roman" w:cs="Times New Roman" w:eastAsia="Times New Roman" w:hint="default"/>
                <w:sz w:val="18"/>
                <w:szCs w:val="18"/>
              </w:rPr>
            </w:pPr>
            <w:r>
              <w:rPr>
                <w:rFonts w:ascii="Times New Roman"/>
                <w:sz w:val="18"/>
              </w:rPr>
              <w:t>,875.56</w:t>
            </w:r>
          </w:p>
        </w:tc>
        <w:tc>
          <w:tcPr>
            <w:tcW w:w="76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vMerge w:val="restart"/>
            <w:tcBorders>
              <w:top w:val="single" w:sz="4" w:space="0" w:color="000000"/>
              <w:left w:val="single" w:sz="4" w:space="0" w:color="000000"/>
              <w:right w:val="single" w:sz="4" w:space="0" w:color="000000"/>
            </w:tcBorders>
          </w:tcPr>
          <w:p>
            <w:pPr>
              <w:pStyle w:val="TableParagraph"/>
              <w:spacing w:line="240" w:lineRule="auto" w:before="91"/>
              <w:ind w:left="62" w:right="0"/>
              <w:jc w:val="left"/>
              <w:rPr>
                <w:rFonts w:ascii="Times New Roman" w:hAnsi="Times New Roman" w:cs="Times New Roman" w:eastAsia="Times New Roman" w:hint="default"/>
                <w:sz w:val="18"/>
                <w:szCs w:val="18"/>
              </w:rPr>
            </w:pPr>
            <w:r>
              <w:rPr>
                <w:rFonts w:ascii="Times New Roman"/>
                <w:sz w:val="18"/>
              </w:rPr>
              <w:t>71,708,41</w:t>
            </w:r>
          </w:p>
          <w:p>
            <w:pPr>
              <w:pStyle w:val="TableParagraph"/>
              <w:spacing w:line="240" w:lineRule="auto" w:before="102"/>
              <w:ind w:left="468" w:right="0"/>
              <w:jc w:val="left"/>
              <w:rPr>
                <w:rFonts w:ascii="Times New Roman" w:hAnsi="Times New Roman" w:cs="Times New Roman" w:eastAsia="Times New Roman" w:hint="default"/>
                <w:sz w:val="18"/>
                <w:szCs w:val="18"/>
              </w:rPr>
            </w:pPr>
            <w:r>
              <w:rPr>
                <w:rFonts w:ascii="Times New Roman"/>
                <w:sz w:val="18"/>
              </w:rPr>
              <w:t>0.07</w:t>
            </w:r>
          </w:p>
        </w:tc>
        <w:tc>
          <w:tcPr>
            <w:tcW w:w="9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4" w:right="0"/>
              <w:jc w:val="left"/>
              <w:rPr>
                <w:rFonts w:ascii="Times New Roman" w:hAnsi="Times New Roman" w:cs="Times New Roman" w:eastAsia="Times New Roman" w:hint="default"/>
                <w:sz w:val="18"/>
                <w:szCs w:val="18"/>
              </w:rPr>
            </w:pPr>
            <w:r>
              <w:rPr>
                <w:rFonts w:ascii="Times New Roman"/>
                <w:sz w:val="18"/>
              </w:rPr>
              <w:t>9.73%</w:t>
            </w:r>
          </w:p>
        </w:tc>
        <w:tc>
          <w:tcPr>
            <w:tcW w:w="931" w:type="dxa"/>
            <w:vMerge w:val="restart"/>
            <w:tcBorders>
              <w:top w:val="single" w:sz="4" w:space="0" w:color="000000"/>
              <w:left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665,246,46</w:t>
            </w:r>
          </w:p>
          <w:p>
            <w:pPr>
              <w:pStyle w:val="TableParagraph"/>
              <w:spacing w:line="240" w:lineRule="auto" w:before="102"/>
              <w:ind w:left="585" w:right="0"/>
              <w:jc w:val="left"/>
              <w:rPr>
                <w:rFonts w:ascii="Times New Roman" w:hAnsi="Times New Roman" w:cs="Times New Roman" w:eastAsia="Times New Roman" w:hint="default"/>
                <w:sz w:val="18"/>
                <w:szCs w:val="18"/>
              </w:rPr>
            </w:pPr>
            <w:r>
              <w:rPr>
                <w:rFonts w:ascii="Times New Roman"/>
                <w:sz w:val="18"/>
              </w:rPr>
              <w:t>5.49</w:t>
            </w:r>
          </w:p>
        </w:tc>
      </w:tr>
      <w:tr>
        <w:trPr>
          <w:trHeight w:val="391" w:hRule="exact"/>
        </w:trPr>
        <w:tc>
          <w:tcPr>
            <w:tcW w:w="16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4" w:type="dxa"/>
            <w:vMerge/>
            <w:tcBorders>
              <w:left w:val="single" w:sz="9" w:space="0" w:color="D2D2D2"/>
              <w:right w:val="single" w:sz="4" w:space="0" w:color="000000"/>
            </w:tcBorders>
          </w:tcPr>
          <w:p>
            <w:pPr/>
          </w:p>
        </w:tc>
        <w:tc>
          <w:tcPr>
            <w:tcW w:w="761"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63" w:type="dxa"/>
            <w:vMerge/>
            <w:tcBorders>
              <w:left w:val="single" w:sz="4" w:space="0" w:color="000000"/>
              <w:right w:val="single" w:sz="4" w:space="0" w:color="000000"/>
            </w:tcBorders>
          </w:tcPr>
          <w:p>
            <w:pPr/>
          </w:p>
        </w:tc>
        <w:tc>
          <w:tcPr>
            <w:tcW w:w="788" w:type="dxa"/>
            <w:vMerge/>
            <w:tcBorders>
              <w:left w:val="single" w:sz="4" w:space="0" w:color="000000"/>
              <w:right w:val="single" w:sz="4" w:space="0" w:color="000000"/>
            </w:tcBorders>
          </w:tcPr>
          <w:p>
            <w:pPr/>
          </w:p>
        </w:tc>
        <w:tc>
          <w:tcPr>
            <w:tcW w:w="655" w:type="dxa"/>
            <w:vMerge/>
            <w:tcBorders>
              <w:left w:val="single" w:sz="4" w:space="0" w:color="000000"/>
              <w:right w:val="single" w:sz="4" w:space="0" w:color="000000"/>
            </w:tcBorders>
          </w:tcPr>
          <w:p>
            <w:pPr/>
          </w:p>
        </w:tc>
        <w:tc>
          <w:tcPr>
            <w:tcW w:w="761" w:type="dxa"/>
            <w:vMerge/>
            <w:tcBorders>
              <w:left w:val="single" w:sz="4" w:space="0" w:color="000000"/>
              <w:right w:val="single" w:sz="4" w:space="0" w:color="000000"/>
            </w:tcBorders>
          </w:tcPr>
          <w:p>
            <w:pPr/>
          </w:p>
        </w:tc>
        <w:tc>
          <w:tcPr>
            <w:tcW w:w="814" w:type="dxa"/>
            <w:vMerge/>
            <w:tcBorders>
              <w:left w:val="single" w:sz="4" w:space="0" w:color="000000"/>
              <w:right w:val="single" w:sz="4" w:space="0" w:color="000000"/>
            </w:tcBorders>
          </w:tcPr>
          <w:p>
            <w:pPr/>
          </w:p>
        </w:tc>
        <w:tc>
          <w:tcPr>
            <w:tcW w:w="934" w:type="dxa"/>
            <w:vMerge/>
            <w:tcBorders>
              <w:left w:val="single" w:sz="4" w:space="0" w:color="000000"/>
              <w:right w:val="single" w:sz="4" w:space="0" w:color="000000"/>
            </w:tcBorders>
          </w:tcPr>
          <w:p>
            <w:pPr/>
          </w:p>
        </w:tc>
        <w:tc>
          <w:tcPr>
            <w:tcW w:w="931" w:type="dxa"/>
            <w:vMerge/>
            <w:tcBorders>
              <w:left w:val="single" w:sz="4" w:space="0" w:color="000000"/>
              <w:right w:val="single" w:sz="4" w:space="0" w:color="000000"/>
            </w:tcBorders>
          </w:tcPr>
          <w:p>
            <w:pPr/>
          </w:p>
        </w:tc>
      </w:tr>
      <w:tr>
        <w:trPr>
          <w:trHeight w:val="161" w:hRule="exact"/>
        </w:trPr>
        <w:tc>
          <w:tcPr>
            <w:tcW w:w="1612" w:type="dxa"/>
            <w:tcBorders>
              <w:top w:val="nil" w:sz="6" w:space="0" w:color="auto"/>
              <w:left w:val="single" w:sz="4" w:space="0" w:color="000000"/>
              <w:bottom w:val="single" w:sz="4" w:space="0" w:color="000000"/>
              <w:right w:val="single" w:sz="4" w:space="0" w:color="000000"/>
            </w:tcBorders>
            <w:shd w:val="clear" w:color="auto" w:fill="D2D2D2"/>
          </w:tcPr>
          <w:p>
            <w:pPr/>
          </w:p>
        </w:tc>
        <w:tc>
          <w:tcPr>
            <w:tcW w:w="774" w:type="dxa"/>
            <w:vMerge/>
            <w:tcBorders>
              <w:left w:val="single" w:sz="9" w:space="0" w:color="D2D2D2"/>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788" w:type="dxa"/>
            <w:vMerge/>
            <w:tcBorders>
              <w:left w:val="single" w:sz="4" w:space="0" w:color="000000"/>
              <w:bottom w:val="single" w:sz="4" w:space="0" w:color="000000"/>
              <w:right w:val="single" w:sz="4" w:space="0" w:color="000000"/>
            </w:tcBorders>
          </w:tcPr>
          <w:p>
            <w:pPr/>
          </w:p>
        </w:tc>
        <w:tc>
          <w:tcPr>
            <w:tcW w:w="655" w:type="dxa"/>
            <w:vMerge/>
            <w:tcBorders>
              <w:left w:val="single" w:sz="4" w:space="0" w:color="000000"/>
              <w:bottom w:val="single" w:sz="4" w:space="0" w:color="000000"/>
              <w:right w:val="single" w:sz="4" w:space="0" w:color="000000"/>
            </w:tcBorders>
          </w:tcPr>
          <w:p>
            <w:pPr/>
          </w:p>
        </w:tc>
        <w:tc>
          <w:tcPr>
            <w:tcW w:w="761" w:type="dxa"/>
            <w:vMerge/>
            <w:tcBorders>
              <w:left w:val="single" w:sz="4" w:space="0" w:color="000000"/>
              <w:bottom w:val="single" w:sz="4" w:space="0" w:color="000000"/>
              <w:right w:val="single" w:sz="4" w:space="0" w:color="000000"/>
            </w:tcBorders>
          </w:tcPr>
          <w:p>
            <w:pPr/>
          </w:p>
        </w:tc>
        <w:tc>
          <w:tcPr>
            <w:tcW w:w="814" w:type="dxa"/>
            <w:vMerge/>
            <w:tcBorders>
              <w:left w:val="single" w:sz="4" w:space="0" w:color="000000"/>
              <w:bottom w:val="single" w:sz="4" w:space="0" w:color="000000"/>
              <w:right w:val="single" w:sz="4" w:space="0" w:color="000000"/>
            </w:tcBorders>
          </w:tcPr>
          <w:p>
            <w:pPr/>
          </w:p>
        </w:tc>
        <w:tc>
          <w:tcPr>
            <w:tcW w:w="934" w:type="dxa"/>
            <w:vMerge/>
            <w:tcBorders>
              <w:left w:val="single" w:sz="4" w:space="0" w:color="000000"/>
              <w:bottom w:val="single" w:sz="4" w:space="0" w:color="000000"/>
              <w:right w:val="single" w:sz="4" w:space="0" w:color="000000"/>
            </w:tcBorders>
          </w:tcPr>
          <w:p>
            <w:pPr/>
          </w:p>
        </w:tc>
        <w:tc>
          <w:tcPr>
            <w:tcW w:w="931"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before="49"/>
        <w:ind w:left="152"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期末单项金额重大并单项计提坏账准备的应收账款：</w:t>
      </w:r>
    </w:p>
    <w:p>
      <w:pPr>
        <w:spacing w:line="338" w:lineRule="auto" w:before="117"/>
        <w:ind w:left="152" w:right="16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组合中，按账龄分析法计提坏账准备的应收账款：</w:t>
      </w:r>
    </w:p>
    <w:p>
      <w:pPr>
        <w:spacing w:before="43"/>
        <w:ind w:left="152"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21"/>
          <w:szCs w:val="21"/>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60" w:left="980" w:right="0"/>
          <w:cols w:num="2" w:equalWidth="0">
            <w:col w:w="4293" w:space="4536"/>
            <w:col w:w="2101"/>
          </w:cols>
        </w:sectPr>
      </w:pP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477"/>
        <w:gridCol w:w="2300"/>
        <w:gridCol w:w="2391"/>
        <w:gridCol w:w="2390"/>
      </w:tblGrid>
      <w:tr>
        <w:trPr>
          <w:trHeight w:val="207" w:hRule="exact"/>
        </w:trPr>
        <w:tc>
          <w:tcPr>
            <w:tcW w:w="2477"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2" w:hRule="exact"/>
        </w:trPr>
        <w:tc>
          <w:tcPr>
            <w:tcW w:w="247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7"/>
              <w:jc w:val="center"/>
              <w:rPr>
                <w:rFonts w:ascii="宋体" w:hAnsi="宋体" w:cs="宋体" w:eastAsia="宋体" w:hint="default"/>
                <w:sz w:val="18"/>
                <w:szCs w:val="18"/>
              </w:rPr>
            </w:pPr>
            <w:r>
              <w:rPr>
                <w:rFonts w:ascii="宋体" w:hAnsi="宋体" w:cs="宋体" w:eastAsia="宋体" w:hint="default"/>
                <w:sz w:val="18"/>
                <w:szCs w:val="18"/>
              </w:rPr>
              <w:t>账龄</w:t>
            </w:r>
          </w:p>
        </w:tc>
        <w:tc>
          <w:tcPr>
            <w:tcW w:w="7082" w:type="dxa"/>
            <w:gridSpan w:val="3"/>
            <w:vMerge/>
            <w:tcBorders>
              <w:left w:val="single" w:sz="4" w:space="0" w:color="000000"/>
              <w:bottom w:val="single" w:sz="4" w:space="0" w:color="000000"/>
              <w:right w:val="single" w:sz="4" w:space="0" w:color="000000"/>
            </w:tcBorders>
            <w:shd w:val="clear" w:color="auto" w:fill="D2D2D2"/>
          </w:tcPr>
          <w:p>
            <w:pPr/>
          </w:p>
        </w:tc>
      </w:tr>
      <w:tr>
        <w:trPr>
          <w:trHeight w:val="199" w:hRule="exact"/>
        </w:trPr>
        <w:tc>
          <w:tcPr>
            <w:tcW w:w="2477" w:type="dxa"/>
            <w:vMerge/>
            <w:tcBorders>
              <w:left w:val="single" w:sz="4" w:space="0" w:color="000000"/>
              <w:bottom w:val="nil" w:sz="6" w:space="0" w:color="auto"/>
              <w:right w:val="single" w:sz="4" w:space="0" w:color="000000"/>
            </w:tcBorders>
            <w:shd w:val="clear" w:color="auto" w:fill="D2D2D2"/>
          </w:tcPr>
          <w:p>
            <w:pPr/>
          </w:p>
        </w:tc>
        <w:tc>
          <w:tcPr>
            <w:tcW w:w="23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4"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477" w:type="dxa"/>
            <w:tcBorders>
              <w:top w:val="nil" w:sz="6" w:space="0" w:color="auto"/>
              <w:left w:val="single" w:sz="4" w:space="0" w:color="000000"/>
              <w:bottom w:val="single" w:sz="4" w:space="0" w:color="000000"/>
              <w:right w:val="single" w:sz="4" w:space="0" w:color="000000"/>
            </w:tcBorders>
            <w:shd w:val="clear" w:color="auto" w:fill="D2D2D2"/>
          </w:tcPr>
          <w:p>
            <w:pPr/>
          </w:p>
        </w:tc>
        <w:tc>
          <w:tcPr>
            <w:tcW w:w="2300" w:type="dxa"/>
            <w:vMerge/>
            <w:tcBorders>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r>
      <w:tr>
        <w:trPr>
          <w:trHeight w:val="398" w:hRule="exact"/>
        </w:trPr>
        <w:tc>
          <w:tcPr>
            <w:tcW w:w="95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年以内分项</w:t>
            </w:r>
          </w:p>
        </w:tc>
      </w:tr>
      <w:tr>
        <w:trPr>
          <w:trHeight w:val="401" w:hRule="exact"/>
        </w:trPr>
        <w:tc>
          <w:tcPr>
            <w:tcW w:w="24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年以内小计</w:t>
            </w:r>
          </w:p>
        </w:tc>
        <w:tc>
          <w:tcPr>
            <w:tcW w:w="230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499,376,196.15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24,968,809.81</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5.00%</w:t>
            </w:r>
          </w:p>
        </w:tc>
      </w:tr>
      <w:tr>
        <w:trPr>
          <w:trHeight w:val="403" w:hRule="exact"/>
        </w:trPr>
        <w:tc>
          <w:tcPr>
            <w:tcW w:w="24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175,783,532.12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17,578,353.21</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10.00%</w:t>
            </w:r>
          </w:p>
        </w:tc>
      </w:tr>
      <w:tr>
        <w:trPr>
          <w:trHeight w:val="401" w:hRule="exact"/>
        </w:trPr>
        <w:tc>
          <w:tcPr>
            <w:tcW w:w="24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44,473,301.77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13,341,990.53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30.00%</w:t>
            </w:r>
          </w:p>
        </w:tc>
      </w:tr>
      <w:tr>
        <w:trPr>
          <w:trHeight w:val="403" w:hRule="exact"/>
        </w:trPr>
        <w:tc>
          <w:tcPr>
            <w:tcW w:w="24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27,580,747.21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13,790,373.61</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50.00%</w:t>
            </w:r>
          </w:p>
        </w:tc>
      </w:tr>
      <w:tr>
        <w:trPr>
          <w:trHeight w:val="401" w:hRule="exact"/>
        </w:trPr>
        <w:tc>
          <w:tcPr>
            <w:tcW w:w="24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5,449,896.28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4,359,917.02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80.00%</w:t>
            </w:r>
          </w:p>
        </w:tc>
      </w:tr>
      <w:tr>
        <w:trPr>
          <w:trHeight w:val="404" w:hRule="exact"/>
        </w:trPr>
        <w:tc>
          <w:tcPr>
            <w:tcW w:w="24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年以上</w:t>
            </w:r>
          </w:p>
        </w:tc>
        <w:tc>
          <w:tcPr>
            <w:tcW w:w="230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10,131,209.15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10,131,209.15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24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762,794,882.68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84,170,653.33</w:t>
            </w:r>
          </w:p>
        </w:tc>
        <w:tc>
          <w:tcPr>
            <w:tcW w:w="239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745" w:footer="979" w:top="1060" w:bottom="1160" w:left="840" w:right="0"/>
        </w:sectPr>
      </w:pPr>
    </w:p>
    <w:p>
      <w:pPr>
        <w:spacing w:line="240" w:lineRule="auto" w:before="1"/>
        <w:rPr>
          <w:rFonts w:ascii="宋体" w:hAnsi="宋体" w:cs="宋体" w:eastAsia="宋体" w:hint="default"/>
          <w:sz w:val="16"/>
          <w:szCs w:val="16"/>
        </w:rPr>
      </w:pPr>
    </w:p>
    <w:p>
      <w:pPr>
        <w:spacing w:before="0"/>
        <w:ind w:left="292" w:right="-1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本期计提、收回或转回的坏账准备情况</w:t>
      </w:r>
    </w:p>
    <w:p>
      <w:pPr>
        <w:spacing w:before="101"/>
        <w:ind w:left="292" w:right="-11"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12,462,243.26 </w:t>
      </w:r>
      <w:r>
        <w:rPr>
          <w:rFonts w:ascii="宋体" w:hAnsi="宋体" w:cs="宋体" w:eastAsia="宋体" w:hint="default"/>
          <w:sz w:val="18"/>
          <w:szCs w:val="18"/>
        </w:rPr>
        <w:t>元；本期收回或转回坏账准备金额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5"/>
          <w:szCs w:val="15"/>
        </w:rPr>
      </w:pPr>
    </w:p>
    <w:p>
      <w:pPr>
        <w:spacing w:before="0"/>
        <w:ind w:left="292"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left"/>
        <w:rPr>
          <w:rFonts w:ascii="宋体" w:hAnsi="宋体" w:cs="宋体" w:eastAsia="宋体" w:hint="default"/>
          <w:sz w:val="18"/>
          <w:szCs w:val="18"/>
        </w:rPr>
        <w:sectPr>
          <w:type w:val="continuous"/>
          <w:pgSz w:w="11910" w:h="16840"/>
          <w:pgMar w:top="1060" w:bottom="1160" w:left="840" w:right="0"/>
          <w:cols w:num="2" w:equalWidth="0">
            <w:col w:w="6688" w:space="2141"/>
            <w:col w:w="2241"/>
          </w:cols>
        </w:sectPr>
      </w:pPr>
    </w:p>
    <w:p>
      <w:pPr>
        <w:spacing w:line="240" w:lineRule="auto" w:before="4"/>
        <w:rPr>
          <w:rFonts w:ascii="宋体" w:hAnsi="宋体" w:cs="宋体" w:eastAsia="宋体" w:hint="default"/>
          <w:sz w:val="8"/>
          <w:szCs w:val="8"/>
        </w:rPr>
      </w:pPr>
    </w:p>
    <w:tbl>
      <w:tblPr>
        <w:tblW w:w="0" w:type="auto"/>
        <w:jc w:val="left"/>
        <w:tblInd w:w="289" w:type="dxa"/>
        <w:tblLayout w:type="fixed"/>
        <w:tblCellMar>
          <w:top w:w="0" w:type="dxa"/>
          <w:left w:w="0" w:type="dxa"/>
          <w:bottom w:w="0" w:type="dxa"/>
          <w:right w:w="0" w:type="dxa"/>
        </w:tblCellMar>
        <w:tblLook w:val="01E0"/>
      </w:tblPr>
      <w:tblGrid>
        <w:gridCol w:w="1684"/>
        <w:gridCol w:w="1551"/>
        <w:gridCol w:w="1553"/>
        <w:gridCol w:w="1551"/>
        <w:gridCol w:w="1616"/>
        <w:gridCol w:w="1604"/>
      </w:tblGrid>
      <w:tr>
        <w:trPr>
          <w:trHeight w:val="713"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72"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532" w:right="68" w:hanging="449"/>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spacing w:before="49"/>
        <w:ind w:left="292" w:right="1034" w:firstLine="0"/>
        <w:jc w:val="left"/>
        <w:rPr>
          <w:rFonts w:ascii="宋体" w:hAnsi="宋体" w:cs="宋体" w:eastAsia="宋体" w:hint="default"/>
          <w:sz w:val="18"/>
          <w:szCs w:val="18"/>
        </w:rPr>
      </w:pPr>
      <w:r>
        <w:rPr>
          <w:rFonts w:ascii="宋体" w:hAnsi="宋体" w:cs="宋体" w:eastAsia="宋体" w:hint="default"/>
          <w:sz w:val="18"/>
          <w:szCs w:val="18"/>
        </w:rPr>
        <w:t>应收账款核销说明：</w:t>
      </w:r>
    </w:p>
    <w:p>
      <w:pPr>
        <w:spacing w:before="117"/>
        <w:ind w:left="292" w:right="10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按欠款方归集的期末余额前五名的应收账款情况</w:t>
      </w:r>
    </w:p>
    <w:p>
      <w:pPr>
        <w:spacing w:line="240" w:lineRule="auto" w:before="9"/>
        <w:rPr>
          <w:rFonts w:ascii="宋体" w:hAnsi="宋体" w:cs="宋体" w:eastAsia="宋体" w:hint="default"/>
          <w:sz w:val="12"/>
          <w:szCs w:val="12"/>
        </w:rPr>
      </w:pPr>
    </w:p>
    <w:tbl>
      <w:tblPr>
        <w:tblW w:w="0" w:type="auto"/>
        <w:jc w:val="left"/>
        <w:tblInd w:w="104" w:type="dxa"/>
        <w:tblLayout w:type="fixed"/>
        <w:tblCellMar>
          <w:top w:w="0" w:type="dxa"/>
          <w:left w:w="0" w:type="dxa"/>
          <w:bottom w:w="0" w:type="dxa"/>
          <w:right w:w="0" w:type="dxa"/>
        </w:tblCellMar>
        <w:tblLook w:val="01E0"/>
      </w:tblPr>
      <w:tblGrid>
        <w:gridCol w:w="1442"/>
        <w:gridCol w:w="1687"/>
        <w:gridCol w:w="1177"/>
        <w:gridCol w:w="1014"/>
        <w:gridCol w:w="2087"/>
        <w:gridCol w:w="1333"/>
      </w:tblGrid>
      <w:tr>
        <w:trPr>
          <w:trHeight w:val="257"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180" w:lineRule="exact"/>
              <w:ind w:left="200"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单位名称</w:t>
            </w:r>
            <w:r>
              <w:rPr>
                <w:rFonts w:ascii="宋体" w:hAnsi="宋体" w:cs="宋体" w:eastAsia="宋体" w:hint="default"/>
                <w:sz w:val="18"/>
                <w:szCs w:val="18"/>
              </w:rPr>
            </w:r>
          </w:p>
        </w:tc>
        <w:tc>
          <w:tcPr>
            <w:tcW w:w="1687" w:type="dxa"/>
            <w:tcBorders>
              <w:top w:val="nil" w:sz="6" w:space="0" w:color="auto"/>
              <w:left w:val="nil" w:sz="6" w:space="0" w:color="auto"/>
              <w:bottom w:val="nil" w:sz="6" w:space="0" w:color="auto"/>
              <w:right w:val="nil" w:sz="6" w:space="0" w:color="auto"/>
            </w:tcBorders>
          </w:tcPr>
          <w:p>
            <w:pPr>
              <w:pStyle w:val="TableParagraph"/>
              <w:spacing w:line="180" w:lineRule="exact"/>
              <w:ind w:right="82"/>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与本公司关系</w:t>
            </w:r>
            <w:r>
              <w:rPr>
                <w:rFonts w:ascii="宋体" w:hAnsi="宋体" w:cs="宋体" w:eastAsia="宋体" w:hint="default"/>
                <w:sz w:val="18"/>
                <w:szCs w:val="18"/>
              </w:rPr>
            </w:r>
          </w:p>
        </w:tc>
        <w:tc>
          <w:tcPr>
            <w:tcW w:w="1177" w:type="dxa"/>
            <w:tcBorders>
              <w:top w:val="nil" w:sz="6" w:space="0" w:color="auto"/>
              <w:left w:val="nil" w:sz="6" w:space="0" w:color="auto"/>
              <w:bottom w:val="nil" w:sz="6" w:space="0" w:color="auto"/>
              <w:right w:val="nil" w:sz="6" w:space="0" w:color="auto"/>
            </w:tcBorders>
          </w:tcPr>
          <w:p>
            <w:pPr>
              <w:pStyle w:val="TableParagraph"/>
              <w:spacing w:line="180" w:lineRule="exact"/>
              <w:ind w:right="54"/>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账面余额</w:t>
            </w:r>
            <w:r>
              <w:rPr>
                <w:rFonts w:ascii="宋体" w:hAnsi="宋体" w:cs="宋体" w:eastAsia="宋体" w:hint="default"/>
                <w:sz w:val="18"/>
                <w:szCs w:val="18"/>
              </w:rPr>
            </w:r>
          </w:p>
        </w:tc>
        <w:tc>
          <w:tcPr>
            <w:tcW w:w="1014" w:type="dxa"/>
            <w:tcBorders>
              <w:top w:val="nil" w:sz="6" w:space="0" w:color="auto"/>
              <w:left w:val="nil" w:sz="6" w:space="0" w:color="auto"/>
              <w:bottom w:val="nil" w:sz="6" w:space="0" w:color="auto"/>
              <w:right w:val="nil" w:sz="6" w:space="0" w:color="auto"/>
            </w:tcBorders>
          </w:tcPr>
          <w:p>
            <w:pPr>
              <w:pStyle w:val="TableParagraph"/>
              <w:spacing w:line="180" w:lineRule="exact"/>
              <w:ind w:right="7"/>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坏账准备</w:t>
            </w:r>
            <w:r>
              <w:rPr>
                <w:rFonts w:ascii="宋体" w:hAnsi="宋体" w:cs="宋体" w:eastAsia="宋体" w:hint="default"/>
                <w:sz w:val="18"/>
                <w:szCs w:val="18"/>
              </w:rPr>
            </w:r>
          </w:p>
        </w:tc>
        <w:tc>
          <w:tcPr>
            <w:tcW w:w="2087" w:type="dxa"/>
            <w:tcBorders>
              <w:top w:val="nil" w:sz="6" w:space="0" w:color="auto"/>
              <w:left w:val="nil" w:sz="6" w:space="0" w:color="auto"/>
              <w:bottom w:val="nil" w:sz="6" w:space="0" w:color="auto"/>
              <w:right w:val="nil" w:sz="6" w:space="0" w:color="auto"/>
            </w:tcBorders>
          </w:tcPr>
          <w:p>
            <w:pPr>
              <w:pStyle w:val="TableParagraph"/>
              <w:spacing w:line="180" w:lineRule="exact"/>
              <w:ind w:right="56"/>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年限</w:t>
            </w:r>
            <w:r>
              <w:rPr>
                <w:rFonts w:ascii="宋体" w:hAnsi="宋体" w:cs="宋体" w:eastAsia="宋体" w:hint="default"/>
                <w:sz w:val="18"/>
                <w:szCs w:val="18"/>
              </w:rPr>
            </w:r>
          </w:p>
        </w:tc>
        <w:tc>
          <w:tcPr>
            <w:tcW w:w="1333" w:type="dxa"/>
            <w:tcBorders>
              <w:top w:val="nil" w:sz="6" w:space="0" w:color="auto"/>
              <w:left w:val="nil" w:sz="6" w:space="0" w:color="auto"/>
              <w:bottom w:val="nil" w:sz="6" w:space="0" w:color="auto"/>
              <w:right w:val="nil" w:sz="6" w:space="0" w:color="auto"/>
            </w:tcBorders>
          </w:tcPr>
          <w:p>
            <w:pPr>
              <w:pStyle w:val="TableParagraph"/>
              <w:spacing w:line="180" w:lineRule="exact"/>
              <w:ind w:right="201"/>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占总金额比例</w:t>
            </w:r>
            <w:r>
              <w:rPr>
                <w:rFonts w:ascii="宋体" w:hAnsi="宋体" w:cs="宋体" w:eastAsia="宋体" w:hint="default"/>
                <w:sz w:val="18"/>
                <w:szCs w:val="18"/>
              </w:rPr>
            </w:r>
          </w:p>
        </w:tc>
      </w:tr>
      <w:tr>
        <w:trPr>
          <w:trHeight w:val="650"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200"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2"/>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56"/>
              <w:jc w:val="right"/>
              <w:rPr>
                <w:rFonts w:ascii="Times New Roman" w:hAnsi="Times New Roman" w:cs="Times New Roman" w:eastAsia="Times New Roman" w:hint="default"/>
                <w:sz w:val="18"/>
                <w:szCs w:val="18"/>
              </w:rPr>
            </w:pPr>
            <w:r>
              <w:rPr>
                <w:rFonts w:ascii="Times New Roman"/>
                <w:spacing w:val="-1"/>
                <w:sz w:val="18"/>
              </w:rPr>
              <w:t>73,038,191.75</w:t>
            </w:r>
          </w:p>
        </w:tc>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9"/>
              <w:jc w:val="right"/>
              <w:rPr>
                <w:rFonts w:ascii="Times New Roman" w:hAnsi="Times New Roman" w:cs="Times New Roman" w:eastAsia="Times New Roman" w:hint="default"/>
                <w:sz w:val="18"/>
                <w:szCs w:val="18"/>
              </w:rPr>
            </w:pPr>
            <w:r>
              <w:rPr>
                <w:rFonts w:ascii="Times New Roman"/>
                <w:spacing w:val="-1"/>
                <w:sz w:val="18"/>
              </w:rPr>
              <w:t>4,960,496.37</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21"/>
              <w:ind w:left="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46,866,456.13</w:t>
            </w:r>
            <w:r>
              <w:rPr>
                <w:rFonts w:ascii="宋体" w:hAnsi="宋体" w:cs="宋体" w:eastAsia="宋体" w:hint="default"/>
                <w:sz w:val="18"/>
                <w:szCs w:val="18"/>
              </w:rPr>
              <w:t>元，</w:t>
            </w:r>
          </w:p>
          <w:p>
            <w:pPr>
              <w:pStyle w:val="TableParagraph"/>
              <w:spacing w:line="240" w:lineRule="auto" w:before="63"/>
              <w:ind w:left="3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年</w:t>
            </w:r>
            <w:r>
              <w:rPr>
                <w:rFonts w:ascii="Times New Roman" w:hAnsi="Times New Roman" w:cs="Times New Roman" w:eastAsia="Times New Roman" w:hint="default"/>
                <w:sz w:val="18"/>
                <w:szCs w:val="18"/>
              </w:rPr>
              <w:t>26,171,735.62</w:t>
            </w:r>
            <w:r>
              <w:rPr>
                <w:rFonts w:ascii="宋体" w:hAnsi="宋体" w:cs="宋体" w:eastAsia="宋体" w:hint="default"/>
                <w:sz w:val="18"/>
                <w:szCs w:val="18"/>
              </w:rPr>
              <w:t>元</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00"/>
              <w:jc w:val="right"/>
              <w:rPr>
                <w:rFonts w:ascii="Times New Roman" w:hAnsi="Times New Roman" w:cs="Times New Roman" w:eastAsia="Times New Roman" w:hint="default"/>
                <w:sz w:val="18"/>
                <w:szCs w:val="18"/>
              </w:rPr>
            </w:pPr>
            <w:r>
              <w:rPr>
                <w:rFonts w:ascii="Times New Roman"/>
                <w:sz w:val="18"/>
              </w:rPr>
              <w:t>9.38%</w:t>
            </w:r>
          </w:p>
        </w:tc>
      </w:tr>
      <w:tr>
        <w:trPr>
          <w:trHeight w:val="643"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00"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2"/>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56"/>
              <w:jc w:val="right"/>
              <w:rPr>
                <w:rFonts w:ascii="Times New Roman" w:hAnsi="Times New Roman" w:cs="Times New Roman" w:eastAsia="Times New Roman" w:hint="default"/>
                <w:sz w:val="18"/>
                <w:szCs w:val="18"/>
              </w:rPr>
            </w:pPr>
            <w:r>
              <w:rPr>
                <w:rFonts w:ascii="Times New Roman"/>
                <w:spacing w:val="-1"/>
                <w:sz w:val="18"/>
              </w:rPr>
              <w:t>15,899,365.44</w:t>
            </w:r>
          </w:p>
        </w:tc>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9"/>
              <w:jc w:val="right"/>
              <w:rPr>
                <w:rFonts w:ascii="Times New Roman" w:hAnsi="Times New Roman" w:cs="Times New Roman" w:eastAsia="Times New Roman" w:hint="default"/>
                <w:sz w:val="18"/>
                <w:szCs w:val="18"/>
              </w:rPr>
            </w:pPr>
            <w:r>
              <w:rPr>
                <w:rFonts w:ascii="Times New Roman"/>
                <w:spacing w:val="-1"/>
                <w:sz w:val="18"/>
              </w:rPr>
              <w:t>1,006,256.32</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11,673,604.44</w:t>
            </w:r>
            <w:r>
              <w:rPr>
                <w:rFonts w:ascii="宋体" w:hAnsi="宋体" w:cs="宋体" w:eastAsia="宋体" w:hint="default"/>
                <w:sz w:val="18"/>
                <w:szCs w:val="18"/>
              </w:rPr>
              <w:t>元，</w:t>
            </w:r>
          </w:p>
          <w:p>
            <w:pPr>
              <w:pStyle w:val="TableParagraph"/>
              <w:spacing w:line="240" w:lineRule="auto" w:before="63"/>
              <w:ind w:left="4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年</w:t>
            </w:r>
            <w:r>
              <w:rPr>
                <w:rFonts w:ascii="Times New Roman" w:hAnsi="Times New Roman" w:cs="Times New Roman" w:eastAsia="Times New Roman" w:hint="default"/>
                <w:sz w:val="18"/>
                <w:szCs w:val="18"/>
              </w:rPr>
              <w:t>4,225,761.00</w:t>
            </w:r>
            <w:r>
              <w:rPr>
                <w:rFonts w:ascii="宋体" w:hAnsi="宋体" w:cs="宋体" w:eastAsia="宋体" w:hint="default"/>
                <w:sz w:val="18"/>
                <w:szCs w:val="18"/>
              </w:rPr>
              <w:t>元</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00"/>
              <w:jc w:val="right"/>
              <w:rPr>
                <w:rFonts w:ascii="Times New Roman" w:hAnsi="Times New Roman" w:cs="Times New Roman" w:eastAsia="Times New Roman" w:hint="default"/>
                <w:sz w:val="18"/>
                <w:szCs w:val="18"/>
              </w:rPr>
            </w:pPr>
            <w:r>
              <w:rPr>
                <w:rFonts w:ascii="Times New Roman"/>
                <w:sz w:val="18"/>
              </w:rPr>
              <w:t>2.04%</w:t>
            </w:r>
          </w:p>
        </w:tc>
      </w:tr>
      <w:tr>
        <w:trPr>
          <w:trHeight w:val="332"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00"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2"/>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56"/>
              <w:jc w:val="right"/>
              <w:rPr>
                <w:rFonts w:ascii="Times New Roman" w:hAnsi="Times New Roman" w:cs="Times New Roman" w:eastAsia="Times New Roman" w:hint="default"/>
                <w:sz w:val="18"/>
                <w:szCs w:val="18"/>
              </w:rPr>
            </w:pPr>
            <w:r>
              <w:rPr>
                <w:rFonts w:ascii="Times New Roman"/>
                <w:spacing w:val="-1"/>
                <w:sz w:val="18"/>
              </w:rPr>
              <w:t>14,435,100.69</w:t>
            </w:r>
          </w:p>
        </w:tc>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9"/>
              <w:jc w:val="right"/>
              <w:rPr>
                <w:rFonts w:ascii="Times New Roman" w:hAnsi="Times New Roman" w:cs="Times New Roman" w:eastAsia="Times New Roman" w:hint="default"/>
                <w:sz w:val="18"/>
                <w:szCs w:val="18"/>
              </w:rPr>
            </w:pPr>
            <w:r>
              <w:rPr>
                <w:rFonts w:ascii="Times New Roman"/>
                <w:spacing w:val="-1"/>
                <w:sz w:val="18"/>
              </w:rPr>
              <w:t>721,755.03</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6"/>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00"/>
              <w:jc w:val="right"/>
              <w:rPr>
                <w:rFonts w:ascii="Times New Roman" w:hAnsi="Times New Roman" w:cs="Times New Roman" w:eastAsia="Times New Roman" w:hint="default"/>
                <w:sz w:val="18"/>
                <w:szCs w:val="18"/>
              </w:rPr>
            </w:pPr>
            <w:r>
              <w:rPr>
                <w:rFonts w:ascii="Times New Roman"/>
                <w:sz w:val="18"/>
              </w:rPr>
              <w:t>1.85%</w:t>
            </w:r>
          </w:p>
        </w:tc>
      </w:tr>
      <w:tr>
        <w:trPr>
          <w:trHeight w:val="644"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00"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82"/>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56"/>
              <w:jc w:val="right"/>
              <w:rPr>
                <w:rFonts w:ascii="Times New Roman" w:hAnsi="Times New Roman" w:cs="Times New Roman" w:eastAsia="Times New Roman" w:hint="default"/>
                <w:sz w:val="18"/>
                <w:szCs w:val="18"/>
              </w:rPr>
            </w:pPr>
            <w:r>
              <w:rPr>
                <w:rFonts w:ascii="Times New Roman"/>
                <w:spacing w:val="-1"/>
                <w:sz w:val="18"/>
              </w:rPr>
              <w:t>11,756,358.44</w:t>
            </w:r>
          </w:p>
        </w:tc>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9"/>
              <w:jc w:val="right"/>
              <w:rPr>
                <w:rFonts w:ascii="Times New Roman" w:hAnsi="Times New Roman" w:cs="Times New Roman" w:eastAsia="Times New Roman" w:hint="default"/>
                <w:sz w:val="18"/>
                <w:szCs w:val="18"/>
              </w:rPr>
            </w:pPr>
            <w:r>
              <w:rPr>
                <w:rFonts w:ascii="Times New Roman"/>
                <w:spacing w:val="-1"/>
                <w:sz w:val="18"/>
              </w:rPr>
              <w:t>882,083.78</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r>
              <w:rPr>
                <w:rFonts w:ascii="Times New Roman" w:hAnsi="Times New Roman" w:cs="Times New Roman" w:eastAsia="Times New Roman" w:hint="default"/>
                <w:sz w:val="18"/>
                <w:szCs w:val="18"/>
              </w:rPr>
              <w:t>5,871,041.36</w:t>
            </w:r>
            <w:r>
              <w:rPr>
                <w:rFonts w:ascii="宋体" w:hAnsi="宋体" w:cs="宋体" w:eastAsia="宋体" w:hint="default"/>
                <w:sz w:val="18"/>
                <w:szCs w:val="18"/>
              </w:rPr>
              <w:t>元，</w:t>
            </w:r>
          </w:p>
          <w:p>
            <w:pPr>
              <w:pStyle w:val="TableParagraph"/>
              <w:spacing w:line="240" w:lineRule="auto" w:before="63"/>
              <w:ind w:left="4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年</w:t>
            </w:r>
            <w:r>
              <w:rPr>
                <w:rFonts w:ascii="Times New Roman" w:hAnsi="Times New Roman" w:cs="Times New Roman" w:eastAsia="Times New Roman" w:hint="default"/>
                <w:sz w:val="18"/>
                <w:szCs w:val="18"/>
              </w:rPr>
              <w:t>5,885,317.08</w:t>
            </w:r>
            <w:r>
              <w:rPr>
                <w:rFonts w:ascii="宋体" w:hAnsi="宋体" w:cs="宋体" w:eastAsia="宋体" w:hint="default"/>
                <w:sz w:val="18"/>
                <w:szCs w:val="18"/>
              </w:rPr>
              <w:t>元</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200"/>
              <w:jc w:val="right"/>
              <w:rPr>
                <w:rFonts w:ascii="Times New Roman" w:hAnsi="Times New Roman" w:cs="Times New Roman" w:eastAsia="Times New Roman" w:hint="default"/>
                <w:sz w:val="18"/>
                <w:szCs w:val="18"/>
              </w:rPr>
            </w:pPr>
            <w:r>
              <w:rPr>
                <w:rFonts w:ascii="Times New Roman"/>
                <w:sz w:val="18"/>
              </w:rPr>
              <w:t>1.51%</w:t>
            </w:r>
          </w:p>
        </w:tc>
      </w:tr>
      <w:tr>
        <w:trPr>
          <w:trHeight w:val="331"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00"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2"/>
              <w:jc w:val="right"/>
              <w:rPr>
                <w:rFonts w:ascii="宋体" w:hAnsi="宋体" w:cs="宋体" w:eastAsia="宋体" w:hint="default"/>
                <w:sz w:val="18"/>
                <w:szCs w:val="18"/>
              </w:rPr>
            </w:pPr>
            <w:r>
              <w:rPr>
                <w:rFonts w:ascii="宋体" w:hAnsi="宋体" w:cs="宋体" w:eastAsia="宋体" w:hint="default"/>
                <w:sz w:val="18"/>
                <w:szCs w:val="18"/>
              </w:rPr>
              <w:t>非关联方</w:t>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56"/>
              <w:jc w:val="right"/>
              <w:rPr>
                <w:rFonts w:ascii="Times New Roman" w:hAnsi="Times New Roman" w:cs="Times New Roman" w:eastAsia="Times New Roman" w:hint="default"/>
                <w:sz w:val="18"/>
                <w:szCs w:val="18"/>
              </w:rPr>
            </w:pPr>
            <w:r>
              <w:rPr>
                <w:rFonts w:ascii="Times New Roman"/>
                <w:spacing w:val="-1"/>
                <w:sz w:val="18"/>
              </w:rPr>
              <w:t>10,917,533.51</w:t>
            </w:r>
          </w:p>
        </w:tc>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9"/>
              <w:jc w:val="right"/>
              <w:rPr>
                <w:rFonts w:ascii="Times New Roman" w:hAnsi="Times New Roman" w:cs="Times New Roman" w:eastAsia="Times New Roman" w:hint="default"/>
                <w:sz w:val="18"/>
                <w:szCs w:val="18"/>
              </w:rPr>
            </w:pPr>
            <w:r>
              <w:rPr>
                <w:rFonts w:ascii="Times New Roman"/>
                <w:spacing w:val="-1"/>
                <w:sz w:val="18"/>
              </w:rPr>
              <w:t>545,876.68</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6"/>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00"/>
              <w:jc w:val="right"/>
              <w:rPr>
                <w:rFonts w:ascii="Times New Roman" w:hAnsi="Times New Roman" w:cs="Times New Roman" w:eastAsia="Times New Roman" w:hint="default"/>
                <w:sz w:val="18"/>
                <w:szCs w:val="18"/>
              </w:rPr>
            </w:pPr>
            <w:r>
              <w:rPr>
                <w:rFonts w:ascii="Times New Roman"/>
                <w:sz w:val="18"/>
              </w:rPr>
              <w:t>1.40%</w:t>
            </w:r>
          </w:p>
        </w:tc>
      </w:tr>
      <w:tr>
        <w:trPr>
          <w:trHeight w:val="261"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0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87" w:type="dxa"/>
            <w:tcBorders>
              <w:top w:val="nil" w:sz="6" w:space="0" w:color="auto"/>
              <w:left w:val="nil" w:sz="6" w:space="0" w:color="auto"/>
              <w:bottom w:val="nil" w:sz="6" w:space="0" w:color="auto"/>
              <w:right w:val="nil" w:sz="6" w:space="0" w:color="auto"/>
            </w:tcBorders>
          </w:tcPr>
          <w:p>
            <w:pP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7"/>
              <w:ind w:left="-5" w:right="5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126,046,549.83</w:t>
            </w:r>
            <w:r>
              <w:rPr>
                <w:rFonts w:ascii="Times New Roman"/>
                <w:spacing w:val="-1"/>
                <w:sz w:val="18"/>
              </w:rPr>
            </w:r>
          </w:p>
        </w:tc>
        <w:tc>
          <w:tcPr>
            <w:tcW w:w="1014"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7"/>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8,116,468.18</w:t>
            </w:r>
            <w:r>
              <w:rPr>
                <w:rFonts w:ascii="Times New Roman"/>
                <w:spacing w:val="-1"/>
                <w:sz w:val="18"/>
              </w:rPr>
            </w:r>
          </w:p>
        </w:tc>
        <w:tc>
          <w:tcPr>
            <w:tcW w:w="2087" w:type="dxa"/>
            <w:tcBorders>
              <w:top w:val="nil" w:sz="6" w:space="0" w:color="auto"/>
              <w:left w:val="nil" w:sz="6" w:space="0" w:color="auto"/>
              <w:bottom w:val="nil" w:sz="6" w:space="0" w:color="auto"/>
              <w:right w:val="nil" w:sz="6" w:space="0" w:color="auto"/>
            </w:tcBorders>
          </w:tcPr>
          <w:p>
            <w:pP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198"/>
              <w:jc w:val="right"/>
              <w:rPr>
                <w:rFonts w:ascii="Times New Roman" w:hAnsi="Times New Roman" w:cs="Times New Roman" w:eastAsia="Times New Roman" w:hint="default"/>
                <w:sz w:val="18"/>
                <w:szCs w:val="18"/>
              </w:rPr>
            </w:pPr>
            <w:r>
              <w:rPr>
                <w:rFonts w:ascii="Times New Roman"/>
                <w:sz w:val="18"/>
              </w:rPr>
            </w:r>
            <w:r>
              <w:rPr>
                <w:rFonts w:ascii="Times New Roman"/>
                <w:sz w:val="18"/>
                <w:u w:val="single" w:color="000000"/>
              </w:rPr>
              <w:t>16.18%</w:t>
            </w:r>
            <w:r>
              <w:rPr>
                <w:rFonts w:ascii="Times New Roman"/>
                <w:sz w:val="18"/>
              </w:rPr>
            </w:r>
          </w:p>
        </w:tc>
      </w:tr>
    </w:tbl>
    <w:p>
      <w:pPr>
        <w:spacing w:line="240" w:lineRule="auto" w:before="8"/>
        <w:rPr>
          <w:rFonts w:ascii="宋体" w:hAnsi="宋体" w:cs="宋体" w:eastAsia="宋体" w:hint="default"/>
          <w:sz w:val="29"/>
          <w:szCs w:val="29"/>
        </w:rPr>
      </w:pPr>
    </w:p>
    <w:p>
      <w:pPr>
        <w:spacing w:before="44"/>
        <w:ind w:left="292" w:right="10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因金融资产转移而终止确认的应收账款</w:t>
      </w:r>
    </w:p>
    <w:p>
      <w:pPr>
        <w:spacing w:line="340" w:lineRule="auto" w:before="101"/>
        <w:ind w:left="292" w:right="682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转移应收账款且继续涉入形成的资产、负债金额</w:t>
      </w:r>
      <w:r>
        <w:rPr>
          <w:rFonts w:ascii="宋体" w:hAnsi="宋体" w:cs="宋体" w:eastAsia="宋体" w:hint="default"/>
          <w:w w:val="99"/>
          <w:sz w:val="18"/>
          <w:szCs w:val="18"/>
        </w:rPr>
        <w:t> </w:t>
      </w:r>
      <w:r>
        <w:rPr>
          <w:rFonts w:ascii="宋体" w:hAnsi="宋体" w:cs="宋体" w:eastAsia="宋体" w:hint="default"/>
          <w:sz w:val="18"/>
          <w:szCs w:val="18"/>
        </w:rPr>
        <w:t>其他说明：</w:t>
      </w:r>
    </w:p>
    <w:p>
      <w:pPr>
        <w:spacing w:line="240" w:lineRule="auto" w:before="3"/>
        <w:rPr>
          <w:rFonts w:ascii="宋体" w:hAnsi="宋体" w:cs="宋体" w:eastAsia="宋体" w:hint="default"/>
          <w:sz w:val="21"/>
          <w:szCs w:val="21"/>
        </w:rPr>
      </w:pPr>
    </w:p>
    <w:p>
      <w:pPr>
        <w:spacing w:before="0"/>
        <w:ind w:left="292" w:right="103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300" w:type="dxa"/>
        <w:tblLayout w:type="fixed"/>
        <w:tblCellMar>
          <w:top w:w="0" w:type="dxa"/>
          <w:left w:w="0" w:type="dxa"/>
          <w:bottom w:w="0" w:type="dxa"/>
          <w:right w:w="0" w:type="dxa"/>
        </w:tblCellMar>
        <w:tblLook w:val="01E0"/>
      </w:tblPr>
      <w:tblGrid>
        <w:gridCol w:w="3168"/>
        <w:gridCol w:w="3201"/>
        <w:gridCol w:w="3190"/>
      </w:tblGrid>
      <w:tr>
        <w:trPr>
          <w:trHeight w:val="401"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432,672,344.69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307,050,910.22</w:t>
            </w:r>
          </w:p>
        </w:tc>
      </w:tr>
      <w:tr>
        <w:trPr>
          <w:trHeight w:val="404" w:hRule="exact"/>
        </w:trPr>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432,672,344.69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307,050,910.22</w:t>
            </w:r>
          </w:p>
        </w:tc>
      </w:tr>
    </w:tbl>
    <w:p>
      <w:pPr>
        <w:spacing w:line="240" w:lineRule="auto" w:before="3"/>
        <w:rPr>
          <w:rFonts w:ascii="宋体" w:hAnsi="宋体" w:cs="宋体" w:eastAsia="宋体" w:hint="default"/>
          <w:sz w:val="19"/>
          <w:szCs w:val="19"/>
        </w:rPr>
      </w:pPr>
    </w:p>
    <w:p>
      <w:pPr>
        <w:spacing w:before="36"/>
        <w:ind w:left="292" w:right="1034"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292" w:right="10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其他应收款分类披露</w:t>
      </w:r>
    </w:p>
    <w:p>
      <w:pPr>
        <w:spacing w:before="10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287" w:type="dxa"/>
        <w:tblLayout w:type="fixed"/>
        <w:tblCellMar>
          <w:top w:w="0" w:type="dxa"/>
          <w:left w:w="0" w:type="dxa"/>
          <w:bottom w:w="0" w:type="dxa"/>
          <w:right w:w="0" w:type="dxa"/>
        </w:tblCellMar>
        <w:tblLook w:val="01E0"/>
      </w:tblPr>
      <w:tblGrid>
        <w:gridCol w:w="1647"/>
        <w:gridCol w:w="751"/>
        <w:gridCol w:w="761"/>
        <w:gridCol w:w="763"/>
        <w:gridCol w:w="752"/>
        <w:gridCol w:w="801"/>
        <w:gridCol w:w="653"/>
        <w:gridCol w:w="761"/>
        <w:gridCol w:w="814"/>
        <w:gridCol w:w="934"/>
        <w:gridCol w:w="931"/>
      </w:tblGrid>
      <w:tr>
        <w:trPr>
          <w:trHeight w:val="398" w:hRule="exact"/>
        </w:trPr>
        <w:tc>
          <w:tcPr>
            <w:tcW w:w="1647" w:type="dxa"/>
            <w:vMerge w:val="restart"/>
            <w:tcBorders>
              <w:top w:val="single" w:sz="4" w:space="0" w:color="000000"/>
              <w:left w:val="single" w:sz="4" w:space="0" w:color="000000"/>
              <w:right w:val="single" w:sz="4" w:space="0" w:color="000000"/>
            </w:tcBorders>
            <w:shd w:val="clear" w:color="auto" w:fill="D2D2D2"/>
          </w:tcPr>
          <w:p>
            <w:pPr/>
          </w:p>
        </w:tc>
        <w:tc>
          <w:tcPr>
            <w:tcW w:w="382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47" w:type="dxa"/>
            <w:vMerge/>
            <w:tcBorders>
              <w:left w:val="single" w:sz="4" w:space="0" w:color="000000"/>
              <w:bottom w:val="nil" w:sz="6" w:space="0" w:color="auto"/>
              <w:right w:val="single" w:sz="4" w:space="0" w:color="000000"/>
            </w:tcBorders>
            <w:shd w:val="clear" w:color="auto" w:fill="D2D2D2"/>
          </w:tcPr>
          <w:p>
            <w:pPr/>
          </w:p>
        </w:tc>
        <w:tc>
          <w:tcPr>
            <w:tcW w:w="151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8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801" w:type="dxa"/>
            <w:vMerge w:val="restart"/>
            <w:tcBorders>
              <w:top w:val="single" w:sz="4" w:space="0" w:color="000000"/>
              <w:left w:val="single" w:sz="4" w:space="0" w:color="000000"/>
              <w:right w:val="single" w:sz="4" w:space="0" w:color="000000"/>
            </w:tcBorders>
            <w:shd w:val="clear" w:color="auto" w:fill="D2D2D2"/>
          </w:tcPr>
          <w:p>
            <w:pPr/>
          </w:p>
        </w:tc>
        <w:tc>
          <w:tcPr>
            <w:tcW w:w="141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1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4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1"/>
              <w:jc w:val="center"/>
              <w:rPr>
                <w:rFonts w:ascii="宋体" w:hAnsi="宋体" w:cs="宋体" w:eastAsia="宋体" w:hint="default"/>
                <w:sz w:val="18"/>
                <w:szCs w:val="18"/>
              </w:rPr>
            </w:pPr>
            <w:r>
              <w:rPr>
                <w:rFonts w:ascii="宋体" w:hAnsi="宋体" w:cs="宋体" w:eastAsia="宋体" w:hint="default"/>
                <w:sz w:val="18"/>
                <w:szCs w:val="18"/>
              </w:rPr>
              <w:t>类别</w:t>
            </w:r>
          </w:p>
        </w:tc>
        <w:tc>
          <w:tcPr>
            <w:tcW w:w="1513" w:type="dxa"/>
            <w:gridSpan w:val="2"/>
            <w:vMerge/>
            <w:tcBorders>
              <w:left w:val="single" w:sz="4" w:space="0" w:color="000000"/>
              <w:bottom w:val="single" w:sz="4" w:space="0" w:color="000000"/>
              <w:right w:val="single" w:sz="4" w:space="0" w:color="000000"/>
            </w:tcBorders>
            <w:shd w:val="clear" w:color="auto" w:fill="D2D2D2"/>
          </w:tcPr>
          <w:p>
            <w:pPr/>
          </w:p>
        </w:tc>
        <w:tc>
          <w:tcPr>
            <w:tcW w:w="1516" w:type="dxa"/>
            <w:gridSpan w:val="2"/>
            <w:vMerge/>
            <w:tcBorders>
              <w:left w:val="single" w:sz="4" w:space="0" w:color="000000"/>
              <w:bottom w:val="single" w:sz="4" w:space="0" w:color="000000"/>
              <w:right w:val="single" w:sz="4" w:space="0" w:color="000000"/>
            </w:tcBorders>
            <w:shd w:val="clear" w:color="auto" w:fill="D2D2D2"/>
          </w:tcPr>
          <w:p>
            <w:pPr/>
          </w:p>
        </w:tc>
        <w:tc>
          <w:tcPr>
            <w:tcW w:w="801" w:type="dxa"/>
            <w:vMerge/>
            <w:tcBorders>
              <w:left w:val="single" w:sz="4" w:space="0" w:color="000000"/>
              <w:bottom w:val="nil" w:sz="6" w:space="0" w:color="auto"/>
              <w:right w:val="single" w:sz="4" w:space="0" w:color="000000"/>
            </w:tcBorders>
            <w:shd w:val="clear" w:color="auto" w:fill="D2D2D2"/>
          </w:tcPr>
          <w:p>
            <w:pPr/>
          </w:p>
        </w:tc>
        <w:tc>
          <w:tcPr>
            <w:tcW w:w="1414" w:type="dxa"/>
            <w:gridSpan w:val="2"/>
            <w:vMerge/>
            <w:tcBorders>
              <w:left w:val="single" w:sz="4" w:space="0" w:color="000000"/>
              <w:bottom w:val="single" w:sz="4" w:space="0" w:color="000000"/>
              <w:right w:val="single" w:sz="4" w:space="0" w:color="000000"/>
            </w:tcBorders>
            <w:shd w:val="clear" w:color="auto" w:fill="D2D2D2"/>
          </w:tcPr>
          <w:p>
            <w:pPr/>
          </w:p>
        </w:tc>
        <w:tc>
          <w:tcPr>
            <w:tcW w:w="1748" w:type="dxa"/>
            <w:gridSpan w:val="2"/>
            <w:vMerge/>
            <w:tcBorders>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159" w:hRule="exact"/>
        </w:trPr>
        <w:tc>
          <w:tcPr>
            <w:tcW w:w="1647" w:type="dxa"/>
            <w:vMerge/>
            <w:tcBorders>
              <w:left w:val="single" w:sz="4" w:space="0" w:color="000000"/>
              <w:bottom w:val="single" w:sz="5" w:space="0" w:color="FFFFFF"/>
              <w:right w:val="single" w:sz="4" w:space="0" w:color="000000"/>
            </w:tcBorders>
            <w:shd w:val="clear" w:color="auto" w:fill="D2D2D2"/>
          </w:tcPr>
          <w:p>
            <w:pPr/>
          </w:p>
        </w:tc>
        <w:tc>
          <w:tcPr>
            <w:tcW w:w="751" w:type="dxa"/>
            <w:tcBorders>
              <w:top w:val="single" w:sz="4" w:space="0" w:color="000000"/>
              <w:left w:val="single" w:sz="4" w:space="0" w:color="000000"/>
              <w:bottom w:val="single" w:sz="5" w:space="0" w:color="FFFFFF"/>
              <w:right w:val="single" w:sz="4" w:space="0" w:color="000000"/>
            </w:tcBorders>
            <w:shd w:val="clear" w:color="auto" w:fill="D2D2D2"/>
          </w:tcPr>
          <w:p>
            <w:pPr/>
          </w:p>
        </w:tc>
        <w:tc>
          <w:tcPr>
            <w:tcW w:w="761" w:type="dxa"/>
            <w:tcBorders>
              <w:top w:val="single" w:sz="4" w:space="0" w:color="000000"/>
              <w:left w:val="single" w:sz="4" w:space="0" w:color="000000"/>
              <w:bottom w:val="single" w:sz="5"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5" w:space="0" w:color="FFFFFF"/>
              <w:right w:val="single" w:sz="4" w:space="0" w:color="000000"/>
            </w:tcBorders>
            <w:shd w:val="clear" w:color="auto" w:fill="D2D2D2"/>
          </w:tcPr>
          <w:p>
            <w:pPr/>
          </w:p>
        </w:tc>
        <w:tc>
          <w:tcPr>
            <w:tcW w:w="752"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50"/>
              <w:ind w:left="288" w:right="92"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8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9"/>
              <w:ind w:left="3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1"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9"/>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47" w:type="dxa"/>
            <w:vMerge w:val="restart"/>
            <w:tcBorders>
              <w:top w:val="single" w:sz="5" w:space="0" w:color="FFFFFF"/>
              <w:left w:val="single" w:sz="4" w:space="0" w:color="000000"/>
              <w:right w:val="single" w:sz="4" w:space="0" w:color="000000"/>
            </w:tcBorders>
            <w:shd w:val="clear" w:color="auto" w:fill="D2D2D2"/>
          </w:tcPr>
          <w:p>
            <w:pPr/>
          </w:p>
        </w:tc>
        <w:tc>
          <w:tcPr>
            <w:tcW w:w="751" w:type="dxa"/>
            <w:vMerge w:val="restart"/>
            <w:tcBorders>
              <w:top w:val="single" w:sz="5" w:space="0" w:color="FFFFFF"/>
              <w:left w:val="single" w:sz="4" w:space="0" w:color="000000"/>
              <w:right w:val="single" w:sz="4" w:space="0" w:color="000000"/>
            </w:tcBorders>
            <w:shd w:val="clear" w:color="auto" w:fill="D2D2D2"/>
          </w:tcPr>
          <w:p>
            <w:pPr>
              <w:pStyle w:val="TableParagraph"/>
              <w:spacing w:line="240" w:lineRule="auto" w:before="46"/>
              <w:ind w:left="18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single" w:sz="5"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vMerge w:val="restart"/>
            <w:tcBorders>
              <w:top w:val="single" w:sz="5" w:space="0" w:color="FFFFFF"/>
              <w:left w:val="single" w:sz="4" w:space="0" w:color="000000"/>
              <w:right w:val="single" w:sz="4" w:space="0" w:color="000000"/>
            </w:tcBorders>
            <w:shd w:val="clear" w:color="auto" w:fill="D2D2D2"/>
          </w:tcPr>
          <w:p>
            <w:pPr>
              <w:pStyle w:val="TableParagraph"/>
              <w:spacing w:line="240" w:lineRule="auto" w:before="46"/>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52" w:type="dxa"/>
            <w:vMerge/>
            <w:tcBorders>
              <w:left w:val="single" w:sz="4" w:space="0" w:color="000000"/>
              <w:right w:val="single" w:sz="4" w:space="0" w:color="000000"/>
            </w:tcBorders>
            <w:shd w:val="clear" w:color="auto" w:fill="D2D2D2"/>
          </w:tcPr>
          <w:p>
            <w:pPr/>
          </w:p>
        </w:tc>
        <w:tc>
          <w:tcPr>
            <w:tcW w:w="801" w:type="dxa"/>
            <w:vMerge/>
            <w:tcBorders>
              <w:left w:val="single" w:sz="4" w:space="0" w:color="000000"/>
              <w:bottom w:val="nil" w:sz="6" w:space="0" w:color="auto"/>
              <w:right w:val="single" w:sz="4" w:space="0" w:color="000000"/>
            </w:tcBorders>
            <w:shd w:val="clear" w:color="auto" w:fill="D2D2D2"/>
          </w:tcPr>
          <w:p>
            <w:pPr/>
          </w:p>
        </w:tc>
        <w:tc>
          <w:tcPr>
            <w:tcW w:w="65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2"/>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2"/>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2"/>
              <w:ind w:left="22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47" w:type="dxa"/>
            <w:vMerge/>
            <w:tcBorders>
              <w:left w:val="single" w:sz="4" w:space="0" w:color="000000"/>
              <w:right w:val="single" w:sz="4" w:space="0" w:color="000000"/>
            </w:tcBorders>
            <w:shd w:val="clear" w:color="auto" w:fill="D2D2D2"/>
          </w:tcPr>
          <w:p>
            <w:pPr/>
          </w:p>
        </w:tc>
        <w:tc>
          <w:tcPr>
            <w:tcW w:w="751"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52" w:type="dxa"/>
            <w:vMerge/>
            <w:tcBorders>
              <w:left w:val="single" w:sz="4" w:space="0" w:color="000000"/>
              <w:right w:val="single" w:sz="4" w:space="0" w:color="000000"/>
            </w:tcBorders>
            <w:shd w:val="clear" w:color="auto" w:fill="D2D2D2"/>
          </w:tcPr>
          <w:p>
            <w:pPr/>
          </w:p>
        </w:tc>
        <w:tc>
          <w:tcPr>
            <w:tcW w:w="801" w:type="dxa"/>
            <w:vMerge w:val="restart"/>
            <w:tcBorders>
              <w:top w:val="nil" w:sz="6" w:space="0" w:color="auto"/>
              <w:left w:val="single" w:sz="4" w:space="0" w:color="000000"/>
              <w:right w:val="single" w:sz="4" w:space="0" w:color="000000"/>
            </w:tcBorders>
            <w:shd w:val="clear" w:color="auto" w:fill="D2D2D2"/>
          </w:tcPr>
          <w:p>
            <w:pPr/>
          </w:p>
        </w:tc>
        <w:tc>
          <w:tcPr>
            <w:tcW w:w="653" w:type="dxa"/>
            <w:vMerge/>
            <w:tcBorders>
              <w:left w:val="single" w:sz="4" w:space="0" w:color="000000"/>
              <w:bottom w:val="nil" w:sz="6" w:space="0" w:color="auto"/>
              <w:right w:val="single" w:sz="4" w:space="0" w:color="000000"/>
            </w:tcBorders>
            <w:shd w:val="clear" w:color="auto" w:fill="D2D2D2"/>
          </w:tcPr>
          <w:p>
            <w:pPr/>
          </w:p>
        </w:tc>
        <w:tc>
          <w:tcPr>
            <w:tcW w:w="761" w:type="dxa"/>
            <w:vMerge/>
            <w:tcBorders>
              <w:left w:val="single" w:sz="4" w:space="0" w:color="000000"/>
              <w:bottom w:val="nil" w:sz="6" w:space="0" w:color="auto"/>
              <w:right w:val="single" w:sz="4" w:space="0" w:color="000000"/>
            </w:tcBorders>
            <w:shd w:val="clear" w:color="auto" w:fill="D2D2D2"/>
          </w:tcPr>
          <w:p>
            <w:pPr/>
          </w:p>
        </w:tc>
        <w:tc>
          <w:tcPr>
            <w:tcW w:w="814" w:type="dxa"/>
            <w:vMerge/>
            <w:tcBorders>
              <w:left w:val="single" w:sz="4" w:space="0" w:color="000000"/>
              <w:bottom w:val="nil" w:sz="6" w:space="0" w:color="auto"/>
              <w:right w:val="single" w:sz="4" w:space="0" w:color="000000"/>
            </w:tcBorders>
            <w:shd w:val="clear" w:color="auto" w:fill="D2D2D2"/>
          </w:tcPr>
          <w:p>
            <w:pPr/>
          </w:p>
        </w:tc>
        <w:tc>
          <w:tcPr>
            <w:tcW w:w="934" w:type="dxa"/>
            <w:vMerge/>
            <w:tcBorders>
              <w:left w:val="single" w:sz="4" w:space="0" w:color="000000"/>
              <w:bottom w:val="nil" w:sz="6" w:space="0" w:color="auto"/>
              <w:right w:val="single" w:sz="4" w:space="0" w:color="000000"/>
            </w:tcBorders>
            <w:shd w:val="clear" w:color="auto" w:fill="D2D2D2"/>
          </w:tcPr>
          <w:p>
            <w:pPr/>
          </w:p>
        </w:tc>
        <w:tc>
          <w:tcPr>
            <w:tcW w:w="931"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47" w:type="dxa"/>
            <w:vMerge/>
            <w:tcBorders>
              <w:left w:val="single" w:sz="4" w:space="0" w:color="000000"/>
              <w:bottom w:val="single" w:sz="4" w:space="0" w:color="000000"/>
              <w:right w:val="single" w:sz="4" w:space="0" w:color="000000"/>
            </w:tcBorders>
            <w:shd w:val="clear" w:color="auto" w:fill="D2D2D2"/>
          </w:tcPr>
          <w:p>
            <w:pPr/>
          </w:p>
        </w:tc>
        <w:tc>
          <w:tcPr>
            <w:tcW w:w="75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52" w:type="dxa"/>
            <w:vMerge/>
            <w:tcBorders>
              <w:left w:val="single" w:sz="4" w:space="0" w:color="000000"/>
              <w:bottom w:val="single" w:sz="4" w:space="0" w:color="000000"/>
              <w:right w:val="single" w:sz="4" w:space="0" w:color="000000"/>
            </w:tcBorders>
            <w:shd w:val="clear" w:color="auto" w:fill="D2D2D2"/>
          </w:tcPr>
          <w:p>
            <w:pPr/>
          </w:p>
        </w:tc>
        <w:tc>
          <w:tcPr>
            <w:tcW w:w="801" w:type="dxa"/>
            <w:vMerge/>
            <w:tcBorders>
              <w:left w:val="single" w:sz="4" w:space="0" w:color="000000"/>
              <w:bottom w:val="single" w:sz="4" w:space="0" w:color="000000"/>
              <w:right w:val="single" w:sz="4" w:space="0" w:color="000000"/>
            </w:tcBorders>
            <w:shd w:val="clear" w:color="auto" w:fill="D2D2D2"/>
          </w:tcPr>
          <w:p>
            <w:pPr/>
          </w:p>
        </w:tc>
        <w:tc>
          <w:tcPr>
            <w:tcW w:w="65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1" w:type="dxa"/>
            <w:tcBorders>
              <w:top w:val="nil" w:sz="6" w:space="0" w:color="auto"/>
              <w:left w:val="single" w:sz="4" w:space="0" w:color="000000"/>
              <w:bottom w:val="single" w:sz="4" w:space="0" w:color="000000"/>
              <w:right w:val="single" w:sz="4" w:space="0" w:color="000000"/>
            </w:tcBorders>
            <w:shd w:val="clear" w:color="auto" w:fill="D2D2D2"/>
          </w:tcPr>
          <w:p>
            <w:pPr/>
          </w:p>
        </w:tc>
        <w:tc>
          <w:tcPr>
            <w:tcW w:w="81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716" w:hRule="exact"/>
        </w:trPr>
        <w:tc>
          <w:tcPr>
            <w:tcW w:w="16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8"/>
              <w:ind w:left="24" w:right="171"/>
              <w:jc w:val="left"/>
              <w:rPr>
                <w:rFonts w:ascii="宋体" w:hAnsi="宋体" w:cs="宋体" w:eastAsia="宋体" w:hint="default"/>
                <w:sz w:val="18"/>
                <w:szCs w:val="18"/>
              </w:rPr>
            </w:pPr>
            <w:r>
              <w:rPr>
                <w:rFonts w:ascii="宋体" w:hAnsi="宋体" w:cs="宋体" w:eastAsia="宋体" w:hint="default"/>
                <w:sz w:val="18"/>
                <w:szCs w:val="18"/>
              </w:rPr>
              <w:t>按信用风险特征组 合计提坏账准备的</w:t>
            </w:r>
          </w:p>
        </w:tc>
        <w:tc>
          <w:tcPr>
            <w:tcW w:w="75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62" w:right="0"/>
              <w:jc w:val="center"/>
              <w:rPr>
                <w:rFonts w:ascii="Times New Roman" w:hAnsi="Times New Roman" w:cs="Times New Roman" w:eastAsia="Times New Roman" w:hint="default"/>
                <w:sz w:val="18"/>
                <w:szCs w:val="18"/>
              </w:rPr>
            </w:pPr>
            <w:r>
              <w:rPr>
                <w:rFonts w:ascii="Times New Roman"/>
                <w:sz w:val="18"/>
              </w:rPr>
              <w:t>432,672,</w:t>
            </w:r>
          </w:p>
          <w:p>
            <w:pPr>
              <w:pStyle w:val="TableParagraph"/>
              <w:spacing w:line="240" w:lineRule="auto" w:before="105"/>
              <w:ind w:left="198" w:right="0"/>
              <w:jc w:val="center"/>
              <w:rPr>
                <w:rFonts w:ascii="Times New Roman" w:hAnsi="Times New Roman" w:cs="Times New Roman" w:eastAsia="Times New Roman" w:hint="default"/>
                <w:sz w:val="18"/>
                <w:szCs w:val="18"/>
              </w:rPr>
            </w:pPr>
            <w:r>
              <w:rPr>
                <w:rFonts w:ascii="Times New Roman"/>
                <w:sz w:val="18"/>
              </w:rPr>
              <w:t>344.69</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tcBorders>
              <w:top w:val="single" w:sz="4" w:space="0" w:color="000000"/>
              <w:left w:val="single" w:sz="4" w:space="0" w:color="000000"/>
              <w:bottom w:val="single" w:sz="4" w:space="0" w:color="000000"/>
              <w:right w:val="single" w:sz="4" w:space="0" w:color="000000"/>
            </w:tcBorders>
          </w:tcPr>
          <w:p>
            <w:pPr/>
          </w:p>
        </w:tc>
        <w:tc>
          <w:tcPr>
            <w:tcW w:w="752" w:type="dxa"/>
            <w:tcBorders>
              <w:top w:val="single" w:sz="4" w:space="0" w:color="000000"/>
              <w:left w:val="single" w:sz="4" w:space="0" w:color="000000"/>
              <w:bottom w:val="single" w:sz="4" w:space="0" w:color="000000"/>
              <w:right w:val="single" w:sz="4" w:space="0" w:color="000000"/>
            </w:tcBorders>
          </w:tcPr>
          <w:p>
            <w:pPr/>
          </w:p>
        </w:tc>
        <w:tc>
          <w:tcPr>
            <w:tcW w:w="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432,672,3</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44.69</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307,050</w:t>
            </w:r>
          </w:p>
          <w:p>
            <w:pPr>
              <w:pStyle w:val="TableParagraph"/>
              <w:spacing w:line="240" w:lineRule="auto" w:before="105"/>
              <w:ind w:left="81" w:right="0"/>
              <w:jc w:val="left"/>
              <w:rPr>
                <w:rFonts w:ascii="Times New Roman" w:hAnsi="Times New Roman" w:cs="Times New Roman" w:eastAsia="Times New Roman" w:hint="default"/>
                <w:sz w:val="18"/>
                <w:szCs w:val="18"/>
              </w:rPr>
            </w:pPr>
            <w:r>
              <w:rPr>
                <w:rFonts w:ascii="Times New Roman"/>
                <w:sz w:val="18"/>
              </w:rPr>
              <w:t>,910.22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tcBorders>
              <w:top w:val="single" w:sz="4" w:space="0" w:color="000000"/>
              <w:left w:val="single" w:sz="4" w:space="0" w:color="000000"/>
              <w:bottom w:val="single" w:sz="4" w:space="0" w:color="000000"/>
              <w:right w:val="single" w:sz="4" w:space="0" w:color="000000"/>
            </w:tcBorders>
          </w:tcPr>
          <w:p>
            <w:pPr/>
          </w:p>
        </w:tc>
        <w:tc>
          <w:tcPr>
            <w:tcW w:w="934"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307,050,91</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0.22</w:t>
            </w:r>
          </w:p>
        </w:tc>
      </w:tr>
    </w:tbl>
    <w:p>
      <w:pPr>
        <w:spacing w:after="0" w:line="240" w:lineRule="auto"/>
        <w:jc w:val="left"/>
        <w:rPr>
          <w:rFonts w:ascii="Times New Roman" w:hAnsi="Times New Roman" w:cs="Times New Roman" w:eastAsia="Times New Roman" w:hint="default"/>
          <w:sz w:val="18"/>
          <w:szCs w:val="18"/>
        </w:rPr>
        <w:sectPr>
          <w:type w:val="continuous"/>
          <w:pgSz w:w="11910" w:h="16840"/>
          <w:pgMar w:top="1060" w:bottom="1160" w:left="840" w:right="0"/>
        </w:sectPr>
      </w:pPr>
    </w:p>
    <w:p>
      <w:pPr>
        <w:spacing w:line="240" w:lineRule="auto" w:before="6"/>
        <w:rPr>
          <w:rFonts w:ascii="宋体" w:hAnsi="宋体" w:cs="宋体" w:eastAsia="宋体" w:hint="default"/>
          <w:sz w:val="28"/>
          <w:szCs w:val="28"/>
        </w:rPr>
      </w:pPr>
    </w:p>
    <w:tbl>
      <w:tblPr>
        <w:tblW w:w="0" w:type="auto"/>
        <w:jc w:val="left"/>
        <w:tblInd w:w="289" w:type="dxa"/>
        <w:tblLayout w:type="fixed"/>
        <w:tblCellMar>
          <w:top w:w="0" w:type="dxa"/>
          <w:left w:w="0" w:type="dxa"/>
          <w:bottom w:w="0" w:type="dxa"/>
          <w:right w:w="0" w:type="dxa"/>
        </w:tblCellMar>
        <w:tblLook w:val="01E0"/>
      </w:tblPr>
      <w:tblGrid>
        <w:gridCol w:w="1634"/>
        <w:gridCol w:w="763"/>
        <w:gridCol w:w="761"/>
        <w:gridCol w:w="763"/>
        <w:gridCol w:w="763"/>
        <w:gridCol w:w="788"/>
        <w:gridCol w:w="655"/>
        <w:gridCol w:w="761"/>
        <w:gridCol w:w="814"/>
        <w:gridCol w:w="934"/>
        <w:gridCol w:w="931"/>
      </w:tblGrid>
      <w:tr>
        <w:trPr>
          <w:trHeight w:val="363"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763" w:type="dxa"/>
            <w:tcBorders>
              <w:top w:val="single" w:sz="4" w:space="0" w:color="000000"/>
              <w:left w:val="single" w:sz="4" w:space="0" w:color="000000"/>
              <w:bottom w:val="single" w:sz="4" w:space="0" w:color="000000"/>
              <w:right w:val="single" w:sz="4" w:space="0" w:color="000000"/>
            </w:tcBorders>
          </w:tcPr>
          <w:p>
            <w:pPr/>
          </w:p>
        </w:tc>
        <w:tc>
          <w:tcPr>
            <w:tcW w:w="761"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single" w:sz="4" w:space="0" w:color="000000"/>
            </w:tcBorders>
          </w:tcPr>
          <w:p>
            <w:pPr/>
          </w:p>
        </w:tc>
        <w:tc>
          <w:tcPr>
            <w:tcW w:w="655" w:type="dxa"/>
            <w:tcBorders>
              <w:top w:val="single" w:sz="4" w:space="0" w:color="000000"/>
              <w:left w:val="single" w:sz="4" w:space="0" w:color="000000"/>
              <w:bottom w:val="single" w:sz="4" w:space="0" w:color="000000"/>
              <w:right w:val="single" w:sz="4" w:space="0" w:color="000000"/>
            </w:tcBorders>
          </w:tcPr>
          <w:p>
            <w:pPr/>
          </w:p>
        </w:tc>
        <w:tc>
          <w:tcPr>
            <w:tcW w:w="761" w:type="dxa"/>
            <w:tcBorders>
              <w:top w:val="single" w:sz="4" w:space="0" w:color="000000"/>
              <w:left w:val="single" w:sz="4" w:space="0" w:color="000000"/>
              <w:bottom w:val="single" w:sz="4" w:space="0" w:color="000000"/>
              <w:right w:val="single" w:sz="4" w:space="0" w:color="000000"/>
            </w:tcBorders>
          </w:tcPr>
          <w:p>
            <w:pPr/>
          </w:p>
        </w:tc>
        <w:tc>
          <w:tcPr>
            <w:tcW w:w="814" w:type="dxa"/>
            <w:tcBorders>
              <w:top w:val="single" w:sz="4" w:space="0" w:color="000000"/>
              <w:left w:val="single" w:sz="4" w:space="0" w:color="000000"/>
              <w:bottom w:val="single" w:sz="4" w:space="0" w:color="000000"/>
              <w:right w:val="single" w:sz="4" w:space="0" w:color="000000"/>
            </w:tcBorders>
          </w:tcPr>
          <w:p>
            <w:pPr/>
          </w:p>
        </w:tc>
        <w:tc>
          <w:tcPr>
            <w:tcW w:w="934"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center"/>
              <w:rPr>
                <w:rFonts w:ascii="Times New Roman" w:hAnsi="Times New Roman" w:cs="Times New Roman" w:eastAsia="Times New Roman" w:hint="default"/>
                <w:sz w:val="18"/>
                <w:szCs w:val="18"/>
              </w:rPr>
            </w:pPr>
            <w:r>
              <w:rPr>
                <w:rFonts w:ascii="Times New Roman"/>
                <w:sz w:val="18"/>
              </w:rPr>
              <w:t>432,672,</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344.69</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432,672,3</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44.69</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307,050</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,910.22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tcBorders>
              <w:top w:val="single" w:sz="4" w:space="0" w:color="000000"/>
              <w:left w:val="single" w:sz="4" w:space="0" w:color="000000"/>
              <w:bottom w:val="single" w:sz="4" w:space="0" w:color="000000"/>
              <w:right w:val="single" w:sz="4" w:space="0" w:color="000000"/>
            </w:tcBorders>
          </w:tcPr>
          <w:p>
            <w:pPr/>
          </w:p>
        </w:tc>
        <w:tc>
          <w:tcPr>
            <w:tcW w:w="934"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307,050,91</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0.22</w:t>
            </w:r>
          </w:p>
        </w:tc>
      </w:tr>
    </w:tbl>
    <w:p>
      <w:pPr>
        <w:spacing w:before="49"/>
        <w:ind w:left="292" w:right="1034"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期末单项金额重大并单项计提坏账准备的其他应收款：</w:t>
      </w:r>
    </w:p>
    <w:p>
      <w:pPr>
        <w:spacing w:line="338" w:lineRule="auto" w:before="117"/>
        <w:ind w:left="292" w:right="66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组合中，按账龄分析法计提坏账准备的其他应收款：</w:t>
      </w:r>
    </w:p>
    <w:p>
      <w:pPr>
        <w:spacing w:line="340" w:lineRule="auto" w:before="43"/>
        <w:ind w:left="292" w:right="625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组合中，采用余额百分比法计提坏账准备的其他应收款：</w:t>
      </w:r>
    </w:p>
    <w:p>
      <w:pPr>
        <w:spacing w:line="340" w:lineRule="auto" w:before="39"/>
        <w:ind w:left="292" w:right="661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组合中，采用其他方法计提坏账准备的其他应收款：</w:t>
      </w:r>
    </w:p>
    <w:p>
      <w:pPr>
        <w:spacing w:before="41"/>
        <w:ind w:left="292" w:right="10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80"/>
        <w:ind w:left="292" w:right="1034" w:firstLine="0"/>
        <w:jc w:val="left"/>
        <w:rPr>
          <w:rFonts w:ascii="宋体" w:hAnsi="宋体" w:cs="宋体" w:eastAsia="宋体" w:hint="default"/>
          <w:sz w:val="21"/>
          <w:szCs w:val="21"/>
        </w:rPr>
      </w:pPr>
      <w:r>
        <w:rPr>
          <w:rFonts w:ascii="宋体" w:hAnsi="宋体" w:cs="宋体" w:eastAsia="宋体" w:hint="default"/>
          <w:sz w:val="21"/>
          <w:szCs w:val="21"/>
        </w:rPr>
        <w:t>组合中，采用其他方法计提坏账准备的其他应收款：</w:t>
      </w:r>
    </w:p>
    <w:p>
      <w:pPr>
        <w:spacing w:line="240" w:lineRule="auto" w:before="8"/>
        <w:rPr>
          <w:rFonts w:ascii="宋体" w:hAnsi="宋体" w:cs="宋体" w:eastAsia="宋体" w:hint="default"/>
          <w:sz w:val="9"/>
          <w:szCs w:val="9"/>
        </w:rPr>
      </w:pPr>
    </w:p>
    <w:tbl>
      <w:tblPr>
        <w:tblW w:w="0" w:type="auto"/>
        <w:jc w:val="left"/>
        <w:tblInd w:w="104" w:type="dxa"/>
        <w:tblLayout w:type="fixed"/>
        <w:tblCellMar>
          <w:top w:w="0" w:type="dxa"/>
          <w:left w:w="0" w:type="dxa"/>
          <w:bottom w:w="0" w:type="dxa"/>
          <w:right w:w="0" w:type="dxa"/>
        </w:tblCellMar>
        <w:tblLook w:val="01E0"/>
      </w:tblPr>
      <w:tblGrid>
        <w:gridCol w:w="3244"/>
        <w:gridCol w:w="2062"/>
        <w:gridCol w:w="1984"/>
        <w:gridCol w:w="1596"/>
      </w:tblGrid>
      <w:tr>
        <w:trPr>
          <w:trHeight w:val="256" w:hRule="exact"/>
        </w:trPr>
        <w:tc>
          <w:tcPr>
            <w:tcW w:w="3244" w:type="dxa"/>
            <w:tcBorders>
              <w:top w:val="nil" w:sz="6" w:space="0" w:color="auto"/>
              <w:left w:val="nil" w:sz="6" w:space="0" w:color="auto"/>
              <w:bottom w:val="nil" w:sz="6" w:space="0" w:color="auto"/>
              <w:right w:val="nil" w:sz="6" w:space="0" w:color="auto"/>
            </w:tcBorders>
          </w:tcPr>
          <w:p>
            <w:pPr>
              <w:pStyle w:val="TableParagraph"/>
              <w:spacing w:line="180" w:lineRule="exact"/>
              <w:ind w:left="219"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2062" w:type="dxa"/>
            <w:tcBorders>
              <w:top w:val="nil" w:sz="6" w:space="0" w:color="auto"/>
              <w:left w:val="nil" w:sz="6" w:space="0" w:color="auto"/>
              <w:bottom w:val="nil" w:sz="6" w:space="0" w:color="auto"/>
              <w:right w:val="nil" w:sz="6" w:space="0" w:color="auto"/>
            </w:tcBorders>
          </w:tcPr>
          <w:p>
            <w:pPr/>
          </w:p>
        </w:tc>
        <w:tc>
          <w:tcPr>
            <w:tcW w:w="1984" w:type="dxa"/>
            <w:tcBorders>
              <w:top w:val="nil" w:sz="6" w:space="0" w:color="auto"/>
              <w:left w:val="nil" w:sz="6" w:space="0" w:color="auto"/>
              <w:bottom w:val="nil" w:sz="6" w:space="0" w:color="auto"/>
              <w:right w:val="nil" w:sz="6" w:space="0" w:color="auto"/>
            </w:tcBorders>
          </w:tcPr>
          <w:p>
            <w:pPr>
              <w:pStyle w:val="TableParagraph"/>
              <w:spacing w:line="180" w:lineRule="exact"/>
              <w:ind w:left="674"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596" w:type="dxa"/>
            <w:tcBorders>
              <w:top w:val="nil" w:sz="6" w:space="0" w:color="auto"/>
              <w:left w:val="nil" w:sz="6" w:space="0" w:color="auto"/>
              <w:bottom w:val="nil" w:sz="6" w:space="0" w:color="auto"/>
              <w:right w:val="nil" w:sz="6" w:space="0" w:color="auto"/>
            </w:tcBorders>
          </w:tcPr>
          <w:p>
            <w:pPr/>
          </w:p>
        </w:tc>
      </w:tr>
      <w:tr>
        <w:trPr>
          <w:trHeight w:val="331" w:hRule="exact"/>
        </w:trPr>
        <w:tc>
          <w:tcPr>
            <w:tcW w:w="3244" w:type="dxa"/>
            <w:tcBorders>
              <w:top w:val="nil" w:sz="6" w:space="0" w:color="auto"/>
              <w:left w:val="nil" w:sz="6" w:space="0" w:color="auto"/>
              <w:bottom w:val="nil" w:sz="6" w:space="0" w:color="auto"/>
              <w:right w:val="nil" w:sz="6" w:space="0" w:color="auto"/>
            </w:tcBorders>
          </w:tcPr>
          <w:p>
            <w:pP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20"/>
              <w:ind w:left="57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20"/>
              <w:ind w:left="58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0"/>
              <w:ind w:left="675" w:right="0"/>
              <w:jc w:val="left"/>
              <w:rPr>
                <w:rFonts w:ascii="宋体" w:hAnsi="宋体" w:cs="宋体" w:eastAsia="宋体" w:hint="default"/>
                <w:sz w:val="18"/>
                <w:szCs w:val="18"/>
              </w:rPr>
            </w:pPr>
            <w:r>
              <w:rPr>
                <w:rFonts w:ascii="宋体" w:hAnsi="宋体" w:cs="宋体" w:eastAsia="宋体" w:hint="default"/>
                <w:sz w:val="18"/>
                <w:szCs w:val="18"/>
              </w:rPr>
              <w:t>计提比例</w:t>
            </w:r>
          </w:p>
        </w:tc>
      </w:tr>
      <w:tr>
        <w:trPr>
          <w:trHeight w:val="337" w:hRule="exact"/>
        </w:trPr>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00" w:right="0"/>
              <w:jc w:val="left"/>
              <w:rPr>
                <w:rFonts w:ascii="宋体" w:hAnsi="宋体" w:cs="宋体" w:eastAsia="宋体" w:hint="default"/>
                <w:sz w:val="18"/>
                <w:szCs w:val="18"/>
              </w:rPr>
            </w:pPr>
            <w:r>
              <w:rPr>
                <w:rFonts w:ascii="宋体" w:hAnsi="宋体" w:cs="宋体" w:eastAsia="宋体" w:hint="default"/>
                <w:sz w:val="18"/>
                <w:szCs w:val="18"/>
              </w:rPr>
              <w:t>关联方组合</w:t>
            </w: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51"/>
              <w:jc w:val="right"/>
              <w:rPr>
                <w:rFonts w:ascii="Times New Roman" w:hAnsi="Times New Roman" w:cs="Times New Roman" w:eastAsia="Times New Roman" w:hint="default"/>
                <w:sz w:val="18"/>
                <w:szCs w:val="18"/>
              </w:rPr>
            </w:pPr>
            <w:r>
              <w:rPr>
                <w:rFonts w:ascii="Times New Roman"/>
                <w:spacing w:val="-1"/>
                <w:sz w:val="18"/>
              </w:rPr>
              <w:t>356,925,113.91</w:t>
            </w:r>
          </w:p>
        </w:tc>
        <w:tc>
          <w:tcPr>
            <w:tcW w:w="1984"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nil" w:sz="6" w:space="0" w:color="auto"/>
            </w:tcBorders>
          </w:tcPr>
          <w:p>
            <w:pPr/>
          </w:p>
        </w:tc>
      </w:tr>
      <w:tr>
        <w:trPr>
          <w:trHeight w:val="332" w:hRule="exact"/>
        </w:trPr>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00" w:right="0"/>
              <w:jc w:val="left"/>
              <w:rPr>
                <w:rFonts w:ascii="宋体" w:hAnsi="宋体" w:cs="宋体" w:eastAsia="宋体" w:hint="default"/>
                <w:sz w:val="18"/>
                <w:szCs w:val="18"/>
              </w:rPr>
            </w:pPr>
            <w:r>
              <w:rPr>
                <w:rFonts w:ascii="宋体" w:hAnsi="宋体" w:cs="宋体" w:eastAsia="宋体" w:hint="default"/>
                <w:sz w:val="18"/>
                <w:szCs w:val="18"/>
              </w:rPr>
              <w:t>保证金、押金及备用金组合</w:t>
            </w: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51"/>
              <w:jc w:val="right"/>
              <w:rPr>
                <w:rFonts w:ascii="Times New Roman" w:hAnsi="Times New Roman" w:cs="Times New Roman" w:eastAsia="Times New Roman" w:hint="default"/>
                <w:sz w:val="18"/>
                <w:szCs w:val="18"/>
              </w:rPr>
            </w:pPr>
            <w:r>
              <w:rPr>
                <w:rFonts w:ascii="Times New Roman"/>
                <w:spacing w:val="-1"/>
                <w:sz w:val="18"/>
              </w:rPr>
              <w:t>75,747,230.78</w:t>
            </w:r>
          </w:p>
        </w:tc>
        <w:tc>
          <w:tcPr>
            <w:tcW w:w="1984"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nil" w:sz="6" w:space="0" w:color="auto"/>
            </w:tcBorders>
          </w:tcPr>
          <w:p>
            <w:pPr/>
          </w:p>
        </w:tc>
      </w:tr>
      <w:tr>
        <w:trPr>
          <w:trHeight w:val="261" w:hRule="exact"/>
        </w:trPr>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00"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062"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5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single" w:color="000000"/>
              </w:rPr>
              <w:t>432,672,344.69</w:t>
            </w:r>
            <w:r>
              <w:rPr>
                <w:rFonts w:ascii="Times New Roman"/>
                <w:spacing w:val="-1"/>
                <w:sz w:val="18"/>
              </w:rPr>
            </w:r>
          </w:p>
        </w:tc>
        <w:tc>
          <w:tcPr>
            <w:tcW w:w="1984" w:type="dxa"/>
            <w:tcBorders>
              <w:top w:val="nil" w:sz="6" w:space="0" w:color="auto"/>
              <w:left w:val="nil" w:sz="6" w:space="0" w:color="auto"/>
              <w:bottom w:val="nil" w:sz="6" w:space="0" w:color="auto"/>
              <w:right w:val="nil" w:sz="6" w:space="0" w:color="auto"/>
            </w:tcBorders>
          </w:tcPr>
          <w:p>
            <w:pPr/>
          </w:p>
        </w:tc>
        <w:tc>
          <w:tcPr>
            <w:tcW w:w="1596"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宋体" w:hAnsi="宋体" w:cs="宋体" w:eastAsia="宋体" w:hint="default"/>
          <w:sz w:val="5"/>
          <w:szCs w:val="5"/>
        </w:rPr>
      </w:pPr>
    </w:p>
    <w:p>
      <w:pPr>
        <w:spacing w:before="44"/>
        <w:ind w:left="292" w:right="10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其他应收款按款项性质分类情况</w:t>
      </w:r>
    </w:p>
    <w:p>
      <w:pPr>
        <w:spacing w:before="101"/>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287" w:type="dxa"/>
        <w:tblLayout w:type="fixed"/>
        <w:tblCellMar>
          <w:top w:w="0" w:type="dxa"/>
          <w:left w:w="0" w:type="dxa"/>
          <w:bottom w:w="0" w:type="dxa"/>
          <w:right w:w="0" w:type="dxa"/>
        </w:tblCellMar>
        <w:tblLook w:val="01E0"/>
      </w:tblPr>
      <w:tblGrid>
        <w:gridCol w:w="3368"/>
        <w:gridCol w:w="3101"/>
        <w:gridCol w:w="3101"/>
      </w:tblGrid>
      <w:tr>
        <w:trPr>
          <w:trHeight w:val="404"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05"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05"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1"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关联方组合</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356,925,113.91</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208,671,535.17</w:t>
            </w:r>
          </w:p>
        </w:tc>
      </w:tr>
      <w:tr>
        <w:trPr>
          <w:trHeight w:val="403"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保证金、押金及备用金组合</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75,747,230.78</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98,379,375.05</w:t>
            </w:r>
          </w:p>
        </w:tc>
      </w:tr>
      <w:tr>
        <w:trPr>
          <w:trHeight w:val="401"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432,672,344.69</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307,050,910.22</w:t>
            </w:r>
          </w:p>
        </w:tc>
      </w:tr>
    </w:tbl>
    <w:p>
      <w:pPr>
        <w:spacing w:before="49"/>
        <w:ind w:left="292" w:right="103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按欠款方归集的期末余额前五名的其他应收款情况</w:t>
      </w:r>
    </w:p>
    <w:p>
      <w:pPr>
        <w:spacing w:before="103"/>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287" w:type="dxa"/>
        <w:tblLayout w:type="fixed"/>
        <w:tblCellMar>
          <w:top w:w="0" w:type="dxa"/>
          <w:left w:w="0" w:type="dxa"/>
          <w:bottom w:w="0" w:type="dxa"/>
          <w:right w:w="0" w:type="dxa"/>
        </w:tblCellMar>
        <w:tblLook w:val="01E0"/>
      </w:tblPr>
      <w:tblGrid>
        <w:gridCol w:w="1685"/>
        <w:gridCol w:w="1551"/>
        <w:gridCol w:w="1553"/>
        <w:gridCol w:w="1551"/>
        <w:gridCol w:w="1616"/>
        <w:gridCol w:w="1615"/>
      </w:tblGrid>
      <w:tr>
        <w:trPr>
          <w:trHeight w:val="715"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8"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83" w:right="80"/>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83"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1337"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下属子公司往来</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198,347,779.40</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27,438,354.16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p>
            <w:pPr>
              <w:pStyle w:val="TableParagraph"/>
              <w:spacing w:line="240" w:lineRule="auto" w:before="63"/>
              <w:ind w:left="23" w:right="0"/>
              <w:jc w:val="left"/>
              <w:rPr>
                <w:rFonts w:ascii="宋体" w:hAnsi="宋体" w:cs="宋体" w:eastAsia="宋体" w:hint="default"/>
                <w:sz w:val="18"/>
                <w:szCs w:val="18"/>
              </w:rPr>
            </w:pPr>
            <w:r>
              <w:rPr>
                <w:rFonts w:ascii="Garamond" w:hAnsi="Garamond" w:cs="Garamond" w:eastAsia="Garamond" w:hint="default"/>
                <w:sz w:val="18"/>
                <w:szCs w:val="18"/>
              </w:rPr>
              <w:t>1-2</w:t>
            </w:r>
            <w:r>
              <w:rPr>
                <w:rFonts w:ascii="Garamond" w:hAnsi="Garamond" w:cs="Garamond" w:eastAsia="Garamond" w:hint="default"/>
                <w:spacing w:val="-3"/>
                <w:sz w:val="18"/>
                <w:szCs w:val="18"/>
              </w:rPr>
              <w:t> </w:t>
            </w:r>
            <w:r>
              <w:rPr>
                <w:rFonts w:ascii="宋体" w:hAnsi="宋体" w:cs="宋体" w:eastAsia="宋体" w:hint="default"/>
                <w:sz w:val="18"/>
                <w:szCs w:val="18"/>
              </w:rPr>
              <w:t>年</w:t>
            </w:r>
          </w:p>
          <w:p>
            <w:pPr>
              <w:pStyle w:val="TableParagraph"/>
              <w:spacing w:line="240" w:lineRule="auto" w:before="54"/>
              <w:ind w:left="23" w:right="0"/>
              <w:jc w:val="left"/>
              <w:rPr>
                <w:rFonts w:ascii="宋体" w:hAnsi="宋体" w:cs="宋体" w:eastAsia="宋体" w:hint="default"/>
                <w:sz w:val="18"/>
                <w:szCs w:val="18"/>
              </w:rPr>
            </w:pPr>
            <w:r>
              <w:rPr>
                <w:rFonts w:ascii="Garamond" w:hAnsi="Garamond" w:cs="Garamond" w:eastAsia="Garamond" w:hint="default"/>
                <w:sz w:val="18"/>
                <w:szCs w:val="18"/>
              </w:rPr>
              <w:t>170,909,425.24</w:t>
            </w:r>
            <w:r>
              <w:rPr>
                <w:rFonts w:ascii="Garamond" w:hAnsi="Garamond" w:cs="Garamond" w:eastAsia="Garamond" w:hint="default"/>
                <w:spacing w:val="-7"/>
                <w:sz w:val="18"/>
                <w:szCs w:val="18"/>
              </w:rPr>
              <w:t> </w:t>
            </w:r>
            <w:r>
              <w:rPr>
                <w:rFonts w:ascii="宋体" w:hAnsi="宋体" w:cs="宋体" w:eastAsia="宋体" w:hint="default"/>
                <w:sz w:val="18"/>
                <w:szCs w:val="18"/>
              </w:rPr>
              <w:t>元</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23"/>
              <w:jc w:val="right"/>
              <w:rPr>
                <w:rFonts w:ascii="Garamond" w:hAnsi="Garamond" w:cs="Garamond" w:eastAsia="Garamond" w:hint="default"/>
                <w:sz w:val="18"/>
                <w:szCs w:val="18"/>
              </w:rPr>
            </w:pPr>
            <w:r>
              <w:rPr>
                <w:rFonts w:ascii="Garamond"/>
                <w:spacing w:val="-1"/>
                <w:sz w:val="18"/>
              </w:rPr>
              <w:t>45.84%</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下属子公司往来</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113,900,337.93</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26.32%</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下属子公司往来</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44,649,423.82</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10.32%</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2,400,000.00</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0.55%</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6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1,868,830.00</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0.43%</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6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53"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361,166,371.15</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83.46%</w:t>
            </w:r>
          </w:p>
        </w:tc>
        <w:tc>
          <w:tcPr>
            <w:tcW w:w="161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840" w:right="0"/>
        </w:sectPr>
      </w:pPr>
    </w:p>
    <w:p>
      <w:pPr>
        <w:spacing w:line="240" w:lineRule="auto" w:before="10"/>
        <w:rPr>
          <w:rFonts w:ascii="宋体" w:hAnsi="宋体" w:cs="宋体" w:eastAsia="宋体" w:hint="default"/>
          <w:sz w:val="24"/>
          <w:szCs w:val="24"/>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346"/>
        <w:gridCol w:w="1379"/>
        <w:gridCol w:w="1368"/>
        <w:gridCol w:w="1366"/>
        <w:gridCol w:w="1368"/>
        <w:gridCol w:w="1366"/>
        <w:gridCol w:w="1368"/>
      </w:tblGrid>
      <w:tr>
        <w:trPr>
          <w:trHeight w:val="206"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411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3"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3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13"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199" w:hRule="exact"/>
        </w:trPr>
        <w:tc>
          <w:tcPr>
            <w:tcW w:w="1346" w:type="dxa"/>
            <w:vMerge/>
            <w:tcBorders>
              <w:left w:val="single" w:sz="4" w:space="0" w:color="000000"/>
              <w:bottom w:val="nil" w:sz="6" w:space="0" w:color="auto"/>
              <w:right w:val="single" w:sz="4" w:space="0" w:color="000000"/>
            </w:tcBorders>
            <w:shd w:val="clear" w:color="auto" w:fill="D2D2D2"/>
          </w:tcPr>
          <w:p>
            <w:pPr/>
          </w:p>
        </w:tc>
        <w:tc>
          <w:tcPr>
            <w:tcW w:w="13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79"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786,913,030.34</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786,913,030.34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883,634,427.94</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883,634,427.94</w:t>
            </w:r>
          </w:p>
        </w:tc>
      </w:tr>
      <w:tr>
        <w:trPr>
          <w:trHeight w:val="71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3"/>
              <w:jc w:val="left"/>
              <w:rPr>
                <w:rFonts w:ascii="宋体" w:hAnsi="宋体" w:cs="宋体" w:eastAsia="宋体" w:hint="default"/>
                <w:sz w:val="18"/>
                <w:szCs w:val="18"/>
              </w:rPr>
            </w:pPr>
            <w:r>
              <w:rPr>
                <w:rFonts w:ascii="宋体" w:hAnsi="宋体" w:cs="宋体" w:eastAsia="宋体" w:hint="default"/>
                <w:sz w:val="18"/>
                <w:szCs w:val="18"/>
              </w:rPr>
              <w:t>对联营、合营企 业投资</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7,908,743.79</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7,908,743.79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9,692,135.59</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9,692,135.59</w:t>
            </w: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794,821,774.13</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794,821,774.13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893,326,563.53</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893,326,563.53</w:t>
            </w: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）对子公司投资</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448"/>
        <w:gridCol w:w="1337"/>
        <w:gridCol w:w="1334"/>
        <w:gridCol w:w="1335"/>
        <w:gridCol w:w="1334"/>
        <w:gridCol w:w="1390"/>
        <w:gridCol w:w="1390"/>
      </w:tblGrid>
      <w:tr>
        <w:trPr>
          <w:trHeight w:val="715"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9"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9" w:right="58" w:hanging="540"/>
              <w:jc w:val="left"/>
              <w:rPr>
                <w:rFonts w:ascii="宋体" w:hAnsi="宋体" w:cs="宋体" w:eastAsia="宋体" w:hint="default"/>
                <w:sz w:val="18"/>
                <w:szCs w:val="18"/>
              </w:rPr>
            </w:pPr>
            <w:r>
              <w:rPr>
                <w:rFonts w:ascii="宋体" w:hAnsi="宋体" w:cs="宋体" w:eastAsia="宋体" w:hint="default"/>
                <w:sz w:val="18"/>
                <w:szCs w:val="18"/>
              </w:rPr>
              <w:t>本期计提减值准 备</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9" w:right="59" w:hanging="540"/>
              <w:jc w:val="left"/>
              <w:rPr>
                <w:rFonts w:ascii="宋体" w:hAnsi="宋体" w:cs="宋体" w:eastAsia="宋体" w:hint="default"/>
                <w:sz w:val="18"/>
                <w:szCs w:val="18"/>
              </w:rPr>
            </w:pPr>
            <w:r>
              <w:rPr>
                <w:rFonts w:ascii="宋体" w:hAnsi="宋体" w:cs="宋体" w:eastAsia="宋体" w:hint="default"/>
                <w:sz w:val="18"/>
                <w:szCs w:val="18"/>
              </w:rPr>
              <w:t>减值准备期末余 额</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上海政通信息科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武汉智慧政通科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both"/>
              <w:rPr>
                <w:rFonts w:ascii="宋体" w:hAnsi="宋体" w:cs="宋体" w:eastAsia="宋体" w:hint="default"/>
                <w:sz w:val="18"/>
                <w:szCs w:val="18"/>
              </w:rPr>
            </w:pPr>
            <w:r>
              <w:rPr>
                <w:rFonts w:ascii="宋体" w:hAnsi="宋体" w:cs="宋体" w:eastAsia="宋体" w:hint="default"/>
                <w:sz w:val="18"/>
                <w:szCs w:val="18"/>
              </w:rPr>
              <w:t>北京数字政通智 能泊车技术有限 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北京数字智通科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111,986,000.00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111,986,000.00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both"/>
              <w:rPr>
                <w:rFonts w:ascii="宋体" w:hAnsi="宋体" w:cs="宋体" w:eastAsia="宋体" w:hint="default"/>
                <w:sz w:val="18"/>
                <w:szCs w:val="18"/>
              </w:rPr>
            </w:pPr>
            <w:r>
              <w:rPr>
                <w:rFonts w:ascii="宋体" w:hAnsi="宋体" w:cs="宋体" w:eastAsia="宋体" w:hint="default"/>
                <w:sz w:val="18"/>
                <w:szCs w:val="18"/>
              </w:rPr>
              <w:t>克拉玛依数字政 通科技有限责任 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政通智慧城市运 营科技有限公司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北京数聚联盟科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3,250,000.00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3,250,000.00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保定市金迪科技 开发有限公司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53,471,397.60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53,471,397.60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both"/>
              <w:rPr>
                <w:rFonts w:ascii="宋体" w:hAnsi="宋体" w:cs="宋体" w:eastAsia="宋体" w:hint="default"/>
                <w:sz w:val="18"/>
                <w:szCs w:val="18"/>
              </w:rPr>
            </w:pPr>
            <w:r>
              <w:rPr>
                <w:rFonts w:ascii="宋体" w:hAnsi="宋体" w:cs="宋体" w:eastAsia="宋体" w:hint="default"/>
                <w:sz w:val="18"/>
                <w:szCs w:val="18"/>
              </w:rPr>
              <w:t>焦作市市民健康 促进服务有限责 任公司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6,000,000.00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8"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53"/>
              <w:jc w:val="both"/>
              <w:rPr>
                <w:rFonts w:ascii="宋体" w:hAnsi="宋体" w:cs="宋体" w:eastAsia="宋体" w:hint="default"/>
                <w:sz w:val="18"/>
                <w:szCs w:val="18"/>
              </w:rPr>
            </w:pPr>
            <w:r>
              <w:rPr>
                <w:rFonts w:ascii="宋体" w:hAnsi="宋体" w:cs="宋体" w:eastAsia="宋体" w:hint="default"/>
                <w:sz w:val="18"/>
                <w:szCs w:val="18"/>
              </w:rPr>
              <w:t>保定金迪地下管 线探测工程有限 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556,426,730.34</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556,426,730.34</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448"/>
        <w:gridCol w:w="1337"/>
        <w:gridCol w:w="1334"/>
        <w:gridCol w:w="1335"/>
        <w:gridCol w:w="1334"/>
        <w:gridCol w:w="1390"/>
        <w:gridCol w:w="1390"/>
      </w:tblGrid>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保定金迪科学仪 器有限公司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60,000,000.00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53"/>
              <w:jc w:val="left"/>
              <w:rPr>
                <w:rFonts w:ascii="宋体" w:hAnsi="宋体" w:cs="宋体" w:eastAsia="宋体" w:hint="default"/>
                <w:sz w:val="18"/>
                <w:szCs w:val="18"/>
              </w:rPr>
            </w:pPr>
            <w:r>
              <w:rPr>
                <w:rFonts w:ascii="宋体" w:hAnsi="宋体" w:cs="宋体" w:eastAsia="宋体" w:hint="default"/>
                <w:sz w:val="18"/>
                <w:szCs w:val="18"/>
              </w:rPr>
              <w:t>江西政通城运科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37,500,300.00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37,500,300.00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福建政通城运信 息科技有限公司</w:t>
            </w:r>
          </w:p>
        </w:tc>
        <w:tc>
          <w:tcPr>
            <w:tcW w:w="1337"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20,000,000.00</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883,634,427.94</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116,721,397.60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786,913,030.34</w:t>
            </w: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）对联营、合营企业投资</w:t>
      </w:r>
      <w:r>
        <w:rPr>
          <w:rFonts w:ascii="宋体" w:hAnsi="宋体" w:cs="宋体" w:eastAsia="宋体" w:hint="default"/>
          <w:sz w:val="21"/>
          <w:szCs w:val="21"/>
        </w:rPr>
      </w:r>
    </w:p>
    <w:p>
      <w:pPr>
        <w:spacing w:line="240" w:lineRule="auto" w:before="13"/>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9"/>
        <w:gridCol w:w="797"/>
        <w:gridCol w:w="800"/>
        <w:gridCol w:w="797"/>
        <w:gridCol w:w="799"/>
        <w:gridCol w:w="797"/>
        <w:gridCol w:w="799"/>
        <w:gridCol w:w="797"/>
      </w:tblGrid>
      <w:tr>
        <w:trPr>
          <w:trHeight w:val="402" w:hRule="exact"/>
        </w:trPr>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5" w:hRule="exact"/>
        </w:trPr>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5"/>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34"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1"/>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35"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9"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1"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8"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41"/>
              <w:jc w:val="both"/>
              <w:rPr>
                <w:rFonts w:ascii="宋体" w:hAnsi="宋体" w:cs="宋体" w:eastAsia="宋体" w:hint="default"/>
                <w:sz w:val="18"/>
                <w:szCs w:val="18"/>
              </w:rPr>
            </w:pPr>
            <w:r>
              <w:rPr>
                <w:rFonts w:ascii="宋体" w:hAnsi="宋体" w:cs="宋体" w:eastAsia="宋体" w:hint="default"/>
                <w:sz w:val="18"/>
                <w:szCs w:val="18"/>
              </w:rPr>
              <w:t>北京通通 易联科技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9,692,135</w:t>
            </w:r>
          </w:p>
          <w:p>
            <w:pPr>
              <w:pStyle w:val="TableParagraph"/>
              <w:spacing w:line="240" w:lineRule="auto" w:before="103"/>
              <w:ind w:right="18"/>
              <w:jc w:val="right"/>
              <w:rPr>
                <w:rFonts w:ascii="Times New Roman" w:hAnsi="Times New Roman" w:cs="Times New Roman" w:eastAsia="Times New Roman" w:hint="default"/>
                <w:sz w:val="18"/>
                <w:szCs w:val="18"/>
              </w:rPr>
            </w:pPr>
            <w:r>
              <w:rPr>
                <w:rFonts w:ascii="Times New Roman"/>
                <w:sz w:val="18"/>
              </w:rPr>
              <w:t>.59</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3"/>
              <w:jc w:val="right"/>
              <w:rPr>
                <w:rFonts w:ascii="Garamond" w:hAnsi="Garamond" w:cs="Garamond" w:eastAsia="Garamond" w:hint="default"/>
                <w:sz w:val="18"/>
                <w:szCs w:val="18"/>
              </w:rPr>
            </w:pPr>
            <w:r>
              <w:rPr>
                <w:rFonts w:ascii="Garamond"/>
                <w:spacing w:val="-1"/>
                <w:sz w:val="18"/>
              </w:rPr>
              <w:t>1,783,391.</w:t>
            </w:r>
          </w:p>
          <w:p>
            <w:pPr>
              <w:pStyle w:val="TableParagraph"/>
              <w:spacing w:line="240" w:lineRule="auto" w:before="107"/>
              <w:ind w:right="23"/>
              <w:jc w:val="right"/>
              <w:rPr>
                <w:rFonts w:ascii="Garamond" w:hAnsi="Garamond" w:cs="Garamond" w:eastAsia="Garamond" w:hint="default"/>
                <w:sz w:val="18"/>
                <w:szCs w:val="18"/>
              </w:rPr>
            </w:pPr>
            <w:r>
              <w:rPr>
                <w:rFonts w:ascii="Garamond"/>
                <w:spacing w:val="-1"/>
                <w:w w:val="95"/>
                <w:sz w:val="18"/>
              </w:rPr>
              <w:t>80</w:t>
            </w:r>
            <w:r>
              <w:rPr>
                <w:rFonts w:ascii="Garamond"/>
                <w:w w:val="95"/>
                <w:sz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7,908,743</w:t>
            </w:r>
          </w:p>
          <w:p>
            <w:pPr>
              <w:pStyle w:val="TableParagraph"/>
              <w:spacing w:line="240" w:lineRule="auto" w:before="103"/>
              <w:ind w:right="21"/>
              <w:jc w:val="right"/>
              <w:rPr>
                <w:rFonts w:ascii="Times New Roman" w:hAnsi="Times New Roman" w:cs="Times New Roman" w:eastAsia="Times New Roman" w:hint="default"/>
                <w:sz w:val="18"/>
                <w:szCs w:val="18"/>
              </w:rPr>
            </w:pPr>
            <w:r>
              <w:rPr>
                <w:rFonts w:ascii="Times New Roman"/>
                <w:sz w:val="18"/>
              </w:rPr>
              <w:t>.79</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9,692,135</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.59</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3"/>
              <w:jc w:val="right"/>
              <w:rPr>
                <w:rFonts w:ascii="Garamond" w:hAnsi="Garamond" w:cs="Garamond" w:eastAsia="Garamond" w:hint="default"/>
                <w:sz w:val="18"/>
                <w:szCs w:val="18"/>
              </w:rPr>
            </w:pPr>
            <w:r>
              <w:rPr>
                <w:rFonts w:ascii="Garamond"/>
                <w:spacing w:val="-1"/>
                <w:sz w:val="18"/>
              </w:rPr>
              <w:t>1,783,391.</w:t>
            </w:r>
          </w:p>
          <w:p>
            <w:pPr>
              <w:pStyle w:val="TableParagraph"/>
              <w:spacing w:line="240" w:lineRule="auto" w:before="109"/>
              <w:ind w:right="23"/>
              <w:jc w:val="right"/>
              <w:rPr>
                <w:rFonts w:ascii="Garamond" w:hAnsi="Garamond" w:cs="Garamond" w:eastAsia="Garamond" w:hint="default"/>
                <w:sz w:val="18"/>
                <w:szCs w:val="18"/>
              </w:rPr>
            </w:pPr>
            <w:r>
              <w:rPr>
                <w:rFonts w:ascii="Garamond"/>
                <w:spacing w:val="-1"/>
                <w:w w:val="95"/>
                <w:sz w:val="18"/>
              </w:rPr>
              <w:t>80</w:t>
            </w:r>
            <w:r>
              <w:rPr>
                <w:rFonts w:ascii="Garamond"/>
                <w:w w:val="95"/>
                <w:sz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7,908,743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.79</w:t>
            </w: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9,692,135</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.59</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right="23"/>
              <w:jc w:val="right"/>
              <w:rPr>
                <w:rFonts w:ascii="Garamond" w:hAnsi="Garamond" w:cs="Garamond" w:eastAsia="Garamond" w:hint="default"/>
                <w:sz w:val="18"/>
                <w:szCs w:val="18"/>
              </w:rPr>
            </w:pPr>
            <w:r>
              <w:rPr>
                <w:rFonts w:ascii="Garamond"/>
                <w:spacing w:val="-1"/>
                <w:sz w:val="18"/>
              </w:rPr>
              <w:t>1,783,391.</w:t>
            </w:r>
          </w:p>
          <w:p>
            <w:pPr>
              <w:pStyle w:val="TableParagraph"/>
              <w:spacing w:line="240" w:lineRule="auto" w:before="107"/>
              <w:ind w:right="23"/>
              <w:jc w:val="right"/>
              <w:rPr>
                <w:rFonts w:ascii="Garamond" w:hAnsi="Garamond" w:cs="Garamond" w:eastAsia="Garamond" w:hint="default"/>
                <w:sz w:val="18"/>
                <w:szCs w:val="18"/>
              </w:rPr>
            </w:pPr>
            <w:r>
              <w:rPr>
                <w:rFonts w:ascii="Garamond"/>
                <w:spacing w:val="-1"/>
                <w:w w:val="95"/>
                <w:sz w:val="18"/>
              </w:rPr>
              <w:t>80</w:t>
            </w:r>
            <w:r>
              <w:rPr>
                <w:rFonts w:ascii="Garamond"/>
                <w:w w:val="95"/>
                <w:sz w:val="18"/>
              </w:rPr>
            </w: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7,908,743</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.79</w:t>
            </w:r>
          </w:p>
        </w:tc>
        <w:tc>
          <w:tcPr>
            <w:tcW w:w="79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）其他说明</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、营业收入和营业成本</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96"/>
        <w:gridCol w:w="1835"/>
        <w:gridCol w:w="1913"/>
        <w:gridCol w:w="1913"/>
        <w:gridCol w:w="1916"/>
      </w:tblGrid>
      <w:tr>
        <w:trPr>
          <w:trHeight w:val="206" w:hRule="exact"/>
        </w:trPr>
        <w:tc>
          <w:tcPr>
            <w:tcW w:w="1996" w:type="dxa"/>
            <w:tcBorders>
              <w:top w:val="single" w:sz="4" w:space="0" w:color="000000"/>
              <w:left w:val="single" w:sz="4" w:space="0" w:color="000000"/>
              <w:bottom w:val="nil" w:sz="6" w:space="0" w:color="auto"/>
              <w:right w:val="single" w:sz="4" w:space="0" w:color="000000"/>
            </w:tcBorders>
            <w:shd w:val="clear" w:color="auto" w:fill="D2D2D2"/>
          </w:tcPr>
          <w:p>
            <w:pPr/>
          </w:p>
        </w:tc>
        <w:tc>
          <w:tcPr>
            <w:tcW w:w="374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0" w:hRule="exact"/>
        </w:trPr>
        <w:tc>
          <w:tcPr>
            <w:tcW w:w="199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749" w:type="dxa"/>
            <w:gridSpan w:val="2"/>
            <w:vMerge/>
            <w:tcBorders>
              <w:left w:val="single" w:sz="4" w:space="0" w:color="000000"/>
              <w:bottom w:val="single" w:sz="4" w:space="0" w:color="000000"/>
              <w:right w:val="single" w:sz="4" w:space="0" w:color="000000"/>
            </w:tcBorders>
            <w:shd w:val="clear" w:color="auto" w:fill="D2D2D2"/>
          </w:tcPr>
          <w:p>
            <w:pPr/>
          </w:p>
        </w:tc>
        <w:tc>
          <w:tcPr>
            <w:tcW w:w="3829"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996" w:type="dxa"/>
            <w:vMerge/>
            <w:tcBorders>
              <w:left w:val="single" w:sz="4" w:space="0" w:color="000000"/>
              <w:bottom w:val="nil" w:sz="6" w:space="0" w:color="auto"/>
              <w:right w:val="single" w:sz="4" w:space="0" w:color="000000"/>
            </w:tcBorders>
            <w:shd w:val="clear" w:color="auto" w:fill="D2D2D2"/>
          </w:tcPr>
          <w:p>
            <w:pPr/>
          </w:p>
        </w:tc>
        <w:tc>
          <w:tcPr>
            <w:tcW w:w="18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1"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5"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835"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9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957,739,837.74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706,096,061.84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869,295,555.16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594,184,626.27</w:t>
            </w:r>
          </w:p>
        </w:tc>
      </w:tr>
      <w:tr>
        <w:trPr>
          <w:trHeight w:val="403" w:hRule="exact"/>
        </w:trPr>
        <w:tc>
          <w:tcPr>
            <w:tcW w:w="19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5,240,278.17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1,658,678.70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5,154,633.25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1,455,018.34</w:t>
            </w:r>
          </w:p>
        </w:tc>
      </w:tr>
      <w:tr>
        <w:trPr>
          <w:trHeight w:val="401" w:hRule="exact"/>
        </w:trPr>
        <w:tc>
          <w:tcPr>
            <w:tcW w:w="19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962,980,115.91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707,754,740.54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874,450,188.41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595,639,644.61</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before="12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、投资收益</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spacing w:before="4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after="0"/>
        <w:jc w:val="right"/>
        <w:rPr>
          <w:rFonts w:ascii="宋体" w:hAnsi="宋体" w:cs="宋体" w:eastAsia="宋体" w:hint="default"/>
          <w:sz w:val="18"/>
          <w:szCs w:val="18"/>
        </w:rPr>
        <w:sectPr>
          <w:pgSz w:w="11910" w:h="16840"/>
          <w:pgMar w:header="745"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3302"/>
        <w:gridCol w:w="3071"/>
        <w:gridCol w:w="3185"/>
      </w:tblGrid>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-1,783,391.80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2,023,488.52</w:t>
            </w: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-1,875,346.05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14,642,985.28</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-3,658,737.85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16,666,473.80</w:t>
            </w:r>
          </w:p>
        </w:tc>
      </w:tr>
    </w:tbl>
    <w:p>
      <w:pPr>
        <w:spacing w:line="240" w:lineRule="auto" w:before="1"/>
        <w:rPr>
          <w:rFonts w:ascii="宋体" w:hAnsi="宋体" w:cs="宋体" w:eastAsia="宋体" w:hint="default"/>
          <w:sz w:val="18"/>
          <w:szCs w:val="18"/>
        </w:rPr>
      </w:pPr>
    </w:p>
    <w:p>
      <w:pPr>
        <w:pStyle w:val="Heading2"/>
        <w:spacing w:line="240" w:lineRule="auto" w:before="26"/>
        <w:ind w:right="982"/>
        <w:jc w:val="left"/>
        <w:rPr>
          <w:b w:val="0"/>
          <w:bCs w:val="0"/>
        </w:rPr>
      </w:pPr>
      <w:r>
        <w:rPr/>
        <w:t>十四、补充资料</w:t>
      </w:r>
      <w:r>
        <w:rPr>
          <w:b w:val="0"/>
          <w:bCs w:val="0"/>
        </w:rPr>
      </w:r>
    </w:p>
    <w:p>
      <w:pPr>
        <w:spacing w:line="240" w:lineRule="auto" w:before="12"/>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、当期非经常性损益明细表</w:t>
      </w:r>
      <w:r>
        <w:rPr>
          <w:rFonts w:ascii="宋体" w:hAnsi="宋体" w:cs="宋体" w:eastAsia="宋体" w:hint="default"/>
          <w:sz w:val="21"/>
          <w:szCs w:val="21"/>
        </w:rPr>
      </w:r>
    </w:p>
    <w:p>
      <w:pPr>
        <w:spacing w:line="240" w:lineRule="auto" w:before="10"/>
        <w:rPr>
          <w:rFonts w:ascii="宋体" w:hAnsi="宋体" w:cs="宋体" w:eastAsia="宋体" w:hint="default"/>
          <w:b/>
          <w:bCs/>
          <w:sz w:val="22"/>
          <w:szCs w:val="22"/>
        </w:rPr>
      </w:pPr>
    </w:p>
    <w:p>
      <w:pPr>
        <w:spacing w:before="44"/>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不适用</w:t>
      </w:r>
    </w:p>
    <w:p>
      <w:pPr>
        <w:spacing w:before="104"/>
        <w:ind w:left="0" w:right="1131"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pacing w:val="1"/>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2"/>
        <w:gridCol w:w="3071"/>
        <w:gridCol w:w="3185"/>
      </w:tblGrid>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4"/>
              <w:ind w:right="24"/>
              <w:jc w:val="right"/>
              <w:rPr>
                <w:rFonts w:ascii="Garamond" w:hAnsi="Garamond" w:cs="Garamond" w:eastAsia="Garamond" w:hint="default"/>
                <w:sz w:val="18"/>
                <w:szCs w:val="18"/>
              </w:rPr>
            </w:pPr>
            <w:r>
              <w:rPr>
                <w:rFonts w:ascii="Garamond"/>
                <w:spacing w:val="-1"/>
                <w:sz w:val="18"/>
              </w:rPr>
              <w:t>-223,831.81</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38"/>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4"/>
              <w:jc w:val="right"/>
              <w:rPr>
                <w:rFonts w:ascii="Garamond" w:hAnsi="Garamond" w:cs="Garamond" w:eastAsia="Garamond" w:hint="default"/>
                <w:sz w:val="18"/>
                <w:szCs w:val="18"/>
              </w:rPr>
            </w:pPr>
            <w:r>
              <w:rPr>
                <w:rFonts w:ascii="Garamond"/>
                <w:spacing w:val="-1"/>
                <w:sz w:val="18"/>
              </w:rPr>
              <w:t>2,150,361.73</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4"/>
              <w:ind w:right="23"/>
              <w:jc w:val="right"/>
              <w:rPr>
                <w:rFonts w:ascii="Garamond" w:hAnsi="Garamond" w:cs="Garamond" w:eastAsia="Garamond" w:hint="default"/>
                <w:sz w:val="18"/>
                <w:szCs w:val="18"/>
              </w:rPr>
            </w:pPr>
            <w:r>
              <w:rPr>
                <w:rFonts w:ascii="Garamond"/>
                <w:spacing w:val="-1"/>
                <w:sz w:val="18"/>
              </w:rPr>
              <w:t>-34,753.70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4"/>
              <w:ind w:right="23"/>
              <w:jc w:val="right"/>
              <w:rPr>
                <w:rFonts w:ascii="Garamond" w:hAnsi="Garamond" w:cs="Garamond" w:eastAsia="Garamond" w:hint="default"/>
                <w:sz w:val="18"/>
                <w:szCs w:val="18"/>
              </w:rPr>
            </w:pPr>
            <w:r>
              <w:rPr>
                <w:rFonts w:ascii="Garamond"/>
                <w:spacing w:val="-1"/>
                <w:sz w:val="18"/>
              </w:rPr>
              <w:t>5,000.00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5"/>
              <w:ind w:right="23"/>
              <w:jc w:val="right"/>
              <w:rPr>
                <w:rFonts w:ascii="Garamond" w:hAnsi="Garamond" w:cs="Garamond" w:eastAsia="Garamond" w:hint="default"/>
                <w:sz w:val="18"/>
                <w:szCs w:val="18"/>
              </w:rPr>
            </w:pPr>
            <w:r>
              <w:rPr>
                <w:rFonts w:ascii="Garamond"/>
                <w:spacing w:val="-1"/>
                <w:sz w:val="18"/>
              </w:rPr>
              <w:t>307,935.26</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307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4"/>
              <w:ind w:right="23"/>
              <w:jc w:val="right"/>
              <w:rPr>
                <w:rFonts w:ascii="Garamond" w:hAnsi="Garamond" w:cs="Garamond" w:eastAsia="Garamond" w:hint="default"/>
                <w:sz w:val="18"/>
                <w:szCs w:val="18"/>
              </w:rPr>
            </w:pPr>
            <w:r>
              <w:rPr>
                <w:rFonts w:ascii="Garamond"/>
                <w:spacing w:val="-1"/>
                <w:sz w:val="18"/>
              </w:rPr>
              <w:t>5,350.60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1" w:type="dxa"/>
            <w:tcBorders>
              <w:top w:val="single" w:sz="4" w:space="0" w:color="000000"/>
              <w:left w:val="single" w:sz="9" w:space="0" w:color="D2D2D2"/>
              <w:bottom w:val="single" w:sz="4" w:space="0" w:color="000000"/>
              <w:right w:val="single" w:sz="10" w:space="0" w:color="D2D2D2"/>
            </w:tcBorders>
          </w:tcPr>
          <w:p>
            <w:pPr>
              <w:pStyle w:val="TableParagraph"/>
              <w:spacing w:line="240" w:lineRule="auto" w:before="94"/>
              <w:ind w:right="17"/>
              <w:jc w:val="right"/>
              <w:rPr>
                <w:rFonts w:ascii="Garamond" w:hAnsi="Garamond" w:cs="Garamond" w:eastAsia="Garamond" w:hint="default"/>
                <w:sz w:val="18"/>
                <w:szCs w:val="18"/>
              </w:rPr>
            </w:pPr>
            <w:r>
              <w:rPr>
                <w:rFonts w:ascii="Garamond"/>
                <w:spacing w:val="-1"/>
                <w:sz w:val="18"/>
              </w:rPr>
              <w:t>1,583,490.36</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before="49"/>
        <w:ind w:left="152" w:right="982"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5"/>
          <w:sz w:val="18"/>
          <w:szCs w:val="18"/>
        </w:rPr>
        <w:t> </w:t>
      </w:r>
      <w:r>
        <w:rPr>
          <w:rFonts w:ascii="宋体" w:hAnsi="宋体" w:cs="宋体" w:eastAsia="宋体" w:hint="default"/>
          <w:spacing w:val="-7"/>
          <w:sz w:val="18"/>
          <w:szCs w:val="18"/>
        </w:rPr>
        <w:t>号</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非经常性损益》定义界定的非经常性损益项目，以及把《公</w:t>
      </w:r>
    </w:p>
    <w:p>
      <w:pPr>
        <w:spacing w:line="300" w:lineRule="auto" w:before="60"/>
        <w:ind w:left="152" w:right="1119"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5"/>
          <w:sz w:val="18"/>
          <w:szCs w:val="18"/>
        </w:rPr>
        <w:t> </w:t>
      </w:r>
      <w:r>
        <w:rPr>
          <w:rFonts w:ascii="宋体" w:hAnsi="宋体" w:cs="宋体" w:eastAsia="宋体" w:hint="default"/>
          <w:spacing w:val="-3"/>
          <w:sz w:val="18"/>
          <w:szCs w:val="18"/>
        </w:rPr>
        <w:t>号</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非经常性损益》中列举的非经常性损益项目界定为经常性损益的项目，应</w:t>
      </w:r>
      <w:r>
        <w:rPr>
          <w:rFonts w:ascii="宋体" w:hAnsi="宋体" w:cs="宋体" w:eastAsia="宋体" w:hint="default"/>
          <w:sz w:val="18"/>
          <w:szCs w:val="18"/>
        </w:rPr>
        <w:t> 说明原因。</w:t>
      </w:r>
    </w:p>
    <w:p>
      <w:pPr>
        <w:spacing w:before="72"/>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line="240" w:lineRule="auto" w:before="2"/>
        <w:rPr>
          <w:rFonts w:ascii="宋体" w:hAnsi="宋体" w:cs="宋体" w:eastAsia="宋体" w:hint="default"/>
          <w:sz w:val="26"/>
          <w:szCs w:val="26"/>
        </w:rPr>
      </w:pPr>
    </w:p>
    <w:p>
      <w:pPr>
        <w:spacing w:before="0"/>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、净资产收益率及每股收益</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2650"/>
        <w:gridCol w:w="3083"/>
        <w:gridCol w:w="1913"/>
        <w:gridCol w:w="1913"/>
      </w:tblGrid>
      <w:tr>
        <w:trPr>
          <w:trHeight w:val="207" w:hRule="exact"/>
        </w:trPr>
        <w:tc>
          <w:tcPr>
            <w:tcW w:w="2650" w:type="dxa"/>
            <w:tcBorders>
              <w:top w:val="single" w:sz="4" w:space="0" w:color="000000"/>
              <w:left w:val="single" w:sz="4" w:space="0" w:color="000000"/>
              <w:bottom w:val="nil" w:sz="6" w:space="0" w:color="auto"/>
              <w:right w:val="single" w:sz="4" w:space="0" w:color="000000"/>
            </w:tcBorders>
            <w:shd w:val="clear" w:color="auto" w:fill="D2D2D2"/>
          </w:tcPr>
          <w:p>
            <w:pPr/>
          </w:p>
        </w:tc>
        <w:tc>
          <w:tcPr>
            <w:tcW w:w="3083" w:type="dxa"/>
            <w:tcBorders>
              <w:top w:val="single" w:sz="4" w:space="0" w:color="000000"/>
              <w:left w:val="single" w:sz="4" w:space="0" w:color="000000"/>
              <w:bottom w:val="nil" w:sz="6" w:space="0" w:color="auto"/>
              <w:right w:val="single" w:sz="4" w:space="0" w:color="000000"/>
            </w:tcBorders>
            <w:shd w:val="clear" w:color="auto" w:fill="D2D2D2"/>
          </w:tcPr>
          <w:p>
            <w:pP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0" w:hRule="exact"/>
        </w:trPr>
        <w:tc>
          <w:tcPr>
            <w:tcW w:w="265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864"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636"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650" w:type="dxa"/>
            <w:vMerge/>
            <w:tcBorders>
              <w:left w:val="single" w:sz="4" w:space="0" w:color="000000"/>
              <w:bottom w:val="nil" w:sz="6" w:space="0" w:color="auto"/>
              <w:right w:val="single" w:sz="4" w:space="0" w:color="000000"/>
            </w:tcBorders>
            <w:shd w:val="clear" w:color="auto" w:fill="D2D2D2"/>
          </w:tcPr>
          <w:p>
            <w:pPr/>
          </w:p>
        </w:tc>
        <w:tc>
          <w:tcPr>
            <w:tcW w:w="3083" w:type="dxa"/>
            <w:vMerge/>
            <w:tcBorders>
              <w:left w:val="single" w:sz="4" w:space="0" w:color="000000"/>
              <w:bottom w:val="nil" w:sz="6" w:space="0" w:color="auto"/>
              <w:right w:val="single" w:sz="4" w:space="0" w:color="000000"/>
            </w:tcBorders>
            <w:shd w:val="clear" w:color="auto" w:fill="D2D2D2"/>
          </w:tcPr>
          <w:p>
            <w:pP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06" w:hRule="exact"/>
        </w:trPr>
        <w:tc>
          <w:tcPr>
            <w:tcW w:w="2650" w:type="dxa"/>
            <w:tcBorders>
              <w:top w:val="nil" w:sz="6" w:space="0" w:color="auto"/>
              <w:left w:val="single" w:sz="4" w:space="0" w:color="000000"/>
              <w:bottom w:val="single" w:sz="4" w:space="0" w:color="000000"/>
              <w:right w:val="single" w:sz="4" w:space="0" w:color="000000"/>
            </w:tcBorders>
            <w:shd w:val="clear" w:color="auto" w:fill="D2D2D2"/>
          </w:tcPr>
          <w:p>
            <w:pPr/>
          </w:p>
        </w:tc>
        <w:tc>
          <w:tcPr>
            <w:tcW w:w="308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2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308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5.55%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0.28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0.28</w:t>
            </w:r>
          </w:p>
        </w:tc>
      </w:tr>
      <w:tr>
        <w:trPr>
          <w:trHeight w:val="715" w:hRule="exact"/>
        </w:trPr>
        <w:tc>
          <w:tcPr>
            <w:tcW w:w="2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106"/>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 普通股股东的净利润</w:t>
            </w:r>
          </w:p>
        </w:tc>
        <w:tc>
          <w:tcPr>
            <w:tcW w:w="308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5.48%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0.27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0.27</w:t>
            </w:r>
          </w:p>
        </w:tc>
      </w:tr>
    </w:tbl>
    <w:p>
      <w:pPr>
        <w:spacing w:line="240" w:lineRule="auto" w:before="3"/>
        <w:rPr>
          <w:rFonts w:ascii="宋体" w:hAnsi="宋体" w:cs="宋体" w:eastAsia="宋体" w:hint="default"/>
          <w:b/>
          <w:bCs/>
          <w:sz w:val="19"/>
          <w:szCs w:val="19"/>
        </w:rPr>
      </w:pPr>
    </w:p>
    <w:p>
      <w:pPr>
        <w:spacing w:before="36"/>
        <w:ind w:left="152" w:right="982"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、境内外会计准则下会计数据差异</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）同时按照国际会计准则与按中国会计准则披露的财务报告中净利润和净资产差异情况</w:t>
      </w:r>
      <w:r>
        <w:rPr>
          <w:rFonts w:ascii="宋体" w:hAnsi="宋体" w:cs="宋体" w:eastAsia="宋体" w:hint="default"/>
          <w:sz w:val="21"/>
          <w:szCs w:val="21"/>
        </w:rPr>
      </w:r>
    </w:p>
    <w:p>
      <w:pPr>
        <w:spacing w:line="240" w:lineRule="auto" w:before="5"/>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10"/>
        <w:rPr>
          <w:rFonts w:ascii="宋体" w:hAnsi="宋体" w:cs="宋体" w:eastAsia="宋体" w:hint="default"/>
          <w:sz w:val="24"/>
          <w:szCs w:val="24"/>
        </w:rPr>
      </w:pPr>
    </w:p>
    <w:p>
      <w:pPr>
        <w:spacing w:before="36"/>
        <w:ind w:left="152" w:right="982"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）同时按照境外会计准则与按中国会计准则披露的财务报告中净利润和净资产差异情况</w:t>
      </w:r>
      <w:r>
        <w:rPr>
          <w:rFonts w:ascii="宋体" w:hAnsi="宋体" w:cs="宋体" w:eastAsia="宋体" w:hint="default"/>
          <w:sz w:val="21"/>
          <w:szCs w:val="21"/>
        </w:rPr>
      </w:r>
    </w:p>
    <w:p>
      <w:pPr>
        <w:spacing w:line="240" w:lineRule="auto" w:before="4"/>
        <w:rPr>
          <w:rFonts w:ascii="宋体" w:hAnsi="宋体" w:cs="宋体" w:eastAsia="宋体" w:hint="default"/>
          <w:b/>
          <w:bCs/>
          <w:sz w:val="26"/>
          <w:szCs w:val="26"/>
        </w:rPr>
      </w:pPr>
    </w:p>
    <w:p>
      <w:pPr>
        <w:spacing w:before="0"/>
        <w:ind w:left="152" w:right="9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745"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285" w:right="982"/>
        <w:jc w:val="left"/>
        <w:rPr>
          <w:b w:val="0"/>
          <w:bCs w:val="0"/>
        </w:rPr>
      </w:pPr>
      <w:bookmarkStart w:name="_bookmark10" w:id="11"/>
      <w:bookmarkEnd w:id="11"/>
      <w:r>
        <w:rPr>
          <w:b w:val="0"/>
          <w:bCs w:val="0"/>
        </w:rPr>
      </w:r>
      <w:r>
        <w:rPr/>
        <w:t>第十二节</w:t>
      </w:r>
      <w:r>
        <w:rPr>
          <w:spacing w:val="-6"/>
        </w:rPr>
        <w:t> </w:t>
      </w:r>
      <w:r>
        <w:rPr/>
        <w:t>备查文件目录</w:t>
      </w:r>
      <w:r>
        <w:rPr>
          <w:b w:val="0"/>
          <w:bCs w:val="0"/>
        </w:rPr>
      </w:r>
    </w:p>
    <w:p>
      <w:pPr>
        <w:spacing w:line="240" w:lineRule="auto" w:before="0"/>
        <w:rPr>
          <w:rFonts w:ascii="宋体" w:hAnsi="宋体" w:cs="宋体" w:eastAsia="宋体" w:hint="default"/>
          <w:b/>
          <w:bCs/>
          <w:sz w:val="45"/>
          <w:szCs w:val="45"/>
        </w:rPr>
      </w:pPr>
    </w:p>
    <w:p>
      <w:pPr>
        <w:pStyle w:val="BodyText"/>
        <w:spacing w:line="357" w:lineRule="auto" w:before="0"/>
        <w:ind w:right="982" w:firstLine="482"/>
        <w:jc w:val="left"/>
      </w:pPr>
      <w:r>
        <w:rPr>
          <w:spacing w:val="-3"/>
        </w:rPr>
        <w:t>一、载有公司法定代表人、主管会计工作负责人、公司会计机构负责人（会计主管人员）</w:t>
      </w:r>
      <w:r>
        <w:rPr/>
        <w:t> 签名并盖章的财务报表。</w:t>
      </w:r>
    </w:p>
    <w:p>
      <w:pPr>
        <w:pStyle w:val="BodyText"/>
        <w:spacing w:line="357" w:lineRule="auto"/>
        <w:ind w:left="635" w:right="982"/>
        <w:jc w:val="left"/>
      </w:pPr>
      <w:r>
        <w:rPr/>
        <w:t>二、载有会计师事务所盖章、注册会计师签名并盖章的审计报告原件。 </w:t>
      </w:r>
      <w:r>
        <w:rPr>
          <w:spacing w:val="-3"/>
        </w:rPr>
        <w:t>三、报告期内在中国证监会指定网站上公开披露过的所有公司文件的正本及公告的原稿。</w:t>
      </w:r>
      <w:r>
        <w:rPr>
          <w:spacing w:val="-87"/>
        </w:rPr>
        <w:t> </w:t>
      </w:r>
      <w:r>
        <w:rPr>
          <w:spacing w:val="-87"/>
        </w:rPr>
      </w:r>
      <w:r>
        <w:rPr/>
        <w:t>四、经公司法定代表人签名的</w:t>
      </w:r>
      <w:r>
        <w:rPr>
          <w:rFonts w:ascii="宋体" w:hAnsi="宋体" w:cs="宋体" w:eastAsia="宋体" w:hint="default"/>
        </w:rPr>
        <w:t>2018</w:t>
      </w:r>
      <w:r>
        <w:rPr/>
        <w:t>年度报告文件原件。</w:t>
      </w:r>
    </w:p>
    <w:p>
      <w:pPr>
        <w:pStyle w:val="BodyText"/>
        <w:spacing w:line="357" w:lineRule="auto"/>
        <w:ind w:left="635" w:right="5471"/>
        <w:jc w:val="left"/>
      </w:pPr>
      <w:r>
        <w:rPr/>
        <w:t>五、其他相关资料。 六、以上备查文件的备置地点：公司证券部。</w:t>
      </w:r>
    </w:p>
    <w:sectPr>
      <w:pgSz w:w="11910" w:h="16840"/>
      <w:pgMar w:header="745" w:footer="979" w:top="1060" w:bottom="116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icrosoft JhengHei">
    <w:altName w:val="Microsoft JhengHei"/>
    <w:charset w:val="0"/>
    <w:family w:val="swiss"/>
    <w:pitch w:val="variable"/>
  </w:font>
  <w:font w:name="宋体">
    <w:altName w:val="宋体"/>
    <w:charset w:val="86"/>
    <w:family w:val="auto"/>
    <w:pitch w:val="variable"/>
  </w:font>
  <w:font w:name="Garamond">
    <w:altName w:val="Garamond"/>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881080" type="#_x0000_t75" stroked="false">
          <v:imagedata r:id="rId1" o:title=""/>
        </v:shape>
      </w:pict>
    </w:r>
    <w:r>
      <w:rPr/>
      <w:pict>
        <v:shape style="position:absolute;margin-left:533.099976pt;margin-top:795.637939pt;width:6.5pt;height:11pt;mso-position-horizontal-relative:page;mso-position-vertical-relative:page;z-index:-88105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881032" type="#_x0000_t75" stroked="false">
          <v:imagedata r:id="rId1" o:title=""/>
        </v:shape>
      </w:pict>
    </w:r>
    <w:r>
      <w:rPr/>
      <w:pict>
        <v:shape style="position:absolute;margin-left:527.659973pt;margin-top:781.957947pt;width:13.15pt;height:11pt;mso-position-horizontal-relative:page;mso-position-vertical-relative:page;z-index:-88100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r>
                  <w:rPr>
                    <w:rFonts w:ascii="Times New Roman"/>
                    <w:spacing w:val="1"/>
                    <w:sz w:val="18"/>
                  </w:rPr>
                </w:r>
                <w:r>
                  <w:rPr>
                    <w:rFonts w:ascii="Times New Roman"/>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880984" type="#_x0000_t75" stroked="false">
          <v:imagedata r:id="rId1" o:title=""/>
        </v:shape>
      </w:pict>
    </w:r>
    <w:r>
      <w:rPr/>
      <w:pict>
        <v:shape style="position:absolute;margin-left:524.099976pt;margin-top:781.957947pt;width:15.7pt;height:11pt;mso-position-horizontal-relative:page;mso-position-vertical-relative:page;z-index:-88096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880936" type="#_x0000_t75" stroked="false">
          <v:imagedata r:id="rId1" o:title=""/>
        </v:shape>
      </w:pict>
    </w:r>
    <w:r>
      <w:rPr/>
      <w:pict>
        <v:shape style="position:absolute;margin-left:523.099976pt;margin-top:781.957947pt;width:17.7pt;height:11pt;mso-position-horizontal-relative:page;mso-position-vertical-relative:page;z-index:-8809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r>
                  <w:rPr>
                    <w:rFonts w:ascii="Times New Roman"/>
                    <w:spacing w:val="1"/>
                    <w:sz w:val="18"/>
                  </w:rPr>
                </w:r>
                <w:r>
                  <w:rPr>
                    <w:rFonts w:ascii="Times New Roman"/>
                    <w:sz w:val="18"/>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880888" type="#_x0000_t75" stroked="false">
          <v:imagedata r:id="rId1" o:title=""/>
        </v:shape>
      </w:pict>
    </w:r>
    <w:r>
      <w:rPr/>
      <w:pict>
        <v:shape style="position:absolute;margin-left:523.460022pt;margin-top:781.957947pt;width:17.3pt;height:11pt;mso-position-horizontal-relative:page;mso-position-vertical-relative:page;z-index:-8808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880840" type="#_x0000_t75" stroked="false">
          <v:imagedata r:id="rId1" o:title=""/>
        </v:shape>
      </w:pict>
    </w:r>
    <w:r>
      <w:rPr/>
      <w:pict>
        <v:shape style="position:absolute;margin-left:523.099976pt;margin-top:781.957947pt;width:17.7pt;height:11pt;mso-position-horizontal-relative:page;mso-position-vertical-relative:page;z-index:-8808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r>
                  <w:rPr>
                    <w:rFonts w:ascii="Times New Roman"/>
                    <w:spacing w:val="1"/>
                    <w:sz w:val="18"/>
                  </w:rPr>
                </w:r>
                <w:r>
                  <w:rPr>
                    <w:rFonts w:ascii="Times New Roman"/>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26.070007pt;margin-top:36.265610pt;width:213.75pt;height:11.5pt;mso-position-horizontal-relative:page;mso-position-vertical-relative:page;z-index:-88110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北京数字政通科技股份有限公司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59"/>
      <w:ind w:left="152"/>
    </w:pPr>
    <w:rPr>
      <w:rFonts w:ascii="宋体" w:hAnsi="宋体" w:eastAsia="宋体"/>
      <w:b/>
      <w:bCs/>
      <w:sz w:val="24"/>
      <w:szCs w:val="24"/>
    </w:rPr>
  </w:style>
  <w:style w:styleId="BodyText" w:type="paragraph">
    <w:name w:val="Body Text"/>
    <w:basedOn w:val="Normal"/>
    <w:uiPriority w:val="1"/>
    <w:qFormat/>
    <w:pPr>
      <w:spacing w:before="36"/>
      <w:ind w:left="152"/>
    </w:pPr>
    <w:rPr>
      <w:rFonts w:ascii="宋体" w:hAnsi="宋体" w:eastAsia="宋体"/>
      <w:sz w:val="24"/>
      <w:szCs w:val="24"/>
    </w:rPr>
  </w:style>
  <w:style w:styleId="Heading1" w:type="paragraph">
    <w:name w:val="Heading 1"/>
    <w:basedOn w:val="Normal"/>
    <w:uiPriority w:val="1"/>
    <w:qFormat/>
    <w:pPr>
      <w:ind w:left="2421"/>
      <w:outlineLvl w:val="1"/>
    </w:pPr>
    <w:rPr>
      <w:rFonts w:ascii="宋体" w:hAnsi="宋体" w:eastAsia="宋体"/>
      <w:b/>
      <w:bCs/>
      <w:sz w:val="32"/>
      <w:szCs w:val="32"/>
    </w:rPr>
  </w:style>
  <w:style w:styleId="Heading2" w:type="paragraph">
    <w:name w:val="Heading 2"/>
    <w:basedOn w:val="Normal"/>
    <w:uiPriority w:val="1"/>
    <w:qFormat/>
    <w:pPr>
      <w:ind w:left="152"/>
      <w:outlineLvl w:val="2"/>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hyperlink" Target="http://www.egova.com.cn/" TargetMode="External"/><Relationship Id="rId10" Type="http://schemas.openxmlformats.org/officeDocument/2006/relationships/hyperlink" Target="mailto:egova@egova.com.cn" TargetMode="External"/><Relationship Id="rId11" Type="http://schemas.openxmlformats.org/officeDocument/2006/relationships/hyperlink" Target="http://www.cninfo.com.cn/" TargetMode="Externa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hyperlink" Target="https://baike.baidu.com/item/%E7%A4%BE%E4%BC%9A%E4%B8%BB%E4%B9%89%E5%B8%82%E5%9C%BA%E7%BB%8F%E6%B5%8E%E4%BD%93%E5%88%B6" TargetMode="External"/><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hyperlink" Target="http://www.cninfo.com/" TargetMode="External"/><Relationship Id="rId34" Type="http://schemas.openxmlformats.org/officeDocument/2006/relationships/footer" Target="footer3.xml"/><Relationship Id="rId35" Type="http://schemas.openxmlformats.org/officeDocument/2006/relationships/footer" Target="footer4.xml"/><Relationship Id="rId36" Type="http://schemas.openxmlformats.org/officeDocument/2006/relationships/hyperlink" Target="http://law.esnai.com/search_result.asp?Department=402" TargetMode="External"/><Relationship Id="rId37" Type="http://schemas.openxmlformats.org/officeDocument/2006/relationships/footer" Target="footer5.xml"/><Relationship Id="rId38" Type="http://schemas.openxmlformats.org/officeDocument/2006/relationships/footer" Target="footer6.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北京数字政通科技股份有限公司</dc:creator>
  <dc:title>北京数字政通科技股份有限公司2018年年度报告全文</dc:title>
  <dcterms:created xsi:type="dcterms:W3CDTF">2020-05-05T01:58:53Z</dcterms:created>
  <dcterms:modified xsi:type="dcterms:W3CDTF">2020-05-05T01:58:53Z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2019-04-24T00:00:00Z</vt:filetime>
  </property>
  <property fmtid="{D5CDD505-2E9C-101B-9397-08002B2CF9AE}" pid="3" name="Creator">
    <vt:lpwstr>Microsoft® Word 2010</vt:lpwstr>
  </property>
  <property fmtid="{D5CDD505-2E9C-101B-9397-08002B2CF9AE}" pid="4" name="LastSaved">
    <vt:filetime>2020-05-04T00:00:00Z</vt:filetime>
  </property>
</Properties>
</file>