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3405" w:lineRule="exact"/>
        <w:ind w:left="73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drawing>
          <wp:inline distT="0" distB="0" distL="0" distR="0">
            <wp:extent cx="5380990" cy="21621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380990" cy="2162175"/>
                    </a:xfrm>
                    <a:prstGeom prst="rect">
                      <a:avLst/>
                    </a:prstGeom>
                  </pic:spPr>
                </pic:pic>
              </a:graphicData>
            </a:graphic>
          </wp:inline>
        </w:drawing>
      </w:r>
      <w:r>
        <w:rPr>
          <w:rFonts w:ascii="Times New Roman" w:hAnsi="Times New Roman" w:cs="Times New Roman" w:eastAsia="Times New Roman" w:hint="default"/>
          <w:position w:val="-67"/>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0" w:right="984" w:firstLine="0"/>
        <w:jc w:val="center"/>
        <w:rPr>
          <w:rFonts w:ascii="宋体" w:hAnsi="宋体" w:cs="宋体" w:eastAsia="宋体" w:hint="default"/>
          <w:sz w:val="36"/>
          <w:szCs w:val="36"/>
        </w:rPr>
      </w:pPr>
      <w:r>
        <w:rPr>
          <w:rFonts w:ascii="宋体" w:hAnsi="宋体" w:cs="宋体" w:eastAsia="宋体" w:hint="default"/>
          <w:b/>
          <w:bCs/>
          <w:sz w:val="36"/>
          <w:szCs w:val="36"/>
        </w:rPr>
        <w:t>北京数字政通科技股份有限公司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0" w:right="978" w:firstLine="0"/>
        <w:jc w:val="center"/>
        <w:rPr>
          <w:rFonts w:ascii="Times New Roman" w:hAnsi="Times New Roman" w:cs="Times New Roman" w:eastAsia="Times New Roman" w:hint="default"/>
          <w:sz w:val="22"/>
          <w:szCs w:val="22"/>
        </w:rPr>
      </w:pPr>
      <w:r>
        <w:rPr>
          <w:rFonts w:ascii="Times New Roman"/>
          <w:b/>
          <w:sz w:val="22"/>
        </w:rPr>
        <w:t>2020-041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04"/>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公司负责人吴强华、主管会计工作负责人殷小敏及会计机构负责人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向华声明：保证年度报告中财务报告的真实、准确、完整。</w:t>
      </w:r>
      <w:r>
        <w:rPr>
          <w:rFonts w:ascii="宋体" w:hAnsi="宋体" w:cs="宋体" w:eastAsia="宋体" w:hint="default"/>
          <w:sz w:val="28"/>
          <w:szCs w:val="28"/>
        </w:rPr>
      </w:r>
    </w:p>
    <w:p>
      <w:pPr>
        <w:spacing w:line="472" w:lineRule="auto" w:before="148"/>
        <w:ind w:left="714" w:right="110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依赖政府采购风险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公司产品主要是各级政府（部、省、市、区、县政府）</w:t>
      </w:r>
      <w:r>
        <w:rPr>
          <w:rFonts w:ascii="宋体" w:hAnsi="宋体" w:cs="宋体" w:eastAsia="宋体" w:hint="default"/>
          <w:sz w:val="28"/>
          <w:szCs w:val="28"/>
        </w:rPr>
      </w:r>
    </w:p>
    <w:p>
      <w:pPr>
        <w:spacing w:line="302"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的数字化城市管理平台以及国土、规划等政府主管部门的专用管理信息系统。</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客户定位于各级政府（部、省、市、区、县政府）部门，虽然街道乡镇、部分</w:t>
      </w:r>
      <w:r>
        <w:rPr>
          <w:rFonts w:ascii="宋体" w:hAnsi="宋体" w:cs="宋体" w:eastAsia="宋体" w:hint="default"/>
          <w:b/>
          <w:bCs/>
          <w:w w:val="99"/>
          <w:sz w:val="28"/>
          <w:szCs w:val="28"/>
        </w:rPr>
        <w:t> </w:t>
      </w:r>
      <w:r>
        <w:rPr>
          <w:rFonts w:ascii="宋体" w:hAnsi="宋体" w:cs="宋体" w:eastAsia="宋体" w:hint="default"/>
          <w:b/>
          <w:bCs/>
          <w:spacing w:val="2"/>
          <w:sz w:val="28"/>
          <w:szCs w:val="28"/>
        </w:rPr>
        <w:t>大型企业也是公司的目标用户，但目前公司销售收入主要来源于政府采购，项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目均通过各级政府招投标过程获得。面对尚不明朗的宏观经济形势，地方政府</w:t>
      </w:r>
      <w:r>
        <w:rPr>
          <w:rFonts w:ascii="宋体" w:hAnsi="宋体" w:cs="宋体" w:eastAsia="宋体" w:hint="default"/>
          <w:b/>
          <w:bCs/>
          <w:w w:val="99"/>
          <w:sz w:val="28"/>
          <w:szCs w:val="28"/>
        </w:rPr>
        <w:t> </w:t>
      </w:r>
      <w:r>
        <w:rPr>
          <w:rFonts w:ascii="宋体" w:hAnsi="宋体" w:cs="宋体" w:eastAsia="宋体" w:hint="default"/>
          <w:b/>
          <w:bCs/>
          <w:spacing w:val="2"/>
          <w:sz w:val="28"/>
          <w:szCs w:val="28"/>
        </w:rPr>
        <w:t>和行业主管部门可能存在财政紧缩、推迟或减少对电子政务系统的投入，未来</w:t>
      </w:r>
      <w:r>
        <w:rPr>
          <w:rFonts w:ascii="宋体" w:hAnsi="宋体" w:cs="宋体" w:eastAsia="宋体" w:hint="default"/>
          <w:b/>
          <w:bCs/>
          <w:w w:val="99"/>
          <w:sz w:val="28"/>
          <w:szCs w:val="28"/>
        </w:rPr>
        <w:t> </w:t>
      </w:r>
      <w:r>
        <w:rPr>
          <w:rFonts w:ascii="宋体" w:hAnsi="宋体" w:cs="宋体" w:eastAsia="宋体" w:hint="default"/>
          <w:b/>
          <w:bCs/>
          <w:sz w:val="28"/>
          <w:szCs w:val="28"/>
        </w:rPr>
        <w:t>将会对公司的经营产生一定影响。</w:t>
      </w:r>
      <w:r>
        <w:rPr>
          <w:rFonts w:ascii="宋体" w:hAnsi="宋体" w:cs="宋体" w:eastAsia="宋体" w:hint="default"/>
          <w:sz w:val="28"/>
          <w:szCs w:val="28"/>
        </w:rPr>
      </w:r>
    </w:p>
    <w:p>
      <w:pPr>
        <w:spacing w:line="403" w:lineRule="auto" w:before="163"/>
        <w:ind w:left="152" w:right="1138" w:firstLine="562"/>
        <w:jc w:val="both"/>
        <w:rPr>
          <w:rFonts w:ascii="宋体" w:hAnsi="宋体" w:cs="宋体" w:eastAsia="宋体" w:hint="default"/>
          <w:sz w:val="28"/>
          <w:szCs w:val="28"/>
        </w:rPr>
      </w:pPr>
      <w:r>
        <w:rPr>
          <w:rFonts w:ascii="宋体" w:hAnsi="宋体" w:cs="宋体" w:eastAsia="宋体" w:hint="default"/>
          <w:b/>
          <w:bCs/>
          <w:spacing w:val="8"/>
          <w:sz w:val="28"/>
          <w:szCs w:val="28"/>
        </w:rPr>
        <w:t>市场竞争加剧的风险</w:t>
      </w:r>
      <w:r>
        <w:rPr>
          <w:rFonts w:ascii="Times New Roman" w:hAnsi="Times New Roman" w:cs="Times New Roman" w:eastAsia="Times New Roman" w:hint="default"/>
          <w:b/>
          <w:bCs/>
          <w:spacing w:val="8"/>
          <w:sz w:val="28"/>
          <w:szCs w:val="28"/>
        </w:rPr>
        <w:t>:</w:t>
      </w:r>
      <w:r>
        <w:rPr>
          <w:rFonts w:ascii="宋体" w:hAnsi="宋体" w:cs="宋体" w:eastAsia="宋体" w:hint="default"/>
          <w:b/>
          <w:bCs/>
          <w:spacing w:val="8"/>
          <w:sz w:val="28"/>
          <w:szCs w:val="28"/>
        </w:rPr>
        <w:t>公司在传统数字城市管理领域有着较强的市场竞争</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力，但随着智慧城市建设的高速发展，数字政通的业务也在不断延伸，将不可</w:t>
      </w:r>
      <w:r>
        <w:rPr>
          <w:rFonts w:ascii="宋体" w:hAnsi="宋体" w:cs="宋体" w:eastAsia="宋体" w:hint="default"/>
          <w:b/>
          <w:bCs/>
          <w:w w:val="99"/>
          <w:sz w:val="28"/>
          <w:szCs w:val="28"/>
        </w:rPr>
        <w:t> </w:t>
      </w:r>
      <w:r>
        <w:rPr>
          <w:rFonts w:ascii="宋体" w:hAnsi="宋体" w:cs="宋体" w:eastAsia="宋体" w:hint="default"/>
          <w:b/>
          <w:bCs/>
          <w:spacing w:val="2"/>
          <w:sz w:val="28"/>
          <w:szCs w:val="28"/>
        </w:rPr>
        <w:t>避免的与更多规模和实力更强的行业公司进行竞争，市场竞争呈逐步加剧的态</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势，如果公司在发展过程中不能持续保持技术领先优势以及不断提升市场营销</w:t>
      </w:r>
      <w:r>
        <w:rPr>
          <w:rFonts w:ascii="宋体" w:hAnsi="宋体" w:cs="宋体" w:eastAsia="宋体" w:hint="default"/>
          <w:b/>
          <w:bCs/>
          <w:w w:val="99"/>
          <w:sz w:val="28"/>
          <w:szCs w:val="28"/>
        </w:rPr>
        <w:t> </w:t>
      </w:r>
      <w:r>
        <w:rPr>
          <w:rFonts w:ascii="宋体" w:hAnsi="宋体" w:cs="宋体" w:eastAsia="宋体" w:hint="default"/>
          <w:b/>
          <w:bCs/>
          <w:spacing w:val="2"/>
          <w:sz w:val="28"/>
          <w:szCs w:val="28"/>
        </w:rPr>
        <w:t>和本地化服务能力，将有可能面临市场份额下滑，技术、服务能力被竞争对手</w:t>
      </w:r>
      <w:r>
        <w:rPr>
          <w:rFonts w:ascii="宋体" w:hAnsi="宋体" w:cs="宋体" w:eastAsia="宋体" w:hint="default"/>
          <w:b/>
          <w:bCs/>
          <w:w w:val="99"/>
          <w:sz w:val="28"/>
          <w:szCs w:val="28"/>
        </w:rPr>
        <w:t> </w:t>
      </w:r>
      <w:r>
        <w:rPr>
          <w:rFonts w:ascii="宋体" w:hAnsi="宋体" w:cs="宋体" w:eastAsia="宋体" w:hint="default"/>
          <w:b/>
          <w:bCs/>
          <w:sz w:val="28"/>
          <w:szCs w:val="28"/>
        </w:rPr>
        <w:t>超越的风险，同时可能会存在导致毛利率下降的风险。</w:t>
      </w:r>
      <w:r>
        <w:rPr>
          <w:rFonts w:ascii="宋体" w:hAnsi="宋体" w:cs="宋体" w:eastAsia="宋体" w:hint="default"/>
          <w:sz w:val="28"/>
          <w:szCs w:val="28"/>
        </w:rPr>
      </w:r>
    </w:p>
    <w:p>
      <w:pPr>
        <w:spacing w:after="0" w:line="403" w:lineRule="auto"/>
        <w:jc w:val="both"/>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5" w:lineRule="auto" w:before="14"/>
        <w:ind w:left="152" w:right="986" w:firstLine="562"/>
        <w:jc w:val="left"/>
        <w:rPr>
          <w:rFonts w:ascii="宋体" w:hAnsi="宋体" w:cs="宋体" w:eastAsia="宋体" w:hint="default"/>
          <w:sz w:val="28"/>
          <w:szCs w:val="28"/>
        </w:rPr>
      </w:pPr>
      <w:r>
        <w:rPr>
          <w:rFonts w:ascii="宋体" w:hAnsi="宋体" w:cs="宋体" w:eastAsia="宋体" w:hint="default"/>
          <w:b/>
          <w:bCs/>
          <w:sz w:val="28"/>
          <w:szCs w:val="28"/>
        </w:rPr>
        <w:t>核心技术人员流失风险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软件行业属于智力密集型行业，核心技术人员对公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司的产品创新、持续发展起着关键的作用，核心技术人员的稳定对公司的发展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具有重要影响。经过多年发展，公司现已拥有一支高素质的技术人员队伍，为</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了吸引和稳定现有核心技术团队，公司已建立完善的知识管理体系，采取了一</w:t>
      </w:r>
      <w:r>
        <w:rPr>
          <w:rFonts w:ascii="宋体" w:hAnsi="宋体" w:cs="宋体" w:eastAsia="宋体" w:hint="default"/>
          <w:b/>
          <w:bCs/>
          <w:w w:val="99"/>
          <w:sz w:val="28"/>
          <w:szCs w:val="28"/>
        </w:rPr>
        <w:t> </w:t>
      </w:r>
      <w:r>
        <w:rPr>
          <w:rFonts w:ascii="宋体" w:hAnsi="宋体" w:cs="宋体" w:eastAsia="宋体" w:hint="default"/>
          <w:b/>
          <w:bCs/>
          <w:spacing w:val="2"/>
          <w:sz w:val="28"/>
          <w:szCs w:val="28"/>
        </w:rPr>
        <w:t>系列吸引和稳定核心技术人员的措施，包括实施股权激励计划，提高核心技术</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人员福利待遇、增加培训机会、创造良好的工作和文化氛围等，努力维护技术</w:t>
      </w:r>
      <w:r>
        <w:rPr>
          <w:rFonts w:ascii="宋体" w:hAnsi="宋体" w:cs="宋体" w:eastAsia="宋体" w:hint="default"/>
          <w:b/>
          <w:bCs/>
          <w:w w:val="99"/>
          <w:sz w:val="28"/>
          <w:szCs w:val="28"/>
        </w:rPr>
        <w:t> </w:t>
      </w:r>
      <w:r>
        <w:rPr>
          <w:rFonts w:ascii="宋体" w:hAnsi="宋体" w:cs="宋体" w:eastAsia="宋体" w:hint="default"/>
          <w:b/>
          <w:bCs/>
          <w:spacing w:val="-2"/>
          <w:sz w:val="28"/>
          <w:szCs w:val="28"/>
        </w:rPr>
        <w:t>团队的稳定发展，但考虑到软件行业技术变革速度快、人员流动率偏高的特点，</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未来如果公司的核心技术团队流失率过高，将不利于公司各项经营目标的实现，</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对公司未来发展将产生不利影响。</w:t>
      </w:r>
      <w:r>
        <w:rPr>
          <w:rFonts w:ascii="宋体" w:hAnsi="宋体" w:cs="宋体" w:eastAsia="宋体" w:hint="default"/>
          <w:sz w:val="28"/>
          <w:szCs w:val="28"/>
        </w:rPr>
      </w:r>
    </w:p>
    <w:p>
      <w:pPr>
        <w:spacing w:before="165"/>
        <w:ind w:left="714" w:right="1104"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431,158,006</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7"/>
        <w:ind w:left="152" w:right="986"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0.4</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2" w:right="1104"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第二节公司简介和主要财务指标</w:t>
            </w:r>
            <w:r>
              <w:rPr>
                <w:rFonts w:ascii="宋体" w:hAnsi="宋体" w:cs="宋体" w:eastAsia="宋体" w:hint="default"/>
              </w:rPr>
              <w:tab/>
              <w:t>6</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2">
            <w:r>
              <w:rPr/>
              <w:t>第三节公司业务概要</w:t>
            </w:r>
            <w:r>
              <w:rPr>
                <w:rFonts w:ascii="宋体" w:hAnsi="宋体" w:cs="宋体" w:eastAsia="宋体" w:hint="default"/>
              </w:rPr>
              <w:tab/>
              <w:t>10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3">
            <w:r>
              <w:rPr/>
              <w:t>第四节经营情况讨论与分析</w:t>
            </w:r>
            <w:r>
              <w:rPr>
                <w:rFonts w:ascii="宋体" w:hAnsi="宋体" w:cs="宋体" w:eastAsia="宋体" w:hint="default"/>
              </w:rPr>
              <w:tab/>
              <w:t>21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第五节重要事项</w:t>
            </w:r>
            <w:r>
              <w:rPr>
                <w:rFonts w:ascii="宋体" w:hAnsi="宋体" w:cs="宋体" w:eastAsia="宋体" w:hint="default"/>
              </w:rPr>
              <w:tab/>
              <w:t>46</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5">
            <w:r>
              <w:rPr/>
              <w:t>第六节股份变动及股东情况</w:t>
            </w:r>
            <w:r>
              <w:rPr>
                <w:rFonts w:ascii="宋体" w:hAnsi="宋体" w:cs="宋体" w:eastAsia="宋体" w:hint="default"/>
              </w:rPr>
              <w:tab/>
              <w:t>59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第七节优先股相关情况</w:t>
            </w:r>
            <w:r>
              <w:rPr>
                <w:rFonts w:ascii="宋体" w:hAnsi="宋体" w:cs="宋体" w:eastAsia="宋体" w:hint="default"/>
              </w:rPr>
              <w:tab/>
              <w:t>66</w:t>
            </w:r>
            <w:r>
              <w:rPr>
                <w:rFonts w:ascii="宋体" w:hAnsi="宋体" w:cs="宋体" w:eastAsia="宋体" w:hint="default"/>
                <w:b w:val="0"/>
                <w:bCs w:val="0"/>
              </w:rPr>
            </w:r>
          </w:hyperlink>
        </w:p>
        <w:p>
          <w:pPr>
            <w:pStyle w:val="TOC1"/>
            <w:tabs>
              <w:tab w:pos="9785" w:val="right" w:leader="dot"/>
            </w:tabs>
            <w:spacing w:line="240" w:lineRule="auto" w:before="195"/>
            <w:ind w:right="0"/>
            <w:jc w:val="left"/>
            <w:rPr>
              <w:rFonts w:ascii="宋体" w:hAnsi="宋体" w:cs="宋体" w:eastAsia="宋体" w:hint="default"/>
              <w:b w:val="0"/>
              <w:bCs w:val="0"/>
            </w:rPr>
          </w:pPr>
          <w:hyperlink w:history="true" w:anchor="_bookmark7">
            <w:r>
              <w:rPr/>
              <w:t>第八节可转换公司债券相关情况</w:t>
            </w:r>
            <w:r>
              <w:rPr>
                <w:rFonts w:ascii="宋体" w:hAnsi="宋体" w:cs="宋体" w:eastAsia="宋体" w:hint="default"/>
              </w:rPr>
              <w:tab/>
              <w:t>67</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8">
            <w:r>
              <w:rPr/>
              <w:t>第九节董事、监事、高级管理人员和员工情况</w:t>
            </w:r>
            <w:r>
              <w:rPr>
                <w:rFonts w:ascii="宋体" w:hAnsi="宋体" w:cs="宋体" w:eastAsia="宋体" w:hint="default"/>
              </w:rPr>
              <w:tab/>
              <w:t>68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9">
            <w:r>
              <w:rPr/>
              <w:t>第十节公司治理</w:t>
            </w:r>
            <w:r>
              <w:rPr>
                <w:rFonts w:ascii="宋体" w:hAnsi="宋体" w:cs="宋体" w:eastAsia="宋体" w:hint="default"/>
              </w:rPr>
              <w:tab/>
              <w:t>74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0">
            <w:r>
              <w:rPr/>
              <w:t>第十一节公司债券相关情况</w:t>
            </w:r>
            <w:r>
              <w:rPr>
                <w:rFonts w:ascii="宋体" w:hAnsi="宋体" w:cs="宋体" w:eastAsia="宋体" w:hint="default"/>
              </w:rPr>
              <w:tab/>
              <w:t>81</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11">
            <w:r>
              <w:rPr/>
              <w:t>第十二节财务报告</w:t>
            </w:r>
            <w:r>
              <w:rPr>
                <w:rFonts w:ascii="宋体" w:hAnsi="宋体" w:cs="宋体" w:eastAsia="宋体" w:hint="default"/>
              </w:rPr>
              <w:tab/>
              <w:t>82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2">
            <w:r>
              <w:rPr/>
              <w:t>第十三节备查文件目录</w:t>
            </w:r>
            <w:r>
              <w:rPr>
                <w:rFonts w:ascii="宋体" w:hAnsi="宋体" w:cs="宋体" w:eastAsia="宋体" w:hint="default"/>
              </w:rPr>
              <w:tab/>
              <w:t>215</w:t>
            </w:r>
            <w:r>
              <w:rPr>
                <w:rFonts w:ascii="宋体" w:hAnsi="宋体" w:cs="宋体" w:eastAsia="宋体"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0" w:right="98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公司、本公司、数字政通、发行人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北京数字政通科技股份有限公司监事会</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数字智通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北京数字智通科技有限公司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北京数字政通智能泊车技术有限公司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上海政通信息科技有限公司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武汉智慧政通科技有限公司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克拉玛依子公司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克拉玛依数字政通信息科技有限责任公司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小爱科技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重庆小爱科技有限公司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金迪管线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保定金迪地下管线探测工程有限公司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金迪科仪</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保定金迪科学仪器有限公司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金迪科技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保定市金迪科技开发有限公司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政通智慧城市运营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政通智慧城市运营科技有限公司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天健源达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北京天健源达科技有限公司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通通停车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北京通通易联科技有限公司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04"/>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04"/>
        <w:jc w:val="left"/>
        <w:rPr>
          <w:b w:val="0"/>
          <w:bCs w:val="0"/>
        </w:rPr>
      </w:pPr>
      <w:r>
        <w:rPr/>
        <w:pict>
          <v:group style="position:absolute;margin-left:172.339996pt;margin-top:114.705597pt;width:361.55pt;height:19.7pt;mso-position-horizontal-relative:page;mso-position-vertical-relative:paragraph;z-index:-1046128"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300075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数字政通</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5"/>
                <w:sz w:val="18"/>
              </w:rPr>
              <w:t>eGOVA</w:t>
            </w:r>
            <w:r>
              <w:rPr>
                <w:rFonts w:ascii="Times New Roman"/>
                <w:spacing w:val="-16"/>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eGOVA</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吴强华</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北京市海淀区西直门大街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号枫蓝国际中心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100082</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北京市海淀区中关村软件园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号楼国际软件大厦三区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www.egova.com.cn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04"/>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许菲</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5"/>
              <w:jc w:val="left"/>
              <w:rPr>
                <w:rFonts w:ascii="宋体" w:hAnsi="宋体" w:cs="宋体" w:eastAsia="宋体" w:hint="default"/>
                <w:sz w:val="18"/>
                <w:szCs w:val="18"/>
              </w:rPr>
            </w:pPr>
            <w:r>
              <w:rPr>
                <w:rFonts w:ascii="宋体" w:hAnsi="宋体" w:cs="宋体" w:eastAsia="宋体" w:hint="default"/>
                <w:sz w:val="18"/>
                <w:szCs w:val="18"/>
              </w:rPr>
              <w:t>北京市海淀区中关村软件园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号楼国际 软件大厦</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北京市海淀区中关村软件园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号楼国际 软件大厦</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010-56161618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010-56161618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010-56161688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010-56161688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04"/>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04"/>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上海市静安区威海路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王芳山、邓战涛</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55"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北京市东城区建国门内大街</w:t>
            </w: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号民生金融中心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16-18</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高强、扶林</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r>
      <w:tr>
        <w:trPr>
          <w:trHeight w:val="355"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层</w:t>
            </w: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04"/>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1,257,538,949.54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1,288,815,520.62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1,202,976,973.86</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130,702,321.60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117,186,570.99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169,594,871.96</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127,366,845.46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115,603,080.63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153,051,229.89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183,788,142.62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175,730,294.98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-36,037,789.90</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10.27%</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3,109,817,326.14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3,089,023,949.17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3,062,153,257.73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2,354,372,357.19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2,171,111,080.96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2,040,828,163.85</w:t>
            </w:r>
          </w:p>
        </w:tc>
      </w:tr>
    </w:tbl>
    <w:p>
      <w:pPr>
        <w:spacing w:line="314" w:lineRule="auto" w:before="49"/>
        <w:ind w:left="152" w:right="1104"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61"/>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0.3031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04"/>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206,127,243.89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315,401,752.40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233,677,145.20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502,332,808.05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22,176,201.78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72,387,424.66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940,567.99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35,198,127.17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22,183,471.95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70,204,982.76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764,307.27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34,214,083.48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-111,171,038.17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12,711,756.23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-24,070,682.04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306,318,106.60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104"/>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2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04"/>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-144,755.77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-223,831.81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14,778,935.44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0" w:space="0" w:color="D2D2D2"/>
              <w:bottom w:val="nil" w:sz="6" w:space="0" w:color="auto"/>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1532" w:type="dxa"/>
            <w:tcBorders>
              <w:top w:val="nil" w:sz="6" w:space="0" w:color="auto"/>
              <w:left w:val="single" w:sz="10" w:space="0" w:color="D2D2D2"/>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4,250,718.40</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2,150,361.73</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5,131,850.87</w:t>
            </w:r>
          </w:p>
        </w:tc>
        <w:tc>
          <w:tcPr>
            <w:tcW w:w="1711" w:type="dxa"/>
            <w:vMerge/>
            <w:tcBorders>
              <w:left w:val="single" w:sz="4" w:space="0" w:color="000000"/>
              <w:right w:val="single" w:sz="4" w:space="0" w:color="000000"/>
            </w:tcBorders>
          </w:tcPr>
          <w:p>
            <w:pPr/>
          </w:p>
        </w:tc>
      </w:tr>
      <w:tr>
        <w:trPr>
          <w:trHeight w:val="355"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32" w:type="dxa"/>
            <w:tcBorders>
              <w:top w:val="nil" w:sz="6" w:space="0" w:color="auto"/>
              <w:left w:val="single" w:sz="10" w:space="0" w:color="D2D2D2"/>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420,103.42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-133,505.19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1,359.85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945,121.60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307,935.26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3,076,490.71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111,963.12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5,350.60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292,013.38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3,335,476.14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1,583,490.36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16,543,642.07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04"/>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0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357" w:lineRule="auto" w:before="134"/>
        <w:ind w:left="633" w:right="1104"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z w:val="24"/>
          <w:szCs w:val="24"/>
        </w:rPr>
        <w:t>、公司从事的主要业务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数字政通的主营业务是专业智慧城市应用软件的开发和销售，并提供技术支持和后续服</w:t>
      </w:r>
    </w:p>
    <w:p>
      <w:pPr>
        <w:pStyle w:val="BodyText"/>
        <w:spacing w:line="357" w:lineRule="auto" w:before="37"/>
        <w:ind w:right="1104"/>
        <w:jc w:val="left"/>
      </w:pPr>
      <w:r>
        <w:rPr/>
        <w:t>务，是国内知名度较高、市场份额领先的智慧城市应用软件开发商和全面解决方案提供商之</w:t>
      </w:r>
      <w:r>
        <w:rPr>
          <w:spacing w:val="-91"/>
        </w:rPr>
        <w:t> </w:t>
      </w:r>
      <w:r>
        <w:rPr>
          <w:spacing w:val="-91"/>
        </w:rPr>
      </w:r>
      <w:r>
        <w:rPr/>
        <w:t>一。</w:t>
      </w:r>
    </w:p>
    <w:p>
      <w:pPr>
        <w:pStyle w:val="BodyText"/>
        <w:spacing w:line="357" w:lineRule="auto"/>
        <w:ind w:right="1139" w:firstLine="480"/>
        <w:jc w:val="both"/>
      </w:pPr>
      <w:r>
        <w:rPr/>
        <w:t>数字政通采用统一的时空信息管理技术，将二维地图、三维模型、三维实景、视频等各 类基础信息与城市部件、实有人口、法人、房屋等行业管理信息整合到一个时空体系中，在</w:t>
      </w:r>
      <w:r>
        <w:rPr>
          <w:spacing w:val="-91"/>
        </w:rPr>
        <w:t> </w:t>
      </w:r>
      <w:r>
        <w:rPr>
          <w:spacing w:val="-91"/>
        </w:rPr>
      </w:r>
      <w:r>
        <w:rPr/>
        <w:t>全时空体系中还原各类信息在空间、时间、权属等多个维度的关联关系，从而为数字城管、</w:t>
      </w:r>
      <w:r>
        <w:rPr>
          <w:spacing w:val="-91"/>
        </w:rPr>
        <w:t> </w:t>
      </w:r>
      <w:r>
        <w:rPr>
          <w:spacing w:val="-91"/>
        </w:rPr>
      </w:r>
      <w:r>
        <w:rPr/>
        <w:t>智慧社区、智能交通、智慧安防等智慧城市各类行业应用提供全时空一体化的城市综合公共</w:t>
      </w:r>
      <w:r>
        <w:rPr>
          <w:spacing w:val="-91"/>
        </w:rPr>
        <w:t> </w:t>
      </w:r>
      <w:r>
        <w:rPr>
          <w:spacing w:val="-91"/>
        </w:rPr>
      </w:r>
      <w:r>
        <w:rPr/>
        <w:t>信息。</w:t>
      </w:r>
    </w:p>
    <w:p>
      <w:pPr>
        <w:pStyle w:val="BodyText"/>
        <w:spacing w:line="357" w:lineRule="auto"/>
        <w:ind w:right="1133" w:firstLine="480"/>
        <w:jc w:val="both"/>
      </w:pPr>
      <w:r>
        <w:rPr>
          <w:spacing w:val="-3"/>
        </w:rPr>
        <w:t>数字政通自主知识产权的智慧城市基础平台</w:t>
      </w:r>
      <w:r>
        <w:rPr>
          <w:rFonts w:ascii="宋体" w:hAnsi="宋体" w:cs="宋体" w:eastAsia="宋体" w:hint="default"/>
          <w:spacing w:val="-3"/>
        </w:rPr>
        <w:t>-</w:t>
      </w:r>
      <w:r>
        <w:rPr>
          <w:spacing w:val="-3"/>
        </w:rPr>
        <w:t>智信平台，采用“全移动”的先进理念，实</w:t>
      </w:r>
      <w:r>
        <w:rPr/>
        <w:t> 现全平台用户的移动互联，围绕各业务全过程各个环节，实现办公模式从传统</w:t>
      </w:r>
      <w:r>
        <w:rPr>
          <w:rFonts w:ascii="宋体" w:hAnsi="宋体" w:cs="宋体" w:eastAsia="宋体" w:hint="default"/>
        </w:rPr>
        <w:t>PC</w:t>
      </w:r>
      <w:r>
        <w:rPr/>
        <w:t>电脑向“全</w:t>
      </w:r>
      <w:r>
        <w:rPr>
          <w:spacing w:val="-87"/>
        </w:rPr>
        <w:t> </w:t>
      </w:r>
      <w:r>
        <w:rPr>
          <w:spacing w:val="-87"/>
        </w:rPr>
      </w:r>
      <w:r>
        <w:rPr/>
        <w:t>移动”手机终端转变，实现真正意义上的“扁平化”管理。</w:t>
      </w:r>
    </w:p>
    <w:p>
      <w:pPr>
        <w:pStyle w:val="BodyText"/>
        <w:spacing w:line="357" w:lineRule="auto"/>
        <w:ind w:right="996" w:firstLine="480"/>
        <w:jc w:val="left"/>
      </w:pPr>
      <w:r>
        <w:rPr>
          <w:spacing w:val="-3"/>
        </w:rPr>
        <w:t>数字政通研发的智云平台，在智慧城市大背景下，综合运用“互联网</w:t>
      </w:r>
      <w:r>
        <w:rPr>
          <w:rFonts w:ascii="宋体" w:hAnsi="宋体" w:cs="宋体" w:eastAsia="宋体" w:hint="default"/>
          <w:spacing w:val="-3"/>
        </w:rPr>
        <w:t>+</w:t>
      </w:r>
      <w:r>
        <w:rPr>
          <w:spacing w:val="-3"/>
        </w:rPr>
        <w:t>”先进技术和“网</w:t>
      </w:r>
      <w:r>
        <w:rPr/>
        <w:t> </w:t>
      </w:r>
      <w:r>
        <w:rPr>
          <w:spacing w:val="-3"/>
        </w:rPr>
        <w:t>格化</w:t>
      </w:r>
      <w:r>
        <w:rPr>
          <w:rFonts w:ascii="宋体" w:hAnsi="宋体" w:cs="宋体" w:eastAsia="宋体" w:hint="default"/>
          <w:spacing w:val="-3"/>
        </w:rPr>
        <w:t>+</w:t>
      </w:r>
      <w:r>
        <w:rPr>
          <w:spacing w:val="-3"/>
        </w:rPr>
        <w:t>”管理模式，研发基于云架构的智慧城市网格化综合管理平台，满足智慧城市管理用户</w:t>
      </w:r>
      <w:r>
        <w:rPr>
          <w:spacing w:val="-81"/>
        </w:rPr>
        <w:t> </w:t>
      </w:r>
      <w:r>
        <w:rPr>
          <w:spacing w:val="-81"/>
        </w:rPr>
      </w:r>
      <w:r>
        <w:rPr/>
        <w:t>量和数据量的逐年增加对系统的高并发访问请求，满足不同层级用户对系统服务模式的多样</w:t>
      </w:r>
      <w:r>
        <w:rPr>
          <w:spacing w:val="-91"/>
        </w:rPr>
        <w:t> </w:t>
      </w:r>
      <w:r>
        <w:rPr>
          <w:spacing w:val="-91"/>
        </w:rPr>
      </w:r>
      <w:r>
        <w:rPr>
          <w:spacing w:val="-2"/>
        </w:rPr>
        <w:t>化需求，避免软硬件落伍、存储不够、系统故障、安全漏洞等客观原因影响平台的快速推广、</w:t>
      </w:r>
      <w:r>
        <w:rPr/>
        <w:t> 系统的运行效率，助推网格化城市管理系统的升级换代和全国推广。</w:t>
      </w:r>
    </w:p>
    <w:p>
      <w:pPr>
        <w:pStyle w:val="BodyText"/>
        <w:spacing w:line="357" w:lineRule="auto"/>
        <w:ind w:right="996" w:firstLine="480"/>
        <w:jc w:val="left"/>
      </w:pPr>
      <w:r>
        <w:rPr/>
        <w:t>数字政通研发的网格化环保系统，综合运用物联网感知技术和移动物联网技术，将污染 </w:t>
      </w:r>
      <w:r>
        <w:rPr>
          <w:spacing w:val="-2"/>
        </w:rPr>
        <w:t>源分布、网格化环保监管信息纳入环保网格化管理系统，对辖区内所有排污企业、生态环境、</w:t>
      </w:r>
      <w:r>
        <w:rPr/>
        <w:t> </w:t>
      </w:r>
      <w:r>
        <w:rPr>
          <w:spacing w:val="-2"/>
        </w:rPr>
        <w:t>信访案件、污染纠纷、环境安全隐患、违法建设项目信息采集与上报；建设环保专题数据库，</w:t>
      </w:r>
      <w:r>
        <w:rPr/>
        <w:t> </w:t>
      </w:r>
      <w:r>
        <w:rPr>
          <w:spacing w:val="-2"/>
        </w:rPr>
        <w:t>形成网格化环保监管体系；对网格内所有监管单位按单位性质、规模、污染物排放种类及新、</w:t>
      </w:r>
      <w:r>
        <w:rPr/>
        <w:t> 改、扩建项目、减排工程、污染集中处置设施等进行分级分类管理。基于移动终端开展网格</w:t>
      </w:r>
      <w:r>
        <w:rPr>
          <w:spacing w:val="-91"/>
        </w:rPr>
        <w:t> </w:t>
      </w:r>
      <w:r>
        <w:rPr>
          <w:spacing w:val="-91"/>
        </w:rPr>
      </w:r>
      <w:r>
        <w:rPr>
          <w:spacing w:val="-3"/>
        </w:rPr>
        <w:t>内污染源上报、环境隐患排查，全面掌握水、气、声等环境状况，对工业企业开展环保监管，</w:t>
      </w:r>
      <w:r>
        <w:rPr>
          <w:spacing w:val="-82"/>
        </w:rPr>
        <w:t> </w:t>
      </w:r>
      <w:r>
        <w:rPr>
          <w:spacing w:val="-82"/>
        </w:rPr>
      </w:r>
      <w:r>
        <w:rPr/>
        <w:t>处理投诉举报和协助开展环境事故应急处置。</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firstLine="480"/>
        <w:jc w:val="both"/>
      </w:pPr>
      <w:r>
        <w:rPr/>
        <w:t>数字政通研发了集管线数据普查、数据入库管理、数据维护更新、地下管线精细化管理 以及为领导和专业部门提供服务等功能为一体的地下管线与空间综合管理平台。通过地下管</w:t>
      </w:r>
      <w:r>
        <w:rPr>
          <w:spacing w:val="-91"/>
        </w:rPr>
        <w:t> </w:t>
      </w:r>
      <w:r>
        <w:rPr>
          <w:spacing w:val="-91"/>
        </w:rPr>
      </w:r>
      <w:r>
        <w:rPr/>
        <w:t>网管理平台的建设，能够建立覆盖实施范围内地上地下全范围的城市管理模式。同时，依托</w:t>
      </w:r>
      <w:r>
        <w:rPr>
          <w:spacing w:val="-91"/>
        </w:rPr>
        <w:t> </w:t>
      </w:r>
      <w:r>
        <w:rPr>
          <w:spacing w:val="-91"/>
        </w:rPr>
      </w:r>
      <w:r>
        <w:rPr/>
        <w:t>地下管网数据能够建立一系列的统计分析工具，为各专业部门审批、应急突发状况调度以及</w:t>
      </w:r>
      <w:r>
        <w:rPr>
          <w:spacing w:val="-91"/>
        </w:rPr>
        <w:t> </w:t>
      </w:r>
      <w:r>
        <w:rPr>
          <w:spacing w:val="-91"/>
        </w:rPr>
      </w:r>
      <w:r>
        <w:rPr/>
        <w:t>领导的决策提供辅助支撑服务。管理内容将贯穿规划、建设、管理和服务的全过程，涵盖市</w:t>
      </w:r>
      <w:r>
        <w:rPr>
          <w:spacing w:val="-91"/>
        </w:rPr>
        <w:t> </w:t>
      </w:r>
      <w:r>
        <w:rPr>
          <w:spacing w:val="-91"/>
        </w:rPr>
      </w:r>
      <w:r>
        <w:rPr/>
        <w:t>政、自来水、燃气、电力、通信、供热等地下管网管理相关领域，实现具有本地化特色的地</w:t>
      </w:r>
      <w:r>
        <w:rPr>
          <w:spacing w:val="-91"/>
        </w:rPr>
        <w:t> </w:t>
      </w:r>
      <w:r>
        <w:rPr>
          <w:spacing w:val="-91"/>
        </w:rPr>
      </w:r>
      <w:r>
        <w:rPr/>
        <w:t>下管线与空间综合管理管理模式。</w:t>
      </w:r>
    </w:p>
    <w:p>
      <w:pPr>
        <w:pStyle w:val="BodyText"/>
        <w:spacing w:line="357" w:lineRule="auto" w:before="37"/>
        <w:ind w:right="986" w:firstLine="480"/>
        <w:jc w:val="left"/>
      </w:pPr>
      <w:r>
        <w:rPr/>
        <w:t>数字政通自主研发的网格化社会服务管理信息系统，是采用先进信息技术，借鉴网格化 </w:t>
      </w:r>
      <w:r>
        <w:rPr>
          <w:spacing w:val="-3"/>
        </w:rPr>
        <w:t>管理为理念，以社区为单元，将社区划分为若干工作网格，将一定范围内的人、地、物、事、</w:t>
      </w:r>
      <w:r>
        <w:rPr>
          <w:spacing w:val="-85"/>
        </w:rPr>
        <w:t> </w:t>
      </w:r>
      <w:r>
        <w:rPr>
          <w:spacing w:val="-85"/>
        </w:rPr>
      </w:r>
      <w:r>
        <w:rPr>
          <w:spacing w:val="-5"/>
        </w:rPr>
        <w:t>组织、服务资源、管理项目等纳入网格，明确责任主体、责任人，建立市、区、街和社区“四</w:t>
      </w:r>
      <w:r>
        <w:rPr>
          <w:spacing w:val="-118"/>
        </w:rPr>
        <w:t> </w:t>
      </w:r>
      <w:r>
        <w:rPr>
          <w:spacing w:val="-118"/>
        </w:rPr>
      </w:r>
      <w:r>
        <w:rPr>
          <w:spacing w:val="-3"/>
        </w:rPr>
        <w:t>级服务管理”平台，构建市、区、街、社区和社区工作网格“五级联动社会服务管理”模式，</w:t>
      </w:r>
      <w:r>
        <w:rPr>
          <w:spacing w:val="-80"/>
        </w:rPr>
        <w:t> </w:t>
      </w:r>
      <w:r>
        <w:rPr>
          <w:spacing w:val="-80"/>
        </w:rPr>
      </w:r>
      <w:r>
        <w:rPr/>
        <w:t>根据用户不同需求，开发设计应用系统，实现社会服务与管理目标。</w:t>
      </w:r>
    </w:p>
    <w:p>
      <w:pPr>
        <w:pStyle w:val="BodyText"/>
        <w:spacing w:line="357" w:lineRule="auto"/>
        <w:ind w:right="1134" w:firstLine="480"/>
        <w:jc w:val="both"/>
      </w:pPr>
      <w:r>
        <w:rPr/>
        <w:t>数字政通充分响应和发挥相关政策优势，探索出一套完整的城市管理综合执法的项目实 施经验，辅助用户全力推进城市综合执法体制改革，着力构建权责统一、权威高效的权力运</w:t>
      </w:r>
      <w:r>
        <w:rPr>
          <w:spacing w:val="-86"/>
        </w:rPr>
        <w:t> </w:t>
      </w:r>
      <w:r>
        <w:rPr>
          <w:spacing w:val="-86"/>
        </w:rPr>
      </w:r>
      <w:r>
        <w:rPr/>
        <w:t>行和监督体系。促进政府职能转变和提高行政公信力，坚持问题导向，着力破解职责交叉、</w:t>
      </w:r>
      <w:r>
        <w:rPr>
          <w:spacing w:val="-91"/>
        </w:rPr>
        <w:t> </w:t>
      </w:r>
      <w:r>
        <w:rPr>
          <w:spacing w:val="-91"/>
        </w:rPr>
      </w:r>
      <w:r>
        <w:rPr/>
        <w:t>主体不清、监管不力、保障不足等突出问题。</w:t>
      </w:r>
    </w:p>
    <w:p>
      <w:pPr>
        <w:pStyle w:val="Heading2"/>
        <w:spacing w:line="357" w:lineRule="auto" w:before="36"/>
        <w:ind w:left="635" w:right="6054"/>
        <w:jc w:val="left"/>
        <w:rPr>
          <w:b w:val="0"/>
          <w:bCs w:val="0"/>
        </w:rPr>
      </w:pPr>
      <w:r>
        <w:rPr/>
        <w:t>（二）、所处行业形势分析</w:t>
      </w:r>
      <w:r>
        <w:rPr>
          <w:w w:val="99"/>
        </w:rPr>
        <w:t> </w:t>
      </w:r>
      <w:r>
        <w:rPr>
          <w:rFonts w:ascii="宋体" w:hAnsi="宋体" w:cs="宋体" w:eastAsia="宋体" w:hint="default"/>
        </w:rPr>
        <w:t>1</w:t>
      </w:r>
      <w:r>
        <w:rPr/>
        <w:t>、我国智慧城市技术支出规模持续增加</w:t>
      </w:r>
      <w:r>
        <w:rPr>
          <w:b w:val="0"/>
          <w:bCs w:val="0"/>
        </w:rPr>
      </w:r>
    </w:p>
    <w:p>
      <w:pPr>
        <w:pStyle w:val="BodyText"/>
        <w:spacing w:line="357" w:lineRule="auto"/>
        <w:ind w:right="1131" w:firstLine="480"/>
        <w:jc w:val="both"/>
      </w:pPr>
      <w:r>
        <w:rPr/>
        <w:t>智慧城市是城市发展与技术进步结合的产物，技术对城市各项活动的改进及持续优化能 够使其更加精细化、科学化。伴随城市化进程的加速，城市人口密度不断攀升，城市问题凸</w:t>
      </w:r>
      <w:r>
        <w:rPr>
          <w:spacing w:val="-91"/>
        </w:rPr>
        <w:t> </w:t>
      </w:r>
      <w:r>
        <w:rPr>
          <w:spacing w:val="-91"/>
        </w:rPr>
      </w:r>
      <w:r>
        <w:rPr/>
        <w:t>显，城市生活新需求不断增加促使包括智慧城市管理、社会治理等在内的智慧城市建设的要</w:t>
      </w:r>
      <w:r>
        <w:rPr>
          <w:spacing w:val="-91"/>
        </w:rPr>
        <w:t> </w:t>
      </w:r>
      <w:r>
        <w:rPr>
          <w:spacing w:val="-91"/>
        </w:rPr>
      </w:r>
      <w:r>
        <w:rPr/>
        <w:t>求不断提高。通过技术手段提高城市服务质量和管理效率是国家城市建设向新一代智慧城市</w:t>
      </w:r>
      <w:r>
        <w:rPr>
          <w:spacing w:val="-86"/>
        </w:rPr>
        <w:t> </w:t>
      </w:r>
      <w:r>
        <w:rPr>
          <w:spacing w:val="-86"/>
        </w:rPr>
      </w:r>
      <w:r>
        <w:rPr/>
        <w:t>演变的必然之路。我国智慧城市建设不断引入人工智能、大数据、云计算、物联网等新一代</w:t>
      </w:r>
      <w:r>
        <w:rPr>
          <w:spacing w:val="-91"/>
        </w:rPr>
        <w:t> </w:t>
      </w:r>
      <w:r>
        <w:rPr>
          <w:spacing w:val="-91"/>
        </w:rPr>
      </w:r>
      <w:r>
        <w:rPr/>
        <w:t>信息技术，助力我国新型智慧城市建设不断推进，促进我国智慧城市技术支出持续增加。根</w:t>
      </w:r>
      <w:r>
        <w:rPr>
          <w:spacing w:val="-91"/>
        </w:rPr>
        <w:t> </w:t>
      </w:r>
      <w:r>
        <w:rPr>
          <w:spacing w:val="-91"/>
        </w:rPr>
      </w:r>
      <w:r>
        <w:rPr>
          <w:spacing w:val="-2"/>
        </w:rPr>
        <w:t>据国际市场研究机构</w:t>
      </w:r>
      <w:r>
        <w:rPr>
          <w:rFonts w:ascii="宋体" w:hAnsi="宋体" w:cs="宋体" w:eastAsia="宋体" w:hint="default"/>
          <w:spacing w:val="-2"/>
        </w:rPr>
        <w:t>IDC</w:t>
      </w:r>
      <w:r>
        <w:rPr>
          <w:spacing w:val="-2"/>
        </w:rPr>
        <w:t>数据，</w:t>
      </w:r>
      <w:r>
        <w:rPr>
          <w:rFonts w:ascii="宋体" w:hAnsi="宋体" w:cs="宋体" w:eastAsia="宋体" w:hint="default"/>
          <w:spacing w:val="-2"/>
        </w:rPr>
        <w:t>2018</w:t>
      </w:r>
      <w:r>
        <w:rPr>
          <w:spacing w:val="-2"/>
        </w:rPr>
        <w:t>年我国智慧城市相关技术开发支出达到</w:t>
      </w:r>
      <w:r>
        <w:rPr>
          <w:rFonts w:ascii="宋体" w:hAnsi="宋体" w:cs="宋体" w:eastAsia="宋体" w:hint="default"/>
          <w:spacing w:val="-2"/>
        </w:rPr>
        <w:t>200.53</w:t>
      </w:r>
      <w:r>
        <w:rPr>
          <w:spacing w:val="-2"/>
        </w:rPr>
        <w:t>亿美元，随</w:t>
      </w:r>
      <w:r>
        <w:rPr>
          <w:spacing w:val="-107"/>
        </w:rPr>
        <w:t> </w:t>
      </w:r>
      <w:r>
        <w:rPr>
          <w:spacing w:val="-107"/>
        </w:rPr>
      </w:r>
      <w:r>
        <w:rPr/>
        <w:t>着智慧城市相关建设的发展，我国智慧城市技术支出规模将持续增加，预计到</w:t>
      </w:r>
      <w:r>
        <w:rPr>
          <w:rFonts w:ascii="宋体" w:hAnsi="宋体" w:cs="宋体" w:eastAsia="宋体" w:hint="default"/>
        </w:rPr>
        <w:t>2023</w:t>
      </w:r>
      <w:r>
        <w:rPr/>
        <w:t>年我国智</w:t>
      </w:r>
      <w:r>
        <w:rPr>
          <w:spacing w:val="-88"/>
        </w:rPr>
        <w:t> </w:t>
      </w:r>
      <w:r>
        <w:rPr/>
        <w:t>慧城市相关技术开发支出将增加至</w:t>
      </w:r>
      <w:r>
        <w:rPr>
          <w:rFonts w:ascii="宋体" w:hAnsi="宋体" w:cs="宋体" w:eastAsia="宋体" w:hint="default"/>
        </w:rPr>
        <w:t>389.23</w:t>
      </w:r>
      <w:r>
        <w:rPr/>
        <w:t>亿美元，实现</w:t>
      </w:r>
      <w:r>
        <w:rPr>
          <w:rFonts w:ascii="宋体" w:hAnsi="宋体" w:cs="宋体" w:eastAsia="宋体" w:hint="default"/>
        </w:rPr>
        <w:t>14.2%</w:t>
      </w:r>
      <w:r>
        <w:rPr/>
        <w:t>的年复合增长率。</w:t>
      </w:r>
    </w:p>
    <w:p>
      <w:pPr>
        <w:pStyle w:val="BodyText"/>
        <w:spacing w:line="289" w:lineRule="exact" w:before="0"/>
        <w:ind w:left="2892" w:right="1104"/>
        <w:jc w:val="left"/>
      </w:pPr>
      <w:r>
        <w:rPr>
          <w:rFonts w:ascii="Times New Roman" w:hAnsi="Times New Roman" w:cs="Times New Roman" w:eastAsia="Times New Roman" w:hint="default"/>
        </w:rPr>
        <w:t>2018-2023</w:t>
      </w:r>
      <w:r>
        <w:rPr/>
        <w:t>年中国智慧城市技术支出预测</w:t>
      </w:r>
    </w:p>
    <w:p>
      <w:pPr>
        <w:spacing w:after="0" w:line="289" w:lineRule="exact"/>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4260" w:lineRule="exact"/>
        <w:ind w:left="743"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5355743" cy="27051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355743" cy="270510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5" w:footer="979" w:top="1060" w:bottom="1160" w:left="980" w:right="0"/>
        </w:sectPr>
      </w:pPr>
    </w:p>
    <w:p>
      <w:pPr>
        <w:spacing w:line="240" w:lineRule="auto" w:before="7"/>
        <w:rPr>
          <w:rFonts w:ascii="宋体" w:hAnsi="宋体" w:cs="宋体" w:eastAsia="宋体" w:hint="default"/>
          <w:sz w:val="30"/>
          <w:szCs w:val="30"/>
        </w:rPr>
      </w:pPr>
    </w:p>
    <w:p>
      <w:pPr>
        <w:pStyle w:val="Heading2"/>
        <w:spacing w:line="240" w:lineRule="auto"/>
        <w:ind w:left="635" w:right="-19"/>
        <w:jc w:val="left"/>
        <w:rPr>
          <w:b w:val="0"/>
          <w:bCs w:val="0"/>
        </w:rPr>
      </w:pPr>
      <w:r>
        <w:rPr>
          <w:rFonts w:ascii="Times New Roman" w:hAnsi="Times New Roman" w:cs="Times New Roman" w:eastAsia="Times New Roman" w:hint="default"/>
        </w:rPr>
        <w:t>2</w:t>
      </w:r>
      <w:r>
        <w:rPr/>
        <w:t>、城市管理向科学化、精细化、智能化方向发展</w:t>
      </w:r>
      <w:r>
        <w:rPr>
          <w:b w:val="0"/>
          <w:bCs w:val="0"/>
        </w:rPr>
      </w:r>
    </w:p>
    <w:p>
      <w:pPr>
        <w:spacing w:before="36"/>
        <w:ind w:left="635"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资料来源：</w:t>
      </w:r>
      <w:r>
        <w:rPr>
          <w:rFonts w:ascii="宋体" w:hAnsi="宋体" w:cs="宋体" w:eastAsia="宋体" w:hint="default"/>
          <w:sz w:val="21"/>
          <w:szCs w:val="21"/>
        </w:rPr>
        <w:t>IDC</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5817" w:space="1975"/>
            <w:col w:w="3138"/>
          </w:cols>
        </w:sectPr>
      </w:pPr>
    </w:p>
    <w:p>
      <w:pPr>
        <w:spacing w:line="240" w:lineRule="auto" w:before="5"/>
        <w:rPr>
          <w:rFonts w:ascii="宋体" w:hAnsi="宋体" w:cs="宋体" w:eastAsia="宋体" w:hint="default"/>
          <w:sz w:val="8"/>
          <w:szCs w:val="8"/>
        </w:rPr>
      </w:pPr>
    </w:p>
    <w:p>
      <w:pPr>
        <w:pStyle w:val="BodyText"/>
        <w:spacing w:line="350" w:lineRule="auto" w:before="26"/>
        <w:ind w:right="1131" w:firstLine="480"/>
        <w:jc w:val="both"/>
      </w:pPr>
      <w:r>
        <w:rPr/>
        <w:t>建设智慧城市是贯彻党中央、国务院关于创新驱动发展、推动四化融合、全面建成小康 社会的重要举措，是城市摆脱危机、实现转型升级和可持续发展的重要出路，也是提升城市</w:t>
      </w:r>
      <w:r>
        <w:rPr>
          <w:spacing w:val="-91"/>
        </w:rPr>
        <w:t> </w:t>
      </w:r>
      <w:r>
        <w:rPr>
          <w:spacing w:val="-91"/>
        </w:rPr>
      </w:r>
      <w:r>
        <w:rPr/>
        <w:t>管理和服务水平，提高综合承载力、竞争力的必然选择。在智慧城市的建设过程中，提升城</w:t>
      </w:r>
      <w:r>
        <w:rPr>
          <w:spacing w:val="-91"/>
        </w:rPr>
        <w:t> </w:t>
      </w:r>
      <w:r>
        <w:rPr>
          <w:spacing w:val="-91"/>
        </w:rPr>
      </w:r>
      <w:r>
        <w:rPr/>
        <w:t>市管理效率，加强智慧城市管理智能化、精细化成为城市管理主要的发展趋势。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spacing w:val="-88"/>
        </w:rPr>
        <w:t> </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21</w:t>
      </w:r>
      <w:r>
        <w:rPr/>
        <w:t>日，中央城市工作会议提出要加强城市管理数字化平台建设和功能整合，建设综合</w:t>
      </w:r>
      <w:r>
        <w:rPr>
          <w:spacing w:val="-92"/>
        </w:rPr>
        <w:t> </w:t>
      </w:r>
      <w:r>
        <w:rPr>
          <w:spacing w:val="-92"/>
        </w:rPr>
      </w:r>
      <w:r>
        <w:rPr/>
        <w:t>性城市管理数据库，发展民生服务智慧应用，着力打造智慧城市。</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日《中共中</w:t>
      </w:r>
      <w:r>
        <w:rPr>
          <w:spacing w:val="-86"/>
        </w:rPr>
        <w:t> </w:t>
      </w:r>
      <w:r>
        <w:rPr>
          <w:spacing w:val="-86"/>
        </w:rPr>
      </w:r>
      <w:r>
        <w:rPr/>
        <w:t>央国务院关于深入推进城市执法体制改革改进城市管理工作的指导意见》提出要积极推进城</w:t>
      </w:r>
      <w:r>
        <w:rPr>
          <w:spacing w:val="-91"/>
        </w:rPr>
        <w:t> </w:t>
      </w:r>
      <w:r>
        <w:rPr>
          <w:spacing w:val="-91"/>
        </w:rPr>
      </w:r>
      <w:r>
        <w:rPr/>
        <w:t>市管理数字化、精细化、智慧化，加快城市管理向智慧化升级，实现感知、分析、服务、指</w:t>
      </w:r>
      <w:r>
        <w:rPr>
          <w:spacing w:val="-91"/>
        </w:rPr>
        <w:t> </w:t>
      </w:r>
      <w:r>
        <w:rPr>
          <w:spacing w:val="-91"/>
        </w:rPr>
      </w:r>
      <w:r>
        <w:rPr>
          <w:spacing w:val="-2"/>
        </w:rPr>
        <w:t>挥、监察</w:t>
      </w:r>
      <w:r>
        <w:rPr>
          <w:rFonts w:ascii="Times New Roman" w:hAnsi="Times New Roman" w:cs="Times New Roman" w:eastAsia="Times New Roman" w:hint="default"/>
          <w:spacing w:val="-2"/>
        </w:rPr>
        <w:t>“</w:t>
      </w:r>
      <w:r>
        <w:rPr>
          <w:spacing w:val="-2"/>
        </w:rPr>
        <w:t>五位一体</w:t>
      </w:r>
      <w:r>
        <w:rPr>
          <w:rFonts w:ascii="Times New Roman" w:hAnsi="Times New Roman" w:cs="Times New Roman" w:eastAsia="Times New Roman" w:hint="default"/>
          <w:spacing w:val="-2"/>
        </w:rPr>
        <w:t>”</w:t>
      </w:r>
      <w:r>
        <w:rPr>
          <w:spacing w:val="-2"/>
        </w:rPr>
        <w:t>，加快形成综合性城市数据库；</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月习近平总书记在十二届全国人</w:t>
      </w:r>
      <w:r>
        <w:rPr>
          <w:spacing w:val="-88"/>
        </w:rPr>
        <w:t> </w:t>
      </w:r>
      <w:r>
        <w:rPr/>
        <w:t>民代表大会第五次会议中强调</w:t>
      </w:r>
      <w:r>
        <w:rPr>
          <w:rFonts w:ascii="Times New Roman" w:hAnsi="Times New Roman" w:cs="Times New Roman" w:eastAsia="Times New Roman" w:hint="default"/>
        </w:rPr>
        <w:t>“</w:t>
      </w:r>
      <w:r>
        <w:rPr/>
        <w:t>城市管理应该像绣花一样精细</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月习近平总书记在</w:t>
      </w:r>
      <w:r>
        <w:rPr>
          <w:spacing w:val="-63"/>
        </w:rPr>
        <w:t> </w:t>
      </w:r>
      <w:r>
        <w:rPr>
          <w:spacing w:val="-63"/>
        </w:rPr>
      </w:r>
      <w:r>
        <w:rPr/>
        <w:t>上海考察时强调一流城市要有一流治理，要注重在科学化、精细化、智能化上下功夫。既要</w:t>
      </w:r>
      <w:r>
        <w:rPr>
          <w:spacing w:val="-91"/>
        </w:rPr>
        <w:t> </w:t>
      </w:r>
      <w:r>
        <w:rPr>
          <w:spacing w:val="-91"/>
        </w:rPr>
      </w:r>
      <w:r>
        <w:rPr/>
        <w:t>善于运用现代科技手段实现智能化，又要通过绣花般的细心、耐心、巧心提高精细化水平，</w:t>
      </w:r>
      <w:r>
        <w:rPr>
          <w:spacing w:val="-91"/>
        </w:rPr>
        <w:t> </w:t>
      </w:r>
      <w:r>
        <w:rPr>
          <w:spacing w:val="-91"/>
        </w:rPr>
      </w:r>
      <w:r>
        <w:rPr/>
        <w:t>绣出城市的品质品牌。因此，随着我国智慧城市的不断建设，城市管理逐步向科学化、精细</w:t>
      </w:r>
      <w:r>
        <w:rPr>
          <w:spacing w:val="-91"/>
        </w:rPr>
        <w:t> </w:t>
      </w:r>
      <w:r>
        <w:rPr>
          <w:spacing w:val="-91"/>
        </w:rPr>
      </w:r>
      <w:r>
        <w:rPr/>
        <w:t>化、智能化方向发展。</w:t>
      </w:r>
    </w:p>
    <w:p>
      <w:pPr>
        <w:spacing w:line="338" w:lineRule="auto" w:before="43"/>
        <w:ind w:left="633" w:right="110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、智慧城管是以新一代信息技术为支撑的城市管理新模式</w:t>
      </w:r>
      <w:r>
        <w:rPr>
          <w:rFonts w:ascii="宋体" w:hAnsi="宋体" w:cs="宋体" w:eastAsia="宋体" w:hint="default"/>
          <w:b/>
          <w:bCs/>
          <w:w w:val="99"/>
          <w:sz w:val="24"/>
          <w:szCs w:val="24"/>
        </w:rPr>
        <w:t> </w:t>
      </w:r>
      <w:r>
        <w:rPr>
          <w:rFonts w:ascii="宋体" w:hAnsi="宋体" w:cs="宋体" w:eastAsia="宋体" w:hint="default"/>
          <w:sz w:val="24"/>
          <w:szCs w:val="24"/>
        </w:rPr>
        <w:t>在城市管理中融入移动互联网、物联网、大数据、云计算、人工智能等方面的技术，以</w:t>
      </w:r>
    </w:p>
    <w:p>
      <w:pPr>
        <w:pStyle w:val="BodyText"/>
        <w:spacing w:line="357" w:lineRule="auto" w:before="55"/>
        <w:ind w:right="1104"/>
        <w:jc w:val="left"/>
      </w:pPr>
      <w:r>
        <w:rPr/>
        <w:t>实现城市管理精细化、公共服务便携化、生活环境宜居化、基础设施智能化，是未来新型智</w:t>
      </w:r>
      <w:r>
        <w:rPr>
          <w:spacing w:val="-91"/>
        </w:rPr>
        <w:t> </w:t>
      </w:r>
      <w:r>
        <w:rPr>
          <w:spacing w:val="-91"/>
        </w:rPr>
      </w:r>
      <w:r>
        <w:rPr/>
        <w:t>慧城市的发展方向。伴随信息通信技术的演进、知识社会的发展以及创新的民主化进程，新</w:t>
      </w:r>
    </w:p>
    <w:p>
      <w:pPr>
        <w:spacing w:after="0" w:line="357" w:lineRule="auto"/>
        <w:jc w:val="left"/>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5"/>
        <w:jc w:val="both"/>
      </w:pPr>
      <w:r>
        <w:rPr/>
        <w:t>一代信息技术为城市发展与城市管理带来崭新的机遇。智慧城管是以物联网、云计算等新一</w:t>
      </w:r>
      <w:r>
        <w:rPr>
          <w:spacing w:val="-91"/>
        </w:rPr>
        <w:t> </w:t>
      </w:r>
      <w:r>
        <w:rPr>
          <w:spacing w:val="-91"/>
        </w:rPr>
      </w:r>
      <w:r>
        <w:rPr/>
        <w:t>代信息技术为支撑的城市管理再创新，通过全面透彻感知、宽带泛在互联、智能融合应用，</w:t>
      </w:r>
      <w:r>
        <w:rPr>
          <w:spacing w:val="-88"/>
        </w:rPr>
        <w:t> </w:t>
      </w:r>
      <w:r>
        <w:rPr>
          <w:spacing w:val="-88"/>
        </w:rPr>
      </w:r>
      <w:r>
        <w:rPr/>
        <w:t>形成以市民为中心、城市社会为舞台的用户创新、开放创新、大众创新、协同创新，将以人</w:t>
      </w:r>
      <w:r>
        <w:rPr>
          <w:spacing w:val="-91"/>
        </w:rPr>
        <w:t> </w:t>
      </w:r>
      <w:r>
        <w:rPr>
          <w:spacing w:val="-91"/>
        </w:rPr>
      </w:r>
      <w:r>
        <w:rPr/>
        <w:t>为本的价值实现提升到一个新的高度，实现城市管理者、市场、社会多方协同的公共价值塑</w:t>
      </w:r>
      <w:r>
        <w:rPr>
          <w:spacing w:val="-91"/>
        </w:rPr>
        <w:t> </w:t>
      </w:r>
      <w:r>
        <w:rPr>
          <w:spacing w:val="-91"/>
        </w:rPr>
      </w:r>
      <w:r>
        <w:rPr/>
        <w:t>造和独特价值创造，实现城市管理向服务范式的转变。</w:t>
      </w:r>
    </w:p>
    <w:p>
      <w:pPr>
        <w:pStyle w:val="BodyText"/>
        <w:spacing w:line="352" w:lineRule="auto"/>
        <w:ind w:right="1131" w:firstLine="480"/>
        <w:jc w:val="both"/>
      </w:pPr>
      <w:r>
        <w:rPr/>
        <w:t>此外，作为新兴智慧城市的重要组成部分，智慧城管随新型智慧城市进一步强化统筹力 度，向提供业务融合、技术融合、数据融合于一体，跨层级、跨地域、跨系统、跨部门、跨</w:t>
      </w:r>
      <w:r>
        <w:rPr>
          <w:spacing w:val="-91"/>
        </w:rPr>
        <w:t> </w:t>
      </w:r>
      <w:r>
        <w:rPr>
          <w:spacing w:val="-91"/>
        </w:rPr>
      </w:r>
      <w:r>
        <w:rPr/>
        <w:t>业务的协同服务方向发展，具体包括基础设施的共建共享、数据资源加速整合、核心平台统</w:t>
      </w:r>
      <w:r>
        <w:rPr>
          <w:spacing w:val="-91"/>
        </w:rPr>
        <w:t> </w:t>
      </w:r>
      <w:r>
        <w:rPr>
          <w:spacing w:val="-91"/>
        </w:rPr>
      </w:r>
      <w:r>
        <w:rPr/>
        <w:t>筹谋划和应用服务多合一。同时，通过持续推进城市运营中心在智慧城管建设中的运用，拓</w:t>
      </w:r>
      <w:r>
        <w:rPr>
          <w:spacing w:val="-89"/>
        </w:rPr>
        <w:t> </w:t>
      </w:r>
      <w:r>
        <w:rPr>
          <w:spacing w:val="-89"/>
        </w:rPr>
      </w:r>
      <w:r>
        <w:rPr>
          <w:spacing w:val="-8"/>
        </w:rPr>
        <w:t>展深化智慧城管业务范围，促进城市管理智慧化升级，形成感知、分析、服务、指挥、监察</w:t>
      </w:r>
      <w:r>
        <w:rPr>
          <w:rFonts w:ascii="Times New Roman" w:hAnsi="Times New Roman" w:cs="Times New Roman" w:eastAsia="Times New Roman" w:hint="default"/>
          <w:spacing w:val="-8"/>
        </w:rPr>
        <w:t>“</w:t>
      </w:r>
      <w:r>
        <w:rPr>
          <w:spacing w:val="-8"/>
        </w:rPr>
        <w:t>五</w:t>
      </w:r>
      <w:r>
        <w:rPr>
          <w:spacing w:val="-95"/>
        </w:rPr>
        <w:t> </w:t>
      </w:r>
      <w:r>
        <w:rPr/>
        <w:t>位一体</w:t>
      </w:r>
      <w:r>
        <w:rPr>
          <w:rFonts w:ascii="Times New Roman" w:hAnsi="Times New Roman" w:cs="Times New Roman" w:eastAsia="Times New Roman" w:hint="default"/>
        </w:rPr>
        <w:t>”</w:t>
      </w:r>
      <w:r>
        <w:rPr/>
        <w:t>的智慧城管新模式，使政府决策管理城市更加高效、精准和科学。</w:t>
      </w:r>
    </w:p>
    <w:p>
      <w:pPr>
        <w:spacing w:line="338" w:lineRule="auto" w:before="11"/>
        <w:ind w:left="633" w:right="110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、政策红利推动社会治理不断发展</w:t>
      </w:r>
      <w:r>
        <w:rPr>
          <w:rFonts w:ascii="宋体" w:hAnsi="宋体" w:cs="宋体" w:eastAsia="宋体" w:hint="default"/>
          <w:b/>
          <w:bCs/>
          <w:w w:val="99"/>
          <w:sz w:val="24"/>
          <w:szCs w:val="24"/>
        </w:rPr>
        <w:t> </w:t>
      </w:r>
      <w:r>
        <w:rPr>
          <w:rFonts w:ascii="宋体" w:hAnsi="宋体" w:cs="宋体" w:eastAsia="宋体" w:hint="default"/>
          <w:sz w:val="24"/>
          <w:szCs w:val="24"/>
        </w:rPr>
        <w:t>社会治理是国家治理的重要方面，良好的社会治理是社会和谐稳定、人民安居乐业的前</w:t>
      </w:r>
    </w:p>
    <w:p>
      <w:pPr>
        <w:pStyle w:val="BodyText"/>
        <w:spacing w:line="357" w:lineRule="auto" w:before="55"/>
        <w:ind w:right="1139"/>
        <w:jc w:val="both"/>
      </w:pPr>
      <w:r>
        <w:rPr/>
        <w:t>提和保障，形成有效的社会治理、良好的社会秩序，使人民获得感、幸福感、安全感更加充</w:t>
      </w:r>
      <w:r>
        <w:rPr>
          <w:spacing w:val="-91"/>
        </w:rPr>
        <w:t> </w:t>
      </w:r>
      <w:r>
        <w:rPr>
          <w:spacing w:val="-91"/>
        </w:rPr>
      </w:r>
      <w:r>
        <w:rPr/>
        <w:t>实、更有保障、更可持续。要形成理想的社会治理效果，需要继续在实践中把握社会治理的</w:t>
      </w:r>
      <w:r>
        <w:rPr>
          <w:spacing w:val="-91"/>
        </w:rPr>
        <w:t> </w:t>
      </w:r>
      <w:r>
        <w:rPr>
          <w:spacing w:val="-91"/>
        </w:rPr>
      </w:r>
      <w:r>
        <w:rPr/>
        <w:t>正确方向，明确治理任务，坚持基本遵循，把新时代社会治理提升到更高水平。</w:t>
      </w:r>
    </w:p>
    <w:p>
      <w:pPr>
        <w:pStyle w:val="BodyText"/>
        <w:spacing w:line="350" w:lineRule="auto"/>
        <w:ind w:right="996" w:firstLine="480"/>
        <w:jc w:val="left"/>
      </w:pPr>
      <w:r>
        <w:rPr/>
        <w:t>党的十八大以来，党和国家高度重视社会治理，有序推进平安中国建设，一方面严厉打 击各类刑事犯罪、整治社会治安领域的突出问题，另一方面积极推进社会治理转型升级，加</w:t>
      </w:r>
      <w:r>
        <w:rPr>
          <w:spacing w:val="-91"/>
        </w:rPr>
        <w:t> </w:t>
      </w:r>
      <w:r>
        <w:rPr>
          <w:spacing w:val="-91"/>
        </w:rPr>
      </w:r>
      <w:r>
        <w:rPr/>
        <w:t>强体制机制建设，为平安中国强基固本。</w:t>
      </w:r>
      <w:r>
        <w:rPr>
          <w:rFonts w:ascii="Times New Roman" w:hAnsi="Times New Roman" w:cs="Times New Roman" w:eastAsia="Times New Roman" w:hint="default"/>
        </w:rPr>
        <w:t>2013</w:t>
      </w:r>
      <w:r>
        <w:rPr/>
        <w:t>年党的十八大三中全会在创新社会治理方面强</w:t>
      </w:r>
      <w:r>
        <w:rPr>
          <w:spacing w:val="-89"/>
        </w:rPr>
        <w:t> </w:t>
      </w:r>
      <w:r>
        <w:rPr>
          <w:spacing w:val="-89"/>
        </w:rPr>
      </w:r>
      <w:r>
        <w:rPr/>
        <w:t>调：坚持源头治理，标本兼治、重在治本，以网格化管理、社会化服务为方向，健全基层综</w:t>
      </w:r>
      <w:r>
        <w:rPr>
          <w:spacing w:val="-91"/>
        </w:rPr>
        <w:t> </w:t>
      </w:r>
      <w:r>
        <w:rPr>
          <w:spacing w:val="-91"/>
        </w:rPr>
      </w:r>
      <w:r>
        <w:rPr/>
        <w:t>合服务管理平台，及时反映和协调人民群众各方面各层次利益诉求。坚持党委领导、政府主</w:t>
      </w:r>
      <w:r>
        <w:rPr>
          <w:spacing w:val="-91"/>
        </w:rPr>
        <w:t> </w:t>
      </w:r>
      <w:r>
        <w:rPr>
          <w:spacing w:val="-91"/>
        </w:rPr>
      </w:r>
      <w:r>
        <w:rPr/>
        <w:t>导、综治协调、各部门齐抓共管、社会力量积极参与，根据各地区经济状况、人口规模和加</w:t>
      </w:r>
      <w:r>
        <w:rPr>
          <w:spacing w:val="-91"/>
        </w:rPr>
        <w:t> </w:t>
      </w:r>
      <w:r>
        <w:rPr>
          <w:spacing w:val="-91"/>
        </w:rPr>
      </w:r>
      <w:r>
        <w:rPr>
          <w:spacing w:val="-2"/>
        </w:rPr>
        <w:t>强社会治安综合治理、深化平安建设的实际需求，因地制宜按需整合现有资源、人员、设施，</w:t>
      </w:r>
      <w:r>
        <w:rPr/>
        <w:t> 充分运用信息化技术，建设规模合理、层级清晰、功能定位明确的社会治理中心，并加强运</w:t>
      </w:r>
      <w:r>
        <w:rPr>
          <w:spacing w:val="-91"/>
        </w:rPr>
        <w:t> </w:t>
      </w:r>
      <w:r>
        <w:rPr>
          <w:spacing w:val="-91"/>
        </w:rPr>
      </w:r>
      <w:r>
        <w:rPr/>
        <w:t>行维护和管理，夯实社会治理工作基层基础。</w:t>
      </w:r>
      <w:r>
        <w:rPr>
          <w:rFonts w:ascii="Times New Roman" w:hAnsi="Times New Roman" w:cs="Times New Roman" w:eastAsia="Times New Roman" w:hint="default"/>
        </w:rPr>
        <w:t>2015</w:t>
      </w:r>
      <w:r>
        <w:rPr/>
        <w:t>年九部委发布《关于加强公共安全视频监</w:t>
      </w:r>
      <w:r>
        <w:rPr>
          <w:spacing w:val="-88"/>
        </w:rPr>
        <w:t> </w:t>
      </w:r>
      <w:r>
        <w:rPr>
          <w:spacing w:val="-88"/>
        </w:rPr>
      </w:r>
      <w:r>
        <w:rPr/>
        <w:t>控建设联网应用工作的若干意见》遵循</w:t>
      </w:r>
      <w:r>
        <w:rPr>
          <w:rFonts w:ascii="Times New Roman" w:hAnsi="Times New Roman" w:cs="Times New Roman" w:eastAsia="Times New Roman" w:hint="default"/>
        </w:rPr>
        <w:t>“</w:t>
      </w:r>
      <w:r>
        <w:rPr/>
        <w:t>基础在建，关键在联，过程在管，核心在用</w:t>
      </w:r>
      <w:r>
        <w:rPr>
          <w:rFonts w:ascii="Times New Roman" w:hAnsi="Times New Roman" w:cs="Times New Roman" w:eastAsia="Times New Roman" w:hint="default"/>
        </w:rPr>
        <w:t>”</w:t>
      </w:r>
      <w:r>
        <w:rPr/>
        <w:t>的建设</w:t>
      </w:r>
      <w:r>
        <w:rPr>
          <w:spacing w:val="-59"/>
        </w:rPr>
        <w:t> </w:t>
      </w:r>
      <w:r>
        <w:rPr/>
        <w:t>思路，建设以提升社会治安</w:t>
      </w:r>
      <w:r>
        <w:rPr>
          <w:rFonts w:ascii="Times New Roman" w:hAnsi="Times New Roman" w:cs="Times New Roman" w:eastAsia="Times New Roman" w:hint="default"/>
        </w:rPr>
        <w:t>“</w:t>
      </w:r>
      <w:r>
        <w:rPr/>
        <w:t>打、防、管、控</w:t>
      </w:r>
      <w:r>
        <w:rPr>
          <w:rFonts w:ascii="Times New Roman" w:hAnsi="Times New Roman" w:cs="Times New Roman" w:eastAsia="Times New Roman" w:hint="default"/>
        </w:rPr>
        <w:t>”</w:t>
      </w:r>
      <w:r>
        <w:rPr/>
        <w:t>能力为根本，以资源整合和联网共享应用为基</w:t>
      </w:r>
      <w:r>
        <w:rPr>
          <w:spacing w:val="-61"/>
        </w:rPr>
        <w:t> </w:t>
      </w:r>
      <w:r>
        <w:rPr>
          <w:spacing w:val="-61"/>
        </w:rPr>
      </w:r>
      <w:r>
        <w:rPr/>
        <w:t>础，以规范化、标准化建设为保障提升社会治理能力现代化水平。</w:t>
      </w:r>
      <w:r>
        <w:rPr>
          <w:rFonts w:ascii="Times New Roman" w:hAnsi="Times New Roman" w:cs="Times New Roman" w:eastAsia="Times New Roman" w:hint="default"/>
        </w:rPr>
        <w:t>2016</w:t>
      </w:r>
      <w:r>
        <w:rPr/>
        <w:t>年习近平总书记就加</w:t>
      </w:r>
      <w:r>
        <w:rPr>
          <w:spacing w:val="-87"/>
        </w:rPr>
        <w:t> </w:t>
      </w:r>
      <w:r>
        <w:rPr>
          <w:spacing w:val="-87"/>
        </w:rPr>
      </w:r>
      <w:r>
        <w:rPr/>
        <w:t>强和创新社会治理作出重要指示要求</w:t>
      </w:r>
      <w:r>
        <w:rPr>
          <w:rFonts w:ascii="Times New Roman" w:hAnsi="Times New Roman" w:cs="Times New Roman" w:eastAsia="Times New Roman" w:hint="default"/>
        </w:rPr>
        <w:t>“</w:t>
      </w:r>
      <w:r>
        <w:rPr/>
        <w:t>更加注重联动融合、开放共治，更加注重民生法治、科</w:t>
      </w:r>
    </w:p>
    <w:p>
      <w:pPr>
        <w:spacing w:after="0" w:line="35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43" w:lineRule="auto" w:before="26"/>
        <w:ind w:right="1126"/>
        <w:jc w:val="both"/>
      </w:pPr>
      <w:r>
        <w:rPr/>
        <w:t>技创新，提高社会治理社会化、法制化、智能化、专业化水平，提高预测预警预防各类风险</w:t>
      </w:r>
      <w:r>
        <w:rPr>
          <w:spacing w:val="-91"/>
        </w:rPr>
        <w:t> </w:t>
      </w:r>
      <w:r>
        <w:rPr>
          <w:spacing w:val="-91"/>
        </w:rPr>
      </w:r>
      <w:r>
        <w:rPr>
          <w:spacing w:val="-2"/>
        </w:rPr>
        <w:t>能力</w:t>
      </w:r>
      <w:r>
        <w:rPr>
          <w:rFonts w:ascii="Times New Roman" w:hAnsi="Times New Roman" w:cs="Times New Roman" w:eastAsia="Times New Roman" w:hint="default"/>
          <w:spacing w:val="-2"/>
        </w:rPr>
        <w:t>”</w:t>
      </w:r>
      <w:r>
        <w:rPr>
          <w:spacing w:val="-2"/>
        </w:rPr>
        <w:t>。其中，社会治理智能化，是在网络化和网络平台基础上，运用大数据、云计算、物联</w:t>
      </w:r>
      <w:r>
        <w:rPr>
          <w:spacing w:val="-107"/>
        </w:rPr>
        <w:t> </w:t>
      </w:r>
      <w:r>
        <w:rPr>
          <w:spacing w:val="-107"/>
        </w:rPr>
      </w:r>
      <w:r>
        <w:rPr/>
        <w:t>网等信息技术，促使社会治理能够更加精准分析、精准服务、精准治理、精准监督、精准反</w:t>
      </w:r>
      <w:r>
        <w:rPr>
          <w:spacing w:val="-91"/>
        </w:rPr>
        <w:t> </w:t>
      </w:r>
      <w:r>
        <w:rPr>
          <w:spacing w:val="-91"/>
        </w:rPr>
      </w:r>
      <w:r>
        <w:rPr/>
        <w:t>馈，能更好地服务不同社会群体，更有效地管理好国家和社会的公共事务。</w:t>
      </w:r>
      <w:r>
        <w:rPr>
          <w:rFonts w:ascii="Times New Roman" w:hAnsi="Times New Roman" w:cs="Times New Roman" w:eastAsia="Times New Roman" w:hint="default"/>
        </w:rPr>
        <w:t>2017</w:t>
      </w:r>
      <w:r>
        <w:rPr/>
        <w:t>年中共十九</w:t>
      </w:r>
      <w:r>
        <w:rPr>
          <w:spacing w:val="-89"/>
        </w:rPr>
        <w:t> </w:t>
      </w:r>
      <w:r>
        <w:rPr>
          <w:spacing w:val="-89"/>
        </w:rPr>
      </w:r>
      <w:r>
        <w:rPr/>
        <w:t>大报告明确提出，从</w:t>
      </w:r>
      <w:r>
        <w:rPr>
          <w:rFonts w:ascii="Times New Roman" w:hAnsi="Times New Roman" w:cs="Times New Roman" w:eastAsia="Times New Roman" w:hint="default"/>
        </w:rPr>
        <w:t>2020</w:t>
      </w:r>
      <w:r>
        <w:rPr/>
        <w:t>年到</w:t>
      </w:r>
      <w:r>
        <w:rPr>
          <w:rFonts w:ascii="Times New Roman" w:hAnsi="Times New Roman" w:cs="Times New Roman" w:eastAsia="Times New Roman" w:hint="default"/>
        </w:rPr>
        <w:t>2035</w:t>
      </w:r>
      <w:r>
        <w:rPr/>
        <w:t>年基本实现社会主义现代化的强国征程中，要基本形成现</w:t>
      </w:r>
      <w:r>
        <w:rPr>
          <w:spacing w:val="-90"/>
        </w:rPr>
        <w:t> </w:t>
      </w:r>
      <w:r>
        <w:rPr>
          <w:spacing w:val="-90"/>
        </w:rPr>
      </w:r>
      <w:r>
        <w:rPr/>
        <w:t>代社会治理格局</w:t>
      </w:r>
      <w:r>
        <w:rPr>
          <w:rFonts w:ascii="Times New Roman" w:hAnsi="Times New Roman" w:cs="Times New Roman" w:eastAsia="Times New Roman" w:hint="default"/>
        </w:rPr>
        <w:t>“</w:t>
      </w:r>
      <w:r>
        <w:rPr/>
        <w:t>社会充满活力又和谐有序</w:t>
      </w:r>
      <w:r>
        <w:rPr>
          <w:rFonts w:ascii="Times New Roman" w:hAnsi="Times New Roman" w:cs="Times New Roman" w:eastAsia="Times New Roman" w:hint="default"/>
        </w:rPr>
        <w:t>”</w:t>
      </w:r>
      <w:r>
        <w:rPr/>
        <w:t>，并就</w:t>
      </w:r>
      <w:r>
        <w:rPr>
          <w:rFonts w:ascii="Times New Roman" w:hAnsi="Times New Roman" w:cs="Times New Roman" w:eastAsia="Times New Roman" w:hint="default"/>
        </w:rPr>
        <w:t>“</w:t>
      </w:r>
      <w:r>
        <w:rPr/>
        <w:t>打造共建共治共享的社会治理格局</w:t>
      </w:r>
      <w:r>
        <w:rPr>
          <w:rFonts w:ascii="Times New Roman" w:hAnsi="Times New Roman" w:cs="Times New Roman" w:eastAsia="Times New Roman" w:hint="default"/>
        </w:rPr>
        <w:t>”</w:t>
      </w:r>
      <w:r>
        <w:rPr/>
        <w:t>进行</w:t>
      </w:r>
      <w:r>
        <w:rPr>
          <w:spacing w:val="-39"/>
        </w:rPr>
        <w:t> </w:t>
      </w:r>
      <w:r>
        <w:rPr>
          <w:spacing w:val="-2"/>
        </w:rPr>
        <w:t>专门部署。</w:t>
      </w:r>
      <w:r>
        <w:rPr>
          <w:rFonts w:ascii="Times New Roman" w:hAnsi="Times New Roman" w:cs="Times New Roman" w:eastAsia="Times New Roman" w:hint="default"/>
          <w:spacing w:val="-2"/>
        </w:rPr>
        <w:t>2019</w:t>
      </w:r>
      <w:r>
        <w:rPr>
          <w:spacing w:val="-2"/>
        </w:rPr>
        <w:t>年党的十九届四中全会将</w:t>
      </w:r>
      <w:r>
        <w:rPr>
          <w:rFonts w:ascii="Times New Roman" w:hAnsi="Times New Roman" w:cs="Times New Roman" w:eastAsia="Times New Roman" w:hint="default"/>
          <w:spacing w:val="-2"/>
        </w:rPr>
        <w:t>“</w:t>
      </w:r>
      <w:r>
        <w:rPr>
          <w:spacing w:val="-2"/>
        </w:rPr>
        <w:t>坚持和完善共治共享的社会治理制度，保持社会稳</w:t>
      </w:r>
      <w:r>
        <w:rPr>
          <w:spacing w:val="-103"/>
        </w:rPr>
        <w:t> </w:t>
      </w:r>
      <w:r>
        <w:rPr>
          <w:spacing w:val="-103"/>
        </w:rPr>
      </w:r>
      <w:r>
        <w:rPr>
          <w:spacing w:val="-2"/>
        </w:rPr>
        <w:t>定、维护国家安全</w:t>
      </w:r>
      <w:r>
        <w:rPr>
          <w:rFonts w:ascii="Times New Roman" w:hAnsi="Times New Roman" w:cs="Times New Roman" w:eastAsia="Times New Roman" w:hint="default"/>
          <w:spacing w:val="-2"/>
        </w:rPr>
        <w:t>”</w:t>
      </w:r>
      <w:r>
        <w:rPr>
          <w:spacing w:val="-2"/>
        </w:rPr>
        <w:t>纳入中国特色社会主义制度建设中，为我国在新时代加强和创新社会治理</w:t>
      </w:r>
      <w:r>
        <w:rPr>
          <w:spacing w:val="-107"/>
        </w:rPr>
        <w:t> </w:t>
      </w:r>
      <w:r>
        <w:rPr>
          <w:spacing w:val="-107"/>
        </w:rPr>
      </w:r>
      <w:r>
        <w:rPr/>
        <w:t>指明了方向。</w:t>
      </w:r>
    </w:p>
    <w:p>
      <w:pPr>
        <w:spacing w:line="338" w:lineRule="auto" w:before="50"/>
        <w:ind w:left="633" w:right="98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、城市地下管线管理难度持续增大，推动智慧管网市场需求不断增加</w:t>
      </w:r>
      <w:r>
        <w:rPr>
          <w:rFonts w:ascii="宋体" w:hAnsi="宋体" w:cs="宋体" w:eastAsia="宋体" w:hint="default"/>
          <w:b/>
          <w:bCs/>
          <w:w w:val="99"/>
          <w:sz w:val="24"/>
          <w:szCs w:val="24"/>
        </w:rPr>
        <w:t> </w:t>
      </w:r>
      <w:r>
        <w:rPr>
          <w:rFonts w:ascii="宋体" w:hAnsi="宋体" w:cs="宋体" w:eastAsia="宋体" w:hint="default"/>
          <w:spacing w:val="-3"/>
          <w:sz w:val="24"/>
          <w:szCs w:val="24"/>
        </w:rPr>
        <w:t>近年来，随着城市化进程加快，城市人口增加，我国城市地下管线的建设规模不断扩大。</w:t>
      </w:r>
    </w:p>
    <w:p>
      <w:pPr>
        <w:pStyle w:val="BodyText"/>
        <w:spacing w:line="338" w:lineRule="auto" w:before="55"/>
        <w:ind w:right="1131"/>
        <w:jc w:val="both"/>
      </w:pPr>
      <w:r>
        <w:rPr/>
        <w:t>根据《</w:t>
      </w:r>
      <w:r>
        <w:rPr>
          <w:rFonts w:ascii="Times New Roman" w:hAnsi="Times New Roman" w:cs="Times New Roman" w:eastAsia="Times New Roman" w:hint="default"/>
        </w:rPr>
        <w:t>2017</w:t>
      </w:r>
      <w:r>
        <w:rPr/>
        <w:t>年中国城市建设统计年鉴》，截止</w:t>
      </w:r>
      <w:r>
        <w:rPr>
          <w:rFonts w:ascii="Times New Roman" w:hAnsi="Times New Roman" w:cs="Times New Roman" w:eastAsia="Times New Roman" w:hint="default"/>
        </w:rPr>
        <w:t>2017</w:t>
      </w:r>
      <w:r>
        <w:rPr/>
        <w:t>年年底，包括城市供水、排水、燃气、供</w:t>
      </w:r>
      <w:r>
        <w:rPr>
          <w:spacing w:val="-89"/>
        </w:rPr>
        <w:t> </w:t>
      </w:r>
      <w:r>
        <w:rPr>
          <w:spacing w:val="-89"/>
        </w:rPr>
      </w:r>
      <w:r>
        <w:rPr/>
        <w:t>热等市政地下管线长度达到</w:t>
      </w:r>
      <w:r>
        <w:rPr>
          <w:rFonts w:ascii="Times New Roman" w:hAnsi="Times New Roman" w:cs="Times New Roman" w:eastAsia="Times New Roman" w:hint="default"/>
        </w:rPr>
        <w:t>234.5</w:t>
      </w:r>
      <w:r>
        <w:rPr/>
        <w:t>万千米，是</w:t>
      </w:r>
      <w:r>
        <w:rPr>
          <w:rFonts w:ascii="Times New Roman" w:hAnsi="Times New Roman" w:cs="Times New Roman" w:eastAsia="Times New Roman" w:hint="default"/>
        </w:rPr>
        <w:t>1990</w:t>
      </w:r>
      <w:r>
        <w:rPr/>
        <w:t>年的管线总长的</w:t>
      </w:r>
      <w:r>
        <w:rPr>
          <w:rFonts w:ascii="Times New Roman" w:hAnsi="Times New Roman" w:cs="Times New Roman" w:eastAsia="Times New Roman" w:hint="default"/>
        </w:rPr>
        <w:t>12.9</w:t>
      </w:r>
      <w:r>
        <w:rPr/>
        <w:t>倍。其中，供水管道长</w:t>
      </w:r>
      <w:r>
        <w:rPr>
          <w:spacing w:val="-88"/>
        </w:rPr>
        <w:t> </w:t>
      </w:r>
      <w:r>
        <w:rPr>
          <w:spacing w:val="-88"/>
        </w:rPr>
      </w:r>
      <w:r>
        <w:rPr/>
        <w:t>度在</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-2017</w:t>
      </w:r>
      <w:r>
        <w:rPr/>
        <w:t>年间实现</w:t>
      </w:r>
      <w:r>
        <w:rPr>
          <w:rFonts w:ascii="Times New Roman" w:hAnsi="Times New Roman" w:cs="Times New Roman" w:eastAsia="Times New Roman" w:hint="default"/>
        </w:rPr>
        <w:t>8.2</w:t>
      </w:r>
      <w:r>
        <w:rPr/>
        <w:t>倍的增长，达到</w:t>
      </w:r>
      <w:r>
        <w:rPr>
          <w:rFonts w:ascii="Times New Roman" w:hAnsi="Times New Roman" w:cs="Times New Roman" w:eastAsia="Times New Roman" w:hint="default"/>
        </w:rPr>
        <w:t>79.7</w:t>
      </w:r>
      <w:r>
        <w:rPr/>
        <w:t>万千米；排水管道长度达到</w:t>
      </w:r>
      <w:r>
        <w:rPr>
          <w:rFonts w:ascii="Times New Roman" w:hAnsi="Times New Roman" w:cs="Times New Roman" w:eastAsia="Times New Roman" w:hint="default"/>
        </w:rPr>
        <w:t>63.0</w:t>
      </w:r>
      <w:r>
        <w:rPr/>
        <w:t>万千米，实</w:t>
      </w:r>
      <w:r>
        <w:rPr>
          <w:spacing w:val="-106"/>
        </w:rPr>
        <w:t> </w:t>
      </w:r>
      <w:r>
        <w:rPr>
          <w:spacing w:val="-106"/>
        </w:rPr>
      </w:r>
      <w:r>
        <w:rPr/>
        <w:t>现近</w:t>
      </w:r>
      <w:r>
        <w:rPr>
          <w:rFonts w:ascii="Times New Roman" w:hAnsi="Times New Roman" w:cs="Times New Roman" w:eastAsia="Times New Roman" w:hint="default"/>
        </w:rPr>
        <w:t>10</w:t>
      </w:r>
      <w:r>
        <w:rPr/>
        <w:t>倍的增长。</w:t>
      </w:r>
    </w:p>
    <w:p>
      <w:pPr>
        <w:spacing w:line="266" w:lineRule="exact" w:before="0"/>
        <w:ind w:left="2416" w:right="11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1990-2017</w:t>
      </w:r>
      <w:r>
        <w:rPr>
          <w:rFonts w:ascii="宋体" w:hAnsi="宋体" w:cs="宋体" w:eastAsia="宋体" w:hint="default"/>
          <w:sz w:val="21"/>
          <w:szCs w:val="21"/>
        </w:rPr>
        <w:t>年中国地下管网长度变化情况（单位：千米）</w:t>
      </w:r>
    </w:p>
    <w:p>
      <w:pPr>
        <w:spacing w:line="240" w:lineRule="auto" w:before="13"/>
        <w:rPr>
          <w:rFonts w:ascii="宋体" w:hAnsi="宋体" w:cs="宋体" w:eastAsia="宋体" w:hint="default"/>
          <w:sz w:val="20"/>
          <w:szCs w:val="20"/>
        </w:rPr>
      </w:pPr>
    </w:p>
    <w:p>
      <w:pPr>
        <w:spacing w:line="3571" w:lineRule="exact"/>
        <w:ind w:left="719"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291539" cy="226771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291539" cy="2267712"/>
                    </a:xfrm>
                    <a:prstGeom prst="rect">
                      <a:avLst/>
                    </a:prstGeom>
                  </pic:spPr>
                </pic:pic>
              </a:graphicData>
            </a:graphic>
          </wp:inline>
        </w:drawing>
      </w:r>
      <w:r>
        <w:rPr>
          <w:rFonts w:ascii="宋体" w:hAnsi="宋体" w:cs="宋体" w:eastAsia="宋体" w:hint="default"/>
          <w:position w:val="-70"/>
          <w:sz w:val="20"/>
          <w:szCs w:val="20"/>
        </w:rPr>
      </w:r>
    </w:p>
    <w:p>
      <w:pPr>
        <w:pStyle w:val="BodyText"/>
        <w:spacing w:line="348" w:lineRule="auto" w:before="128"/>
        <w:ind w:right="1132" w:firstLine="480"/>
        <w:jc w:val="both"/>
      </w:pPr>
      <w:r>
        <w:rPr/>
        <w:t>随着地下管线日益错综复杂，管线数据更新日益频繁，其管理难度也在不断增大。国务 院印发的《国家新型城镇化规划</w:t>
      </w:r>
      <w:r>
        <w:rPr>
          <w:rFonts w:ascii="Times New Roman" w:hAnsi="Times New Roman" w:cs="Times New Roman" w:eastAsia="Times New Roman" w:hint="default"/>
        </w:rPr>
        <w:t>2014-2020</w:t>
      </w:r>
      <w:r>
        <w:rPr/>
        <w:t>年》提出：</w:t>
      </w:r>
      <w:r>
        <w:rPr>
          <w:rFonts w:ascii="Times New Roman" w:hAnsi="Times New Roman" w:cs="Times New Roman" w:eastAsia="Times New Roman" w:hint="default"/>
        </w:rPr>
        <w:t>“</w:t>
      </w:r>
      <w:r>
        <w:rPr/>
        <w:t>发展智能管网，实现城市地下空间、</w:t>
      </w:r>
      <w:r>
        <w:rPr>
          <w:spacing w:val="-41"/>
        </w:rPr>
        <w:t> </w:t>
      </w:r>
      <w:r>
        <w:rPr>
          <w:spacing w:val="-41"/>
        </w:rPr>
      </w:r>
      <w:r>
        <w:rPr>
          <w:spacing w:val="-2"/>
        </w:rPr>
        <w:t>地下管网的信息化管理和运行监控智能化</w:t>
      </w:r>
      <w:r>
        <w:rPr>
          <w:rFonts w:ascii="Times New Roman" w:hAnsi="Times New Roman" w:cs="Times New Roman" w:eastAsia="Times New Roman" w:hint="default"/>
          <w:spacing w:val="-2"/>
        </w:rPr>
        <w:t>”</w:t>
      </w:r>
      <w:r>
        <w:rPr>
          <w:spacing w:val="-2"/>
        </w:rPr>
        <w:t>；住房城乡建设部提出的《国家智慧城市试点指标</w:t>
      </w:r>
      <w:r>
        <w:rPr>
          <w:spacing w:val="-106"/>
        </w:rPr>
        <w:t> </w:t>
      </w:r>
      <w:r>
        <w:rPr>
          <w:spacing w:val="-106"/>
        </w:rPr>
      </w:r>
      <w:r>
        <w:rPr/>
        <w:t>体系》明确规定地下管线与空间综合管理指标，实现城市地下管网数字化综合管理、监控，</w:t>
      </w:r>
      <w:r>
        <w:rPr>
          <w:spacing w:val="-89"/>
        </w:rPr>
        <w:t> </w:t>
      </w:r>
      <w:r>
        <w:rPr>
          <w:spacing w:val="-89"/>
        </w:rPr>
      </w:r>
      <w:r>
        <w:rPr/>
        <w:t>并利用三维可视化等技术手段提升管理水平。因此，建设智慧管网，提高城市地下管线管理</w:t>
      </w:r>
    </w:p>
    <w:p>
      <w:pPr>
        <w:spacing w:after="0" w:line="348"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left="633" w:right="1104" w:hanging="481"/>
        <w:jc w:val="left"/>
      </w:pPr>
      <w:r>
        <w:rPr/>
        <w:t>水平，成为</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建设刻不容缓的建设内容。 近年来，受全球气候变化影响，暴雨等极端天气对城市管理、城市运行和人民群众生产</w:t>
      </w:r>
    </w:p>
    <w:p>
      <w:pPr>
        <w:pStyle w:val="BodyText"/>
        <w:spacing w:line="357" w:lineRule="auto" w:before="55"/>
        <w:ind w:right="1138"/>
        <w:jc w:val="both"/>
      </w:pPr>
      <w:r>
        <w:rPr/>
        <w:t>生活造成了巨大影响。加之部分城市排水防涝等基础设施建设滞后，排水管网信息化基础薄</w:t>
      </w:r>
      <w:r>
        <w:rPr>
          <w:spacing w:val="-91"/>
        </w:rPr>
        <w:t> </w:t>
      </w:r>
      <w:r>
        <w:rPr>
          <w:spacing w:val="-91"/>
        </w:rPr>
      </w:r>
      <w:r>
        <w:rPr/>
        <w:t>弱，更多依靠人工经验调度等方面的问题，排水设施总体调蓄雨洪和应急管理能力不足，导</w:t>
      </w:r>
      <w:r>
        <w:rPr>
          <w:spacing w:val="-91"/>
        </w:rPr>
        <w:t> </w:t>
      </w:r>
      <w:r>
        <w:rPr>
          <w:spacing w:val="-91"/>
        </w:rPr>
      </w:r>
      <w:r>
        <w:rPr/>
        <w:t>致城市内涝和溢流污染严重。同时，我国一些地区水环境质量差，水生态受损重，环境隐患</w:t>
      </w:r>
      <w:r>
        <w:rPr>
          <w:spacing w:val="-91"/>
        </w:rPr>
        <w:t> </w:t>
      </w:r>
      <w:r>
        <w:rPr>
          <w:spacing w:val="-91"/>
        </w:rPr>
      </w:r>
      <w:r>
        <w:rPr/>
        <w:t>多，老旧管网渗漏严重，设施提标改造需求迫切，部分污泥处置存在二次污染隐患，再生水</w:t>
      </w:r>
      <w:r>
        <w:rPr>
          <w:spacing w:val="-89"/>
        </w:rPr>
        <w:t> </w:t>
      </w:r>
      <w:r>
        <w:rPr>
          <w:spacing w:val="-89"/>
        </w:rPr>
      </w:r>
      <w:r>
        <w:rPr/>
        <w:t>利用率不高，各地重建设轻管理的问题十分突出，城镇污水处理的成效与群众对水环境改善</w:t>
      </w:r>
      <w:r>
        <w:rPr>
          <w:spacing w:val="-91"/>
        </w:rPr>
        <w:t> </w:t>
      </w:r>
      <w:r>
        <w:rPr>
          <w:spacing w:val="-91"/>
        </w:rPr>
      </w:r>
      <w:r>
        <w:rPr/>
        <w:t>的期待还存在差距，不利于经济社会持续发展。</w:t>
      </w:r>
    </w:p>
    <w:p>
      <w:pPr>
        <w:pStyle w:val="Heading2"/>
        <w:spacing w:line="240" w:lineRule="auto" w:before="36"/>
        <w:ind w:left="635" w:right="1104"/>
        <w:jc w:val="left"/>
        <w:rPr>
          <w:b w:val="0"/>
          <w:bCs w:val="0"/>
        </w:rPr>
      </w:pPr>
      <w:r>
        <w:rPr/>
        <w:t>（三）、行业政策</w:t>
      </w:r>
      <w:r>
        <w:rPr>
          <w:b w:val="0"/>
          <w:bCs w:val="0"/>
        </w:rPr>
      </w:r>
    </w:p>
    <w:p>
      <w:pPr>
        <w:spacing w:line="338" w:lineRule="auto" w:before="154"/>
        <w:ind w:left="633" w:right="110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、大部制改革促进行业发展</w:t>
      </w:r>
      <w:r>
        <w:rPr>
          <w:rFonts w:ascii="宋体" w:hAnsi="宋体" w:cs="宋体" w:eastAsia="宋体" w:hint="default"/>
          <w:b/>
          <w:bCs/>
          <w:w w:val="99"/>
          <w:sz w:val="24"/>
          <w:szCs w:val="24"/>
        </w:rPr>
        <w:t> </w:t>
      </w:r>
      <w:r>
        <w:rPr>
          <w:rFonts w:ascii="宋体" w:hAnsi="宋体" w:cs="宋体" w:eastAsia="宋体" w:hint="default"/>
          <w:sz w:val="24"/>
          <w:szCs w:val="24"/>
        </w:rPr>
        <w:t>大部制改革的核心是转变政府职能，其特征是</w:t>
      </w:r>
      <w:r>
        <w:rPr>
          <w:rFonts w:ascii="Times New Roman" w:hAnsi="Times New Roman" w:cs="Times New Roman" w:eastAsia="Times New Roman" w:hint="default"/>
          <w:sz w:val="24"/>
          <w:szCs w:val="24"/>
        </w:rPr>
        <w:t>“</w:t>
      </w:r>
      <w:r>
        <w:rPr>
          <w:rFonts w:ascii="宋体" w:hAnsi="宋体" w:cs="宋体" w:eastAsia="宋体" w:hint="default"/>
          <w:sz w:val="24"/>
          <w:szCs w:val="24"/>
        </w:rPr>
        <w:t>大职能、宽领域、少机构</w:t>
      </w:r>
      <w:r>
        <w:rPr>
          <w:rFonts w:ascii="Times New Roman" w:hAnsi="Times New Roman" w:cs="Times New Roman" w:eastAsia="Times New Roman" w:hint="default"/>
          <w:sz w:val="24"/>
          <w:szCs w:val="24"/>
        </w:rPr>
        <w:t>”</w:t>
      </w:r>
      <w:r>
        <w:rPr>
          <w:rFonts w:ascii="宋体" w:hAnsi="宋体" w:cs="宋体" w:eastAsia="宋体" w:hint="default"/>
          <w:sz w:val="24"/>
          <w:szCs w:val="24"/>
        </w:rPr>
        <w:t>，扩大一个部</w:t>
      </w:r>
    </w:p>
    <w:p>
      <w:pPr>
        <w:pStyle w:val="BodyText"/>
        <w:spacing w:line="357" w:lineRule="auto" w:before="27"/>
        <w:ind w:right="1139"/>
        <w:jc w:val="both"/>
      </w:pPr>
      <w:r>
        <w:rPr/>
        <w:t>所管理的业务范围，把多种内容有联系的事务交由一个部管辖，从而最大限度地避免政府职</w:t>
      </w:r>
      <w:r>
        <w:rPr>
          <w:spacing w:val="-91"/>
        </w:rPr>
        <w:t> </w:t>
      </w:r>
      <w:r>
        <w:rPr>
          <w:spacing w:val="-91"/>
        </w:rPr>
      </w:r>
      <w:r>
        <w:rPr/>
        <w:t>能交叉、政出多门、多头管理，从而提高行政效率，降低行政成本。</w:t>
      </w:r>
    </w:p>
    <w:p>
      <w:pPr>
        <w:pStyle w:val="BodyText"/>
        <w:spacing w:line="348" w:lineRule="auto"/>
        <w:ind w:right="1129" w:firstLine="480"/>
        <w:jc w:val="both"/>
        <w:rPr>
          <w:rFonts w:ascii="Times New Roman" w:hAnsi="Times New Roman" w:cs="Times New Roman" w:eastAsia="Times New Roman" w:hint="default"/>
        </w:rPr>
      </w:pPr>
      <w:r>
        <w:rPr/>
        <w:t>随着大部制改革的持续深入，</w:t>
      </w:r>
      <w:r>
        <w:rPr>
          <w:rFonts w:ascii="Times New Roman" w:hAnsi="Times New Roman" w:cs="Times New Roman" w:eastAsia="Times New Roman" w:hint="default"/>
        </w:rPr>
        <w:t>2015</w:t>
      </w:r>
      <w:r>
        <w:rPr/>
        <w:t>年中央全面深化改革领导小组第十八次会议审议通过 </w:t>
      </w:r>
      <w:r>
        <w:rPr>
          <w:spacing w:val="-2"/>
        </w:rPr>
        <w:t>了《关于深入推进城市执法体制改革改进城市管理工作的指导意见》等文件，指出</w:t>
      </w:r>
      <w:r>
        <w:rPr>
          <w:rFonts w:ascii="Times New Roman" w:hAnsi="Times New Roman" w:cs="Times New Roman" w:eastAsia="Times New Roman" w:hint="default"/>
          <w:spacing w:val="-2"/>
        </w:rPr>
        <w:t>“</w:t>
      </w:r>
      <w:r>
        <w:rPr>
          <w:spacing w:val="-2"/>
        </w:rPr>
        <w:t>按照精简</w:t>
      </w:r>
      <w:r>
        <w:rPr>
          <w:spacing w:val="-103"/>
        </w:rPr>
        <w:t> </w:t>
      </w:r>
      <w:r>
        <w:rPr>
          <w:spacing w:val="-103"/>
        </w:rPr>
      </w:r>
      <w:r>
        <w:rPr/>
        <w:t>统一效能的原则，住房城乡建设部会同中央编办指导地方整合归并省级执法队伍，推进市县</w:t>
      </w:r>
      <w:r>
        <w:rPr>
          <w:spacing w:val="-91"/>
        </w:rPr>
        <w:t> </w:t>
      </w:r>
      <w:r>
        <w:rPr>
          <w:spacing w:val="-91"/>
        </w:rPr>
      </w:r>
      <w:r>
        <w:rPr/>
        <w:t>两级政府城市管理领域大部门制改革，整合市政公用、市容环卫、园林绿化、城市管理执法</w:t>
      </w:r>
      <w:r>
        <w:rPr>
          <w:spacing w:val="-91"/>
        </w:rPr>
        <w:t> </w:t>
      </w:r>
      <w:r>
        <w:rPr>
          <w:spacing w:val="-91"/>
        </w:rPr>
      </w:r>
      <w:r>
        <w:rPr/>
        <w:t>等城市管理相关职能，实现管理执法机构综合设置。</w:t>
      </w:r>
      <w:r>
        <w:rPr>
          <w:rFonts w:ascii="Times New Roman" w:hAnsi="Times New Roman" w:cs="Times New Roman" w:eastAsia="Times New Roman" w:hint="default"/>
        </w:rPr>
        <w:t>”</w:t>
      </w:r>
    </w:p>
    <w:p>
      <w:pPr>
        <w:pStyle w:val="BodyText"/>
        <w:spacing w:line="348" w:lineRule="auto" w:before="16"/>
        <w:ind w:right="1130" w:firstLine="480"/>
        <w:jc w:val="both"/>
      </w:pPr>
      <w:r>
        <w:rPr/>
        <w:t>根据《指导意见》相关要求，未来地方城市管理部门将进一步实现职能整合，城市管理 部门的机构设置将朝着综合化、一体化方向发展。由此也催生了对数字化城市管理系统的更</w:t>
      </w:r>
      <w:r>
        <w:rPr>
          <w:spacing w:val="-91"/>
        </w:rPr>
        <w:t> </w:t>
      </w:r>
      <w:r>
        <w:rPr>
          <w:spacing w:val="-91"/>
        </w:rPr>
      </w:r>
      <w:r>
        <w:rPr/>
        <w:t>高要求。</w:t>
      </w:r>
      <w:r>
        <w:rPr>
          <w:rFonts w:ascii="Times New Roman" w:hAnsi="Times New Roman" w:cs="Times New Roman" w:eastAsia="Times New Roman" w:hint="default"/>
        </w:rPr>
        <w:t>2018</w:t>
      </w:r>
      <w:r>
        <w:rPr/>
        <w:t>年全国住房和城乡建设工作会议明确提出，要加快数字化城市管理平台建设和</w:t>
      </w:r>
      <w:r>
        <w:rPr>
          <w:spacing w:val="-89"/>
        </w:rPr>
        <w:t> </w:t>
      </w:r>
      <w:r>
        <w:rPr>
          <w:spacing w:val="-89"/>
        </w:rPr>
      </w:r>
      <w:r>
        <w:rPr/>
        <w:t>功能整合，搭建城市综合管理服务平台。作为国内电子政务建设和服务领域的重要供应商，</w:t>
      </w:r>
      <w:r>
        <w:rPr>
          <w:spacing w:val="-91"/>
        </w:rPr>
        <w:t> </w:t>
      </w:r>
      <w:r>
        <w:rPr>
          <w:spacing w:val="-91"/>
        </w:rPr>
      </w:r>
      <w:r>
        <w:rPr>
          <w:spacing w:val="-2"/>
        </w:rPr>
        <w:t>公司一直高度重视行业发展的趋势和客户需求的变革。本项目拟通过建设</w:t>
      </w:r>
      <w:r>
        <w:rPr>
          <w:rFonts w:ascii="Times New Roman" w:hAnsi="Times New Roman" w:cs="Times New Roman" w:eastAsia="Times New Roman" w:hint="default"/>
          <w:spacing w:val="-2"/>
        </w:rPr>
        <w:t>“</w:t>
      </w:r>
      <w:r>
        <w:rPr>
          <w:spacing w:val="-2"/>
        </w:rPr>
        <w:t>智慧化城市综合管</w:t>
      </w:r>
      <w:r>
        <w:rPr>
          <w:spacing w:val="-106"/>
        </w:rPr>
        <w:t> </w:t>
      </w:r>
      <w:r>
        <w:rPr>
          <w:spacing w:val="-2"/>
        </w:rPr>
        <w:t>理服务平台</w:t>
      </w:r>
      <w:r>
        <w:rPr>
          <w:rFonts w:ascii="Times New Roman" w:hAnsi="Times New Roman" w:cs="Times New Roman" w:eastAsia="Times New Roman" w:hint="default"/>
          <w:spacing w:val="-2"/>
        </w:rPr>
        <w:t>”</w:t>
      </w:r>
      <w:r>
        <w:rPr>
          <w:spacing w:val="-2"/>
        </w:rPr>
        <w:t>，增强城市管理统筹协调能力，提高精细化管理服务水平，从而顺应行政体制改</w:t>
      </w:r>
      <w:r>
        <w:rPr>
          <w:spacing w:val="-105"/>
        </w:rPr>
        <w:t> </w:t>
      </w:r>
      <w:r>
        <w:rPr>
          <w:spacing w:val="-105"/>
        </w:rPr>
      </w:r>
      <w:r>
        <w:rPr/>
        <w:t>革，满足客户更多样化的需求。</w:t>
      </w:r>
    </w:p>
    <w:p>
      <w:pPr>
        <w:spacing w:line="338" w:lineRule="auto" w:before="46"/>
        <w:ind w:left="633" w:right="110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、社会治理新模式发展带来契机</w:t>
      </w:r>
      <w:r>
        <w:rPr>
          <w:rFonts w:ascii="宋体" w:hAnsi="宋体" w:cs="宋体" w:eastAsia="宋体" w:hint="default"/>
          <w:b/>
          <w:bCs/>
          <w:w w:val="99"/>
          <w:sz w:val="24"/>
          <w:szCs w:val="24"/>
        </w:rPr>
        <w:t> </w:t>
      </w:r>
      <w:r>
        <w:rPr>
          <w:rFonts w:ascii="宋体" w:hAnsi="宋体" w:cs="宋体" w:eastAsia="宋体" w:hint="default"/>
          <w:sz w:val="24"/>
          <w:szCs w:val="24"/>
        </w:rPr>
        <w:t>社会治理是国家治理的重要方面，良好的社会治理是社会和谐稳定、人民安居乐业的前</w:t>
      </w:r>
    </w:p>
    <w:p>
      <w:pPr>
        <w:pStyle w:val="BodyText"/>
        <w:spacing w:line="357" w:lineRule="auto" w:before="55"/>
        <w:ind w:right="1139"/>
        <w:jc w:val="both"/>
      </w:pPr>
      <w:r>
        <w:rPr/>
        <w:t>提和保障，形成有效的社会治理、良好的社会秩序，使人民获得感、幸福感、安全感更加充</w:t>
      </w:r>
      <w:r>
        <w:rPr>
          <w:spacing w:val="-91"/>
        </w:rPr>
        <w:t> </w:t>
      </w:r>
      <w:r>
        <w:rPr>
          <w:spacing w:val="-91"/>
        </w:rPr>
      </w:r>
      <w:r>
        <w:rPr/>
        <w:t>实、更有保障、更可持续。</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48" w:lineRule="auto" w:before="26"/>
        <w:ind w:right="986" w:firstLine="480"/>
        <w:jc w:val="left"/>
      </w:pPr>
      <w:r>
        <w:rPr/>
        <w:t>党的十八大以来，党和国家高度重视社会治理，有序推进平安中国建设。</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月中共 中央办公厅、国务院办公厅印发的《关于推进基层整合审批服务执法力量的实施意见》要求</w:t>
      </w:r>
      <w:r>
        <w:rPr>
          <w:spacing w:val="-91"/>
        </w:rPr>
        <w:t> </w:t>
      </w:r>
      <w:r>
        <w:rPr>
          <w:spacing w:val="-91"/>
        </w:rPr>
      </w:r>
      <w:r>
        <w:rPr/>
        <w:t>整合基层网格管理和指挥平台将上级部门在基层设置的多个网格整合为一个综合网格，依托</w:t>
      </w:r>
      <w:r>
        <w:rPr>
          <w:spacing w:val="-91"/>
        </w:rPr>
        <w:t> </w:t>
      </w:r>
      <w:r>
        <w:rPr>
          <w:spacing w:val="-91"/>
        </w:rPr>
      </w:r>
      <w:r>
        <w:rPr>
          <w:spacing w:val="-3"/>
        </w:rPr>
        <w:t>村（社区）合理划分基本网格单元，统筹网格内党的建设、社会保障、综合治理、应急管理、</w:t>
      </w:r>
      <w:r>
        <w:rPr>
          <w:spacing w:val="-83"/>
        </w:rPr>
        <w:t> </w:t>
      </w:r>
      <w:r>
        <w:rPr>
          <w:spacing w:val="-83"/>
        </w:rPr>
      </w:r>
      <w:r>
        <w:rPr/>
        <w:t>社会救助等工作，实现</w:t>
      </w:r>
      <w:r>
        <w:rPr>
          <w:rFonts w:ascii="Times New Roman" w:hAnsi="Times New Roman" w:cs="Times New Roman" w:eastAsia="Times New Roman" w:hint="default"/>
        </w:rPr>
        <w:t>“</w:t>
      </w:r>
      <w:r>
        <w:rPr/>
        <w:t>多网合一</w:t>
      </w:r>
      <w:r>
        <w:rPr>
          <w:rFonts w:ascii="Times New Roman" w:hAnsi="Times New Roman" w:cs="Times New Roman" w:eastAsia="Times New Roman" w:hint="default"/>
        </w:rPr>
        <w:t>”</w:t>
      </w:r>
      <w:r>
        <w:rPr/>
        <w:t>。社会治理体系逐步趋于综合的</w:t>
      </w:r>
      <w:r>
        <w:rPr>
          <w:rFonts w:ascii="Times New Roman" w:hAnsi="Times New Roman" w:cs="Times New Roman" w:eastAsia="Times New Roman" w:hint="default"/>
        </w:rPr>
        <w:t>“</w:t>
      </w:r>
      <w:r>
        <w:rPr/>
        <w:t>多网合一</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spacing w:val="-43"/>
        </w:rPr>
        <w:t> </w:t>
      </w:r>
      <w:r>
        <w:rPr>
          <w:spacing w:val="-5"/>
        </w:rPr>
        <w:t>底，党的十九届四中全会提出，</w:t>
      </w:r>
      <w:r>
        <w:rPr>
          <w:rFonts w:ascii="Times New Roman" w:hAnsi="Times New Roman" w:cs="Times New Roman" w:eastAsia="Times New Roman" w:hint="default"/>
          <w:spacing w:val="-5"/>
        </w:rPr>
        <w:t>“</w:t>
      </w:r>
      <w:r>
        <w:rPr>
          <w:spacing w:val="-5"/>
        </w:rPr>
        <w:t>加强和创新社会治理，完善党委领导、政府负责、民主协商、</w:t>
      </w:r>
      <w:r>
        <w:rPr>
          <w:spacing w:val="-101"/>
        </w:rPr>
        <w:t> </w:t>
      </w:r>
      <w:r>
        <w:rPr>
          <w:spacing w:val="-101"/>
        </w:rPr>
      </w:r>
      <w:r>
        <w:rPr/>
        <w:t>社会协同、公众参与、法治保障、科技支撑的社会治理体系</w:t>
      </w:r>
      <w:r>
        <w:rPr>
          <w:rFonts w:ascii="Times New Roman" w:hAnsi="Times New Roman" w:cs="Times New Roman" w:eastAsia="Times New Roman" w:hint="default"/>
        </w:rPr>
        <w:t>”</w:t>
      </w:r>
      <w:r>
        <w:rPr/>
        <w:t>。大数据、物联网、人工智能、 云计算和</w:t>
      </w:r>
      <w:r>
        <w:rPr>
          <w:rFonts w:ascii="Times New Roman" w:hAnsi="Times New Roman" w:cs="Times New Roman" w:eastAsia="Times New Roman" w:hint="default"/>
        </w:rPr>
        <w:t>5G</w:t>
      </w:r>
      <w:r>
        <w:rPr/>
        <w:t>等信息技术的革新，助力新时代社会治理信息平台优化、执行力增强、治理效能 提升、维护安全稳定，最终实现通过科技支撑把国家治理的制度优势更好转化为社会治理效</w:t>
      </w:r>
      <w:r>
        <w:rPr>
          <w:spacing w:val="-91"/>
        </w:rPr>
        <w:t> </w:t>
      </w:r>
      <w:r>
        <w:rPr>
          <w:spacing w:val="-91"/>
        </w:rPr>
      </w:r>
      <w:r>
        <w:rPr/>
        <w:t>能，科技支撑成为社会治理的重要发展趋势。</w:t>
      </w:r>
    </w:p>
    <w:p>
      <w:pPr>
        <w:spacing w:line="338" w:lineRule="auto" w:before="46"/>
        <w:ind w:left="633" w:right="111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、国家高度重视城市排水管网建设工作，为项目建设提供市场空间</w:t>
      </w:r>
      <w:r>
        <w:rPr>
          <w:rFonts w:ascii="宋体" w:hAnsi="宋体" w:cs="宋体" w:eastAsia="宋体" w:hint="default"/>
          <w:b/>
          <w:bCs/>
          <w:w w:val="99"/>
          <w:sz w:val="24"/>
          <w:szCs w:val="24"/>
        </w:rPr>
        <w:t> </w:t>
      </w:r>
      <w:r>
        <w:rPr>
          <w:rFonts w:ascii="宋体" w:hAnsi="宋体" w:cs="宋体" w:eastAsia="宋体" w:hint="default"/>
          <w:spacing w:val="-2"/>
          <w:sz w:val="24"/>
          <w:szCs w:val="24"/>
        </w:rPr>
        <w:t>国家各部委对于城市排水防涝工作非常重视，自</w:t>
      </w:r>
      <w:r>
        <w:rPr>
          <w:rFonts w:ascii="Times New Roman" w:hAnsi="Times New Roman" w:cs="Times New Roman" w:eastAsia="Times New Roman" w:hint="default"/>
          <w:spacing w:val="-2"/>
          <w:sz w:val="24"/>
          <w:szCs w:val="24"/>
        </w:rPr>
        <w:t>2013</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3</w:t>
      </w:r>
      <w:r>
        <w:rPr>
          <w:rFonts w:ascii="宋体" w:hAnsi="宋体" w:cs="宋体" w:eastAsia="宋体" w:hint="default"/>
          <w:spacing w:val="-2"/>
          <w:sz w:val="24"/>
          <w:szCs w:val="24"/>
        </w:rPr>
        <w:t>月以来，国务院办公厅、住房和</w:t>
      </w:r>
    </w:p>
    <w:p>
      <w:pPr>
        <w:pStyle w:val="BodyText"/>
        <w:spacing w:line="343" w:lineRule="auto" w:before="27"/>
        <w:ind w:right="1128"/>
        <w:jc w:val="both"/>
      </w:pPr>
      <w:r>
        <w:rPr/>
        <w:t>城乡建设部先后发布了《关于做好城市排水防涝设施建设工作的通知》（国办发〔</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23</w:t>
      </w:r>
      <w:r>
        <w:rPr>
          <w:rFonts w:ascii="Times New Roman" w:hAnsi="Times New Roman" w:cs="Times New Roman" w:eastAsia="Times New Roman" w:hint="default"/>
          <w:spacing w:val="-28"/>
        </w:rPr>
        <w:t> </w:t>
      </w:r>
      <w:r>
        <w:rPr>
          <w:spacing w:val="3"/>
        </w:rPr>
        <w:t>号）、《关于加强</w:t>
      </w:r>
      <w:r>
        <w:rPr>
          <w:rFonts w:ascii="Times New Roman" w:hAnsi="Times New Roman" w:cs="Times New Roman" w:eastAsia="Times New Roman" w:hint="default"/>
          <w:spacing w:val="3"/>
        </w:rPr>
        <w:t>2018</w:t>
      </w:r>
      <w:r>
        <w:rPr>
          <w:spacing w:val="3"/>
        </w:rPr>
        <w:t>年城市排水防涝工作确保安全度汛的通知》（建办城函〔</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143</w:t>
      </w:r>
      <w:r>
        <w:rPr>
          <w:rFonts w:ascii="Times New Roman" w:hAnsi="Times New Roman" w:cs="Times New Roman" w:eastAsia="Times New Roman" w:hint="default"/>
        </w:rPr>
        <w:t> </w:t>
      </w:r>
      <w:r>
        <w:rPr>
          <w:spacing w:val="-2"/>
        </w:rPr>
        <w:t>号）、《关于做好</w:t>
      </w:r>
      <w:r>
        <w:rPr>
          <w:rFonts w:ascii="Times New Roman" w:hAnsi="Times New Roman" w:cs="Times New Roman" w:eastAsia="Times New Roman" w:hint="default"/>
          <w:spacing w:val="-2"/>
        </w:rPr>
        <w:t>2019</w:t>
      </w:r>
      <w:r>
        <w:rPr>
          <w:spacing w:val="-2"/>
        </w:rPr>
        <w:t>年城市排水防涝工作的通知》（建办城函〔</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176</w:t>
      </w:r>
      <w:r>
        <w:rPr>
          <w:spacing w:val="-2"/>
        </w:rPr>
        <w:t>号）等一系列政</w:t>
      </w:r>
      <w:r>
        <w:rPr>
          <w:spacing w:val="-113"/>
        </w:rPr>
        <w:t> </w:t>
      </w:r>
      <w:r>
        <w:rPr>
          <w:spacing w:val="-113"/>
        </w:rPr>
      </w:r>
      <w:r>
        <w:rPr/>
        <w:t>策性文件，要求加强城市污水管理水平，加强排水防涝防洪设施建设，提高城市排水管网体</w:t>
      </w:r>
      <w:r>
        <w:rPr>
          <w:spacing w:val="-91"/>
        </w:rPr>
        <w:t> </w:t>
      </w:r>
      <w:r>
        <w:rPr>
          <w:spacing w:val="-91"/>
        </w:rPr>
      </w:r>
      <w:r>
        <w:rPr/>
        <w:t>系的信息化、智慧化管理水平。</w:t>
      </w:r>
    </w:p>
    <w:p>
      <w:pPr>
        <w:pStyle w:val="BodyText"/>
        <w:spacing w:line="338" w:lineRule="auto" w:before="50"/>
        <w:ind w:right="1128"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月，住房和城乡建设部、生态环境部、发展改革委印发《城镇污水处理提质增效</w:t>
      </w:r>
      <w:r>
        <w:rPr/>
        <w:t> 三年行动方案（</w:t>
      </w:r>
      <w:r>
        <w:rPr>
          <w:rFonts w:ascii="Times New Roman" w:hAnsi="Times New Roman" w:cs="Times New Roman" w:eastAsia="Times New Roman" w:hint="default"/>
        </w:rPr>
        <w:t>2019</w:t>
      </w:r>
      <w:r>
        <w:rPr>
          <w:rFonts w:ascii="Times New Roman" w:hAnsi="Times New Roman" w:cs="Times New Roman" w:eastAsia="Times New Roman" w:hint="default"/>
        </w:rPr>
        <w:t>—</w:t>
      </w:r>
      <w:r>
        <w:rPr>
          <w:rFonts w:ascii="Times New Roman" w:hAnsi="Times New Roman" w:cs="Times New Roman" w:eastAsia="Times New Roman" w:hint="default"/>
        </w:rPr>
        <w:t>2021</w:t>
      </w:r>
      <w:r>
        <w:rPr/>
        <w:t>年）》，提出要</w:t>
      </w:r>
      <w:r>
        <w:rPr>
          <w:rFonts w:ascii="Times New Roman" w:hAnsi="Times New Roman" w:cs="Times New Roman" w:eastAsia="Times New Roman" w:hint="default"/>
        </w:rPr>
        <w:t>“</w:t>
      </w:r>
      <w:r>
        <w:rPr/>
        <w:t>依法建立市政排水管网地理信息系统（</w:t>
      </w:r>
      <w:r>
        <w:rPr>
          <w:rFonts w:ascii="Times New Roman" w:hAnsi="Times New Roman" w:cs="Times New Roman" w:eastAsia="Times New Roman" w:hint="default"/>
        </w:rPr>
        <w:t>GIS</w:t>
      </w:r>
      <w:r>
        <w:rPr/>
        <w:t>），</w:t>
      </w:r>
      <w:r>
        <w:rPr>
          <w:spacing w:val="-98"/>
        </w:rPr>
        <w:t> </w:t>
      </w:r>
      <w:r>
        <w:rPr>
          <w:spacing w:val="-3"/>
        </w:rPr>
        <w:t>实现管网信息化、账册化管理。落实排水管网周期性检测评估制度，建立和完善基于</w:t>
      </w:r>
      <w:r>
        <w:rPr>
          <w:rFonts w:ascii="Times New Roman" w:hAnsi="Times New Roman" w:cs="Times New Roman" w:eastAsia="Times New Roman" w:hint="default"/>
          <w:spacing w:val="-3"/>
        </w:rPr>
        <w:t>GIS</w:t>
      </w:r>
      <w:r>
        <w:rPr>
          <w:spacing w:val="-3"/>
        </w:rPr>
        <w:t>系统</w:t>
      </w:r>
      <w:r>
        <w:rPr>
          <w:spacing w:val="-102"/>
        </w:rPr>
        <w:t> </w:t>
      </w:r>
      <w:r>
        <w:rPr/>
        <w:t>的动态更新机制</w:t>
      </w:r>
      <w:r>
        <w:rPr>
          <w:rFonts w:ascii="Times New Roman" w:hAnsi="Times New Roman" w:cs="Times New Roman" w:eastAsia="Times New Roman" w:hint="default"/>
        </w:rPr>
        <w:t>”</w:t>
      </w:r>
      <w:r>
        <w:rPr/>
        <w:t>，同时</w:t>
      </w:r>
      <w:r>
        <w:rPr>
          <w:rFonts w:ascii="Times New Roman" w:hAnsi="Times New Roman" w:cs="Times New Roman" w:eastAsia="Times New Roman" w:hint="default"/>
        </w:rPr>
        <w:t>“</w:t>
      </w:r>
      <w:r>
        <w:rPr/>
        <w:t>把污水处理提质增效作为关系民生的重大问题和扩大内需的重点领</w:t>
      </w:r>
      <w:r>
        <w:rPr>
          <w:spacing w:val="-65"/>
        </w:rPr>
        <w:t> </w:t>
      </w:r>
      <w:r>
        <w:rPr>
          <w:spacing w:val="-65"/>
        </w:rPr>
      </w:r>
      <w:r>
        <w:rPr/>
        <w:t>域，全面提升城市生活污水收集处理能力和水平。</w:t>
      </w:r>
      <w:r>
        <w:rPr>
          <w:rFonts w:ascii="Times New Roman" w:hAnsi="Times New Roman" w:cs="Times New Roman" w:eastAsia="Times New Roman" w:hint="default"/>
        </w:rPr>
        <w:t>”</w:t>
      </w:r>
    </w:p>
    <w:p>
      <w:pPr>
        <w:spacing w:line="348" w:lineRule="auto" w:before="27"/>
        <w:ind w:left="633" w:right="986" w:firstLine="2"/>
        <w:jc w:val="left"/>
        <w:rPr>
          <w:rFonts w:ascii="宋体" w:hAnsi="宋体" w:cs="宋体" w:eastAsia="宋体" w:hint="default"/>
          <w:sz w:val="24"/>
          <w:szCs w:val="24"/>
        </w:rPr>
      </w:pPr>
      <w:r>
        <w:rPr>
          <w:rFonts w:ascii="宋体" w:hAnsi="宋体" w:cs="宋体" w:eastAsia="宋体" w:hint="default"/>
          <w:b/>
          <w:bCs/>
          <w:sz w:val="24"/>
          <w:szCs w:val="24"/>
        </w:rPr>
        <w:t>（四）、公司的行业地位和优势</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、公司的品牌影响力与强大的客户基础为项目开展提供强有力支持</w:t>
      </w:r>
      <w:r>
        <w:rPr>
          <w:rFonts w:ascii="宋体" w:hAnsi="宋体" w:cs="宋体" w:eastAsia="宋体" w:hint="default"/>
          <w:b/>
          <w:bCs/>
          <w:w w:val="99"/>
          <w:sz w:val="24"/>
          <w:szCs w:val="24"/>
        </w:rPr>
        <w:t> </w:t>
      </w:r>
      <w:r>
        <w:rPr>
          <w:rFonts w:ascii="宋体" w:hAnsi="宋体" w:cs="宋体" w:eastAsia="宋体" w:hint="default"/>
          <w:spacing w:val="-3"/>
          <w:sz w:val="24"/>
          <w:szCs w:val="24"/>
        </w:rPr>
        <w:t>数字政通专注于智慧城市应用与服务领域，目标用户是各个地市、区县的政府相关部门，</w:t>
      </w:r>
    </w:p>
    <w:p>
      <w:pPr>
        <w:pStyle w:val="BodyText"/>
        <w:spacing w:line="348" w:lineRule="auto" w:before="46"/>
        <w:ind w:right="1131"/>
        <w:jc w:val="both"/>
      </w:pPr>
      <w:r>
        <w:rPr/>
        <w:t>包括城管、住建、市政、政法、公安、环保、自然资源等领域。迄今为止公司已经为包括北</w:t>
      </w:r>
      <w:r>
        <w:rPr>
          <w:spacing w:val="-91"/>
        </w:rPr>
        <w:t> </w:t>
      </w:r>
      <w:r>
        <w:rPr>
          <w:spacing w:val="-91"/>
        </w:rPr>
      </w:r>
      <w:r>
        <w:rPr>
          <w:spacing w:val="-1"/>
        </w:rPr>
        <w:t>京、上海、天津、重庆、广州在内的数百个国内城市客户提供并实施了</w:t>
      </w:r>
      <w:r>
        <w:rPr>
          <w:rFonts w:ascii="Times New Roman" w:hAnsi="Times New Roman" w:cs="Times New Roman" w:eastAsia="Times New Roman" w:hint="default"/>
          <w:spacing w:val="-1"/>
        </w:rPr>
        <w:t>2,000</w:t>
      </w:r>
      <w:r>
        <w:rPr>
          <w:spacing w:val="-1"/>
        </w:rPr>
        <w:t>多个智慧城市相</w:t>
      </w:r>
      <w:r>
        <w:rPr>
          <w:spacing w:val="-99"/>
        </w:rPr>
        <w:t> </w:t>
      </w:r>
      <w:r>
        <w:rPr/>
        <w:t>关建设项目。</w:t>
      </w:r>
    </w:p>
    <w:p>
      <w:pPr>
        <w:pStyle w:val="BodyText"/>
        <w:spacing w:line="240" w:lineRule="auto" w:before="46"/>
        <w:ind w:left="633" w:right="1104"/>
        <w:jc w:val="left"/>
      </w:pPr>
      <w:r>
        <w:rPr/>
        <w:t>公司凭借持续的创新能力、专业化的团队优势和遍及全国的营销覆盖能力，帮助相关政</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jc w:val="both"/>
      </w:pPr>
      <w:r>
        <w:rPr/>
        <w:t>府部门改变常规的业务管理方式，为其提供更加先进、实用和贴切的整体解决方案。根据中</w:t>
      </w:r>
      <w:r>
        <w:rPr>
          <w:spacing w:val="-91"/>
        </w:rPr>
        <w:t> </w:t>
      </w:r>
      <w:r>
        <w:rPr>
          <w:spacing w:val="-91"/>
        </w:rPr>
      </w:r>
      <w:r>
        <w:rPr/>
        <w:t>国大数据排行榜，数字政通连续五年蝉联智慧城管领域榜首，拥有较高的市场认可度。公司</w:t>
      </w:r>
      <w:r>
        <w:rPr>
          <w:spacing w:val="-91"/>
        </w:rPr>
        <w:t> </w:t>
      </w:r>
      <w:r>
        <w:rPr>
          <w:spacing w:val="-91"/>
        </w:rPr>
      </w:r>
      <w:r>
        <w:rPr/>
        <w:t>凭借一批高水平的智慧城市应用项目的实施，多年来在业内积累了良好的声誉，得到了广大</w:t>
      </w:r>
      <w:r>
        <w:rPr>
          <w:spacing w:val="-91"/>
        </w:rPr>
        <w:t> </w:t>
      </w:r>
      <w:r>
        <w:rPr>
          <w:spacing w:val="-91"/>
        </w:rPr>
      </w:r>
      <w:r>
        <w:rPr/>
        <w:t>用户的肯定，品牌影响力持续扩大，为本项目的开展提供强有力支持。</w:t>
      </w:r>
    </w:p>
    <w:p>
      <w:pPr>
        <w:spacing w:line="338" w:lineRule="auto" w:before="36"/>
        <w:ind w:left="633" w:right="110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、稳定的人才团队与优质的技术服务</w:t>
      </w:r>
      <w:r>
        <w:rPr>
          <w:rFonts w:ascii="宋体" w:hAnsi="宋体" w:cs="宋体" w:eastAsia="宋体" w:hint="default"/>
          <w:b/>
          <w:bCs/>
          <w:w w:val="99"/>
          <w:sz w:val="24"/>
          <w:szCs w:val="24"/>
        </w:rPr>
        <w:t> </w:t>
      </w:r>
      <w:r>
        <w:rPr>
          <w:rFonts w:ascii="宋体" w:hAnsi="宋体" w:cs="宋体" w:eastAsia="宋体" w:hint="default"/>
          <w:sz w:val="24"/>
          <w:szCs w:val="24"/>
        </w:rPr>
        <w:t>公司核心团队多年从事智慧城市应用软件开发及推广工作，对于各类项目的需求有着准</w:t>
      </w:r>
    </w:p>
    <w:p>
      <w:pPr>
        <w:pStyle w:val="BodyText"/>
        <w:spacing w:line="357" w:lineRule="auto" w:before="55"/>
        <w:ind w:right="986"/>
        <w:jc w:val="left"/>
      </w:pPr>
      <w:r>
        <w:rPr>
          <w:spacing w:val="-3"/>
        </w:rPr>
        <w:t>确、深入、透彻的理解与掌握。公司拥有实力雄厚的开发、质管、工程服务和市场销售团队，</w:t>
      </w:r>
      <w:r>
        <w:rPr>
          <w:spacing w:val="-82"/>
        </w:rPr>
        <w:t> </w:t>
      </w:r>
      <w:r>
        <w:rPr>
          <w:spacing w:val="-82"/>
        </w:rPr>
      </w:r>
      <w:r>
        <w:rPr/>
        <w:t>从产品研发、市场推广、运营维护等各环节确保了本公司产品与服务的先进性、实用性、稳</w:t>
      </w:r>
      <w:r>
        <w:rPr>
          <w:spacing w:val="-91"/>
        </w:rPr>
        <w:t> </w:t>
      </w:r>
      <w:r>
        <w:rPr>
          <w:spacing w:val="-91"/>
        </w:rPr>
      </w:r>
      <w:r>
        <w:rPr/>
        <w:t>定性，为项目实施提供充足的人才队伍。此外，公司具有不断深化的持续创新能力，为客户</w:t>
      </w:r>
      <w:r>
        <w:rPr>
          <w:spacing w:val="-91"/>
        </w:rPr>
        <w:t> </w:t>
      </w:r>
      <w:r>
        <w:rPr>
          <w:spacing w:val="-91"/>
        </w:rPr>
      </w:r>
      <w:r>
        <w:rPr/>
        <w:t>提供符合实际情况的产品和技术服务，形成了从基于构建技术的开发、数据构建以及精细化</w:t>
      </w:r>
      <w:r>
        <w:rPr>
          <w:spacing w:val="-91"/>
        </w:rPr>
        <w:t> </w:t>
      </w:r>
      <w:r>
        <w:rPr>
          <w:spacing w:val="-91"/>
        </w:rPr>
      </w:r>
      <w:r>
        <w:rPr/>
        <w:t>统筹实施管理等方面稳定高效的快速搭建与快速反应能力。同时，公司可以为建设单位提供</w:t>
      </w:r>
      <w:r>
        <w:rPr>
          <w:spacing w:val="-91"/>
        </w:rPr>
        <w:t> </w:t>
      </w:r>
      <w:r>
        <w:rPr>
          <w:spacing w:val="-91"/>
        </w:rPr>
      </w:r>
      <w:r>
        <w:rPr/>
        <w:t>管理体制机制建设的相关服务，为相关建设单位提供岗位技术培训，并根据不同城市的情况</w:t>
      </w:r>
      <w:r>
        <w:rPr>
          <w:spacing w:val="-91"/>
        </w:rPr>
        <w:t> </w:t>
      </w:r>
      <w:r>
        <w:rPr>
          <w:spacing w:val="-91"/>
        </w:rPr>
      </w:r>
      <w:r>
        <w:rPr/>
        <w:t>提供建设参考。</w:t>
      </w:r>
    </w:p>
    <w:p>
      <w:pPr>
        <w:spacing w:line="338" w:lineRule="auto" w:before="36"/>
        <w:ind w:left="633" w:right="1104"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、丰富的地下管网项目经验</w:t>
      </w:r>
      <w:r>
        <w:rPr>
          <w:rFonts w:ascii="宋体" w:hAnsi="宋体" w:cs="宋体" w:eastAsia="宋体" w:hint="default"/>
          <w:b/>
          <w:bCs/>
          <w:w w:val="99"/>
          <w:sz w:val="24"/>
          <w:szCs w:val="24"/>
        </w:rPr>
        <w:t> </w:t>
      </w:r>
      <w:r>
        <w:rPr>
          <w:rFonts w:ascii="宋体" w:hAnsi="宋体" w:cs="宋体" w:eastAsia="宋体" w:hint="default"/>
          <w:sz w:val="24"/>
          <w:szCs w:val="24"/>
        </w:rPr>
        <w:t>公司全资子公司保定金迪地下管线探测工程有限公司是国内最早成立的专门从事地下管</w:t>
      </w:r>
    </w:p>
    <w:p>
      <w:pPr>
        <w:pStyle w:val="BodyText"/>
        <w:spacing w:line="357" w:lineRule="auto" w:before="55"/>
        <w:ind w:right="1135"/>
        <w:jc w:val="both"/>
      </w:pPr>
      <w:r>
        <w:rPr/>
        <w:t>线探测和管线信息管理系统开发、建设服务的公司之一。金迪管线成立二十多年来，在管线</w:t>
      </w:r>
      <w:r>
        <w:rPr>
          <w:spacing w:val="-91"/>
        </w:rPr>
        <w:t> </w:t>
      </w:r>
      <w:r>
        <w:rPr>
          <w:spacing w:val="-91"/>
        </w:rPr>
      </w:r>
      <w:r>
        <w:rPr/>
        <w:t>探测方面，完成了管线探测项目</w:t>
      </w:r>
      <w:r>
        <w:rPr>
          <w:rFonts w:ascii="宋体" w:hAnsi="宋体" w:cs="宋体" w:eastAsia="宋体" w:hint="default"/>
        </w:rPr>
        <w:t>1,000</w:t>
      </w:r>
      <w:r>
        <w:rPr/>
        <w:t>多个，探测各类地下管线长度</w:t>
      </w:r>
      <w:r>
        <w:rPr>
          <w:rFonts w:ascii="宋体" w:hAnsi="宋体" w:cs="宋体" w:eastAsia="宋体" w:hint="default"/>
        </w:rPr>
        <w:t>100</w:t>
      </w:r>
      <w:r>
        <w:rPr/>
        <w:t>多万公里、地形测绘</w:t>
      </w:r>
      <w:r>
        <w:rPr>
          <w:spacing w:val="-88"/>
        </w:rPr>
        <w:t> </w:t>
      </w:r>
      <w:r>
        <w:rPr>
          <w:spacing w:val="-88"/>
        </w:rPr>
      </w:r>
      <w:r>
        <w:rPr/>
        <w:t>超过</w:t>
      </w:r>
      <w:r>
        <w:rPr>
          <w:rFonts w:ascii="宋体" w:hAnsi="宋体" w:cs="宋体" w:eastAsia="宋体" w:hint="default"/>
        </w:rPr>
        <w:t>10,000</w:t>
      </w:r>
      <w:r>
        <w:rPr/>
        <w:t>平方公里，完成的武汉、成都、宁波、苏州、厦门、福州、杭州、克拉玛依、绍</w:t>
      </w:r>
      <w:r>
        <w:rPr>
          <w:spacing w:val="-91"/>
        </w:rPr>
        <w:t> </w:t>
      </w:r>
      <w:r>
        <w:rPr>
          <w:spacing w:val="-91"/>
        </w:rPr>
      </w:r>
      <w:r>
        <w:rPr/>
        <w:t>兴、台州、沧州等多个城市管线探测项目获得了国家、省部级优质工程。金迪管线丰富的地</w:t>
      </w:r>
      <w:r>
        <w:rPr>
          <w:spacing w:val="-91"/>
        </w:rPr>
        <w:t> </w:t>
      </w:r>
      <w:r>
        <w:rPr>
          <w:spacing w:val="-91"/>
        </w:rPr>
      </w:r>
      <w:r>
        <w:rPr/>
        <w:t>下管网项目经验为公司积累了大量的人才及技术，为项目建设顺利开展奠定坚实基础。</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二、主要资产重大变化情况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4"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spacing w:line="528" w:lineRule="auto" w:before="0"/>
        <w:ind w:left="633" w:right="6313" w:hanging="481"/>
        <w:jc w:val="left"/>
        <w:rPr>
          <w:rFonts w:ascii="宋体" w:hAnsi="宋体" w:cs="宋体" w:eastAsia="宋体" w:hint="default"/>
          <w:sz w:val="24"/>
          <w:szCs w:val="24"/>
        </w:rPr>
      </w:pPr>
      <w:r>
        <w:rPr/>
        <w:pict>
          <v:shape style="position:absolute;margin-left:56.279999pt;margin-top:56.615639pt;width:419.4pt;height:571.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1"/>
                    <w:gridCol w:w="4950"/>
                    <w:gridCol w:w="1416"/>
                    <w:gridCol w:w="1419"/>
                  </w:tblGrid>
                  <w:tr>
                    <w:trPr>
                      <w:trHeight w:val="336" w:hRule="exact"/>
                    </w:trPr>
                    <w:tc>
                      <w:tcPr>
                        <w:tcW w:w="581"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950"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知识产权名称</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城市综合管理服务平台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2019/1/23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2019SR0082940</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智慧化城市管理信息系统</w:t>
                        </w:r>
                        <w:r>
                          <w:rPr>
                            <w:rFonts w:ascii="宋体" w:hAnsi="宋体" w:cs="宋体" w:eastAsia="宋体" w:hint="default"/>
                            <w:sz w:val="18"/>
                            <w:szCs w:val="18"/>
                          </w:rPr>
                          <w:t>[</w:t>
                        </w:r>
                        <w:r>
                          <w:rPr>
                            <w:rFonts w:ascii="宋体" w:hAnsi="宋体" w:cs="宋体" w:eastAsia="宋体" w:hint="default"/>
                            <w:sz w:val="18"/>
                            <w:szCs w:val="18"/>
                          </w:rPr>
                          <w:t>简称：智慧城管</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2019/1/28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2019SR0098753</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3</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智慧路灯管理系统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2019/1/29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2019SR0107206</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智慧排水管理系统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2019/1/29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2019SR0107209</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5</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智慧井盖管理系统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2019SR0107201</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6</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门前管理三包系统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2019/2/11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2019SR0131933</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7</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户外广告管理系统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2019/2/11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2019SR0132051</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8</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违法建设管理系统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2019/2/11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2019SR0131924</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9</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智慧环卫餐厨垃圾管理系统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2019/2/11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2019SR0131916</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城市综合运营中心平台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2019/3/21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2019SR0268773</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11</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数据系统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2019/3/21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2019SR0268675</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sz w:val="18"/>
                          </w:rPr>
                          <w:t>12</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重点人群清单式管控系统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2019/3/21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2019SR0268681</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13</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综治监督指挥系统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2019/3/21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2019SR0268423</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14</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综治任务平台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2019/3/21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2019SR0268869</w:t>
                        </w:r>
                      </w:p>
                    </w:tc>
                  </w:tr>
                  <w:tr>
                    <w:trPr>
                      <w:trHeight w:val="65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15</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1"/>
                            <w:sz w:val="18"/>
                            <w:szCs w:val="18"/>
                          </w:rPr>
                          <w:t>扬尘治理和建筑垃圾处置监管信息系统平台</w:t>
                        </w:r>
                        <w:r>
                          <w:rPr>
                            <w:rFonts w:ascii="宋体" w:hAnsi="宋体" w:cs="宋体" w:eastAsia="宋体" w:hint="default"/>
                            <w:spacing w:val="-1"/>
                            <w:sz w:val="18"/>
                            <w:szCs w:val="18"/>
                          </w:rPr>
                          <w:t>[</w:t>
                        </w:r>
                        <w:r>
                          <w:rPr>
                            <w:rFonts w:ascii="宋体" w:hAnsi="宋体" w:cs="宋体" w:eastAsia="宋体" w:hint="default"/>
                            <w:spacing w:val="-1"/>
                            <w:sz w:val="18"/>
                            <w:szCs w:val="18"/>
                          </w:rPr>
                          <w:t>简称：工地渣土监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2019/4/24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2019SR0386007</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16</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数字政通基于位置服务管理云平台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2019SR0519169</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17</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数字政通大数据</w:t>
                        </w:r>
                        <w:r>
                          <w:rPr>
                            <w:rFonts w:ascii="宋体" w:hAnsi="宋体" w:cs="宋体" w:eastAsia="宋体" w:hint="default"/>
                            <w:sz w:val="18"/>
                            <w:szCs w:val="18"/>
                          </w:rPr>
                          <w:t>ETL</w:t>
                        </w:r>
                        <w:r>
                          <w:rPr>
                            <w:rFonts w:ascii="宋体" w:hAnsi="宋体" w:cs="宋体" w:eastAsia="宋体" w:hint="default"/>
                            <w:sz w:val="18"/>
                            <w:szCs w:val="18"/>
                          </w:rPr>
                          <w:t>工具软件</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2019SR0519631</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18</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数字政通城市管理专项检查考评系统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2019SR0519150</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19</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数字政通工作流引擎软件</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2019SR0519115</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20</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数字政通城管业务综合处理平台软件</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2019SR0519129</w:t>
                        </w:r>
                      </w:p>
                    </w:tc>
                  </w:tr>
                  <w:tr>
                    <w:trPr>
                      <w:trHeight w:val="349"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21</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数字政通</w:t>
                        </w:r>
                        <w:r>
                          <w:rPr>
                            <w:rFonts w:ascii="宋体" w:hAnsi="宋体" w:cs="宋体" w:eastAsia="宋体" w:hint="default"/>
                            <w:sz w:val="18"/>
                            <w:szCs w:val="18"/>
                          </w:rPr>
                          <w:t>WEB</w:t>
                        </w:r>
                        <w:r>
                          <w:rPr>
                            <w:rFonts w:ascii="宋体" w:hAnsi="宋体" w:cs="宋体" w:eastAsia="宋体" w:hint="default"/>
                            <w:sz w:val="18"/>
                            <w:szCs w:val="18"/>
                          </w:rPr>
                          <w:t>地图编辑软件</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2019SR0519135</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22</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数字政通可视化应用（框架）系统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2019SR0520037</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23</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数字政通城市部件智能管理系统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2019SR0519143</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24</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数字政通智能移动集成系统软件</w:t>
                        </w:r>
                        <w:r>
                          <w:rPr>
                            <w:rFonts w:ascii="宋体" w:hAnsi="宋体" w:cs="宋体" w:eastAsia="宋体" w:hint="default"/>
                            <w:sz w:val="18"/>
                            <w:szCs w:val="18"/>
                          </w:rPr>
                          <w:t>V3.11.1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2019SR0519712</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25</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数字政通定位应用服务系统</w:t>
                        </w:r>
                        <w:r>
                          <w:rPr>
                            <w:rFonts w:ascii="宋体" w:hAnsi="宋体" w:cs="宋体" w:eastAsia="宋体" w:hint="default"/>
                            <w:sz w:val="18"/>
                            <w:szCs w:val="18"/>
                          </w:rPr>
                          <w:t>V3.12.1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2019SR0519107</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26</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数字政通</w:t>
                        </w:r>
                        <w:r>
                          <w:rPr>
                            <w:rFonts w:ascii="宋体" w:hAnsi="宋体" w:cs="宋体" w:eastAsia="宋体" w:hint="default"/>
                            <w:sz w:val="18"/>
                            <w:szCs w:val="18"/>
                          </w:rPr>
                          <w:t>WEB</w:t>
                        </w:r>
                        <w:r>
                          <w:rPr>
                            <w:rFonts w:ascii="宋体" w:hAnsi="宋体" w:cs="宋体" w:eastAsia="宋体" w:hint="default"/>
                            <w:sz w:val="18"/>
                            <w:szCs w:val="18"/>
                          </w:rPr>
                          <w:t>地图发布引擎平台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2019SR0519718</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27</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数字政通应用中间件软件</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2019/5/24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2019SR0519727</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28</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大数据中心数据共享平台</w:t>
                        </w:r>
                        <w:r>
                          <w:rPr>
                            <w:rFonts w:ascii="宋体" w:hAnsi="宋体" w:cs="宋体" w:eastAsia="宋体" w:hint="default"/>
                            <w:sz w:val="18"/>
                            <w:szCs w:val="18"/>
                          </w:rPr>
                          <w:t>[</w:t>
                        </w:r>
                        <w:r>
                          <w:rPr>
                            <w:rFonts w:ascii="宋体" w:hAnsi="宋体" w:cs="宋体" w:eastAsia="宋体" w:hint="default"/>
                            <w:sz w:val="18"/>
                            <w:szCs w:val="18"/>
                          </w:rPr>
                          <w:t>简称：数据共享</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2019/7/12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2019SR0719137</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29</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大数据中心数据融合平台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2019/7/12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2019SR0722693</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sz w:val="18"/>
                          </w:rPr>
                          <w:t>30</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大数据中心资源目录平台</w:t>
                        </w:r>
                        <w:r>
                          <w:rPr>
                            <w:rFonts w:ascii="宋体" w:hAnsi="宋体" w:cs="宋体" w:eastAsia="宋体" w:hint="default"/>
                            <w:sz w:val="18"/>
                            <w:szCs w:val="18"/>
                          </w:rPr>
                          <w:t>[</w:t>
                        </w:r>
                        <w:r>
                          <w:rPr>
                            <w:rFonts w:ascii="宋体" w:hAnsi="宋体" w:cs="宋体" w:eastAsia="宋体" w:hint="default"/>
                            <w:sz w:val="18"/>
                            <w:szCs w:val="18"/>
                          </w:rPr>
                          <w:t>简称：资源目录</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2019/7/12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2019SR0722831</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31</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大数据中心信息发布平台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2019/7/15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2019SR0726393</w:t>
                        </w:r>
                      </w:p>
                    </w:tc>
                  </w:tr>
                </w:tbl>
                <w:p>
                  <w:pPr/>
                </w:p>
              </w:txbxContent>
            </v:textbox>
            <w10:wrap type="none"/>
          </v:shape>
        </w:pict>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z w:val="24"/>
          <w:szCs w:val="24"/>
        </w:rPr>
        <w:t>报告期内，公司取得多项软件著作权</w:t>
      </w:r>
      <w:r>
        <w:rPr>
          <w:rFonts w:ascii="宋体" w:hAnsi="宋体" w:cs="宋体" w:eastAsia="宋体" w:hint="default"/>
          <w:sz w:val="24"/>
          <w:szCs w:val="24"/>
        </w:rPr>
        <w:t>:</w:t>
      </w:r>
    </w:p>
    <w:p>
      <w:pPr>
        <w:spacing w:after="0" w:line="528" w:lineRule="auto"/>
        <w:jc w:val="left"/>
        <w:rPr>
          <w:rFonts w:ascii="宋体" w:hAnsi="宋体" w:cs="宋体" w:eastAsia="宋体" w:hint="default"/>
          <w:sz w:val="24"/>
          <w:szCs w:val="24"/>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581"/>
        <w:gridCol w:w="4950"/>
        <w:gridCol w:w="1416"/>
        <w:gridCol w:w="1419"/>
      </w:tblGrid>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87"/>
              <w:jc w:val="right"/>
              <w:rPr>
                <w:rFonts w:ascii="宋体" w:hAnsi="宋体" w:cs="宋体" w:eastAsia="宋体" w:hint="default"/>
                <w:sz w:val="18"/>
                <w:szCs w:val="18"/>
              </w:rPr>
            </w:pPr>
            <w:r>
              <w:rPr>
                <w:rFonts w:ascii="宋体"/>
                <w:sz w:val="18"/>
              </w:rPr>
              <w:t>32</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大数据中心政务智搜平台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2019/7/15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3"/>
              <w:jc w:val="right"/>
              <w:rPr>
                <w:rFonts w:ascii="宋体" w:hAnsi="宋体" w:cs="宋体" w:eastAsia="宋体" w:hint="default"/>
                <w:sz w:val="18"/>
                <w:szCs w:val="18"/>
              </w:rPr>
            </w:pPr>
            <w:r>
              <w:rPr>
                <w:rFonts w:ascii="宋体"/>
                <w:spacing w:val="-1"/>
                <w:sz w:val="18"/>
              </w:rPr>
              <w:t>2019SR0726557</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33</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基于多类型物联设备的城市路内停车运营管理系统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2019/8/1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2019SR0801880</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34</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兼容多厂商系统的城市停车电子优惠服务系统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2019/8/1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2019SR0801886</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35</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基于多服务商的城市级停车电子发票管理系统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2019/8/1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2019SR0802491</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36</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基于多种第三方支付的城市停车统一支付服务系统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2019/8/1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2019SR0802497</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37</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智慧环卫中转站监管系统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2019/10/10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2019SR1025713</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38</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智慧环卫焚烧厂监管系统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2019/10/10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2019SR1026948</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39</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智慧环卫填埋场监管系统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2019/10/10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2019SR1026954</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40</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环卫固废监管大数据分析系统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2019/10/10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2019SR1027054</w:t>
            </w:r>
          </w:p>
        </w:tc>
      </w:tr>
      <w:tr>
        <w:trPr>
          <w:trHeight w:val="349"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41</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垃圾分类全过程监管系统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2019/10/10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2019SR1027059</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42</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智慧公厕管理系统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2019/10/10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2016SR1027065</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43</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环卫人员监管考核系统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2019/10/11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2019SR1032206</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44</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建设用地智能审批系统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2019/11/22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2019SR1191138</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45</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智慧城管</w:t>
            </w:r>
            <w:r>
              <w:rPr>
                <w:rFonts w:ascii="宋体" w:hAnsi="宋体" w:cs="宋体" w:eastAsia="宋体" w:hint="default"/>
                <w:sz w:val="18"/>
                <w:szCs w:val="18"/>
              </w:rPr>
              <w:t>3+1</w:t>
            </w:r>
            <w:r>
              <w:rPr>
                <w:rFonts w:ascii="宋体" w:hAnsi="宋体" w:cs="宋体" w:eastAsia="宋体" w:hint="default"/>
                <w:sz w:val="18"/>
                <w:szCs w:val="18"/>
              </w:rPr>
              <w:t>综合管理信息系统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2019/11/22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2019SR1191142</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46</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多网融合综合治理与服务信息系统</w:t>
            </w:r>
            <w:r>
              <w:rPr>
                <w:rFonts w:ascii="宋体" w:hAnsi="宋体" w:cs="宋体" w:eastAsia="宋体" w:hint="default"/>
                <w:sz w:val="18"/>
                <w:szCs w:val="18"/>
              </w:rPr>
              <w:t>V19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2019/11/22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2019SR1191506</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47</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多通合一移动办公系统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2019/11/23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2019SR1197052</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48</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智慧市民通软件</w:t>
            </w:r>
            <w:r>
              <w:rPr>
                <w:rFonts w:ascii="宋体" w:hAnsi="宋体" w:cs="宋体" w:eastAsia="宋体" w:hint="default"/>
                <w:sz w:val="18"/>
                <w:szCs w:val="18"/>
              </w:rPr>
              <w:t>[</w:t>
            </w:r>
            <w:r>
              <w:rPr>
                <w:rFonts w:ascii="宋体" w:hAnsi="宋体" w:cs="宋体" w:eastAsia="宋体" w:hint="default"/>
                <w:sz w:val="18"/>
                <w:szCs w:val="18"/>
              </w:rPr>
              <w:t>简称：市民通</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2019/11/23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2019SR1197906</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49</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智慧市政综合监管平台</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2019/11/28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2019SR1227434</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50</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城市管理运行中心平台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2019/11/28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2019SR1228133</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87"/>
              <w:jc w:val="right"/>
              <w:rPr>
                <w:rFonts w:ascii="宋体" w:hAnsi="宋体" w:cs="宋体" w:eastAsia="宋体" w:hint="default"/>
                <w:sz w:val="18"/>
                <w:szCs w:val="18"/>
              </w:rPr>
            </w:pPr>
            <w:r>
              <w:rPr>
                <w:rFonts w:ascii="宋体"/>
                <w:sz w:val="18"/>
              </w:rPr>
              <w:t>51</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政通信息采集项目智能监管及分析系统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2019/12/27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13"/>
              <w:jc w:val="right"/>
              <w:rPr>
                <w:rFonts w:ascii="宋体" w:hAnsi="宋体" w:cs="宋体" w:eastAsia="宋体" w:hint="default"/>
                <w:sz w:val="18"/>
                <w:szCs w:val="18"/>
              </w:rPr>
            </w:pPr>
            <w:r>
              <w:rPr>
                <w:rFonts w:ascii="宋体"/>
                <w:spacing w:val="-1"/>
                <w:sz w:val="18"/>
              </w:rPr>
              <w:t>2019SR1443699</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52</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高速公路车辆数据综合分析平台</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2019/2/19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2019SR0155218</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53</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大数据中心数据共享系统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2019/7/17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2019SR0737570</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54</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大数据中心信息发布系统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2019/7/17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2019SR0739305</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55</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大数据中心资源目录系统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2019/7/17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2019SR0740025</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56</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大数据中心政务智搜系统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2019/7/17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2019SR0740028</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57</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大数据中心数据融合系统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2019/7/17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2019SR0740856</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58</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市政绿化信息管理系统</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2019.01.31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2019SR0116224</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59</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供水管网</w:t>
            </w:r>
            <w:r>
              <w:rPr>
                <w:rFonts w:ascii="宋体" w:hAnsi="宋体" w:cs="宋体" w:eastAsia="宋体" w:hint="default"/>
                <w:sz w:val="18"/>
                <w:szCs w:val="18"/>
              </w:rPr>
              <w:t>DMA</w:t>
            </w:r>
            <w:r>
              <w:rPr>
                <w:rFonts w:ascii="宋体" w:hAnsi="宋体" w:cs="宋体" w:eastAsia="宋体" w:hint="default"/>
                <w:sz w:val="18"/>
                <w:szCs w:val="18"/>
              </w:rPr>
              <w:t>漏损控制系统</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2019.01.31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2019SR0116220</w:t>
            </w:r>
          </w:p>
        </w:tc>
      </w:tr>
      <w:tr>
        <w:trPr>
          <w:trHeight w:val="349"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60</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智慧管网云服务系统</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2019.01.31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2019SR0116228</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61</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数据交换服务共享平台</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2019.01.31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2019SR0116233</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62</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管线空间数据运维管理平台</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2019.01.31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2019SR0116151</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63</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城建档案管理系统</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2019.03.13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2019SR0246373</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64</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供水管网水力模型仿真系统</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2019.05.22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2019SR0497745</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65</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供水管网巡检系统</w:t>
            </w:r>
            <w:r>
              <w:rPr>
                <w:rFonts w:ascii="宋体" w:hAnsi="宋体" w:cs="宋体" w:eastAsia="宋体" w:hint="default"/>
                <w:sz w:val="18"/>
                <w:szCs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2019.05.22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2019SR0497754</w:t>
            </w:r>
          </w:p>
        </w:tc>
      </w:tr>
      <w:tr>
        <w:trPr>
          <w:trHeight w:val="346"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66</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GDInfo</w:t>
            </w:r>
            <w:r>
              <w:rPr>
                <w:rFonts w:ascii="宋体" w:hAnsi="宋体" w:cs="宋体" w:eastAsia="宋体" w:hint="default"/>
                <w:sz w:val="18"/>
                <w:szCs w:val="18"/>
              </w:rPr>
              <w:t>供水管线物联设备管理系统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2019.05.22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2019SR0499327</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
              <w:jc w:val="right"/>
              <w:rPr>
                <w:rFonts w:ascii="宋体" w:hAnsi="宋体" w:cs="宋体" w:eastAsia="宋体" w:hint="default"/>
                <w:sz w:val="18"/>
                <w:szCs w:val="18"/>
              </w:rPr>
            </w:pPr>
            <w:r>
              <w:rPr>
                <w:rFonts w:ascii="宋体"/>
                <w:sz w:val="18"/>
              </w:rPr>
              <w:t>67</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JD</w:t>
            </w:r>
            <w:r>
              <w:rPr>
                <w:rFonts w:ascii="宋体" w:hAnsi="宋体" w:cs="宋体" w:eastAsia="宋体" w:hint="default"/>
                <w:sz w:val="18"/>
                <w:szCs w:val="18"/>
              </w:rPr>
              <w:t>排水管道电视检测系统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2019.04.20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3"/>
              <w:jc w:val="right"/>
              <w:rPr>
                <w:rFonts w:ascii="宋体" w:hAnsi="宋体" w:cs="宋体" w:eastAsia="宋体" w:hint="default"/>
                <w:sz w:val="18"/>
                <w:szCs w:val="18"/>
              </w:rPr>
            </w:pPr>
            <w:r>
              <w:rPr>
                <w:rFonts w:ascii="宋体"/>
                <w:spacing w:val="-1"/>
                <w:sz w:val="18"/>
              </w:rPr>
              <w:t>2019SR0362805</w:t>
            </w:r>
          </w:p>
        </w:tc>
      </w:tr>
      <w:tr>
        <w:trPr>
          <w:trHeight w:val="348"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87"/>
              <w:jc w:val="right"/>
              <w:rPr>
                <w:rFonts w:ascii="宋体" w:hAnsi="宋体" w:cs="宋体" w:eastAsia="宋体" w:hint="default"/>
                <w:sz w:val="18"/>
                <w:szCs w:val="18"/>
              </w:rPr>
            </w:pPr>
            <w:r>
              <w:rPr>
                <w:rFonts w:ascii="宋体"/>
                <w:sz w:val="18"/>
              </w:rPr>
              <w:t>68</w:t>
            </w:r>
          </w:p>
        </w:tc>
        <w:tc>
          <w:tcPr>
            <w:tcW w:w="4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JD</w:t>
            </w:r>
            <w:r>
              <w:rPr>
                <w:rFonts w:ascii="宋体" w:hAnsi="宋体" w:cs="宋体" w:eastAsia="宋体" w:hint="default"/>
                <w:sz w:val="18"/>
                <w:szCs w:val="18"/>
              </w:rPr>
              <w:t>管道潜望镜检测系统</w:t>
            </w:r>
            <w:r>
              <w:rPr>
                <w:rFonts w:ascii="宋体" w:hAnsi="宋体" w:cs="宋体" w:eastAsia="宋体" w:hint="default"/>
                <w:sz w:val="18"/>
                <w:szCs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2019.04.20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3"/>
              <w:jc w:val="right"/>
              <w:rPr>
                <w:rFonts w:ascii="宋体" w:hAnsi="宋体" w:cs="宋体" w:eastAsia="宋体" w:hint="default"/>
                <w:sz w:val="18"/>
                <w:szCs w:val="18"/>
              </w:rPr>
            </w:pPr>
            <w:r>
              <w:rPr>
                <w:rFonts w:ascii="宋体"/>
                <w:spacing w:val="-1"/>
                <w:sz w:val="18"/>
              </w:rPr>
              <w:t>2019SR0362805</w:t>
            </w:r>
          </w:p>
        </w:tc>
      </w:tr>
    </w:tbl>
    <w:p>
      <w:pPr>
        <w:pStyle w:val="BodyText"/>
        <w:spacing w:line="240" w:lineRule="auto" w:before="39"/>
        <w:ind w:left="633" w:right="1104"/>
        <w:jc w:val="left"/>
        <w:rPr>
          <w:rFonts w:ascii="宋体" w:hAnsi="宋体" w:cs="宋体" w:eastAsia="宋体" w:hint="default"/>
        </w:rPr>
      </w:pPr>
      <w:r>
        <w:rPr/>
        <w:t>报告期内，公司取得多项专利</w:t>
      </w:r>
      <w:r>
        <w:rPr>
          <w:rFonts w:ascii="宋体" w:hAnsi="宋体" w:cs="宋体" w:eastAsia="宋体" w:hint="default"/>
        </w:rPr>
        <w:t>:</w:t>
      </w:r>
    </w:p>
    <w:p>
      <w:pPr>
        <w:spacing w:line="240" w:lineRule="auto" w:before="1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008"/>
        <w:gridCol w:w="1200"/>
        <w:gridCol w:w="2857"/>
        <w:gridCol w:w="1740"/>
        <w:gridCol w:w="1702"/>
      </w:tblGrid>
      <w:tr>
        <w:trPr>
          <w:trHeight w:val="348" w:hRule="exact"/>
        </w:trPr>
        <w:tc>
          <w:tcPr>
            <w:tcW w:w="1008"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17"/>
              <w:ind w:left="31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200"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17"/>
              <w:ind w:left="235"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2857"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740"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17"/>
              <w:ind w:left="504" w:right="0"/>
              <w:jc w:val="left"/>
              <w:rPr>
                <w:rFonts w:ascii="宋体" w:hAnsi="宋体" w:cs="宋体" w:eastAsia="宋体" w:hint="default"/>
                <w:sz w:val="18"/>
                <w:szCs w:val="18"/>
              </w:rPr>
            </w:pPr>
            <w:r>
              <w:rPr>
                <w:rFonts w:ascii="宋体" w:hAnsi="宋体" w:cs="宋体" w:eastAsia="宋体" w:hint="default"/>
                <w:sz w:val="18"/>
                <w:szCs w:val="18"/>
              </w:rPr>
              <w:t>授权日期</w:t>
            </w:r>
          </w:p>
        </w:tc>
        <w:tc>
          <w:tcPr>
            <w:tcW w:w="1702" w:type="dxa"/>
            <w:tcBorders>
              <w:top w:val="single" w:sz="6" w:space="0" w:color="000000"/>
              <w:left w:val="single" w:sz="6" w:space="0" w:color="000000"/>
              <w:bottom w:val="single" w:sz="6" w:space="0" w:color="000000"/>
              <w:right w:val="single" w:sz="6" w:space="0" w:color="000000"/>
            </w:tcBorders>
            <w:shd w:val="clear" w:color="auto" w:fill="CCCCF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专利号</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008"/>
        <w:gridCol w:w="1200"/>
        <w:gridCol w:w="2857"/>
        <w:gridCol w:w="1740"/>
        <w:gridCol w:w="1702"/>
      </w:tblGrid>
      <w:tr>
        <w:trPr>
          <w:trHeight w:val="6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1</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703" w:right="68" w:hanging="632"/>
              <w:jc w:val="left"/>
              <w:rPr>
                <w:rFonts w:ascii="宋体" w:hAnsi="宋体" w:cs="宋体" w:eastAsia="宋体" w:hint="default"/>
                <w:sz w:val="18"/>
                <w:szCs w:val="18"/>
              </w:rPr>
            </w:pPr>
            <w:r>
              <w:rPr>
                <w:rFonts w:ascii="宋体" w:hAnsi="宋体" w:cs="宋体" w:eastAsia="宋体" w:hint="default"/>
                <w:sz w:val="18"/>
                <w:szCs w:val="18"/>
              </w:rPr>
              <w:t>一种基于无线通讯技术的门禁控制 方法、装置及系统</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58" w:right="0"/>
              <w:jc w:val="left"/>
              <w:rPr>
                <w:rFonts w:ascii="宋体" w:hAnsi="宋体" w:cs="宋体" w:eastAsia="宋体" w:hint="default"/>
                <w:sz w:val="18"/>
                <w:szCs w:val="18"/>
              </w:rPr>
            </w:pPr>
            <w:r>
              <w:rPr>
                <w:rFonts w:ascii="宋体"/>
                <w:sz w:val="18"/>
              </w:rPr>
              <w:t>2019/6/11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201511001433.X</w:t>
            </w:r>
          </w:p>
        </w:tc>
      </w:tr>
      <w:tr>
        <w:trPr>
          <w:trHeight w:val="34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一种车辆精确检索的方法及装置</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sz w:val="18"/>
              </w:rPr>
              <w:t>2019/10/29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201610839794.X</w:t>
            </w:r>
          </w:p>
        </w:tc>
      </w:tr>
      <w:tr>
        <w:trPr>
          <w:trHeight w:val="6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3</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332" w:right="68" w:hanging="1261"/>
              <w:jc w:val="left"/>
              <w:rPr>
                <w:rFonts w:ascii="宋体" w:hAnsi="宋体" w:cs="宋体" w:eastAsia="宋体" w:hint="default"/>
                <w:sz w:val="18"/>
                <w:szCs w:val="18"/>
              </w:rPr>
            </w:pPr>
            <w:r>
              <w:rPr>
                <w:rFonts w:ascii="宋体" w:hAnsi="宋体" w:cs="宋体" w:eastAsia="宋体" w:hint="default"/>
                <w:sz w:val="18"/>
                <w:szCs w:val="18"/>
              </w:rPr>
              <w:t>一种用于排水管道的探地雷达机器 人</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sz w:val="18"/>
              </w:rPr>
              <w:t>2019.03.22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ZL201611215101.6</w:t>
            </w:r>
          </w:p>
        </w:tc>
      </w:tr>
      <w:tr>
        <w:trPr>
          <w:trHeight w:val="34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密闭防水电气连接装置</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sz w:val="18"/>
              </w:rPr>
              <w:t>2019.03.29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ZL201821084410.9</w:t>
            </w:r>
          </w:p>
        </w:tc>
      </w:tr>
      <w:tr>
        <w:trPr>
          <w:trHeight w:val="660"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152" w:right="68" w:hanging="1081"/>
              <w:jc w:val="left"/>
              <w:rPr>
                <w:rFonts w:ascii="宋体" w:hAnsi="宋体" w:cs="宋体" w:eastAsia="宋体" w:hint="default"/>
                <w:sz w:val="18"/>
                <w:szCs w:val="18"/>
              </w:rPr>
            </w:pPr>
            <w:r>
              <w:rPr>
                <w:rFonts w:ascii="宋体" w:hAnsi="宋体" w:cs="宋体" w:eastAsia="宋体" w:hint="default"/>
                <w:sz w:val="18"/>
                <w:szCs w:val="18"/>
              </w:rPr>
              <w:t>应用在排水管道检测摄像头上的除 雾装置</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sz w:val="18"/>
              </w:rPr>
              <w:t>2019.09.24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ZL201920483352.5</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045" w:right="1104"/>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04"/>
        <w:jc w:val="left"/>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132" w:firstLine="480"/>
        <w:jc w:val="both"/>
      </w:pPr>
      <w:r>
        <w:rPr/>
        <w:t>报告期内，公司实现营业收入</w:t>
      </w:r>
      <w:r>
        <w:rPr>
          <w:rFonts w:ascii="宋体" w:hAnsi="宋体" w:cs="宋体" w:eastAsia="宋体" w:hint="default"/>
        </w:rPr>
        <w:t>125,753.89</w:t>
      </w:r>
      <w:r>
        <w:rPr/>
        <w:t>万元，与上年同期基本持平；实现归属于上市 公司股东的净利润</w:t>
      </w:r>
      <w:r>
        <w:rPr>
          <w:spacing w:val="28"/>
        </w:rPr>
        <w:t> </w:t>
      </w:r>
      <w:r>
        <w:rPr>
          <w:rFonts w:ascii="宋体" w:hAnsi="宋体" w:cs="宋体" w:eastAsia="宋体" w:hint="default"/>
        </w:rPr>
        <w:t>13,070.23</w:t>
      </w:r>
      <w:r>
        <w:rPr/>
        <w:t>万元，较上年同期增长</w:t>
      </w:r>
      <w:r>
        <w:rPr>
          <w:rFonts w:ascii="宋体" w:hAnsi="宋体" w:cs="宋体" w:eastAsia="宋体" w:hint="default"/>
        </w:rPr>
        <w:t>11.53%</w:t>
      </w:r>
      <w:r>
        <w:rPr/>
        <w:t>；考虑到本报告期内新增股权激</w:t>
      </w:r>
      <w:r>
        <w:rPr>
          <w:spacing w:val="-117"/>
        </w:rPr>
        <w:t> </w:t>
      </w:r>
      <w:r>
        <w:rPr>
          <w:spacing w:val="-117"/>
        </w:rPr>
      </w:r>
      <w:r>
        <w:rPr/>
        <w:t>励费用</w:t>
      </w:r>
      <w:r>
        <w:rPr>
          <w:spacing w:val="37"/>
        </w:rPr>
        <w:t> </w:t>
      </w:r>
      <w:r>
        <w:rPr>
          <w:rFonts w:ascii="宋体" w:hAnsi="宋体" w:cs="宋体" w:eastAsia="宋体" w:hint="default"/>
          <w:spacing w:val="-3"/>
        </w:rPr>
        <w:t>4,311.01</w:t>
      </w:r>
      <w:r>
        <w:rPr>
          <w:spacing w:val="-3"/>
        </w:rPr>
        <w:t>万元，扣除本期股权激励费用影响后，公司实现归属于上市公司股东的净利</w:t>
      </w:r>
      <w:r>
        <w:rPr>
          <w:spacing w:val="-118"/>
        </w:rPr>
        <w:t> </w:t>
      </w:r>
      <w:r>
        <w:rPr>
          <w:spacing w:val="-118"/>
        </w:rPr>
      </w:r>
      <w:r>
        <w:rPr/>
        <w:t>润</w:t>
      </w:r>
      <w:r>
        <w:rPr>
          <w:rFonts w:ascii="宋体" w:hAnsi="宋体" w:cs="宋体" w:eastAsia="宋体" w:hint="default"/>
        </w:rPr>
        <w:t>17,381.24</w:t>
      </w:r>
      <w:r>
        <w:rPr/>
        <w:t>万元</w:t>
      </w:r>
      <w:r>
        <w:rPr>
          <w:rFonts w:ascii="宋体" w:hAnsi="宋体" w:cs="宋体" w:eastAsia="宋体" w:hint="default"/>
        </w:rPr>
        <w:t>,</w:t>
      </w:r>
      <w:r>
        <w:rPr>
          <w:rFonts w:ascii="宋体" w:hAnsi="宋体" w:cs="宋体" w:eastAsia="宋体" w:hint="default"/>
          <w:spacing w:val="-1"/>
        </w:rPr>
        <w:t> </w:t>
      </w:r>
      <w:r>
        <w:rPr/>
        <w:t>较上年同期增长</w:t>
      </w:r>
      <w:r>
        <w:rPr>
          <w:rFonts w:ascii="宋体" w:hAnsi="宋体" w:cs="宋体" w:eastAsia="宋体" w:hint="default"/>
        </w:rPr>
        <w:t>48.32%</w:t>
      </w:r>
      <w:r>
        <w:rPr/>
        <w:t>。</w:t>
      </w:r>
    </w:p>
    <w:p>
      <w:pPr>
        <w:spacing w:line="348" w:lineRule="auto" w:before="36"/>
        <w:ind w:left="635" w:right="7484" w:hanging="3"/>
        <w:jc w:val="left"/>
        <w:rPr>
          <w:rFonts w:ascii="宋体" w:hAnsi="宋体" w:cs="宋体" w:eastAsia="宋体" w:hint="default"/>
          <w:sz w:val="24"/>
          <w:szCs w:val="24"/>
        </w:rPr>
      </w:pPr>
      <w:r>
        <w:rPr>
          <w:rFonts w:ascii="宋体" w:hAnsi="宋体" w:cs="宋体" w:eastAsia="宋体" w:hint="default"/>
          <w:sz w:val="24"/>
          <w:szCs w:val="24"/>
        </w:rPr>
        <w:t>公司主要经营情况如下： </w:t>
      </w:r>
      <w:r>
        <w:rPr>
          <w:rFonts w:ascii="宋体" w:hAnsi="宋体" w:cs="宋体" w:eastAsia="宋体" w:hint="default"/>
          <w:b/>
          <w:bCs/>
          <w:sz w:val="24"/>
          <w:szCs w:val="24"/>
        </w:rPr>
        <w:t>一、网格化</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新型智慧城市</w:t>
      </w:r>
      <w:r>
        <w:rPr>
          <w:rFonts w:ascii="宋体" w:hAnsi="宋体" w:cs="宋体" w:eastAsia="宋体" w:hint="default"/>
          <w:b/>
          <w:bCs/>
          <w:w w:val="99"/>
          <w:sz w:val="24"/>
          <w:szCs w:val="24"/>
        </w:rPr>
        <w:t> </w:t>
      </w:r>
      <w:r>
        <w:rPr>
          <w:rFonts w:ascii="宋体" w:hAnsi="宋体" w:cs="宋体" w:eastAsia="宋体" w:hint="default"/>
          <w:b/>
          <w:bCs/>
          <w:sz w:val="24"/>
          <w:szCs w:val="24"/>
        </w:rPr>
        <w:t>城市大脑</w:t>
      </w:r>
      <w:r>
        <w:rPr>
          <w:rFonts w:ascii="宋体" w:hAnsi="宋体" w:cs="宋体" w:eastAsia="宋体" w:hint="default"/>
          <w:sz w:val="24"/>
          <w:szCs w:val="24"/>
        </w:rPr>
      </w:r>
    </w:p>
    <w:p>
      <w:pPr>
        <w:pStyle w:val="BodyText"/>
        <w:spacing w:line="343" w:lineRule="auto" w:before="46"/>
        <w:ind w:right="1126" w:firstLine="480"/>
        <w:jc w:val="both"/>
      </w:pPr>
      <w:r>
        <w:rPr>
          <w:rFonts w:ascii="Times New Roman" w:hAnsi="Times New Roman" w:cs="Times New Roman" w:eastAsia="Times New Roman" w:hint="default"/>
        </w:rPr>
        <w:t>"</w:t>
      </w:r>
      <w:r>
        <w:rPr/>
        <w:t>城市大脑</w:t>
      </w:r>
      <w:r>
        <w:rPr>
          <w:rFonts w:ascii="Times New Roman" w:hAnsi="Times New Roman" w:cs="Times New Roman" w:eastAsia="Times New Roman" w:hint="default"/>
        </w:rPr>
        <w:t>”</w:t>
      </w:r>
      <w:r>
        <w:rPr/>
        <w:t>以网格化精细管理为基础，运用物联网、云计算、大数据、人工智能等现代 信息技术手段，通过整合与城市管理和安全运行相关的资源，建设符合城市实际和特点、形</w:t>
      </w:r>
      <w:r>
        <w:rPr>
          <w:spacing w:val="-91"/>
        </w:rPr>
        <w:t> </w:t>
      </w:r>
      <w:r>
        <w:rPr>
          <w:spacing w:val="-91"/>
        </w:rPr>
      </w:r>
      <w:r>
        <w:rPr>
          <w:spacing w:val="-2"/>
        </w:rPr>
        <w:t>成特色的城市运行综合管理体系。</w:t>
      </w:r>
      <w:r>
        <w:rPr>
          <w:rFonts w:ascii="Times New Roman" w:hAnsi="Times New Roman" w:cs="Times New Roman" w:eastAsia="Times New Roman" w:hint="default"/>
          <w:spacing w:val="-2"/>
        </w:rPr>
        <w:t>“</w:t>
      </w:r>
      <w:r>
        <w:rPr>
          <w:spacing w:val="-2"/>
        </w:rPr>
        <w:t>实现将数据转换为科学合理的业务模型，形成城市基础运</w:t>
      </w:r>
      <w:r>
        <w:rPr>
          <w:spacing w:val="-106"/>
        </w:rPr>
        <w:t> </w:t>
      </w:r>
      <w:r>
        <w:rPr>
          <w:spacing w:val="-106"/>
        </w:rPr>
      </w:r>
      <w:r>
        <w:rPr/>
        <w:t>行能力、城市实时</w:t>
      </w:r>
      <w:r>
        <w:rPr>
          <w:rFonts w:ascii="Times New Roman" w:hAnsi="Times New Roman" w:cs="Times New Roman" w:eastAsia="Times New Roman" w:hint="default"/>
        </w:rPr>
        <w:t>“</w:t>
      </w:r>
      <w:r>
        <w:rPr/>
        <w:t>健康</w:t>
      </w:r>
      <w:r>
        <w:rPr>
          <w:rFonts w:ascii="Times New Roman" w:hAnsi="Times New Roman" w:cs="Times New Roman" w:eastAsia="Times New Roman" w:hint="default"/>
        </w:rPr>
        <w:t>”</w:t>
      </w:r>
      <w:r>
        <w:rPr/>
        <w:t>状态的大视图，形成</w:t>
      </w:r>
      <w:r>
        <w:rPr>
          <w:rFonts w:ascii="Times New Roman" w:hAnsi="Times New Roman" w:cs="Times New Roman" w:eastAsia="Times New Roman" w:hint="default"/>
        </w:rPr>
        <w:t>“</w:t>
      </w:r>
      <w:r>
        <w:rPr/>
        <w:t>全时段、全区域、自动化、多途径</w:t>
      </w:r>
      <w:r>
        <w:rPr>
          <w:rFonts w:ascii="Times New Roman" w:hAnsi="Times New Roman" w:cs="Times New Roman" w:eastAsia="Times New Roman" w:hint="default"/>
        </w:rPr>
        <w:t>”</w:t>
      </w:r>
      <w:r>
        <w:rPr/>
        <w:t>的事件预</w:t>
      </w:r>
      <w:r>
        <w:rPr>
          <w:spacing w:val="-39"/>
        </w:rPr>
        <w:t> </w:t>
      </w:r>
      <w:r>
        <w:rPr/>
        <w:t>警网络和协同治理体系，为城市综合治理提供决策依据，让城市管理工作更加有效。</w:t>
      </w:r>
    </w:p>
    <w:p>
      <w:pPr>
        <w:pStyle w:val="Heading2"/>
        <w:spacing w:line="240" w:lineRule="auto" w:before="50"/>
        <w:ind w:left="635" w:right="1104"/>
        <w:jc w:val="left"/>
        <w:rPr>
          <w:b w:val="0"/>
          <w:bCs w:val="0"/>
        </w:rPr>
      </w:pPr>
      <w:r>
        <w:rPr/>
        <w:t>社会治理</w:t>
      </w:r>
      <w:r>
        <w:rPr>
          <w:b w:val="0"/>
          <w:bCs w:val="0"/>
        </w:rPr>
      </w:r>
    </w:p>
    <w:p>
      <w:pPr>
        <w:pStyle w:val="BodyText"/>
        <w:spacing w:line="338" w:lineRule="auto" w:before="154"/>
        <w:ind w:right="1131" w:firstLine="480"/>
        <w:jc w:val="both"/>
      </w:pPr>
      <w:r>
        <w:rPr>
          <w:rFonts w:ascii="Times New Roman" w:hAnsi="Times New Roman" w:cs="Times New Roman" w:eastAsia="Times New Roman" w:hint="default"/>
          <w:spacing w:val="-2"/>
        </w:rPr>
        <w:t>2019</w:t>
      </w:r>
      <w:r>
        <w:rPr>
          <w:spacing w:val="-2"/>
        </w:rPr>
        <w:t>年党的十九届四中全会将</w:t>
      </w:r>
      <w:r>
        <w:rPr>
          <w:rFonts w:ascii="Times New Roman" w:hAnsi="Times New Roman" w:cs="Times New Roman" w:eastAsia="Times New Roman" w:hint="default"/>
          <w:spacing w:val="-2"/>
        </w:rPr>
        <w:t>“</w:t>
      </w:r>
      <w:r>
        <w:rPr>
          <w:spacing w:val="-2"/>
        </w:rPr>
        <w:t>坚持和完善共治共享的社会治理制度，保持社会稳定、维</w:t>
      </w:r>
      <w:r>
        <w:rPr/>
        <w:t> </w:t>
      </w:r>
      <w:r>
        <w:rPr>
          <w:spacing w:val="-2"/>
        </w:rPr>
        <w:t>护国家安全</w:t>
      </w:r>
      <w:r>
        <w:rPr>
          <w:rFonts w:ascii="Times New Roman" w:hAnsi="Times New Roman" w:cs="Times New Roman" w:eastAsia="Times New Roman" w:hint="default"/>
          <w:spacing w:val="-2"/>
        </w:rPr>
        <w:t>”</w:t>
      </w:r>
      <w:r>
        <w:rPr>
          <w:spacing w:val="-2"/>
        </w:rPr>
        <w:t>纳入中国特色社会主义制度建设中，为我国在新时代加强和创新社会治理指明了</w:t>
      </w:r>
      <w:r>
        <w:rPr>
          <w:spacing w:val="-106"/>
        </w:rPr>
        <w:t> </w:t>
      </w:r>
      <w:r>
        <w:rPr>
          <w:spacing w:val="-106"/>
        </w:rPr>
      </w:r>
      <w:r>
        <w:rPr/>
        <w:t>方向。</w:t>
      </w:r>
    </w:p>
    <w:p>
      <w:pPr>
        <w:pStyle w:val="BodyText"/>
        <w:spacing w:line="357" w:lineRule="auto" w:before="55"/>
        <w:ind w:right="996" w:firstLine="480"/>
        <w:jc w:val="left"/>
      </w:pPr>
      <w:r>
        <w:rPr/>
        <w:t>基于网格化的社会协同机制是创新社会治理体制的核心。从城市管理、社会综治、基层 </w:t>
      </w:r>
      <w:r>
        <w:rPr>
          <w:spacing w:val="-2"/>
        </w:rPr>
        <w:t>党建等成熟社会治理领域入手，在形成网格化管理框架（顶层设计）下，以网格中心为抓手，</w:t>
      </w:r>
      <w:r>
        <w:rPr/>
        <w:t> 本着党委引领，行政重视、社会协同的原则，遵循相关标准规范，依托统一的一体化平台带</w:t>
      </w:r>
      <w:r>
        <w:rPr>
          <w:spacing w:val="-91"/>
        </w:rPr>
        <w:t> </w:t>
      </w:r>
      <w:r>
        <w:rPr>
          <w:spacing w:val="-91"/>
        </w:rPr>
      </w:r>
      <w:r>
        <w:rPr/>
        <w:t>动各入格部门实现数据融合、技术融合、应用融合进而促成共建共享共治的治理体系。</w:t>
      </w:r>
    </w:p>
    <w:p>
      <w:pPr>
        <w:pStyle w:val="BodyText"/>
        <w:spacing w:line="348" w:lineRule="auto"/>
        <w:ind w:right="1124" w:firstLine="480"/>
        <w:jc w:val="both"/>
      </w:pPr>
      <w:r>
        <w:rPr/>
        <w:t>推动社会治理重心向基层下移、把基层党组织建设成为领导基层治理的坚强战斗堡垒， 是党的十九大提出的重要任务。如北京市委以</w:t>
      </w:r>
      <w:r>
        <w:rPr>
          <w:rFonts w:ascii="Times New Roman" w:hAnsi="Times New Roman" w:cs="Times New Roman" w:eastAsia="Times New Roman" w:hint="default"/>
        </w:rPr>
        <w:t>“</w:t>
      </w:r>
      <w:r>
        <w:rPr/>
        <w:t>街乡吹哨、部门报到</w:t>
      </w:r>
      <w:r>
        <w:rPr>
          <w:rFonts w:ascii="Times New Roman" w:hAnsi="Times New Roman" w:cs="Times New Roman" w:eastAsia="Times New Roman" w:hint="default"/>
        </w:rPr>
        <w:t>”</w:t>
      </w:r>
      <w:r>
        <w:rPr/>
        <w:t>改革为抓手，积极探索</w:t>
      </w:r>
      <w:r>
        <w:rPr>
          <w:spacing w:val="-59"/>
        </w:rPr>
        <w:t> </w:t>
      </w:r>
      <w:r>
        <w:rPr>
          <w:spacing w:val="-59"/>
        </w:rPr>
      </w:r>
      <w:r>
        <w:rPr/>
        <w:t>党建引领基层治理体制机制创新，聚焦办好群众家门口事，打通抓落实</w:t>
      </w:r>
      <w:r>
        <w:rPr>
          <w:rFonts w:ascii="Times New Roman" w:hAnsi="Times New Roman" w:cs="Times New Roman" w:eastAsia="Times New Roman" w:hint="default"/>
        </w:rPr>
        <w:t>“</w:t>
      </w:r>
      <w:r>
        <w:rPr/>
        <w:t>最后一公里</w:t>
      </w:r>
      <w:r>
        <w:rPr>
          <w:rFonts w:ascii="Times New Roman" w:hAnsi="Times New Roman" w:cs="Times New Roman" w:eastAsia="Times New Roman" w:hint="default"/>
        </w:rPr>
        <w:t>”</w:t>
      </w:r>
      <w:r>
        <w:rPr/>
        <w:t>，形成</w:t>
      </w:r>
      <w:r>
        <w:rPr>
          <w:spacing w:val="-55"/>
        </w:rPr>
        <w:t> </w:t>
      </w:r>
      <w:r>
        <w:rPr/>
        <w:t>行之有效的做法。通过基层街乡协调统筹，减轻下辖村居纷繁复杂的任务和工作，把真正符</w:t>
      </w:r>
      <w:r>
        <w:rPr>
          <w:spacing w:val="-91"/>
        </w:rPr>
        <w:t> </w:t>
      </w:r>
      <w:r>
        <w:rPr>
          <w:spacing w:val="-91"/>
        </w:rPr>
      </w:r>
      <w:r>
        <w:rPr/>
        <w:t>合村居职能和权限的任务交给下辖社区进行办理，在保证完成中心工作的同时，确保下辖社</w:t>
      </w:r>
    </w:p>
    <w:p>
      <w:pPr>
        <w:spacing w:after="0" w:line="348"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48" w:lineRule="auto" w:before="26"/>
        <w:ind w:right="1130"/>
        <w:jc w:val="both"/>
      </w:pPr>
      <w:r>
        <w:rPr/>
        <w:t>区能够有充足的力量来服务群众、解决群众实际问题，与此同时，街道通过统筹协调，能够</w:t>
      </w:r>
      <w:r>
        <w:rPr>
          <w:spacing w:val="-91"/>
        </w:rPr>
        <w:t> </w:t>
      </w:r>
      <w:r>
        <w:rPr>
          <w:spacing w:val="-91"/>
        </w:rPr>
      </w:r>
      <w:r>
        <w:rPr/>
        <w:t>及时的对下辖社区在服务群众、解决群众实际问题过程中对相关部门进行调动，使基层街镇</w:t>
      </w:r>
      <w:r>
        <w:rPr>
          <w:spacing w:val="-91"/>
        </w:rPr>
        <w:t> </w:t>
      </w:r>
      <w:r>
        <w:rPr>
          <w:spacing w:val="-91"/>
        </w:rPr>
      </w:r>
      <w:r>
        <w:rPr/>
        <w:t>在发挥职能过程中得到有关部门的支持，甚至是专人指导和入驻，从而在为基层街镇减轻负</w:t>
      </w:r>
      <w:r>
        <w:rPr>
          <w:spacing w:val="-91"/>
        </w:rPr>
        <w:t> </w:t>
      </w:r>
      <w:r>
        <w:rPr>
          <w:spacing w:val="-91"/>
        </w:rPr>
      </w:r>
      <w:r>
        <w:rPr/>
        <w:t>担的过程中，加大了对基层街镇专业化水平的指导和水平提升。</w:t>
      </w:r>
      <w:r>
        <w:rPr>
          <w:spacing w:val="-53"/>
        </w:rPr>
        <w:t> </w:t>
      </w:r>
      <w:r>
        <w:rPr>
          <w:rFonts w:ascii="Times New Roman" w:hAnsi="Times New Roman" w:cs="Times New Roman" w:eastAsia="Times New Roman" w:hint="default"/>
        </w:rPr>
        <w:t>“</w:t>
      </w:r>
      <w:r>
        <w:rPr/>
        <w:t>街乡吹哨，部门报到</w:t>
      </w:r>
      <w:r>
        <w:rPr>
          <w:rFonts w:ascii="Times New Roman" w:hAnsi="Times New Roman" w:cs="Times New Roman" w:eastAsia="Times New Roman" w:hint="default"/>
        </w:rPr>
        <w:t>”</w:t>
      </w:r>
      <w:r>
        <w:rPr/>
        <w:t>通俗 </w:t>
      </w:r>
      <w:r>
        <w:rPr>
          <w:spacing w:val="-5"/>
        </w:rPr>
        <w:t>点讲就是基层治理逐渐摸索的机制，破解城城市治理中的</w:t>
      </w:r>
      <w:r>
        <w:rPr>
          <w:rFonts w:ascii="Times New Roman" w:hAnsi="Times New Roman" w:cs="Times New Roman" w:eastAsia="Times New Roman" w:hint="default"/>
          <w:spacing w:val="-5"/>
        </w:rPr>
        <w:t>“</w:t>
      </w:r>
      <w:r>
        <w:rPr>
          <w:spacing w:val="-5"/>
        </w:rPr>
        <w:t>看得见的管不了，管得了的看不见</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4"/>
        </w:rPr>
        <w:t> </w:t>
      </w:r>
      <w:r>
        <w:rPr/>
        <w:t>问题。</w:t>
      </w:r>
      <w:r>
        <w:rPr>
          <w:rFonts w:ascii="Times New Roman" w:hAnsi="Times New Roman" w:cs="Times New Roman" w:eastAsia="Times New Roman" w:hint="default"/>
        </w:rPr>
        <w:t>“</w:t>
      </w:r>
      <w:r>
        <w:rPr/>
        <w:t>街乡吹哨，部门报到</w:t>
      </w:r>
      <w:r>
        <w:rPr>
          <w:rFonts w:ascii="Times New Roman" w:hAnsi="Times New Roman" w:cs="Times New Roman" w:eastAsia="Times New Roman" w:hint="default"/>
        </w:rPr>
        <w:t>”</w:t>
      </w:r>
      <w:r>
        <w:rPr/>
        <w:t>机制的建立，由街道吹哨，各部门前来共同解决问题，让治理</w:t>
      </w:r>
      <w:r>
        <w:rPr>
          <w:spacing w:val="-65"/>
        </w:rPr>
        <w:t> </w:t>
      </w:r>
      <w:r>
        <w:rPr>
          <w:spacing w:val="-65"/>
        </w:rPr>
      </w:r>
      <w:r>
        <w:rPr/>
        <w:t>难题迎刃而解。</w:t>
      </w:r>
    </w:p>
    <w:p>
      <w:pPr>
        <w:pStyle w:val="BodyText"/>
        <w:spacing w:line="357" w:lineRule="auto" w:before="46"/>
        <w:ind w:left="633" w:right="986" w:firstLine="2"/>
        <w:jc w:val="left"/>
      </w:pPr>
      <w:r>
        <w:rPr>
          <w:rFonts w:ascii="宋体" w:hAnsi="宋体" w:cs="宋体" w:eastAsia="宋体" w:hint="default"/>
          <w:b/>
          <w:bCs/>
        </w:rPr>
        <w:t>智慧执法</w:t>
      </w:r>
      <w:r>
        <w:rPr>
          <w:rFonts w:ascii="宋体" w:hAnsi="宋体" w:cs="宋体" w:eastAsia="宋体" w:hint="default"/>
          <w:b/>
          <w:bCs/>
          <w:w w:val="99"/>
        </w:rPr>
        <w:t> </w:t>
      </w:r>
      <w:r>
        <w:rPr>
          <w:spacing w:val="-3"/>
        </w:rPr>
        <w:t>综合行政执法改革历来是社会和企业群众高度关注的热点问题。深化党和国家机构改革，</w:t>
      </w:r>
    </w:p>
    <w:p>
      <w:pPr>
        <w:pStyle w:val="BodyText"/>
        <w:spacing w:line="352" w:lineRule="auto"/>
        <w:ind w:right="1133"/>
        <w:jc w:val="both"/>
      </w:pPr>
      <w:r>
        <w:rPr/>
        <w:t>把深化综合行政执法改革作为一项专门任务加以部署和推进，凸显了这项改革的重要性和紧</w:t>
      </w:r>
      <w:r>
        <w:rPr>
          <w:spacing w:val="-91"/>
        </w:rPr>
        <w:t> </w:t>
      </w:r>
      <w:r>
        <w:rPr>
          <w:spacing w:val="-91"/>
        </w:rPr>
      </w:r>
      <w:r>
        <w:rPr/>
        <w:t>迫性。党的十九届三中全会通过的《中共中央关于深化党和国家机构改革的决定》《深化党</w:t>
      </w:r>
      <w:r>
        <w:rPr>
          <w:spacing w:val="-91"/>
        </w:rPr>
        <w:t> </w:t>
      </w:r>
      <w:r>
        <w:rPr>
          <w:spacing w:val="-91"/>
        </w:rPr>
      </w:r>
      <w:r>
        <w:rPr/>
        <w:t>和国家机构改革方案》（以下简称《决定》《方案》）以及</w:t>
      </w:r>
      <w:r>
        <w:rPr>
          <w:rFonts w:ascii="Times New Roman" w:hAnsi="Times New Roman" w:cs="Times New Roman" w:eastAsia="Times New Roman" w:hint="default"/>
        </w:rPr>
        <w:t>2018</w:t>
      </w:r>
      <w:r>
        <w:rPr/>
        <w:t>年中央全面深化改革委员会</w:t>
      </w:r>
      <w:r>
        <w:rPr>
          <w:spacing w:val="-88"/>
        </w:rPr>
        <w:t> </w:t>
      </w:r>
      <w:r>
        <w:rPr>
          <w:spacing w:val="-88"/>
        </w:rPr>
      </w:r>
      <w:r>
        <w:rPr/>
        <w:t>第二次会议审议通过的《关于地方机构改革有关问题的指导意见》，对深化综合行政执法改</w:t>
      </w:r>
      <w:r>
        <w:rPr>
          <w:spacing w:val="-91"/>
        </w:rPr>
        <w:t> </w:t>
      </w:r>
      <w:r>
        <w:rPr>
          <w:spacing w:val="-91"/>
        </w:rPr>
      </w:r>
      <w:r>
        <w:rPr/>
        <w:t>革提出明确要求，为推进改革提供了遵循。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日，国务院办公厅印发《关于全面推</w:t>
      </w:r>
      <w:r>
        <w:rPr>
          <w:spacing w:val="-87"/>
        </w:rPr>
        <w:t> </w:t>
      </w:r>
      <w:r>
        <w:rPr>
          <w:spacing w:val="-87"/>
        </w:rPr>
      </w:r>
      <w:r>
        <w:rPr/>
        <w:t>行行政执法公示制度执法全过程记录制度重大执法决定法制审核制度的指导意见》指出要全</w:t>
      </w:r>
      <w:r>
        <w:rPr>
          <w:spacing w:val="-91"/>
        </w:rPr>
        <w:t> </w:t>
      </w:r>
      <w:r>
        <w:rPr>
          <w:spacing w:val="-91"/>
        </w:rPr>
      </w:r>
      <w:r>
        <w:rPr/>
        <w:t>面推进行政执法信息化建设，加快推进执法信息互联互通共享，有效整合执法数据资源，为</w:t>
      </w:r>
      <w:r>
        <w:rPr>
          <w:spacing w:val="-91"/>
        </w:rPr>
        <w:t> </w:t>
      </w:r>
      <w:r>
        <w:rPr>
          <w:spacing w:val="-91"/>
        </w:rPr>
      </w:r>
      <w:r>
        <w:rPr/>
        <w:t>行政执法更规范、群众办事更便捷、政府治理更高效、营商环境更优化奠定基础。</w:t>
      </w:r>
    </w:p>
    <w:p>
      <w:pPr>
        <w:pStyle w:val="BodyText"/>
        <w:spacing w:line="357" w:lineRule="auto" w:before="41"/>
        <w:ind w:right="1131" w:firstLine="480"/>
        <w:jc w:val="both"/>
      </w:pPr>
      <w:r>
        <w:rPr/>
        <w:t>综合行政执法改革的目标，一是整合归并执法队伍，切实解决多头执法、多层执法和重 复执法问题。《决定》和《方案》提出，按照减少层次、整合队伍、提高效率的原则，大幅</w:t>
      </w:r>
      <w:r>
        <w:rPr>
          <w:spacing w:val="-91"/>
        </w:rPr>
        <w:t> </w:t>
      </w:r>
      <w:r>
        <w:rPr>
          <w:spacing w:val="-91"/>
        </w:rPr>
      </w:r>
      <w:r>
        <w:rPr/>
        <w:t>减少执法队伍种类，合理配置执法力量；一个部门设有多支执法队伍的，原则上整合为一支</w:t>
      </w:r>
      <w:r>
        <w:rPr>
          <w:spacing w:val="-91"/>
        </w:rPr>
        <w:t> </w:t>
      </w:r>
      <w:r>
        <w:rPr>
          <w:spacing w:val="-91"/>
        </w:rPr>
      </w:r>
      <w:r>
        <w:rPr>
          <w:spacing w:val="-2"/>
        </w:rPr>
        <w:t>队伍；推动整合同一领域或相近领域执法队伍，实行综合设置；对整合组建市场监管等</w:t>
      </w:r>
      <w:r>
        <w:rPr>
          <w:rFonts w:ascii="宋体" w:hAnsi="宋体" w:cs="宋体" w:eastAsia="宋体" w:hint="default"/>
          <w:spacing w:val="-2"/>
        </w:rPr>
        <w:t>5</w:t>
      </w:r>
      <w:r>
        <w:rPr>
          <w:spacing w:val="-2"/>
        </w:rPr>
        <w:t>支综</w:t>
      </w:r>
      <w:r>
        <w:rPr/>
        <w:t> </w:t>
      </w:r>
      <w:r>
        <w:rPr>
          <w:spacing w:val="-2"/>
        </w:rPr>
        <w:t>合执法队伍作出具体部署。在整合组建</w:t>
      </w:r>
      <w:r>
        <w:rPr>
          <w:rFonts w:ascii="宋体" w:hAnsi="宋体" w:cs="宋体" w:eastAsia="宋体" w:hint="default"/>
          <w:spacing w:val="-2"/>
        </w:rPr>
        <w:t>5</w:t>
      </w:r>
      <w:r>
        <w:rPr>
          <w:spacing w:val="-2"/>
        </w:rPr>
        <w:t>个领域综合执法队伍的基础上，有条件的可以实行更</w:t>
      </w:r>
      <w:r>
        <w:rPr/>
        <w:t> 大范围的综合执法。继续深入推动城市管理等其他跨领域跨部门综合执法。二是加强对行政</w:t>
      </w:r>
      <w:r>
        <w:rPr>
          <w:spacing w:val="-91"/>
        </w:rPr>
        <w:t> </w:t>
      </w:r>
      <w:r>
        <w:rPr>
          <w:spacing w:val="-91"/>
        </w:rPr>
      </w:r>
      <w:r>
        <w:rPr/>
        <w:t>处罚、行政强制事项的源头治理，切实解决违规执法、执法扰民问题。《决定》和《方案》</w:t>
      </w:r>
      <w:r>
        <w:rPr>
          <w:spacing w:val="-91"/>
        </w:rPr>
        <w:t> </w:t>
      </w:r>
      <w:r>
        <w:rPr>
          <w:spacing w:val="-91"/>
        </w:rPr>
      </w:r>
      <w:r>
        <w:rPr/>
        <w:t>明确要求，完善执法程序，严格执法责任，做到严格规范公正文明执法。按照机构改革协调</w:t>
      </w:r>
      <w:r>
        <w:rPr>
          <w:spacing w:val="-90"/>
        </w:rPr>
        <w:t> </w:t>
      </w:r>
      <w:r>
        <w:rPr>
          <w:spacing w:val="-90"/>
        </w:rPr>
      </w:r>
      <w:r>
        <w:rPr>
          <w:spacing w:val="-2"/>
        </w:rPr>
        <w:t>小组办公室要求，地方机构专题组会同司法部对市场监管等</w:t>
      </w:r>
      <w:r>
        <w:rPr>
          <w:rFonts w:ascii="宋体" w:hAnsi="宋体" w:cs="宋体" w:eastAsia="宋体" w:hint="default"/>
          <w:spacing w:val="-2"/>
        </w:rPr>
        <w:t>5</w:t>
      </w:r>
      <w:r>
        <w:rPr>
          <w:spacing w:val="-2"/>
        </w:rPr>
        <w:t>个部门梳理形成的综合执法事项</w:t>
      </w:r>
      <w:r>
        <w:rPr/>
        <w:t> 指导目录进行集中审核，并征求了中央有关部门和</w:t>
      </w:r>
      <w:r>
        <w:rPr>
          <w:rFonts w:ascii="宋体" w:hAnsi="宋体" w:cs="宋体" w:eastAsia="宋体" w:hint="default"/>
        </w:rPr>
        <w:t>31</w:t>
      </w:r>
      <w:r>
        <w:rPr/>
        <w:t>个省（自治区、直辖市）意见。通过全</w:t>
      </w:r>
      <w:r>
        <w:rPr>
          <w:spacing w:val="-88"/>
        </w:rPr>
        <w:t> </w:t>
      </w:r>
      <w:r>
        <w:rPr>
          <w:spacing w:val="-88"/>
        </w:rPr>
      </w:r>
      <w:r>
        <w:rPr/>
        <w:t>面梳理执法事项，要大力清理取消没有法律法规规章依据的、长期未发生且无实施必要的、</w:t>
      </w:r>
      <w:r>
        <w:rPr>
          <w:spacing w:val="-91"/>
        </w:rPr>
        <w:t> </w:t>
      </w:r>
      <w:r>
        <w:rPr>
          <w:spacing w:val="-91"/>
        </w:rPr>
      </w:r>
      <w:r>
        <w:rPr/>
        <w:t>交叉重复的执法事项，切实防止执法扰民。三是探索建立体现综合行政执法特点的编制管理</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6"/>
        <w:jc w:val="left"/>
      </w:pPr>
      <w:r>
        <w:rPr>
          <w:spacing w:val="-2"/>
        </w:rPr>
        <w:t>方式，切实解决综合执法队伍管理不规范的问题。《关于地方机构改革有关问题的指导意见》</w:t>
      </w:r>
      <w:r>
        <w:rPr/>
        <w:t> 明确提出，要按照统一规范管理的方向，探索建立体现综合行政执法特点的编制管理方式，</w:t>
      </w:r>
      <w:r>
        <w:rPr>
          <w:spacing w:val="-89"/>
        </w:rPr>
        <w:t> </w:t>
      </w:r>
      <w:r>
        <w:rPr>
          <w:spacing w:val="-89"/>
        </w:rPr>
      </w:r>
      <w:r>
        <w:rPr/>
        <w:t>逐步规范综合执法队伍人员编制管理。</w:t>
      </w:r>
    </w:p>
    <w:p>
      <w:pPr>
        <w:pStyle w:val="BodyText"/>
        <w:spacing w:line="348" w:lineRule="auto"/>
        <w:ind w:right="1132" w:firstLine="480"/>
        <w:jc w:val="both"/>
      </w:pPr>
      <w:r>
        <w:rPr>
          <w:spacing w:val="-4"/>
        </w:rPr>
        <w:t>报告期内，公司</w:t>
      </w:r>
      <w:r>
        <w:rPr>
          <w:rFonts w:ascii="Times New Roman" w:hAnsi="Times New Roman" w:cs="Times New Roman" w:eastAsia="Times New Roman" w:hint="default"/>
          <w:spacing w:val="-4"/>
        </w:rPr>
        <w:t>“</w:t>
      </w:r>
      <w:r>
        <w:rPr>
          <w:spacing w:val="-4"/>
        </w:rPr>
        <w:t>城市大脑</w:t>
      </w:r>
      <w:r>
        <w:rPr>
          <w:rFonts w:ascii="Times New Roman" w:hAnsi="Times New Roman" w:cs="Times New Roman" w:eastAsia="Times New Roman" w:hint="default"/>
          <w:spacing w:val="-4"/>
        </w:rPr>
        <w:t>”</w:t>
      </w:r>
      <w:r>
        <w:rPr>
          <w:spacing w:val="-4"/>
        </w:rPr>
        <w:t>助力山东省临沂市</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城市管理</w:t>
      </w:r>
      <w:r>
        <w:rPr>
          <w:rFonts w:ascii="Times New Roman" w:hAnsi="Times New Roman" w:cs="Times New Roman" w:eastAsia="Times New Roman" w:hint="default"/>
          <w:spacing w:val="-4"/>
        </w:rPr>
        <w:t>”</w:t>
      </w:r>
      <w:r>
        <w:rPr>
          <w:spacing w:val="-4"/>
        </w:rPr>
        <w:t>。重点建设</w:t>
      </w:r>
      <w:r>
        <w:rPr>
          <w:rFonts w:ascii="Times New Roman" w:hAnsi="Times New Roman" w:cs="Times New Roman" w:eastAsia="Times New Roman" w:hint="default"/>
          <w:spacing w:val="-4"/>
        </w:rPr>
        <w:t>“</w:t>
      </w:r>
      <w:r>
        <w:rPr>
          <w:spacing w:val="-4"/>
        </w:rPr>
        <w:t>一库</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一</w:t>
      </w:r>
      <w:r>
        <w:rPr/>
        <w:t> </w:t>
      </w:r>
      <w:r>
        <w:rPr>
          <w:spacing w:val="-2"/>
        </w:rPr>
        <w:t>图</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一平台</w:t>
      </w:r>
      <w:r>
        <w:rPr>
          <w:rFonts w:ascii="Times New Roman" w:hAnsi="Times New Roman" w:cs="Times New Roman" w:eastAsia="Times New Roman" w:hint="default"/>
          <w:spacing w:val="-2"/>
        </w:rPr>
        <w:t>”</w:t>
      </w:r>
      <w:r>
        <w:rPr>
          <w:spacing w:val="-2"/>
        </w:rPr>
        <w:t>。平台主要特点一是实现了</w:t>
      </w:r>
      <w:r>
        <w:rPr>
          <w:rFonts w:ascii="Times New Roman" w:hAnsi="Times New Roman" w:cs="Times New Roman" w:eastAsia="Times New Roman" w:hint="default"/>
          <w:spacing w:val="-2"/>
        </w:rPr>
        <w:t>13+N</w:t>
      </w:r>
      <w:r>
        <w:rPr>
          <w:spacing w:val="-2"/>
        </w:rPr>
        <w:t>等多类数据聚集，二是实现了各类专</w:t>
      </w:r>
      <w:r>
        <w:rPr>
          <w:spacing w:val="-116"/>
        </w:rPr>
        <w:t> </w:t>
      </w:r>
      <w:r>
        <w:rPr>
          <w:spacing w:val="-116"/>
        </w:rPr>
      </w:r>
      <w:r>
        <w:rPr/>
        <w:t>题数据的智能分析、研判、预警，三是打通了数据通道，通过各类物联网传感设备，实时感</w:t>
      </w:r>
      <w:r>
        <w:rPr>
          <w:spacing w:val="-91"/>
        </w:rPr>
        <w:t> </w:t>
      </w:r>
      <w:r>
        <w:rPr>
          <w:spacing w:val="-91"/>
        </w:rPr>
      </w:r>
      <w:r>
        <w:rPr/>
        <w:t>知各类城市管理问题。让各类数据关联起来、流动起来，最终实现统一数据分析，一张图展</w:t>
      </w:r>
      <w:r>
        <w:rPr>
          <w:spacing w:val="-91"/>
        </w:rPr>
        <w:t> </w:t>
      </w:r>
      <w:r>
        <w:rPr>
          <w:spacing w:val="-91"/>
        </w:rPr>
      </w:r>
      <w:r>
        <w:rPr/>
        <w:t>示，实时应急指挥调度。</w:t>
      </w:r>
    </w:p>
    <w:p>
      <w:pPr>
        <w:pStyle w:val="BodyText"/>
        <w:spacing w:line="340" w:lineRule="auto" w:before="46"/>
        <w:ind w:right="995" w:firstLine="480"/>
        <w:jc w:val="left"/>
      </w:pPr>
      <w:r>
        <w:rPr/>
        <w:t>报告期内，公司为合肥市包河区打造</w:t>
      </w:r>
      <w:r>
        <w:rPr>
          <w:rFonts w:ascii="Times New Roman" w:hAnsi="Times New Roman" w:cs="Times New Roman" w:eastAsia="Times New Roman" w:hint="default"/>
        </w:rPr>
        <w:t>“</w:t>
      </w:r>
      <w:r>
        <w:rPr/>
        <w:t>大共治</w:t>
      </w:r>
      <w:r>
        <w:rPr>
          <w:rFonts w:ascii="Times New Roman" w:hAnsi="Times New Roman" w:cs="Times New Roman" w:eastAsia="Times New Roman" w:hint="default"/>
        </w:rPr>
        <w:t>”</w:t>
      </w:r>
      <w:r>
        <w:rPr/>
        <w:t>信息平台，以</w:t>
      </w:r>
      <w:r>
        <w:rPr>
          <w:rFonts w:ascii="Times New Roman" w:hAnsi="Times New Roman" w:cs="Times New Roman" w:eastAsia="Times New Roman" w:hint="default"/>
        </w:rPr>
        <w:t>“</w:t>
      </w:r>
      <w:r>
        <w:rPr/>
        <w:t>平台汇集大数据、综合执法 大联动、网格治理大整合</w:t>
      </w:r>
      <w:r>
        <w:rPr>
          <w:rFonts w:ascii="Times New Roman" w:hAnsi="Times New Roman" w:cs="Times New Roman" w:eastAsia="Times New Roman" w:hint="default"/>
        </w:rPr>
        <w:t>”</w:t>
      </w:r>
      <w:r>
        <w:rPr/>
        <w:t>为思路，推动治理重心下移，积极探索具有包河特色的社会治理新 </w:t>
      </w:r>
      <w:r>
        <w:rPr>
          <w:spacing w:val="-2"/>
        </w:rPr>
        <w:t>路，以</w:t>
      </w:r>
      <w:r>
        <w:rPr>
          <w:rFonts w:ascii="Times New Roman" w:hAnsi="Times New Roman" w:cs="Times New Roman" w:eastAsia="Times New Roman" w:hint="default"/>
          <w:spacing w:val="-2"/>
        </w:rPr>
        <w:t>“</w:t>
      </w:r>
      <w:r>
        <w:rPr>
          <w:spacing w:val="-2"/>
        </w:rPr>
        <w:t>一个网格、一个清单、一支队伍、一套机制、一把尺子</w:t>
      </w:r>
      <w:r>
        <w:rPr>
          <w:rFonts w:ascii="Times New Roman" w:hAnsi="Times New Roman" w:cs="Times New Roman" w:eastAsia="Times New Roman" w:hint="default"/>
          <w:spacing w:val="-2"/>
        </w:rPr>
        <w:t>”</w:t>
      </w:r>
      <w:r>
        <w:rPr>
          <w:spacing w:val="-2"/>
        </w:rPr>
        <w:t>，有效推动基层治理社会化、</w:t>
      </w:r>
      <w:r>
        <w:rPr>
          <w:spacing w:val="-93"/>
        </w:rPr>
        <w:t> </w:t>
      </w:r>
      <w:r>
        <w:rPr>
          <w:spacing w:val="-93"/>
        </w:rPr>
      </w:r>
      <w:r>
        <w:rPr/>
        <w:t>法治化、智能化、专业化水平，打造共建共治共享的社会治理格局。建立一体化信息平台，</w:t>
      </w:r>
      <w:r>
        <w:rPr>
          <w:spacing w:val="-91"/>
        </w:rPr>
        <w:t> </w:t>
      </w:r>
      <w:r>
        <w:rPr>
          <w:spacing w:val="-91"/>
        </w:rPr>
      </w:r>
      <w:r>
        <w:rPr/>
        <w:t>即推动</w:t>
      </w:r>
      <w:r>
        <w:rPr>
          <w:rFonts w:ascii="Times New Roman" w:hAnsi="Times New Roman" w:cs="Times New Roman" w:eastAsia="Times New Roman" w:hint="default"/>
        </w:rPr>
        <w:t>“</w:t>
      </w:r>
      <w:r>
        <w:rPr/>
        <w:t>一网联通</w:t>
      </w:r>
      <w:r>
        <w:rPr>
          <w:rFonts w:ascii="Times New Roman" w:hAnsi="Times New Roman" w:cs="Times New Roman" w:eastAsia="Times New Roman" w:hint="default"/>
        </w:rPr>
        <w:t>”——</w:t>
      </w:r>
      <w:r>
        <w:rPr/>
        <w:t>对接</w:t>
      </w:r>
      <w:r>
        <w:rPr>
          <w:rFonts w:ascii="Times New Roman" w:hAnsi="Times New Roman" w:cs="Times New Roman" w:eastAsia="Times New Roman" w:hint="default"/>
        </w:rPr>
        <w:t>“12345”</w:t>
      </w:r>
      <w:r>
        <w:rPr/>
        <w:t>、</w:t>
      </w:r>
      <w:r>
        <w:rPr>
          <w:rFonts w:ascii="Times New Roman" w:hAnsi="Times New Roman" w:cs="Times New Roman" w:eastAsia="Times New Roman" w:hint="default"/>
        </w:rPr>
        <w:t>“12319”</w:t>
      </w:r>
      <w:r>
        <w:rPr/>
        <w:t>热线等市级系统，分类整合全区各类热线平台，</w:t>
      </w:r>
      <w:r>
        <w:rPr>
          <w:w w:val="100"/>
        </w:rPr>
        <w:t> </w:t>
      </w:r>
      <w:r>
        <w:rPr>
          <w:spacing w:val="-2"/>
        </w:rPr>
        <w:t>汇集城市管理、公共安全、公共服务等信息资源，打破信息壁垒，建立了区大共治信息平台。</w:t>
      </w:r>
    </w:p>
    <w:p>
      <w:pPr>
        <w:pStyle w:val="BodyText"/>
        <w:spacing w:line="355" w:lineRule="auto" w:before="53"/>
        <w:ind w:right="1136" w:firstLine="480"/>
        <w:jc w:val="both"/>
      </w:pPr>
      <w:r>
        <w:rPr/>
        <w:t>报告期内，公司凭借在政务领域的信息化优势和积累，在执法领域的业务开展不断取得 突破，陆续中标宁夏司法厅、天津司法局两个省级行政执法监督平台建设项目。其中，天津</w:t>
      </w:r>
      <w:r>
        <w:rPr>
          <w:spacing w:val="-91"/>
        </w:rPr>
        <w:t> </w:t>
      </w:r>
      <w:r>
        <w:rPr>
          <w:spacing w:val="-91"/>
        </w:rPr>
      </w:r>
      <w:r>
        <w:rPr/>
        <w:t>市行政执法监督平台建设项目以依法治国为指导精神，以天津市行政执法监督工作实际为基</w:t>
      </w:r>
      <w:r>
        <w:rPr>
          <w:spacing w:val="-91"/>
        </w:rPr>
        <w:t> </w:t>
      </w:r>
      <w:r>
        <w:rPr>
          <w:spacing w:val="-91"/>
        </w:rPr>
      </w:r>
      <w:r>
        <w:rPr/>
        <w:t>础，将建设起有效提升依法行政意识、明确执法职责、规范执法程序、具备先进执法方式的</w:t>
      </w:r>
      <w:r>
        <w:rPr>
          <w:spacing w:val="-91"/>
        </w:rPr>
        <w:t> </w:t>
      </w:r>
      <w:r>
        <w:rPr>
          <w:spacing w:val="-91"/>
        </w:rPr>
      </w:r>
      <w:r>
        <w:rPr/>
        <w:t>平台，实现常态化监管和有效协调联动，强化行政执法监督力度。项目实施主要包含建设天</w:t>
      </w:r>
      <w:r>
        <w:rPr>
          <w:spacing w:val="-91"/>
        </w:rPr>
        <w:t> </w:t>
      </w:r>
      <w:r>
        <w:rPr>
          <w:spacing w:val="-91"/>
        </w:rPr>
      </w:r>
      <w:r>
        <w:rPr/>
        <w:t>津市行政执法监督系统、提升建设行政执法监督平台的业务功能和构建全市统一的行政执法</w:t>
      </w:r>
      <w:r>
        <w:rPr>
          <w:spacing w:val="-91"/>
        </w:rPr>
        <w:t> </w:t>
      </w:r>
      <w:r>
        <w:rPr>
          <w:spacing w:val="-91"/>
        </w:rPr>
      </w:r>
      <w:r>
        <w:rPr/>
        <w:t>监督数据中心。公司已为全国</w:t>
      </w:r>
      <w:r>
        <w:rPr>
          <w:rFonts w:ascii="Times New Roman" w:hAnsi="Times New Roman" w:cs="Times New Roman" w:eastAsia="Times New Roman" w:hint="default"/>
        </w:rPr>
        <w:t>22</w:t>
      </w:r>
      <w:r>
        <w:rPr/>
        <w:t>个省份，覆盖</w:t>
      </w:r>
      <w:r>
        <w:rPr>
          <w:rFonts w:ascii="Times New Roman" w:hAnsi="Times New Roman" w:cs="Times New Roman" w:eastAsia="Times New Roman" w:hint="default"/>
        </w:rPr>
        <w:t>60</w:t>
      </w:r>
      <w:r>
        <w:rPr/>
        <w:t>余个省、市、县（区）提供行政执法及综合</w:t>
      </w:r>
      <w:r>
        <w:rPr>
          <w:spacing w:val="-90"/>
        </w:rPr>
        <w:t> </w:t>
      </w:r>
      <w:r>
        <w:rPr>
          <w:spacing w:val="-90"/>
        </w:rPr>
      </w:r>
      <w:r>
        <w:rPr/>
        <w:t>执法解决方案。</w:t>
      </w:r>
    </w:p>
    <w:p>
      <w:pPr>
        <w:pStyle w:val="Heading2"/>
        <w:spacing w:line="240" w:lineRule="auto" w:before="38"/>
        <w:ind w:left="635" w:right="1104"/>
        <w:jc w:val="left"/>
        <w:rPr>
          <w:b w:val="0"/>
          <w:bCs w:val="0"/>
        </w:rPr>
      </w:pPr>
      <w:r>
        <w:rPr/>
        <w:t>二、地下管线市场进一步拓展</w:t>
      </w:r>
      <w:r>
        <w:rPr>
          <w:b w:val="0"/>
          <w:bCs w:val="0"/>
        </w:rPr>
      </w:r>
    </w:p>
    <w:p>
      <w:pPr>
        <w:pStyle w:val="BodyText"/>
        <w:spacing w:line="338" w:lineRule="auto" w:before="154"/>
        <w:ind w:right="1130"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月，住房和城乡建设部、生态环境部和发展改革委三部委联合下发了《城镇污水</w:t>
      </w:r>
      <w:r>
        <w:rPr/>
        <w:t> </w:t>
      </w:r>
      <w:r>
        <w:rPr>
          <w:spacing w:val="-2"/>
        </w:rPr>
        <w:t>处理提质增效三年行动方案（</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2021</w:t>
      </w:r>
      <w:r>
        <w:rPr>
          <w:spacing w:val="-2"/>
        </w:rPr>
        <w:t>年）》的通知，要求：</w:t>
      </w:r>
      <w:r>
        <w:rPr>
          <w:rFonts w:ascii="Times New Roman" w:hAnsi="Times New Roman" w:cs="Times New Roman" w:eastAsia="Times New Roman" w:hint="default"/>
          <w:spacing w:val="-2"/>
        </w:rPr>
        <w:t>“</w:t>
      </w:r>
      <w:r>
        <w:rPr>
          <w:spacing w:val="-2"/>
        </w:rPr>
        <w:t>依法建立市政排水管网地理</w:t>
      </w:r>
      <w:r>
        <w:rPr>
          <w:spacing w:val="-99"/>
        </w:rPr>
        <w:t> </w:t>
      </w:r>
      <w:r>
        <w:rPr>
          <w:spacing w:val="-99"/>
        </w:rPr>
      </w:r>
      <w:r>
        <w:rPr>
          <w:spacing w:val="-3"/>
        </w:rPr>
        <w:t>信息系统（</w:t>
      </w:r>
      <w:r>
        <w:rPr>
          <w:rFonts w:ascii="Times New Roman" w:hAnsi="Times New Roman" w:cs="Times New Roman" w:eastAsia="Times New Roman" w:hint="default"/>
          <w:spacing w:val="-3"/>
        </w:rPr>
        <w:t>GIS</w:t>
      </w:r>
      <w:r>
        <w:rPr>
          <w:spacing w:val="-3"/>
        </w:rPr>
        <w:t>），实现管网信息化、账册化管理。落实排水管网周期性检测评估制度，建立</w:t>
      </w:r>
      <w:r>
        <w:rPr>
          <w:spacing w:val="-108"/>
        </w:rPr>
        <w:t> </w:t>
      </w:r>
      <w:r>
        <w:rPr>
          <w:spacing w:val="-108"/>
        </w:rPr>
      </w:r>
      <w:r>
        <w:rPr/>
        <w:t>和完善基于</w:t>
      </w:r>
      <w:r>
        <w:rPr>
          <w:rFonts w:ascii="Times New Roman" w:hAnsi="Times New Roman" w:cs="Times New Roman" w:eastAsia="Times New Roman" w:hint="default"/>
        </w:rPr>
        <w:t>GIS</w:t>
      </w:r>
      <w:r>
        <w:rPr/>
        <w:t>系统的动态更新机制，逐步建立以</w:t>
      </w:r>
      <w:r>
        <w:rPr>
          <w:rFonts w:ascii="Times New Roman" w:hAnsi="Times New Roman" w:cs="Times New Roman" w:eastAsia="Times New Roman" w:hint="default"/>
        </w:rPr>
        <w:t>5</w:t>
      </w:r>
      <w:r>
        <w:rPr>
          <w:rFonts w:ascii="Times New Roman" w:hAnsi="Times New Roman" w:cs="Times New Roman" w:eastAsia="Times New Roman" w:hint="default"/>
        </w:rPr>
        <w:t>—</w:t>
      </w:r>
      <w:r>
        <w:rPr>
          <w:rFonts w:ascii="Times New Roman" w:hAnsi="Times New Roman" w:cs="Times New Roman" w:eastAsia="Times New Roman" w:hint="default"/>
        </w:rPr>
        <w:t>10</w:t>
      </w:r>
      <w:r>
        <w:rPr/>
        <w:t>年为一个排查周期的长效机制和费用</w:t>
      </w:r>
      <w:r>
        <w:rPr>
          <w:spacing w:val="-114"/>
        </w:rPr>
        <w:t> </w:t>
      </w:r>
      <w:r>
        <w:rPr>
          <w:spacing w:val="-114"/>
        </w:rPr>
      </w:r>
      <w:r>
        <w:rPr>
          <w:spacing w:val="-2"/>
        </w:rPr>
        <w:t>保障机制</w:t>
      </w:r>
      <w:r>
        <w:rPr>
          <w:rFonts w:ascii="Times New Roman" w:hAnsi="Times New Roman" w:cs="Times New Roman" w:eastAsia="Times New Roman" w:hint="default"/>
          <w:spacing w:val="-2"/>
        </w:rPr>
        <w:t>”</w:t>
      </w:r>
      <w:r>
        <w:rPr>
          <w:spacing w:val="-2"/>
        </w:rPr>
        <w:t>。金迪集团抓住城市排水管网提升改造带来的新的历史机遇，以一流的技术和服务</w:t>
      </w:r>
      <w:r>
        <w:rPr>
          <w:spacing w:val="-107"/>
        </w:rPr>
        <w:t> </w:t>
      </w:r>
      <w:r>
        <w:rPr>
          <w:spacing w:val="-107"/>
        </w:rPr>
      </w:r>
      <w:r>
        <w:rPr>
          <w:spacing w:val="2"/>
        </w:rPr>
        <w:t>能力，全面贯彻落实《关于印发城镇污水处理提质增效三年行动方案</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w:t>
      </w:r>
      <w:r>
        <w:rPr>
          <w:spacing w:val="2"/>
        </w:rPr>
        <w:t>》等文</w:t>
      </w:r>
    </w:p>
    <w:p>
      <w:pPr>
        <w:spacing w:after="0" w:line="338"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0" w:lineRule="auto" w:before="26"/>
        <w:ind w:right="1015"/>
        <w:jc w:val="left"/>
      </w:pPr>
      <w:r>
        <w:rPr/>
        <w:t>件要求，所有业务围绕</w:t>
      </w:r>
      <w:r>
        <w:rPr>
          <w:rFonts w:ascii="Times New Roman" w:hAnsi="Times New Roman" w:cs="Times New Roman" w:eastAsia="Times New Roman" w:hint="default"/>
        </w:rPr>
        <w:t>“</w:t>
      </w:r>
      <w:r>
        <w:rPr/>
        <w:t>地下管线服务</w:t>
      </w:r>
      <w:r>
        <w:rPr>
          <w:rFonts w:ascii="Times New Roman" w:hAnsi="Times New Roman" w:cs="Times New Roman" w:eastAsia="Times New Roman" w:hint="default"/>
        </w:rPr>
        <w:t>”</w:t>
      </w:r>
      <w:r>
        <w:rPr/>
        <w:t>展开，通过普查全面掌握城镇排水管网建设情况，查</w:t>
      </w:r>
      <w:r>
        <w:rPr>
          <w:spacing w:val="-62"/>
        </w:rPr>
        <w:t> </w:t>
      </w:r>
      <w:r>
        <w:rPr>
          <w:spacing w:val="-62"/>
        </w:rPr>
      </w:r>
      <w:r>
        <w:rPr/>
        <w:t>明排水户以及排水管道覆盖、功能和混接状况，为排水管网修复和改造、雨污混接改造、污</w:t>
      </w:r>
      <w:r>
        <w:rPr>
          <w:spacing w:val="-91"/>
        </w:rPr>
        <w:t> </w:t>
      </w:r>
      <w:r>
        <w:rPr>
          <w:spacing w:val="-91"/>
        </w:rPr>
      </w:r>
      <w:r>
        <w:rPr>
          <w:spacing w:val="-3"/>
        </w:rPr>
        <w:t>水处理和提质增效提供依据，实现污水管网全覆盖、全收集、全处理。同时，提供数据建设、</w:t>
      </w:r>
      <w:r>
        <w:rPr>
          <w:spacing w:val="-82"/>
        </w:rPr>
        <w:t> </w:t>
      </w:r>
      <w:r>
        <w:rPr>
          <w:spacing w:val="-82"/>
        </w:rPr>
      </w:r>
      <w:r>
        <w:rPr/>
        <w:t>物联网监测和信息化系统的智慧排水解决方案，实现</w:t>
      </w:r>
      <w:r>
        <w:rPr>
          <w:rFonts w:ascii="Times New Roman" w:hAnsi="Times New Roman" w:cs="Times New Roman" w:eastAsia="Times New Roman" w:hint="default"/>
        </w:rPr>
        <w:t>“</w:t>
      </w:r>
      <w:r>
        <w:rPr/>
        <w:t>源</w:t>
      </w:r>
      <w:r>
        <w:rPr>
          <w:rFonts w:ascii="Times New Roman" w:hAnsi="Times New Roman" w:cs="Times New Roman" w:eastAsia="Times New Roman" w:hint="default"/>
        </w:rPr>
        <w:t>-</w:t>
      </w:r>
      <w:r>
        <w:rPr/>
        <w:t>网</w:t>
      </w:r>
      <w:r>
        <w:rPr>
          <w:rFonts w:ascii="Times New Roman" w:hAnsi="Times New Roman" w:cs="Times New Roman" w:eastAsia="Times New Roman" w:hint="default"/>
        </w:rPr>
        <w:t>-</w:t>
      </w:r>
      <w:r>
        <w:rPr/>
        <w:t>厂</w:t>
      </w:r>
      <w:r>
        <w:rPr>
          <w:rFonts w:ascii="Times New Roman" w:hAnsi="Times New Roman" w:cs="Times New Roman" w:eastAsia="Times New Roman" w:hint="default"/>
        </w:rPr>
        <w:t>-</w:t>
      </w:r>
      <w:r>
        <w:rPr/>
        <w:t>站</w:t>
      </w:r>
      <w:r>
        <w:rPr>
          <w:rFonts w:ascii="Times New Roman" w:hAnsi="Times New Roman" w:cs="Times New Roman" w:eastAsia="Times New Roman" w:hint="default"/>
        </w:rPr>
        <w:t>-</w:t>
      </w:r>
      <w:r>
        <w:rPr/>
        <w:t>口</w:t>
      </w:r>
      <w:r>
        <w:rPr>
          <w:rFonts w:ascii="Times New Roman" w:hAnsi="Times New Roman" w:cs="Times New Roman" w:eastAsia="Times New Roman" w:hint="default"/>
        </w:rPr>
        <w:t>”</w:t>
      </w:r>
      <w:r>
        <w:rPr/>
        <w:t>的一体化监管。</w:t>
      </w:r>
    </w:p>
    <w:p>
      <w:pPr>
        <w:pStyle w:val="BodyText"/>
        <w:spacing w:line="357" w:lineRule="auto" w:before="13"/>
        <w:ind w:right="986" w:firstLine="480"/>
        <w:jc w:val="left"/>
      </w:pPr>
      <w:r>
        <w:rPr/>
        <w:t>智慧排水综合监管平台是一个涵盖从基础数据管理、大数据分析、一张图综合展示到巡 </w:t>
      </w:r>
      <w:r>
        <w:rPr>
          <w:spacing w:val="-3"/>
        </w:rPr>
        <w:t>查工单、隐患排查、排污许可、厂站监管等全要素、全业务综合管理平台，为解决城市内涝、</w:t>
      </w:r>
      <w:r>
        <w:rPr>
          <w:spacing w:val="-82"/>
        </w:rPr>
        <w:t> </w:t>
      </w:r>
      <w:r>
        <w:rPr>
          <w:spacing w:val="-82"/>
        </w:rPr>
      </w:r>
      <w:r>
        <w:rPr/>
        <w:t>黑臭水体两大难题提供业务平台支撑。通过建立管网分析模型，结合物联网监测数据，实现</w:t>
      </w:r>
      <w:r>
        <w:rPr>
          <w:spacing w:val="-91"/>
        </w:rPr>
        <w:t> </w:t>
      </w:r>
      <w:r>
        <w:rPr>
          <w:spacing w:val="-91"/>
        </w:rPr>
      </w:r>
      <w:r>
        <w:rPr/>
        <w:t>对内涝监测预警分析、入流入渗分析、水量平衡及变化分析、偷排漏排分析等多维度决策分</w:t>
      </w:r>
      <w:r>
        <w:rPr>
          <w:spacing w:val="-91"/>
        </w:rPr>
        <w:t> </w:t>
      </w:r>
      <w:r>
        <w:rPr>
          <w:spacing w:val="-91"/>
        </w:rPr>
      </w:r>
      <w:r>
        <w:rPr/>
        <w:t>析，为雨污混接点改造、厂网一体化等工程建设提供决策依据和方法。建立一套包括应急预</w:t>
      </w:r>
      <w:r>
        <w:rPr>
          <w:spacing w:val="-91"/>
        </w:rPr>
        <w:t> </w:t>
      </w:r>
      <w:r>
        <w:rPr>
          <w:spacing w:val="-91"/>
        </w:rPr>
      </w:r>
      <w:r>
        <w:rPr/>
        <w:t>案、应急资源、应急处置等应急响应体系，通过对排水管网、泵站、闸阀、排污口、河湖水</w:t>
      </w:r>
      <w:r>
        <w:rPr>
          <w:spacing w:val="-91"/>
        </w:rPr>
        <w:t> </w:t>
      </w:r>
      <w:r>
        <w:rPr>
          <w:spacing w:val="-91"/>
        </w:rPr>
      </w:r>
      <w:r>
        <w:rPr/>
        <w:t>系的实时监测监控，建立对城市内涝等应急情况下的联合调度体系。</w:t>
      </w:r>
    </w:p>
    <w:p>
      <w:pPr>
        <w:pStyle w:val="BodyText"/>
        <w:spacing w:line="352" w:lineRule="auto"/>
        <w:ind w:right="1131" w:firstLine="480"/>
        <w:jc w:val="both"/>
      </w:pPr>
      <w:r>
        <w:rPr/>
        <w:t>报告期内，公司中标苏州高新区排水管网检测、雨污混接调查项目。对苏州高新区已建 的</w:t>
      </w:r>
      <w:r>
        <w:rPr>
          <w:rFonts w:ascii="Times New Roman" w:hAnsi="Times New Roman" w:cs="Times New Roman" w:eastAsia="Times New Roman" w:hint="default"/>
        </w:rPr>
        <w:t>2000</w:t>
      </w:r>
      <w:r>
        <w:rPr/>
        <w:t>公里排水管线，实施包含管网补测、管道检测及评估、雨污混错接调查、水质检测、</w:t>
      </w:r>
      <w:r>
        <w:rPr>
          <w:spacing w:val="-88"/>
        </w:rPr>
        <w:t> </w:t>
      </w:r>
      <w:r>
        <w:rPr>
          <w:spacing w:val="-88"/>
        </w:rPr>
      </w:r>
      <w:r>
        <w:rPr/>
        <w:t>污水管道紧急抢修、待检查排水管网路段交通导行等内容，形成全区排水管网一张图，病害</w:t>
      </w:r>
      <w:r>
        <w:rPr>
          <w:spacing w:val="-91"/>
        </w:rPr>
        <w:t> </w:t>
      </w:r>
      <w:r>
        <w:rPr>
          <w:spacing w:val="-91"/>
        </w:rPr>
      </w:r>
      <w:r>
        <w:rPr/>
        <w:t>问题一张图、雨污混接一张图。为系统治理城区水环境情况、改善城区排水条件、管道改造</w:t>
      </w:r>
      <w:r>
        <w:rPr>
          <w:spacing w:val="-91"/>
        </w:rPr>
        <w:t> </w:t>
      </w:r>
      <w:r>
        <w:rPr>
          <w:spacing w:val="-91"/>
        </w:rPr>
      </w:r>
      <w:r>
        <w:rPr/>
        <w:t>修复提供详实的基础数据支撑。为了减少封堵、降水、清淤的重复工作，对已查明的局部缺</w:t>
      </w:r>
      <w:r>
        <w:rPr>
          <w:spacing w:val="-91"/>
        </w:rPr>
        <w:t> </w:t>
      </w:r>
      <w:r>
        <w:rPr>
          <w:spacing w:val="-91"/>
        </w:rPr>
      </w:r>
      <w:r>
        <w:rPr>
          <w:spacing w:val="-1"/>
        </w:rPr>
        <w:t>陷进行修复。在排水管网勘察、检测及修复的基础上</w:t>
      </w:r>
      <w:r>
        <w:rPr>
          <w:rFonts w:ascii="Times New Roman" w:hAnsi="Times New Roman" w:cs="Times New Roman" w:eastAsia="Times New Roman" w:hint="default"/>
          <w:spacing w:val="-1"/>
        </w:rPr>
        <w:t>,</w:t>
      </w:r>
      <w:r>
        <w:rPr>
          <w:spacing w:val="-1"/>
        </w:rPr>
        <w:t>建成城市排水管网设施综合数据库，建</w:t>
      </w:r>
      <w:r>
        <w:rPr>
          <w:spacing w:val="-102"/>
        </w:rPr>
        <w:t> </w:t>
      </w:r>
      <w:r>
        <w:rPr>
          <w:spacing w:val="-102"/>
        </w:rPr>
      </w:r>
      <w:r>
        <w:rPr/>
        <w:t>立排水管网设施管理系统，实现城市管网设施数字化、排水管网缺陷可视化、排水管网监测</w:t>
      </w:r>
      <w:r>
        <w:rPr>
          <w:spacing w:val="-91"/>
        </w:rPr>
        <w:t> </w:t>
      </w:r>
      <w:r>
        <w:rPr>
          <w:spacing w:val="-91"/>
        </w:rPr>
      </w:r>
      <w:r>
        <w:rPr/>
        <w:t>实时化，满足苏州高新区对城市排水应急处置数据信息化处理、排水管网设施养护管理和业</w:t>
      </w:r>
      <w:r>
        <w:rPr>
          <w:spacing w:val="-91"/>
        </w:rPr>
        <w:t> </w:t>
      </w:r>
      <w:r>
        <w:rPr>
          <w:spacing w:val="-91"/>
        </w:rPr>
      </w:r>
      <w:r>
        <w:rPr/>
        <w:t>务管理的要求。</w:t>
      </w:r>
    </w:p>
    <w:p>
      <w:pPr>
        <w:pStyle w:val="BodyText"/>
        <w:spacing w:line="352" w:lineRule="auto" w:before="41"/>
        <w:ind w:right="1127" w:firstLine="480"/>
        <w:jc w:val="both"/>
      </w:pPr>
      <w:r>
        <w:rPr/>
        <w:t>城市地下管线是城市基础设施的重要组成部分，是城市赖以生存和发展的物质基础，是 城市安全高效运行的</w:t>
      </w:r>
      <w:r>
        <w:rPr>
          <w:rFonts w:ascii="Times New Roman" w:hAnsi="Times New Roman" w:cs="Times New Roman" w:eastAsia="Times New Roman" w:hint="default"/>
        </w:rPr>
        <w:t>“</w:t>
      </w:r>
      <w:r>
        <w:rPr/>
        <w:t>生命线</w:t>
      </w:r>
      <w:r>
        <w:rPr>
          <w:rFonts w:ascii="Times New Roman" w:hAnsi="Times New Roman" w:cs="Times New Roman" w:eastAsia="Times New Roman" w:hint="default"/>
        </w:rPr>
        <w:t>”</w:t>
      </w:r>
      <w:r>
        <w:rPr/>
        <w:t>，随着我国城镇化进程的加快和</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工作的不断深入，为</w:t>
      </w:r>
      <w:r>
        <w:rPr>
          <w:spacing w:val="-40"/>
        </w:rPr>
        <w:t> </w:t>
      </w:r>
      <w:r>
        <w:rPr/>
        <w:t>我国城市排水管网、污水处理市场提供了广阔的发展空间。金迪公司已从城市管线数据普查</w:t>
      </w:r>
      <w:r>
        <w:rPr>
          <w:spacing w:val="-91"/>
        </w:rPr>
        <w:t> </w:t>
      </w:r>
      <w:r>
        <w:rPr>
          <w:spacing w:val="-91"/>
        </w:rPr>
      </w:r>
      <w:r>
        <w:rPr/>
        <w:t>市场大规模进军管线检测、修复及运营市场，市场发展空间进一步打开，为实现跨越式发展</w:t>
      </w:r>
      <w:r>
        <w:rPr>
          <w:spacing w:val="-91"/>
        </w:rPr>
        <w:t> </w:t>
      </w:r>
      <w:r>
        <w:rPr>
          <w:spacing w:val="-91"/>
        </w:rPr>
      </w:r>
      <w:r>
        <w:rPr/>
        <w:t>奠定了重要的基础。</w:t>
      </w:r>
    </w:p>
    <w:p>
      <w:pPr>
        <w:spacing w:line="357" w:lineRule="auto" w:before="41"/>
        <w:ind w:left="633" w:right="1104" w:firstLine="2"/>
        <w:jc w:val="left"/>
        <w:rPr>
          <w:rFonts w:ascii="宋体" w:hAnsi="宋体" w:cs="宋体" w:eastAsia="宋体" w:hint="default"/>
          <w:sz w:val="24"/>
          <w:szCs w:val="24"/>
        </w:rPr>
      </w:pPr>
      <w:r>
        <w:rPr>
          <w:rFonts w:ascii="宋体" w:hAnsi="宋体" w:cs="宋体" w:eastAsia="宋体" w:hint="default"/>
          <w:b/>
          <w:bCs/>
          <w:sz w:val="24"/>
          <w:szCs w:val="24"/>
        </w:rPr>
        <w:t>三、运用区块链技术，探索城市治理新模式</w:t>
      </w:r>
      <w:r>
        <w:rPr>
          <w:rFonts w:ascii="宋体" w:hAnsi="宋体" w:cs="宋体" w:eastAsia="宋体" w:hint="default"/>
          <w:b/>
          <w:bCs/>
          <w:w w:val="99"/>
          <w:sz w:val="24"/>
          <w:szCs w:val="24"/>
        </w:rPr>
        <w:t> </w:t>
      </w:r>
      <w:r>
        <w:rPr>
          <w:rFonts w:ascii="宋体" w:hAnsi="宋体" w:cs="宋体" w:eastAsia="宋体" w:hint="default"/>
          <w:sz w:val="24"/>
          <w:szCs w:val="24"/>
        </w:rPr>
        <w:t>公司成立城市治理区块链应用研究院，抓住区块链技术融合、功能拓展、产业升级的契</w:t>
      </w:r>
    </w:p>
    <w:p>
      <w:pPr>
        <w:pStyle w:val="BodyText"/>
        <w:spacing w:line="357" w:lineRule="auto"/>
        <w:ind w:right="996"/>
        <w:jc w:val="left"/>
      </w:pPr>
      <w:r>
        <w:rPr/>
        <w:t>机，发挥区块链在促进电子政务数据共享、优化业务流程、降低运营成本、提升协同效率、</w:t>
      </w:r>
      <w:r>
        <w:rPr>
          <w:spacing w:val="-88"/>
        </w:rPr>
        <w:t> </w:t>
      </w:r>
      <w:r>
        <w:rPr>
          <w:spacing w:val="-88"/>
        </w:rPr>
      </w:r>
      <w:r>
        <w:rPr>
          <w:spacing w:val="-2"/>
        </w:rPr>
        <w:t>建设可信体系等方面的作用。专注于区块链基础技术研究和城市治理领域的区块链应用研发，</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38" w:lineRule="auto" w:before="26"/>
        <w:ind w:right="1133"/>
        <w:jc w:val="both"/>
      </w:pPr>
      <w:r>
        <w:rPr>
          <w:spacing w:val="-2"/>
        </w:rPr>
        <w:t>推动</w:t>
      </w:r>
      <w:r>
        <w:rPr>
          <w:rFonts w:ascii="Times New Roman" w:hAnsi="Times New Roman" w:cs="Times New Roman" w:eastAsia="Times New Roman" w:hint="default"/>
          <w:spacing w:val="-2"/>
        </w:rPr>
        <w:t>“</w:t>
      </w:r>
      <w:r>
        <w:rPr>
          <w:spacing w:val="-2"/>
        </w:rPr>
        <w:t>区块链</w:t>
      </w:r>
      <w:r>
        <w:rPr>
          <w:rFonts w:ascii="Times New Roman" w:hAnsi="Times New Roman" w:cs="Times New Roman" w:eastAsia="Times New Roman" w:hint="default"/>
          <w:spacing w:val="-2"/>
        </w:rPr>
        <w:t>+</w:t>
      </w:r>
      <w:r>
        <w:rPr>
          <w:spacing w:val="-2"/>
        </w:rPr>
        <w:t>行业</w:t>
      </w:r>
      <w:r>
        <w:rPr>
          <w:rFonts w:ascii="Times New Roman" w:hAnsi="Times New Roman" w:cs="Times New Roman" w:eastAsia="Times New Roman" w:hint="default"/>
          <w:spacing w:val="-2"/>
        </w:rPr>
        <w:t>”</w:t>
      </w:r>
      <w:r>
        <w:rPr>
          <w:spacing w:val="-2"/>
        </w:rPr>
        <w:t>落地以及产业孵化。致力于建设成为一家行业领先并在国内有广泛影响力</w:t>
      </w:r>
      <w:r>
        <w:rPr>
          <w:spacing w:val="-108"/>
        </w:rPr>
        <w:t> </w:t>
      </w:r>
      <w:r>
        <w:rPr>
          <w:spacing w:val="-108"/>
        </w:rPr>
      </w:r>
      <w:r>
        <w:rPr/>
        <w:t>的区块链产业服务平台，推动价值互联，助力区块链赋能实体经济的国家战略目标。</w:t>
      </w:r>
    </w:p>
    <w:p>
      <w:pPr>
        <w:pStyle w:val="BodyText"/>
        <w:spacing w:line="357" w:lineRule="auto" w:before="55"/>
        <w:ind w:right="1138" w:firstLine="480"/>
        <w:jc w:val="both"/>
      </w:pPr>
      <w:r>
        <w:rPr/>
        <w:t>目前，公司已经与国家住房和城乡建设部签订《住房和城乡建设部科研项目合同书》， 负责开展城市综合管理服务平台关键技术研究课题，研究区块链技术在城市管理领域的创新</w:t>
      </w:r>
      <w:r>
        <w:rPr>
          <w:spacing w:val="-91"/>
        </w:rPr>
        <w:t> </w:t>
      </w:r>
      <w:r>
        <w:rPr>
          <w:spacing w:val="-91"/>
        </w:rPr>
      </w:r>
      <w:r>
        <w:rPr/>
        <w:t>与应用。公司将着力研究区块链技术的关键技术及在城市管理领域的应用，探索建立城市综</w:t>
      </w:r>
      <w:r>
        <w:rPr>
          <w:spacing w:val="-91"/>
        </w:rPr>
        <w:t> </w:t>
      </w:r>
      <w:r>
        <w:rPr>
          <w:spacing w:val="-91"/>
        </w:rPr>
      </w:r>
      <w:r>
        <w:rPr/>
        <w:t>合管理服务政务联盟链，并开展区块链在城市管理领域的应用场景研究。对公司提升核心技</w:t>
      </w:r>
      <w:r>
        <w:rPr>
          <w:spacing w:val="-91"/>
        </w:rPr>
        <w:t> </w:t>
      </w:r>
      <w:r>
        <w:rPr>
          <w:spacing w:val="-91"/>
        </w:rPr>
      </w:r>
      <w:r>
        <w:rPr/>
        <w:t>术竞争能力及拓展市场发展空间具有重要、积极作用。</w:t>
      </w:r>
    </w:p>
    <w:p>
      <w:pPr>
        <w:spacing w:line="357" w:lineRule="auto" w:before="37"/>
        <w:ind w:left="633" w:right="1104" w:firstLine="2"/>
        <w:jc w:val="left"/>
        <w:rPr>
          <w:rFonts w:ascii="宋体" w:hAnsi="宋体" w:cs="宋体" w:eastAsia="宋体" w:hint="default"/>
          <w:sz w:val="24"/>
          <w:szCs w:val="24"/>
        </w:rPr>
      </w:pPr>
      <w:r>
        <w:rPr>
          <w:rFonts w:ascii="宋体" w:hAnsi="宋体" w:cs="宋体" w:eastAsia="宋体" w:hint="default"/>
          <w:b/>
          <w:bCs/>
          <w:sz w:val="24"/>
          <w:szCs w:val="24"/>
        </w:rPr>
        <w:t>四、深化产业合作，实现互利共赢</w:t>
      </w:r>
      <w:r>
        <w:rPr>
          <w:rFonts w:ascii="宋体" w:hAnsi="宋体" w:cs="宋体" w:eastAsia="宋体" w:hint="default"/>
          <w:b/>
          <w:bCs/>
          <w:w w:val="99"/>
          <w:sz w:val="24"/>
          <w:szCs w:val="24"/>
        </w:rPr>
        <w:t> </w:t>
      </w:r>
      <w:r>
        <w:rPr>
          <w:rFonts w:ascii="宋体" w:hAnsi="宋体" w:cs="宋体" w:eastAsia="宋体" w:hint="default"/>
          <w:sz w:val="24"/>
          <w:szCs w:val="24"/>
        </w:rPr>
        <w:t>公司作为阿里云</w:t>
      </w:r>
      <w:r>
        <w:rPr>
          <w:rFonts w:ascii="Times New Roman" w:hAnsi="Times New Roman" w:cs="Times New Roman" w:eastAsia="Times New Roman" w:hint="default"/>
          <w:sz w:val="24"/>
          <w:szCs w:val="24"/>
        </w:rPr>
        <w:t>MSP</w:t>
      </w:r>
      <w:r>
        <w:rPr>
          <w:rFonts w:ascii="宋体" w:hAnsi="宋体" w:cs="宋体" w:eastAsia="宋体" w:hint="default"/>
          <w:sz w:val="24"/>
          <w:szCs w:val="24"/>
        </w:rPr>
        <w:t>合作伙伴，双方在智慧城市行业解决方案及云管理服务等方面开展</w:t>
      </w:r>
    </w:p>
    <w:p>
      <w:pPr>
        <w:pStyle w:val="BodyText"/>
        <w:spacing w:line="345" w:lineRule="auto" w:before="5"/>
        <w:ind w:right="1128"/>
        <w:jc w:val="both"/>
      </w:pPr>
      <w:r>
        <w:rPr/>
        <w:t>合作。公司的智慧城市网格化管理服务平台和通图</w:t>
      </w:r>
      <w:r>
        <w:rPr>
          <w:rFonts w:ascii="Times New Roman" w:hAnsi="Times New Roman" w:cs="Times New Roman" w:eastAsia="Times New Roman" w:hint="default"/>
        </w:rPr>
        <w:t>GIS3.0</w:t>
      </w:r>
      <w:r>
        <w:rPr/>
        <w:t>二三维一体化平台两款产品与阿里</w:t>
      </w:r>
      <w:r>
        <w:rPr>
          <w:spacing w:val="-55"/>
        </w:rPr>
        <w:t> </w:t>
      </w:r>
      <w:r>
        <w:rPr>
          <w:spacing w:val="-55"/>
        </w:rPr>
      </w:r>
      <w:r>
        <w:rPr>
          <w:spacing w:val="2"/>
        </w:rPr>
        <w:t>云</w:t>
      </w:r>
      <w:r>
        <w:rPr>
          <w:rFonts w:ascii="Times New Roman" w:hAnsi="Times New Roman" w:cs="Times New Roman" w:eastAsia="Times New Roman" w:hint="default"/>
          <w:spacing w:val="2"/>
        </w:rPr>
        <w:t>POLARDB</w:t>
      </w:r>
      <w:r>
        <w:rPr>
          <w:spacing w:val="2"/>
        </w:rPr>
        <w:t>数据库共同完成互兼容适配认证。完成互兼容性认证后，双方将在各自深厚的</w:t>
      </w:r>
      <w:r>
        <w:rPr>
          <w:spacing w:val="-111"/>
        </w:rPr>
        <w:t> </w:t>
      </w:r>
      <w:r>
        <w:rPr>
          <w:spacing w:val="-111"/>
        </w:rPr>
      </w:r>
      <w:r>
        <w:rPr/>
        <w:t>技术及应用积累的基础上，实现更多领域的优势互补与交流合作，打造出更加优质的整体解</w:t>
      </w:r>
      <w:r>
        <w:rPr>
          <w:spacing w:val="-91"/>
        </w:rPr>
        <w:t> </w:t>
      </w:r>
      <w:r>
        <w:rPr>
          <w:spacing w:val="-91"/>
        </w:rPr>
      </w:r>
      <w:r>
        <w:rPr/>
        <w:t>决方案。</w:t>
      </w:r>
    </w:p>
    <w:p>
      <w:pPr>
        <w:pStyle w:val="BodyText"/>
        <w:spacing w:line="340" w:lineRule="auto" w:before="48"/>
        <w:ind w:right="1131" w:firstLine="480"/>
        <w:jc w:val="both"/>
      </w:pPr>
      <w:r>
        <w:rPr/>
        <w:t>公司作为</w:t>
      </w:r>
      <w:r>
        <w:rPr>
          <w:rFonts w:ascii="Times New Roman" w:hAnsi="Times New Roman" w:cs="Times New Roman" w:eastAsia="Times New Roman" w:hint="default"/>
        </w:rPr>
        <w:t>ISV</w:t>
      </w:r>
      <w:r>
        <w:rPr/>
        <w:t>（</w:t>
      </w:r>
      <w:r>
        <w:rPr>
          <w:rFonts w:ascii="Times New Roman" w:hAnsi="Times New Roman" w:cs="Times New Roman" w:eastAsia="Times New Roman" w:hint="default"/>
        </w:rPr>
        <w:t>Independent Software</w:t>
      </w:r>
      <w:r>
        <w:rPr>
          <w:rFonts w:ascii="Times New Roman" w:hAnsi="Times New Roman" w:cs="Times New Roman" w:eastAsia="Times New Roman" w:hint="default"/>
          <w:spacing w:val="44"/>
        </w:rPr>
        <w:t> </w:t>
      </w:r>
      <w:r>
        <w:rPr>
          <w:rFonts w:ascii="Times New Roman" w:hAnsi="Times New Roman" w:cs="Times New Roman" w:eastAsia="Times New Roman" w:hint="default"/>
        </w:rPr>
        <w:t>Vendor</w:t>
      </w:r>
      <w:r>
        <w:rPr/>
        <w:t>）独立软件供应商加入华为技术有限公司解</w:t>
      </w:r>
      <w:r>
        <w:rPr>
          <w:w w:val="99"/>
        </w:rPr>
        <w:t> </w:t>
      </w:r>
      <w:r>
        <w:rPr>
          <w:spacing w:val="-2"/>
        </w:rPr>
        <w:t>决方案伙伴计划，获得</w:t>
      </w:r>
      <w:r>
        <w:rPr>
          <w:rFonts w:ascii="Times New Roman" w:hAnsi="Times New Roman" w:cs="Times New Roman" w:eastAsia="Times New Roman" w:hint="default"/>
          <w:spacing w:val="-2"/>
        </w:rPr>
        <w:t>2020</w:t>
      </w:r>
      <w:r>
        <w:rPr>
          <w:spacing w:val="-2"/>
        </w:rPr>
        <w:t>年华为领先级解决方案伙伴证书。同时，公司加入</w:t>
      </w:r>
      <w:r>
        <w:rPr>
          <w:rFonts w:ascii="Times New Roman" w:hAnsi="Times New Roman" w:cs="Times New Roman" w:eastAsia="Times New Roman" w:hint="default"/>
          <w:spacing w:val="-2"/>
        </w:rPr>
        <w:t>“</w:t>
      </w:r>
      <w:r>
        <w:rPr>
          <w:spacing w:val="-2"/>
        </w:rPr>
        <w:t>华为云鲲鹏凌</w:t>
      </w:r>
      <w:r>
        <w:rPr>
          <w:spacing w:val="-102"/>
        </w:rPr>
        <w:t> </w:t>
      </w:r>
      <w:r>
        <w:rPr>
          <w:spacing w:val="-2"/>
        </w:rPr>
        <w:t>云伙伴计划</w:t>
      </w:r>
      <w:r>
        <w:rPr>
          <w:rFonts w:ascii="Times New Roman" w:hAnsi="Times New Roman" w:cs="Times New Roman" w:eastAsia="Times New Roman" w:hint="default"/>
          <w:spacing w:val="-2"/>
        </w:rPr>
        <w:t>”</w:t>
      </w:r>
      <w:r>
        <w:rPr>
          <w:spacing w:val="-2"/>
        </w:rPr>
        <w:t>，智慧化城市管理信息系统、网格化综合治理平台两大产品通过华为云鲲鹏云服</w:t>
      </w:r>
      <w:r>
        <w:rPr>
          <w:spacing w:val="-107"/>
        </w:rPr>
        <w:t> </w:t>
      </w:r>
      <w:r>
        <w:rPr>
          <w:spacing w:val="-107"/>
        </w:rPr>
      </w:r>
      <w:r>
        <w:rPr/>
        <w:t>务兼容性认证，获得华为技术认证书并上架华为云严选商城。公司作为华为智慧城市业务应</w:t>
      </w:r>
      <w:r>
        <w:rPr>
          <w:spacing w:val="-91"/>
        </w:rPr>
        <w:t> </w:t>
      </w:r>
      <w:r>
        <w:rPr>
          <w:spacing w:val="-91"/>
        </w:rPr>
      </w:r>
      <w:r>
        <w:rPr>
          <w:spacing w:val="-2"/>
        </w:rPr>
        <w:t>用伙伴后，将持续发挥自身优势能力，在</w:t>
      </w:r>
      <w:r>
        <w:rPr>
          <w:rFonts w:ascii="Times New Roman" w:hAnsi="Times New Roman" w:cs="Times New Roman" w:eastAsia="Times New Roman" w:hint="default"/>
          <w:spacing w:val="-2"/>
        </w:rPr>
        <w:t>“</w:t>
      </w:r>
      <w:r>
        <w:rPr>
          <w:spacing w:val="-2"/>
        </w:rPr>
        <w:t>网格化</w:t>
      </w:r>
      <w:r>
        <w:rPr>
          <w:rFonts w:ascii="Times New Roman" w:hAnsi="Times New Roman" w:cs="Times New Roman" w:eastAsia="Times New Roman" w:hint="default"/>
          <w:spacing w:val="-2"/>
        </w:rPr>
        <w:t>”+</w:t>
      </w:r>
      <w:r>
        <w:rPr>
          <w:spacing w:val="-2"/>
        </w:rPr>
        <w:t>智慧城市、城市大脑、智慧城管、社会治</w:t>
      </w:r>
      <w:r>
        <w:rPr>
          <w:spacing w:val="-109"/>
        </w:rPr>
        <w:t> </w:t>
      </w:r>
      <w:r>
        <w:rPr>
          <w:spacing w:val="-109"/>
        </w:rPr>
      </w:r>
      <w:r>
        <w:rPr/>
        <w:t>理、智慧执法等方面与华为开展更深入的合作，助力</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和智慧城市建设，为政府用</w:t>
      </w:r>
      <w:r>
        <w:rPr>
          <w:spacing w:val="-60"/>
        </w:rPr>
        <w:t> </w:t>
      </w:r>
      <w:r>
        <w:rPr>
          <w:spacing w:val="-60"/>
        </w:rPr>
      </w:r>
      <w:r>
        <w:rPr/>
        <w:t>户提供更加先进、实用、创新性的解决方案，持续为客户带来高价值服务。</w:t>
      </w:r>
    </w:p>
    <w:p>
      <w:pPr>
        <w:pStyle w:val="BodyText"/>
        <w:spacing w:line="345" w:lineRule="auto" w:before="53"/>
        <w:ind w:right="1135" w:firstLine="480"/>
        <w:jc w:val="both"/>
      </w:pPr>
      <w:r>
        <w:rPr>
          <w:spacing w:val="2"/>
        </w:rPr>
        <w:t>在区块链应用上，公司与上海尚阵智能科技有限公司、堃金链式</w:t>
      </w:r>
      <w:r>
        <w:rPr>
          <w:rFonts w:ascii="Times New Roman" w:hAnsi="Times New Roman" w:cs="Times New Roman" w:eastAsia="Times New Roman" w:hint="default"/>
          <w:spacing w:val="2"/>
        </w:rPr>
        <w:t>(</w:t>
      </w:r>
      <w:r>
        <w:rPr>
          <w:spacing w:val="2"/>
        </w:rPr>
        <w:t>上海</w:t>
      </w:r>
      <w:r>
        <w:rPr>
          <w:rFonts w:ascii="Times New Roman" w:hAnsi="Times New Roman" w:cs="Times New Roman" w:eastAsia="Times New Roman" w:hint="default"/>
          <w:spacing w:val="2"/>
        </w:rPr>
        <w:t>)</w:t>
      </w:r>
      <w:r>
        <w:rPr>
          <w:spacing w:val="2"/>
        </w:rPr>
        <w:t>信息科技有限公</w:t>
      </w:r>
      <w:r>
        <w:rPr/>
        <w:t> 司、北京易链天下技术服务有限公司等一批优秀企业开展全方位技术合作。同时，公司将与</w:t>
      </w:r>
      <w:r>
        <w:rPr>
          <w:spacing w:val="-91"/>
        </w:rPr>
        <w:t> </w:t>
      </w:r>
      <w:r>
        <w:rPr>
          <w:spacing w:val="-91"/>
        </w:rPr>
      </w:r>
      <w:r>
        <w:rPr>
          <w:spacing w:val="2"/>
        </w:rPr>
        <w:t>优势资本</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w:t>
      </w:r>
      <w:r>
        <w:rPr>
          <w:spacing w:val="2"/>
        </w:rPr>
        <w:t>有限公司、上海分布士投资管理有限公司等投资机构合作，以资本与技术的</w:t>
      </w:r>
      <w:r>
        <w:rPr>
          <w:spacing w:val="-108"/>
        </w:rPr>
        <w:t> </w:t>
      </w:r>
      <w:r>
        <w:rPr>
          <w:spacing w:val="-108"/>
        </w:rPr>
      </w:r>
      <w:r>
        <w:rPr/>
        <w:t>力量并举，实现该领域的做大做强。</w:t>
      </w:r>
    </w:p>
    <w:p>
      <w:pPr>
        <w:pStyle w:val="Heading2"/>
        <w:spacing w:line="240" w:lineRule="auto" w:before="48"/>
        <w:ind w:left="635" w:right="1104"/>
        <w:jc w:val="left"/>
        <w:rPr>
          <w:b w:val="0"/>
          <w:bCs w:val="0"/>
        </w:rPr>
      </w:pPr>
      <w:r>
        <w:rPr/>
        <w:t>五、多措并举，抗击疫情</w:t>
      </w:r>
      <w:r>
        <w:rPr>
          <w:b w:val="0"/>
          <w:bCs w:val="0"/>
        </w:rPr>
      </w:r>
    </w:p>
    <w:p>
      <w:pPr>
        <w:pStyle w:val="BodyText"/>
        <w:spacing w:line="345" w:lineRule="auto" w:before="154"/>
        <w:ind w:right="1131" w:firstLine="480"/>
        <w:jc w:val="both"/>
      </w:pPr>
      <w:r>
        <w:rPr>
          <w:rFonts w:ascii="Times New Roman" w:hAnsi="Times New Roman" w:cs="Times New Roman" w:eastAsia="Times New Roman" w:hint="default"/>
        </w:rPr>
        <w:t>“</w:t>
      </w:r>
      <w:r>
        <w:rPr/>
        <w:t>疫情就是命令，防控就是责任</w:t>
      </w:r>
      <w:r>
        <w:rPr>
          <w:rFonts w:ascii="Times New Roman" w:hAnsi="Times New Roman" w:cs="Times New Roman" w:eastAsia="Times New Roman" w:hint="default"/>
        </w:rPr>
        <w:t>”</w:t>
      </w:r>
      <w:r>
        <w:rPr/>
        <w:t>，在这样一场需要全国紧急动员的战</w:t>
      </w:r>
      <w:r>
        <w:rPr>
          <w:rFonts w:ascii="Times New Roman" w:hAnsi="Times New Roman" w:cs="Times New Roman" w:eastAsia="Times New Roman" w:hint="default"/>
        </w:rPr>
        <w:t>“</w:t>
      </w:r>
      <w:r>
        <w:rPr/>
        <w:t>疫</w:t>
      </w:r>
      <w:r>
        <w:rPr>
          <w:rFonts w:ascii="Times New Roman" w:hAnsi="Times New Roman" w:cs="Times New Roman" w:eastAsia="Times New Roman" w:hint="default"/>
        </w:rPr>
        <w:t>”</w:t>
      </w:r>
      <w:r>
        <w:rPr/>
        <w:t>中，数字政通</w:t>
      </w:r>
      <w:r>
        <w:rPr>
          <w:spacing w:val="2"/>
        </w:rPr>
        <w:t> </w:t>
      </w:r>
      <w:r>
        <w:rPr/>
        <w:t>用专业、技术、服务为抗击疫情提供力所能及的服务。疫情期间，数字政通充分发挥自身在</w:t>
      </w:r>
      <w:r>
        <w:rPr>
          <w:spacing w:val="-86"/>
        </w:rPr>
        <w:t> </w:t>
      </w:r>
      <w:r>
        <w:rPr>
          <w:spacing w:val="-86"/>
        </w:rPr>
      </w:r>
      <w:r>
        <w:rPr/>
        <w:t>网格化城市管理和信息服务方面的优势，组织技术力量研发出</w:t>
      </w:r>
      <w:r>
        <w:rPr>
          <w:rFonts w:ascii="Times New Roman" w:hAnsi="Times New Roman" w:cs="Times New Roman" w:eastAsia="Times New Roman" w:hint="default"/>
        </w:rPr>
        <w:t>“</w:t>
      </w:r>
      <w:r>
        <w:rPr/>
        <w:t>网格化社区疫情防控系统</w:t>
      </w:r>
      <w:r>
        <w:rPr>
          <w:rFonts w:ascii="Times New Roman" w:hAnsi="Times New Roman" w:cs="Times New Roman" w:eastAsia="Times New Roman" w:hint="default"/>
        </w:rPr>
        <w:t>”</w:t>
      </w:r>
      <w:r>
        <w:rPr/>
        <w:t>，</w:t>
      </w:r>
      <w:r>
        <w:rPr>
          <w:spacing w:val="-59"/>
        </w:rPr>
        <w:t> </w:t>
      </w:r>
      <w:r>
        <w:rPr/>
        <w:t>为疫情防控提供了有力的信息化支撑。公司的网格化社区疫情防控系统在湖北省荆门市、北</w:t>
      </w:r>
    </w:p>
    <w:p>
      <w:pPr>
        <w:spacing w:after="0" w:line="345"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6"/>
        <w:jc w:val="left"/>
      </w:pPr>
      <w:r>
        <w:rPr/>
        <w:t>京市房山区、延庆区、天津市滨海新区、广东省佛山市顺德区、深圳市坪山区、肇庆市端州</w:t>
      </w:r>
      <w:r>
        <w:rPr>
          <w:spacing w:val="-91"/>
        </w:rPr>
        <w:t> </w:t>
      </w:r>
      <w:r>
        <w:rPr>
          <w:spacing w:val="-91"/>
        </w:rPr>
      </w:r>
      <w:r>
        <w:rPr/>
        <w:t>区、安徽省合肥市庐阳区、河南省信阳市、济源市、汝州市、浙江省绍兴市、山西省太原市</w:t>
      </w:r>
      <w:r>
        <w:rPr>
          <w:spacing w:val="-91"/>
        </w:rPr>
        <w:t> </w:t>
      </w:r>
      <w:r>
        <w:rPr>
          <w:spacing w:val="-91"/>
        </w:rPr>
      </w:r>
      <w:r>
        <w:rPr/>
        <w:t>万柏林区、贵州省贵阳市、湖南省长沙市雨花区、株洲市、山东省聊城市、日照市岚山区、</w:t>
      </w:r>
      <w:r>
        <w:rPr>
          <w:spacing w:val="-91"/>
        </w:rPr>
        <w:t> </w:t>
      </w:r>
      <w:r>
        <w:rPr>
          <w:spacing w:val="-91"/>
        </w:rPr>
      </w:r>
      <w:r>
        <w:rPr/>
        <w:t>柳州市鱼峰区、陕西省汉中市、福建省南安市、福鼎市、黑龙江省大庆市、海伦市、青海省</w:t>
      </w:r>
      <w:r>
        <w:rPr>
          <w:spacing w:val="-91"/>
        </w:rPr>
        <w:t> </w:t>
      </w:r>
      <w:r>
        <w:rPr>
          <w:spacing w:val="-91"/>
        </w:rPr>
      </w:r>
      <w:r>
        <w:rPr>
          <w:spacing w:val="-2"/>
        </w:rPr>
        <w:t>西宁市等地市的四十多个项目上已经上线运行或安装调试中，其中，公司还与华为公司合作，</w:t>
      </w:r>
      <w:r>
        <w:rPr/>
        <w:t> 在浙江省、河南省、江苏省、内蒙古自治区、云南省等地的十余个地市推广联合解决方案，</w:t>
      </w:r>
      <w:r>
        <w:rPr>
          <w:spacing w:val="-91"/>
        </w:rPr>
        <w:t> </w:t>
      </w:r>
      <w:r>
        <w:rPr>
          <w:spacing w:val="-91"/>
        </w:rPr>
      </w:r>
      <w:r>
        <w:rPr>
          <w:spacing w:val="6"/>
        </w:rPr>
        <w:t>部署公司的网格化疫情防控系统。公司还与华为公司联合开发复工复产大管控平台，在云</w:t>
      </w:r>
    </w:p>
    <w:p>
      <w:pPr>
        <w:pStyle w:val="BodyText"/>
        <w:spacing w:line="338" w:lineRule="auto" w:before="37"/>
        <w:ind w:right="1057"/>
        <w:jc w:val="left"/>
      </w:pPr>
      <w:r>
        <w:rPr>
          <w:rFonts w:ascii="Times New Roman" w:hAnsi="Times New Roman" w:cs="Times New Roman" w:eastAsia="Times New Roman" w:hint="default"/>
        </w:rPr>
        <w:t>+AI+5G</w:t>
      </w:r>
      <w:r>
        <w:rPr/>
        <w:t>等技术的加持下，用信息技术手段筑起一道管控防线，为疫情防控贡献科技的力量。 公司全资子公司保定金迪积极支援武汉火神山建设，保障医院管网建设和安全供水。</w:t>
      </w:r>
    </w:p>
    <w:p>
      <w:pPr>
        <w:spacing w:line="240" w:lineRule="auto" w:before="4"/>
        <w:rPr>
          <w:rFonts w:ascii="宋体" w:hAnsi="宋体" w:cs="宋体" w:eastAsia="宋体" w:hint="default"/>
          <w:sz w:val="21"/>
          <w:szCs w:val="21"/>
        </w:rPr>
      </w:pPr>
    </w:p>
    <w:p>
      <w:pPr>
        <w:pStyle w:val="Heading2"/>
        <w:spacing w:line="240" w:lineRule="auto"/>
        <w:ind w:right="110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1,257,538,949.54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1,288,815,520.62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智慧城市管理领域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1,251,816,337.22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99.54%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1,264,176,375.99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98.09%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-0.98%</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国土资源管理与城 市规划领域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5,722,612.32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24,639,144.63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-76.77%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457,103,359.13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450,497,226.38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150,497,330.29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280,356,069.19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-46.32%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649,938,260.12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557,962,225.05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577,716,548.70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559,010,669.53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679,822,400.84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729,804,851.09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56.63%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8"/>
        <w:gridCol w:w="1008"/>
        <w:gridCol w:w="1009"/>
        <w:gridCol w:w="1013"/>
        <w:gridCol w:w="1011"/>
        <w:gridCol w:w="1003"/>
        <w:gridCol w:w="1006"/>
        <w:gridCol w:w="1001"/>
        <w:gridCol w:w="1003"/>
      </w:tblGrid>
      <w:tr>
        <w:trPr>
          <w:trHeight w:val="206"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508"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4"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206,127,243.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315,401,752.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233,677,145.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502,332,808.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137,705,091.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251,494,130.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231,974,019.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667,642,279.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r>
      <w:tr>
        <w:trPr>
          <w:trHeight w:val="394" w:hRule="exact"/>
        </w:trPr>
        <w:tc>
          <w:tcPr>
            <w:tcW w:w="15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3"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22,176,201.7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72,387,424.6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940,567.99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35,198,127.1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16,924,398.2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63,705,367.4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10,034,243.5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26,522,561.7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line="360" w:lineRule="auto" w:before="49"/>
        <w:ind w:left="152" w:right="6614"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不适用</w:t>
      </w:r>
    </w:p>
    <w:p>
      <w:pPr>
        <w:spacing w:line="240" w:lineRule="auto" w:before="4"/>
        <w:rPr>
          <w:rFonts w:ascii="宋体" w:hAnsi="宋体" w:cs="宋体" w:eastAsia="宋体" w:hint="default"/>
          <w:sz w:val="20"/>
          <w:szCs w:val="20"/>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智慧城市管理领 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1,251,816,337.22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840,334,964.19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国土资源管理与 城市规划领域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5,722,612.32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3,337,752.38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457,103,359.13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239,038,062.84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150,497,330.29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132,451,573.26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649,938,260.12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472,183,080.47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577,716,548.70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384,674,031.44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679,822,400.84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458,998,685.13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-1.89%</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239,038,062.84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232,604,224.21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132,451,573.26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267,246,586.39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472,183,080.47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418,400,047.75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40" w:lineRule="auto" w:before="115"/>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150,503,389.72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273,528,131.08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336,476,642.27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333,409,331.73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外部服务成本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250,313,375.32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204,270,800.75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22.54%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项目差旅及办公费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85,806,768.27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84,472,691.68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9,885,943.94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10,046,404.25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10,686,597.05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12,523,498.86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843,672,716.57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918,250,858.35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-8.12%</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240" w:lineRule="auto" w:before="132"/>
        <w:ind w:left="633" w:right="1104"/>
        <w:jc w:val="left"/>
      </w:pPr>
      <w:r>
        <w:rPr>
          <w:rFonts w:ascii="宋体" w:hAnsi="宋体" w:cs="宋体" w:eastAsia="宋体" w:hint="default"/>
        </w:rPr>
        <w:t>1</w:t>
      </w:r>
      <w:r>
        <w:rPr/>
        <w:t>、投资设立子公司</w:t>
      </w:r>
    </w:p>
    <w:p>
      <w:pPr>
        <w:pStyle w:val="BodyText"/>
        <w:spacing w:line="357" w:lineRule="auto" w:before="154"/>
        <w:ind w:right="1128" w:firstLine="480"/>
        <w:jc w:val="both"/>
      </w:pPr>
      <w:r>
        <w:rPr>
          <w:spacing w:val="-2"/>
        </w:rPr>
        <w:t>（</w:t>
      </w:r>
      <w:r>
        <w:rPr>
          <w:rFonts w:ascii="宋体" w:hAnsi="宋体" w:cs="宋体" w:eastAsia="宋体" w:hint="default"/>
          <w:spacing w:val="-2"/>
        </w:rPr>
        <w:t>1</w:t>
      </w:r>
      <w:r>
        <w:rPr>
          <w:spacing w:val="-2"/>
        </w:rPr>
        <w:t>）本公司新设子公司长沙政通康拓科技有限公司，注册资本</w:t>
      </w:r>
      <w:r>
        <w:rPr>
          <w:rFonts w:ascii="宋体" w:hAnsi="宋体" w:cs="宋体" w:eastAsia="宋体" w:hint="default"/>
          <w:spacing w:val="-2"/>
        </w:rPr>
        <w:t>100.00</w:t>
      </w:r>
      <w:r>
        <w:rPr>
          <w:spacing w:val="-2"/>
        </w:rPr>
        <w:t>万元，本公司持股</w:t>
      </w:r>
      <w:r>
        <w:rPr/>
        <w:t> 比例</w:t>
      </w:r>
      <w:r>
        <w:rPr>
          <w:rFonts w:ascii="宋体" w:hAnsi="宋体" w:cs="宋体" w:eastAsia="宋体" w:hint="default"/>
        </w:rPr>
        <w:t>100%</w:t>
      </w:r>
      <w:r>
        <w:rPr/>
        <w:t>，已认缴出资额</w:t>
      </w:r>
      <w:r>
        <w:rPr>
          <w:rFonts w:ascii="宋体" w:hAnsi="宋体" w:cs="宋体" w:eastAsia="宋体" w:hint="default"/>
        </w:rPr>
        <w:t>1,000.00</w:t>
      </w:r>
      <w:r>
        <w:rPr/>
        <w:t>元。统一社会信用代码：</w:t>
      </w:r>
      <w:r>
        <w:rPr>
          <w:rFonts w:ascii="宋体" w:hAnsi="宋体" w:cs="宋体" w:eastAsia="宋体" w:hint="default"/>
        </w:rPr>
        <w:t>91430100MA4Q67QM58</w:t>
      </w:r>
      <w:r>
        <w:rPr/>
        <w:t>，注册地：</w:t>
      </w:r>
      <w:r>
        <w:rPr>
          <w:spacing w:val="-84"/>
        </w:rPr>
        <w:t> </w:t>
      </w:r>
      <w:r>
        <w:rPr>
          <w:spacing w:val="-84"/>
        </w:rPr>
      </w:r>
      <w:r>
        <w:rPr/>
        <w:t>长沙市；经营范围：移动互联网研发和维护；物联网技术、人脸识别设备、人脸识别系统的</w:t>
      </w:r>
      <w:r>
        <w:rPr>
          <w:spacing w:val="-91"/>
        </w:rPr>
        <w:t> </w:t>
      </w:r>
      <w:r>
        <w:rPr>
          <w:spacing w:val="-91"/>
        </w:rPr>
      </w:r>
      <w:r>
        <w:rPr/>
        <w:t>研发；电子产品及配件、计算机应用电子设备、计算机软件、电子产品、计算机、计算机辅</w:t>
      </w:r>
      <w:r>
        <w:rPr>
          <w:spacing w:val="-91"/>
        </w:rPr>
        <w:t> </w:t>
      </w:r>
      <w:r>
        <w:rPr>
          <w:spacing w:val="-91"/>
        </w:rPr>
      </w:r>
      <w:r>
        <w:rPr/>
        <w:t>助设备的销售；计算机技术开发、技术服务；货物或技术进出口（国家禁止或涉及行政审批</w:t>
      </w:r>
    </w:p>
    <w:p>
      <w:pPr>
        <w:spacing w:after="0" w:line="357" w:lineRule="auto"/>
        <w:jc w:val="both"/>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6"/>
        <w:jc w:val="left"/>
      </w:pPr>
      <w:r>
        <w:rPr>
          <w:spacing w:val="-2"/>
        </w:rPr>
        <w:t>的货物和技术进出口除外）；通讯设备及配套设备批发；通信设备零售；信息技术咨询服务：</w:t>
      </w:r>
      <w:r>
        <w:rPr/>
        <w:t> 经济与商务咨询服务；计算机网络系统工程服务；房屋租赁（限分支机构）；信息电子技术</w:t>
      </w:r>
      <w:r>
        <w:rPr>
          <w:spacing w:val="-91"/>
        </w:rPr>
        <w:t> </w:t>
      </w:r>
      <w:r>
        <w:rPr>
          <w:spacing w:val="-91"/>
        </w:rPr>
      </w:r>
      <w:r>
        <w:rPr/>
        <w:t>服务；科技信息咨询服务。（依法须经批准的项目，经相关部门批准后方可开展经营活动，</w:t>
      </w:r>
      <w:r>
        <w:rPr>
          <w:spacing w:val="-91"/>
        </w:rPr>
        <w:t> </w:t>
      </w:r>
      <w:r>
        <w:rPr>
          <w:spacing w:val="-91"/>
        </w:rPr>
      </w:r>
      <w:r>
        <w:rPr>
          <w:spacing w:val="-3"/>
        </w:rPr>
        <w:t>未经批准不得从事</w:t>
      </w:r>
      <w:r>
        <w:rPr>
          <w:rFonts w:ascii="宋体" w:hAnsi="宋体" w:cs="宋体" w:eastAsia="宋体" w:hint="default"/>
          <w:spacing w:val="-3"/>
        </w:rPr>
        <w:t>P2P</w:t>
      </w:r>
      <w:r>
        <w:rPr>
          <w:spacing w:val="-3"/>
        </w:rPr>
        <w:t>网贷、股权众筹、互联网保险、资管及跨界从事金融、第三方支付、虚</w:t>
      </w:r>
      <w:r>
        <w:rPr>
          <w:spacing w:val="-80"/>
        </w:rPr>
        <w:t> </w:t>
      </w:r>
      <w:r>
        <w:rPr>
          <w:spacing w:val="-80"/>
        </w:rPr>
      </w:r>
      <w:r>
        <w:rPr/>
        <w:t>拟货币交易、</w:t>
      </w:r>
      <w:r>
        <w:rPr>
          <w:rFonts w:ascii="宋体" w:hAnsi="宋体" w:cs="宋体" w:eastAsia="宋体" w:hint="default"/>
        </w:rPr>
        <w:t>ICO</w:t>
      </w:r>
      <w:r>
        <w:rPr/>
        <w:t>、非外汇等互联网金融业务）。</w:t>
      </w:r>
    </w:p>
    <w:p>
      <w:pPr>
        <w:pStyle w:val="BodyText"/>
        <w:spacing w:line="357" w:lineRule="auto"/>
        <w:ind w:right="986" w:firstLine="480"/>
        <w:jc w:val="left"/>
      </w:pPr>
      <w:r>
        <w:rPr/>
        <w:t>（</w:t>
      </w:r>
      <w:r>
        <w:rPr>
          <w:rFonts w:ascii="宋体" w:hAnsi="宋体" w:cs="宋体" w:eastAsia="宋体" w:hint="default"/>
        </w:rPr>
        <w:t>2</w:t>
      </w:r>
      <w:r>
        <w:rPr/>
        <w:t>）本公司新设子公司保定政运恒通信息技术有限责任公司，注册资本</w:t>
      </w:r>
      <w:r>
        <w:rPr>
          <w:rFonts w:ascii="宋体" w:hAnsi="宋体" w:cs="宋体" w:eastAsia="宋体" w:hint="default"/>
        </w:rPr>
        <w:t>100.00</w:t>
      </w:r>
      <w:r>
        <w:rPr/>
        <w:t>万元，本 </w:t>
      </w:r>
      <w:r>
        <w:rPr>
          <w:spacing w:val="-2"/>
        </w:rPr>
        <w:t>公司持股比例</w:t>
      </w:r>
      <w:r>
        <w:rPr>
          <w:rFonts w:ascii="宋体" w:hAnsi="宋体" w:cs="宋体" w:eastAsia="宋体" w:hint="default"/>
          <w:spacing w:val="-2"/>
        </w:rPr>
        <w:t>100%</w:t>
      </w:r>
      <w:r>
        <w:rPr>
          <w:spacing w:val="-2"/>
        </w:rPr>
        <w:t>，尚未实际缴纳出资。统一社会信用代码：</w:t>
      </w:r>
      <w:r>
        <w:rPr>
          <w:rFonts w:ascii="宋体" w:hAnsi="宋体" w:cs="宋体" w:eastAsia="宋体" w:hint="default"/>
          <w:spacing w:val="-2"/>
        </w:rPr>
        <w:t>91130605MA0D3MRY5X</w:t>
      </w:r>
      <w:r>
        <w:rPr>
          <w:spacing w:val="-2"/>
        </w:rPr>
        <w:t>，注册地：</w:t>
      </w:r>
      <w:r>
        <w:rPr>
          <w:spacing w:val="-97"/>
        </w:rPr>
        <w:t> </w:t>
      </w:r>
      <w:r>
        <w:rPr>
          <w:spacing w:val="-97"/>
        </w:rPr>
      </w:r>
      <w:r>
        <w:rPr/>
        <w:t>保定市；经营范围：网络技术开发、技术转让、技术服务、技术咨询、技术推广。基础软件</w:t>
      </w:r>
      <w:r>
        <w:rPr>
          <w:spacing w:val="-91"/>
        </w:rPr>
        <w:t> </w:t>
      </w:r>
      <w:r>
        <w:rPr>
          <w:spacing w:val="-91"/>
        </w:rPr>
      </w:r>
      <w:r>
        <w:rPr/>
        <w:t>开发，应用软件开发；信息系统集成服务，信息处理和存储支持服务；专业化设计服务；通</w:t>
      </w:r>
      <w:r>
        <w:rPr>
          <w:spacing w:val="-91"/>
        </w:rPr>
        <w:t> </w:t>
      </w:r>
      <w:r>
        <w:rPr>
          <w:spacing w:val="-91"/>
        </w:rPr>
      </w:r>
      <w:r>
        <w:rPr/>
        <w:t>讯终端设备，电子产品，计算机、软件及辅助设备批发、零售。（依法须经批准的项目，经</w:t>
      </w:r>
      <w:r>
        <w:rPr>
          <w:spacing w:val="-89"/>
        </w:rPr>
        <w:t> </w:t>
      </w:r>
      <w:r>
        <w:rPr>
          <w:spacing w:val="-89"/>
        </w:rPr>
      </w:r>
      <w:r>
        <w:rPr/>
        <w:t>相关部门批准后方可开展经营活动）</w:t>
      </w:r>
    </w:p>
    <w:p>
      <w:pPr>
        <w:pStyle w:val="BodyText"/>
        <w:spacing w:line="240" w:lineRule="auto"/>
        <w:ind w:left="633" w:right="1104"/>
        <w:jc w:val="left"/>
      </w:pPr>
      <w:r>
        <w:rPr>
          <w:rFonts w:ascii="宋体" w:hAnsi="宋体" w:cs="宋体" w:eastAsia="宋体" w:hint="default"/>
        </w:rPr>
        <w:t>2</w:t>
      </w:r>
      <w:r>
        <w:rPr/>
        <w:t>、非同一控制下企业合并</w:t>
      </w:r>
    </w:p>
    <w:p>
      <w:pPr>
        <w:spacing w:line="240" w:lineRule="auto" w:before="2"/>
        <w:rPr>
          <w:rFonts w:ascii="宋体" w:hAnsi="宋体" w:cs="宋体" w:eastAsia="宋体" w:hint="default"/>
          <w:sz w:val="9"/>
          <w:szCs w:val="9"/>
        </w:rPr>
      </w:pPr>
    </w:p>
    <w:tbl>
      <w:tblPr>
        <w:tblW w:w="0" w:type="auto"/>
        <w:jc w:val="left"/>
        <w:tblInd w:w="150" w:type="dxa"/>
        <w:tblLayout w:type="fixed"/>
        <w:tblCellMar>
          <w:top w:w="0" w:type="dxa"/>
          <w:left w:w="0" w:type="dxa"/>
          <w:bottom w:w="0" w:type="dxa"/>
          <w:right w:w="0" w:type="dxa"/>
        </w:tblCellMar>
        <w:tblLook w:val="01E0"/>
      </w:tblPr>
      <w:tblGrid>
        <w:gridCol w:w="1383"/>
        <w:gridCol w:w="1383"/>
        <w:gridCol w:w="1385"/>
        <w:gridCol w:w="1385"/>
        <w:gridCol w:w="1382"/>
        <w:gridCol w:w="1381"/>
      </w:tblGrid>
      <w:tr>
        <w:trPr>
          <w:trHeight w:val="734" w:hRule="exact"/>
        </w:trPr>
        <w:tc>
          <w:tcPr>
            <w:tcW w:w="13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3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1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股权取得比例</w:t>
            </w:r>
          </w:p>
        </w:tc>
        <w:tc>
          <w:tcPr>
            <w:tcW w:w="1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股权取得方式</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3"/>
              <w:ind w:left="592" w:right="51" w:hanging="540"/>
              <w:jc w:val="left"/>
              <w:rPr>
                <w:rFonts w:ascii="宋体" w:hAnsi="宋体" w:cs="宋体" w:eastAsia="宋体" w:hint="default"/>
                <w:sz w:val="18"/>
                <w:szCs w:val="18"/>
              </w:rPr>
            </w:pPr>
            <w:r>
              <w:rPr>
                <w:rFonts w:ascii="宋体" w:hAnsi="宋体" w:cs="宋体" w:eastAsia="宋体" w:hint="default"/>
                <w:sz w:val="18"/>
                <w:szCs w:val="18"/>
              </w:rPr>
              <w:t>购买日的确定依 据</w:t>
            </w:r>
          </w:p>
        </w:tc>
      </w:tr>
      <w:tr>
        <w:trPr>
          <w:trHeight w:val="740"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101"/>
              <w:jc w:val="left"/>
              <w:rPr>
                <w:rFonts w:ascii="宋体" w:hAnsi="宋体" w:cs="宋体" w:eastAsia="宋体" w:hint="default"/>
                <w:sz w:val="18"/>
                <w:szCs w:val="18"/>
              </w:rPr>
            </w:pPr>
            <w:r>
              <w:rPr>
                <w:rFonts w:ascii="宋体" w:hAnsi="宋体" w:cs="宋体" w:eastAsia="宋体" w:hint="default"/>
                <w:sz w:val="18"/>
                <w:szCs w:val="18"/>
              </w:rPr>
              <w:t>湖北鄂东智城科 技有限公司</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5,242,000.00</w:t>
            </w:r>
            <w:r>
              <w:rPr>
                <w:rFonts w:ascii="宋体" w:hAnsi="宋体" w:cs="宋体" w:eastAsia="宋体" w:hint="default"/>
                <w:sz w:val="18"/>
                <w:szCs w:val="18"/>
              </w:rPr>
              <w:t>元</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13" w:right="-1"/>
              <w:jc w:val="left"/>
              <w:rPr>
                <w:rFonts w:ascii="Times New Roman" w:hAnsi="Times New Roman" w:cs="Times New Roman" w:eastAsia="Times New Roman" w:hint="default"/>
                <w:sz w:val="18"/>
                <w:szCs w:val="18"/>
              </w:rPr>
            </w:pPr>
            <w:r>
              <w:rPr>
                <w:rFonts w:ascii="Times New Roman"/>
                <w:sz w:val="18"/>
              </w:rPr>
              <w:t>55.00%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自有资金收购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控制权转移</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100,465,958.68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23,165,098.39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21,803,206.35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20,561,075.26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17,529,056.60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17,407,522.08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100,465,958.68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7.98%</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60,829,651.18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25,365,053.20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10,015,874.22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8,906,870.00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8,289,751.98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8,252,101.78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60,829,651.18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15.18%</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92,587,250.76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90,110,781.22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104,145,982.44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46,860,337.43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122.25%</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主要原因为股权激励费用同比增长 所致</w:t>
            </w:r>
          </w:p>
        </w:tc>
      </w:tr>
      <w:tr>
        <w:trPr>
          <w:trHeight w:val="394"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-14,470,553.95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-10,640,881.69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主要原因为利息收入增长所致</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88,068,203.04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76,756,425.78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主要为公司持续加大研发投入所致</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131" w:firstLine="480"/>
        <w:jc w:val="both"/>
      </w:pPr>
      <w:r>
        <w:rPr>
          <w:rFonts w:ascii="宋体" w:hAnsi="宋体" w:cs="宋体" w:eastAsia="宋体" w:hint="default"/>
        </w:rPr>
        <w:t>2019</w:t>
      </w:r>
      <w:r>
        <w:rPr/>
        <w:t>年，公司保持了较高的研发投入，进一步增强核心技术与产品的竞争能力，共有研 发人员</w:t>
      </w:r>
      <w:r>
        <w:rPr>
          <w:rFonts w:ascii="宋体" w:hAnsi="宋体" w:cs="宋体" w:eastAsia="宋体" w:hint="default"/>
        </w:rPr>
        <w:t>339</w:t>
      </w:r>
      <w:r>
        <w:rPr/>
        <w:t>人，研发人数占比</w:t>
      </w:r>
      <w:r>
        <w:rPr>
          <w:rFonts w:ascii="宋体" w:hAnsi="宋体" w:cs="宋体" w:eastAsia="宋体" w:hint="default"/>
        </w:rPr>
        <w:t>22.24%</w:t>
      </w:r>
      <w:r>
        <w:rPr/>
        <w:t>（扣除信息采集人员），研发费用总额为</w:t>
      </w:r>
      <w:r>
        <w:rPr>
          <w:rFonts w:ascii="宋体" w:hAnsi="宋体" w:cs="宋体" w:eastAsia="宋体" w:hint="default"/>
        </w:rPr>
        <w:t>88,171,438.34</w:t>
      </w:r>
      <w:r>
        <w:rPr>
          <w:rFonts w:ascii="宋体" w:hAnsi="宋体" w:cs="宋体" w:eastAsia="宋体" w:hint="default"/>
          <w:spacing w:val="-88"/>
        </w:rPr>
        <w:t> </w:t>
      </w:r>
      <w:r>
        <w:rPr>
          <w:rFonts w:ascii="宋体" w:hAnsi="宋体" w:cs="宋体" w:eastAsia="宋体" w:hint="default"/>
          <w:spacing w:val="-88"/>
        </w:rPr>
      </w:r>
      <w:r>
        <w:rPr>
          <w:spacing w:val="-2"/>
        </w:rPr>
        <w:t>元，其中研发费用资本化金额合计为</w:t>
      </w:r>
      <w:r>
        <w:rPr>
          <w:rFonts w:ascii="宋体" w:hAnsi="宋体" w:cs="宋体" w:eastAsia="宋体" w:hint="default"/>
          <w:spacing w:val="-2"/>
        </w:rPr>
        <w:t>31,542,891.56</w:t>
      </w:r>
      <w:r>
        <w:rPr>
          <w:spacing w:val="-2"/>
        </w:rPr>
        <w:t>元，资本化研发支出占当期净利润的比重</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5473" w:hanging="481"/>
        <w:jc w:val="left"/>
      </w:pPr>
      <w:r>
        <w:rPr/>
        <w:t>为</w:t>
      </w:r>
      <w:r>
        <w:rPr>
          <w:rFonts w:ascii="宋体" w:hAnsi="宋体" w:cs="宋体" w:eastAsia="宋体" w:hint="default"/>
        </w:rPr>
        <w:t>24.13%</w:t>
      </w:r>
      <w:r>
        <w:rPr/>
        <w:t>，近三年基本保持稳定。 近三年公司研发投入金额及占营业收入的比例</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22.24%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15.52%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20.68%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88,171,438.34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81,311,057.55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89,807,052.71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7.47%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31,542,891.56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32,793,600.63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34,732,589.81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38.67%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6"/>
        <w:ind w:left="15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49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7"/>
        <w:ind w:left="-32" w:right="0" w:firstLine="0"/>
        <w:jc w:val="left"/>
        <w:rPr>
          <w:rFonts w:ascii="宋体" w:hAnsi="宋体" w:cs="宋体" w:eastAsia="宋体" w:hint="default"/>
          <w:sz w:val="18"/>
          <w:szCs w:val="18"/>
        </w:rPr>
      </w:pPr>
      <w:r>
        <w:rPr/>
        <w:pict>
          <v:group style="position:absolute;margin-left:415.869995pt;margin-top:45.611713pt;width:119.1pt;height:148.25pt;mso-position-horizontal-relative:page;mso-position-vertical-relative:paragraph;z-index:-1046080" coordorigin="8317,912" coordsize="2382,2965">
            <v:shape style="position:absolute;left:8317;top:912;width:2382;height:2965" coordorigin="8317,912" coordsize="2382,2965" path="m8317,3877l10699,3877,10699,912,8317,912,8317,3877xe" filled="true" fillcolor="#ffffff" stroked="false">
              <v:path arrowok="t"/>
              <v:fill type="solid"/>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55"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全国市民通一体化平台致力</w:t>
            </w: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于贯彻落实</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干净</w:t>
            </w:r>
            <w:r>
              <w:rPr>
                <w:rFonts w:ascii="宋体" w:hAnsi="宋体" w:cs="宋体" w:eastAsia="宋体" w:hint="default"/>
                <w:spacing w:val="-85"/>
                <w:sz w:val="18"/>
                <w:szCs w:val="18"/>
              </w:rPr>
              <w:t>、</w:t>
            </w:r>
            <w:r>
              <w:rPr>
                <w:rFonts w:ascii="宋体" w:hAnsi="宋体" w:cs="宋体" w:eastAsia="宋体" w:hint="default"/>
                <w:sz w:val="18"/>
                <w:szCs w:val="18"/>
              </w:rPr>
              <w:t>整洁</w:t>
            </w:r>
            <w:r>
              <w:rPr>
                <w:rFonts w:ascii="宋体" w:hAnsi="宋体" w:cs="宋体" w:eastAsia="宋体" w:hint="default"/>
                <w:spacing w:val="-85"/>
                <w:sz w:val="18"/>
                <w:szCs w:val="18"/>
              </w:rPr>
              <w:t>、</w:t>
            </w:r>
            <w:r>
              <w:rPr>
                <w:rFonts w:ascii="宋体" w:hAnsi="宋体" w:cs="宋体" w:eastAsia="宋体" w:hint="default"/>
                <w:sz w:val="18"/>
                <w:szCs w:val="18"/>
              </w:rPr>
              <w:t>有序</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安全</w:t>
            </w:r>
            <w:r>
              <w:rPr>
                <w:rFonts w:ascii="Times New Roman" w:hAnsi="Times New Roman" w:cs="Times New Roman" w:eastAsia="Times New Roman" w:hint="default"/>
                <w:sz w:val="18"/>
                <w:szCs w:val="18"/>
              </w:rPr>
              <w:t>"</w:t>
            </w:r>
            <w:r>
              <w:rPr>
                <w:rFonts w:ascii="宋体" w:hAnsi="宋体" w:cs="宋体" w:eastAsia="宋体" w:hint="default"/>
                <w:sz w:val="18"/>
                <w:szCs w:val="18"/>
              </w:rPr>
              <w:t>的城市管理要求，打造</w:t>
            </w:r>
            <w:r>
              <w:rPr>
                <w:rFonts w:ascii="Times New Roman" w:hAnsi="Times New Roman" w:cs="Times New Roman" w:eastAsia="Times New Roman" w:hint="default"/>
                <w:sz w:val="18"/>
                <w:szCs w:val="18"/>
              </w:rPr>
              <w:t>"</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百姓城管、科学城管、法治城</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w:t>
            </w:r>
            <w:r>
              <w:rPr>
                <w:rFonts w:ascii="Times New Roman" w:hAnsi="Times New Roman" w:cs="Times New Roman" w:eastAsia="Times New Roman" w:hint="default"/>
                <w:spacing w:val="-2"/>
                <w:w w:val="99"/>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引导和激励社会公众参与</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城市管理，既便于市民主动参</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与城管工作，也利于城管部门</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集中高效的处理市民关注的</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城市管理问题，形成城管部门</w:t>
            </w:r>
          </w:p>
        </w:tc>
        <w:tc>
          <w:tcPr>
            <w:tcW w:w="239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全国市民通一体化平台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9,735,952.96</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与市民的良好互动，真正体现 人员城市人民管。主要功能模</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项目基本完成</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块包括用户注册和管理、问题</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上报和查询、问题转数字化城</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市管理信息系统处理、新闻咨</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询和政府公告等内容管理、公</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众调查、兴趣点管理和发布、</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积分兑换等。</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月，基</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于全国市民通一体化平台开</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发的网格化社区疫情防控系</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统成功上线。</w:t>
            </w:r>
          </w:p>
        </w:tc>
        <w:tc>
          <w:tcPr>
            <w:tcW w:w="2393"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5.869995pt;margin-top:373.48999pt;width:119.1pt;height:186.15pt;mso-position-horizontal-relative:page;mso-position-vertical-relative:page;z-index:-1046056" coordorigin="8317,7470" coordsize="2382,3723">
            <v:shape style="position:absolute;left:8317;top:7470;width:2382;height:3723" coordorigin="8317,7470" coordsize="2382,3723" path="m8317,11193l10699,11193,10699,7470,8317,7470,8317,11193xe" filled="true" fillcolor="#ffffff" stroked="false">
              <v:path arrowok="t"/>
              <v:fill type="solid"/>
            </v:shape>
            <w10:wrap type="none"/>
          </v:group>
        </w:pict>
      </w:r>
      <w:r>
        <w:rPr/>
        <w:pict>
          <v:group style="position:absolute;margin-left:415.869995pt;margin-top:579.339966pt;width:119.1pt;height:186.15pt;mso-position-horizontal-relative:page;mso-position-vertical-relative:page;z-index:-1046032" coordorigin="8317,11587" coordsize="2382,3723">
            <v:shape style="position:absolute;left:8317;top:11587;width:2382;height:3723" coordorigin="8317,11587" coordsize="2382,3723" path="m8317,15310l10699,15310,10699,11587,8317,11587,8317,1531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56"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为了更好支撑智慧城市管理</w:t>
            </w: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用户量和数据量逐年增加带</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来的高并发访问请求的处理，</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满足用户对数据分析和数据</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挖掘的需求，提供多元化的智</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能分析手段，新智信云综合管</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理信息系统采用云计算、移动</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互联、物联网、大数据和人工</w:t>
            </w:r>
          </w:p>
        </w:tc>
        <w:tc>
          <w:tcPr>
            <w:tcW w:w="239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新智信云综合管理信息系统</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V1.0</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13,451,508.37</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智能等技术对系统架构进行 了升级改造，支持系统全面上 云部署，并进行了安全加固，</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277"/>
              <w:jc w:val="right"/>
              <w:rPr>
                <w:rFonts w:ascii="宋体" w:hAnsi="宋体" w:cs="宋体" w:eastAsia="宋体" w:hint="default"/>
                <w:sz w:val="18"/>
                <w:szCs w:val="18"/>
              </w:rPr>
            </w:pPr>
            <w:r>
              <w:rPr>
                <w:rFonts w:ascii="宋体" w:hAnsi="宋体" w:cs="宋体" w:eastAsia="宋体" w:hint="default"/>
                <w:sz w:val="18"/>
                <w:szCs w:val="18"/>
              </w:rPr>
              <w:t>项目基本完成</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具有高可用性和可扩展性。在</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功能上，新智信云综合管理信</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息系统拓展了街道吹哨、服务</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热线、街巷长管理等子系统，</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能够满足</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街道吹哨</w:t>
            </w:r>
            <w:r>
              <w:rPr>
                <w:rFonts w:ascii="宋体" w:hAnsi="宋体" w:cs="宋体" w:eastAsia="宋体" w:hint="default"/>
                <w:spacing w:val="-77"/>
                <w:sz w:val="18"/>
                <w:szCs w:val="18"/>
              </w:rPr>
              <w:t>、</w:t>
            </w:r>
            <w:r>
              <w:rPr>
                <w:rFonts w:ascii="宋体" w:hAnsi="宋体" w:cs="宋体" w:eastAsia="宋体" w:hint="default"/>
                <w:sz w:val="18"/>
                <w:szCs w:val="18"/>
              </w:rPr>
              <w:t>部门报到</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的管理要求</w:t>
            </w:r>
            <w:r>
              <w:rPr>
                <w:rFonts w:ascii="宋体" w:hAnsi="宋体" w:cs="宋体" w:eastAsia="宋体" w:hint="default"/>
                <w:spacing w:val="-77"/>
                <w:sz w:val="18"/>
                <w:szCs w:val="18"/>
              </w:rPr>
              <w:t>，</w:t>
            </w:r>
            <w:r>
              <w:rPr>
                <w:rFonts w:ascii="宋体" w:hAnsi="宋体" w:cs="宋体" w:eastAsia="宋体" w:hint="default"/>
                <w:sz w:val="18"/>
                <w:szCs w:val="18"/>
              </w:rPr>
              <w:t>能够满足街巷长</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日常管理工作要求，能够和热</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线平台更好地对接。</w:t>
            </w:r>
          </w:p>
        </w:tc>
        <w:tc>
          <w:tcPr>
            <w:tcW w:w="239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3" w:type="dxa"/>
            <w:tcBorders>
              <w:top w:val="single" w:sz="4" w:space="0" w:color="000000"/>
              <w:left w:val="single" w:sz="4" w:space="0" w:color="000000"/>
              <w:bottom w:val="nil" w:sz="6" w:space="0" w:color="auto"/>
              <w:right w:val="single" w:sz="4" w:space="0" w:color="000000"/>
            </w:tcBorders>
          </w:tcPr>
          <w:p>
            <w:pPr/>
          </w:p>
        </w:tc>
        <w:tc>
          <w:tcPr>
            <w:tcW w:w="239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执法主体检查系统的研发目</w:t>
            </w: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标是规范执法流程，全面在线</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业务审批，提高办案效率；实</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现执法卷宗电子化；实现执法</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过程可追溯；完善执法工作考</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评体系，实现有效决策。执法</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主体检查系统主要功能包括：</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）执法检查。实现对监督</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对象信息的查询，检查事项的</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查询，以及检查事项、检查结</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果</w:t>
            </w:r>
            <w:r>
              <w:rPr>
                <w:rFonts w:ascii="宋体" w:hAnsi="宋体" w:cs="宋体" w:eastAsia="宋体" w:hint="default"/>
                <w:spacing w:val="-49"/>
                <w:sz w:val="18"/>
                <w:szCs w:val="18"/>
              </w:rPr>
              <w:t>、</w:t>
            </w:r>
            <w:r>
              <w:rPr>
                <w:rFonts w:ascii="宋体" w:hAnsi="宋体" w:cs="宋体" w:eastAsia="宋体" w:hint="default"/>
                <w:sz w:val="18"/>
                <w:szCs w:val="18"/>
              </w:rPr>
              <w:t>处罚措施的填写上报</w:t>
            </w:r>
            <w:r>
              <w:rPr>
                <w:rFonts w:ascii="宋体" w:hAnsi="宋体" w:cs="宋体" w:eastAsia="宋体" w:hint="default"/>
                <w:spacing w:val="-14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98"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主体管理。实现对社会主体的</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执法主体检查系统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8,355,430.23</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精细化管理，提供社会主体信</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277"/>
              <w:jc w:val="right"/>
              <w:rPr>
                <w:rFonts w:ascii="宋体" w:hAnsi="宋体" w:cs="宋体" w:eastAsia="宋体" w:hint="default"/>
                <w:sz w:val="18"/>
                <w:szCs w:val="18"/>
              </w:rPr>
            </w:pPr>
            <w:r>
              <w:rPr>
                <w:rFonts w:ascii="宋体" w:hAnsi="宋体" w:cs="宋体" w:eastAsia="宋体" w:hint="default"/>
                <w:sz w:val="18"/>
                <w:szCs w:val="18"/>
              </w:rPr>
              <w:t>项目基本完成</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息录入和维护，关联行政处罚</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和巡查上报信息，并进行三级</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预警</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移动执法</w:t>
            </w:r>
            <w:r>
              <w:rPr>
                <w:rFonts w:ascii="宋体" w:hAnsi="宋体" w:cs="宋体" w:eastAsia="宋体" w:hint="default"/>
                <w:spacing w:val="-3"/>
                <w:sz w:val="18"/>
                <w:szCs w:val="18"/>
              </w:rPr>
              <w:t>。</w:t>
            </w:r>
            <w:r>
              <w:rPr>
                <w:rFonts w:ascii="宋体" w:hAnsi="宋体" w:cs="宋体" w:eastAsia="宋体" w:hint="default"/>
                <w:sz w:val="18"/>
                <w:szCs w:val="18"/>
              </w:rPr>
              <w:t>实现执</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法人员移动上报各类案卷、移</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动巡查、案件处置、移动审批</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监督考核、监管对象查询、监</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管对象信息采集、考勤管理等</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功能。</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）行政处罚。实现</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对执法案卷的在线审批与文</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书的输出打印。此外，执法主</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3" w:type="dxa"/>
            <w:tcBorders>
              <w:top w:val="nil" w:sz="6" w:space="0" w:color="auto"/>
              <w:left w:val="single" w:sz="4" w:space="0" w:color="000000"/>
              <w:bottom w:val="nil" w:sz="6" w:space="0" w:color="auto"/>
              <w:right w:val="single" w:sz="4" w:space="0" w:color="000000"/>
            </w:tcBorders>
          </w:tcPr>
          <w:p>
            <w:pPr/>
          </w:p>
        </w:tc>
        <w:tc>
          <w:tcPr>
            <w:tcW w:w="2391"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体检查系统还提供人员档案</w:t>
            </w:r>
          </w:p>
        </w:tc>
        <w:tc>
          <w:tcPr>
            <w:tcW w:w="2393"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393" w:type="dxa"/>
            <w:tcBorders>
              <w:top w:val="nil" w:sz="6" w:space="0" w:color="auto"/>
              <w:left w:val="single" w:sz="4" w:space="0" w:color="000000"/>
              <w:bottom w:val="single" w:sz="4" w:space="0" w:color="000000"/>
              <w:right w:val="single" w:sz="4" w:space="0" w:color="000000"/>
            </w:tcBorders>
          </w:tcPr>
          <w:p>
            <w:pPr/>
          </w:p>
        </w:tc>
        <w:tc>
          <w:tcPr>
            <w:tcW w:w="239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管理、监督指挥、监督考核、</w:t>
            </w:r>
          </w:p>
        </w:tc>
        <w:tc>
          <w:tcPr>
            <w:tcW w:w="239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法律法规等功能。</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1,435,620,361.51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1,512,557,238.20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1,251,832,218.89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1,336,826,943.22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183,788,142.62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175,730,294.98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25,240,974.91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1,333.66%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111,747,615.91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41,145,067.58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-86,506,641.00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-39,384,467.58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-119.65%</w:t>
            </w:r>
            <w:r>
              <w:rPr>
                <w:rFonts w:ascii="Times New Roman"/>
                <w:spacing w:val="-1"/>
                <w:sz w:val="18"/>
              </w:rPr>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163,824,000.00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216,377,029.55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356,410,991.65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237,101,254.35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50.32%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-192,586,991.65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-20,724,224.80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-829.28%</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-95,305,490.03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115,621,602.60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-182.43%</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104" w:firstLine="480"/>
        <w:jc w:val="left"/>
      </w:pPr>
      <w:r>
        <w:rPr/>
        <w:t>投资活动产生的现金流量净额</w:t>
      </w:r>
      <w:r>
        <w:rPr>
          <w:rFonts w:ascii="宋体" w:hAnsi="宋体" w:cs="宋体" w:eastAsia="宋体" w:hint="default"/>
        </w:rPr>
        <w:t>-86,506,641.00</w:t>
      </w:r>
      <w:r>
        <w:rPr/>
        <w:t>元，较上年同期净流出增加</w:t>
      </w:r>
      <w:r>
        <w:rPr>
          <w:rFonts w:ascii="宋体" w:hAnsi="宋体" w:cs="宋体" w:eastAsia="宋体" w:hint="default"/>
        </w:rPr>
        <w:t>-119.65%</w:t>
      </w:r>
      <w:r>
        <w:rPr/>
        <w:t>，主</w:t>
      </w:r>
      <w:r>
        <w:rPr>
          <w:spacing w:val="2"/>
        </w:rPr>
        <w:t> </w:t>
      </w:r>
      <w:r>
        <w:rPr/>
        <w:t>要因为购置异地办公用房以及购买结构性存款净额增加所致。</w:t>
      </w:r>
    </w:p>
    <w:p>
      <w:pPr>
        <w:pStyle w:val="BodyText"/>
        <w:spacing w:line="357" w:lineRule="auto"/>
        <w:ind w:right="1104" w:firstLine="480"/>
        <w:jc w:val="left"/>
      </w:pPr>
      <w:r>
        <w:rPr>
          <w:spacing w:val="-3"/>
        </w:rPr>
        <w:t>筹资活动产生的现金流量净额</w:t>
      </w:r>
      <w:r>
        <w:rPr>
          <w:rFonts w:ascii="宋体" w:hAnsi="宋体" w:cs="宋体" w:eastAsia="宋体" w:hint="default"/>
          <w:spacing w:val="-3"/>
        </w:rPr>
        <w:t>-192,586,991.65</w:t>
      </w:r>
      <w:r>
        <w:rPr>
          <w:spacing w:val="-3"/>
        </w:rPr>
        <w:t>元，较上年同期净流出增加</w:t>
      </w:r>
      <w:r>
        <w:rPr>
          <w:rFonts w:ascii="宋体" w:hAnsi="宋体" w:cs="宋体" w:eastAsia="宋体" w:hint="default"/>
          <w:spacing w:val="-3"/>
        </w:rPr>
        <w:t>-829.28%</w:t>
      </w:r>
      <w:r>
        <w:rPr>
          <w:spacing w:val="-3"/>
        </w:rPr>
        <w:t>，主</w:t>
      </w:r>
      <w:r>
        <w:rPr>
          <w:spacing w:val="-41"/>
        </w:rPr>
        <w:t> </w:t>
      </w:r>
      <w:r>
        <w:rPr/>
        <w:t>要因为归还银行借款以及减少流动资金借款所致。</w:t>
      </w:r>
    </w:p>
    <w:p>
      <w:pPr>
        <w:pStyle w:val="BodyText"/>
        <w:spacing w:line="240" w:lineRule="auto"/>
        <w:ind w:left="633" w:right="1104"/>
        <w:jc w:val="left"/>
      </w:pPr>
      <w:r>
        <w:rPr/>
        <w:t>以上因素共同影响，现金及现金等价物净增加额同比降低</w:t>
      </w:r>
      <w:r>
        <w:rPr>
          <w:rFonts w:ascii="宋体" w:hAnsi="宋体" w:cs="宋体" w:eastAsia="宋体" w:hint="default"/>
        </w:rPr>
        <w:t>182.43%</w:t>
      </w:r>
      <w:r>
        <w:rPr/>
        <w:t>。</w:t>
      </w:r>
    </w:p>
    <w:p>
      <w:pPr>
        <w:spacing w:before="164"/>
        <w:ind w:left="152" w:right="110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04"/>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168"/>
        <w:gridCol w:w="2341"/>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-3,994,182.69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-2.83%</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主要原因为确认联营公司 亏损所致</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t>-1,698,162.83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-1.20%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9"/>
              <w:jc w:val="center"/>
              <w:rPr>
                <w:rFonts w:ascii="宋体" w:hAnsi="宋体" w:cs="宋体" w:eastAsia="宋体" w:hint="default"/>
                <w:sz w:val="18"/>
                <w:szCs w:val="18"/>
              </w:rPr>
            </w:pPr>
            <w:r>
              <w:rPr>
                <w:rFonts w:ascii="宋体" w:hAnsi="宋体" w:cs="宋体" w:eastAsia="宋体" w:hint="default"/>
                <w:sz w:val="18"/>
                <w:szCs w:val="18"/>
              </w:rPr>
              <w:t>主要原因为计提存货跌价</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36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准备所致</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476,073.81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主要原因为收到政府补助 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438,436.66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主要原因为非流动资产毁 损报废损失所致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-25,828,042.31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主要原因为应收款项相应 坏账准备增加所致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55,301.98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主要原因为非流动资产处 置收益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04"/>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731,956,585.5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23.54%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807,143,248.11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25.93%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-2.39%</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1,160,112,826.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37.30%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1,101,345,782.</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35.38%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1.92%</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125,831,363.9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4.05%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133,586,072.16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4.29%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-0.24%</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59,826,505.58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71,805,792.58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3,490,457.68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7,908,743.79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69,026,204.10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58,513,363.22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23,534,430.61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主要原因为购置异地办公用房所致</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主要原因为归还银行借款所致</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81"/>
        <w:gridCol w:w="1015"/>
        <w:gridCol w:w="1064"/>
        <w:gridCol w:w="1193"/>
        <w:gridCol w:w="931"/>
        <w:gridCol w:w="1196"/>
        <w:gridCol w:w="1063"/>
        <w:gridCol w:w="915"/>
        <w:gridCol w:w="1212"/>
      </w:tblGrid>
      <w:tr>
        <w:trPr>
          <w:trHeight w:val="1028"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82"/>
        <w:gridCol w:w="1015"/>
        <w:gridCol w:w="1064"/>
        <w:gridCol w:w="1193"/>
        <w:gridCol w:w="931"/>
        <w:gridCol w:w="1196"/>
        <w:gridCol w:w="1063"/>
        <w:gridCol w:w="915"/>
        <w:gridCol w:w="1212"/>
      </w:tblGrid>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 投资</w:t>
            </w:r>
          </w:p>
        </w:tc>
        <w:tc>
          <w:tcPr>
            <w:tcW w:w="101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424,103.42</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1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43,020,000.00</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1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424,103.42</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64,020,000.00</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应收款项融 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4,417,640.00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4,417,640.00</w:t>
            </w:r>
          </w:p>
        </w:tc>
      </w:tr>
      <w:tr>
        <w:trPr>
          <w:trHeight w:val="71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43,020,000.0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424,103.42</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46,117,640.00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68,437,640.00</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6794" w:firstLine="0"/>
        <w:jc w:val="left"/>
        <w:rPr>
          <w:rFonts w:ascii="宋体" w:hAnsi="宋体" w:cs="宋体" w:eastAsia="宋体" w:hint="default"/>
          <w:sz w:val="18"/>
          <w:szCs w:val="18"/>
        </w:rPr>
      </w:pPr>
      <w:r>
        <w:rPr>
          <w:rFonts w:ascii="宋体" w:hAnsi="宋体" w:cs="宋体" w:eastAsia="宋体" w:hint="default"/>
          <w:sz w:val="18"/>
          <w:szCs w:val="18"/>
        </w:rPr>
        <w:t>其他变动的内容 报告期内公司主要资产计量属性是否发生重大变化</w:t>
      </w:r>
    </w:p>
    <w:p>
      <w:pPr>
        <w:spacing w:before="29"/>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4" w:type="dxa"/>
        <w:tblLayout w:type="fixed"/>
        <w:tblCellMar>
          <w:top w:w="0" w:type="dxa"/>
          <w:left w:w="0" w:type="dxa"/>
          <w:bottom w:w="0" w:type="dxa"/>
          <w:right w:w="0" w:type="dxa"/>
        </w:tblCellMar>
        <w:tblLook w:val="01E0"/>
      </w:tblPr>
      <w:tblGrid>
        <w:gridCol w:w="3793"/>
        <w:gridCol w:w="2499"/>
        <w:gridCol w:w="2499"/>
      </w:tblGrid>
      <w:tr>
        <w:trPr>
          <w:trHeight w:val="428"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0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3"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31,658,516.56</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63" w:right="0"/>
              <w:jc w:val="left"/>
              <w:rPr>
                <w:rFonts w:ascii="宋体" w:hAnsi="宋体" w:cs="宋体" w:eastAsia="宋体" w:hint="default"/>
                <w:sz w:val="18"/>
                <w:szCs w:val="18"/>
              </w:rPr>
            </w:pPr>
            <w:r>
              <w:rPr>
                <w:rFonts w:ascii="宋体" w:hAnsi="宋体" w:cs="宋体" w:eastAsia="宋体" w:hint="default"/>
                <w:sz w:val="18"/>
                <w:szCs w:val="18"/>
              </w:rPr>
              <w:t>保证金和专项资金</w:t>
            </w:r>
          </w:p>
        </w:tc>
      </w:tr>
      <w:tr>
        <w:trPr>
          <w:trHeight w:val="427"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19,135,815.97</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63" w:right="0"/>
              <w:jc w:val="left"/>
              <w:rPr>
                <w:rFonts w:ascii="宋体" w:hAnsi="宋体" w:cs="宋体" w:eastAsia="宋体" w:hint="default"/>
                <w:sz w:val="18"/>
                <w:szCs w:val="18"/>
              </w:rPr>
            </w:pPr>
            <w:r>
              <w:rPr>
                <w:rFonts w:ascii="宋体" w:hAnsi="宋体" w:cs="宋体" w:eastAsia="宋体" w:hint="default"/>
                <w:sz w:val="18"/>
                <w:szCs w:val="18"/>
              </w:rPr>
              <w:t>抵押借款尚未到期</w:t>
            </w:r>
          </w:p>
        </w:tc>
      </w:tr>
      <w:tr>
        <w:trPr>
          <w:trHeight w:val="427"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4,962,914.67</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63" w:right="0"/>
              <w:jc w:val="left"/>
              <w:rPr>
                <w:rFonts w:ascii="宋体" w:hAnsi="宋体" w:cs="宋体" w:eastAsia="宋体" w:hint="default"/>
                <w:sz w:val="18"/>
                <w:szCs w:val="18"/>
              </w:rPr>
            </w:pPr>
            <w:r>
              <w:rPr>
                <w:rFonts w:ascii="宋体" w:hAnsi="宋体" w:cs="宋体" w:eastAsia="宋体" w:hint="default"/>
                <w:sz w:val="18"/>
                <w:szCs w:val="18"/>
              </w:rPr>
              <w:t>抵押借款尚未到期</w:t>
            </w:r>
          </w:p>
        </w:tc>
      </w:tr>
      <w:tr>
        <w:trPr>
          <w:trHeight w:val="427"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11,501,482.00</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63" w:right="0"/>
              <w:jc w:val="left"/>
              <w:rPr>
                <w:rFonts w:ascii="宋体" w:hAnsi="宋体" w:cs="宋体" w:eastAsia="宋体" w:hint="default"/>
                <w:sz w:val="18"/>
                <w:szCs w:val="18"/>
              </w:rPr>
            </w:pPr>
            <w:r>
              <w:rPr>
                <w:rFonts w:ascii="宋体" w:hAnsi="宋体" w:cs="宋体" w:eastAsia="宋体" w:hint="default"/>
                <w:sz w:val="18"/>
                <w:szCs w:val="18"/>
              </w:rPr>
              <w:t>抵押借款尚未到期</w:t>
            </w:r>
          </w:p>
        </w:tc>
      </w:tr>
      <w:tr>
        <w:trPr>
          <w:trHeight w:val="427" w:hRule="exact"/>
        </w:trPr>
        <w:tc>
          <w:tcPr>
            <w:tcW w:w="3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67,258,729.20</w:t>
            </w:r>
          </w:p>
        </w:tc>
        <w:tc>
          <w:tcPr>
            <w:tcW w:w="24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04"/>
        <w:jc w:val="left"/>
        <w:rPr>
          <w:b w:val="0"/>
          <w:bCs w:val="0"/>
        </w:rPr>
      </w:pPr>
      <w:r>
        <w:rPr/>
        <w:t>五、投资状况分析</w:t>
      </w:r>
      <w:r>
        <w:rPr>
          <w:b w:val="0"/>
          <w:bCs w:val="0"/>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33,157,430.61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65.79%</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53,810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6,840.87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45,266.69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8,543.31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募集资金 专项账户 存储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53,810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6,840.87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45,266.69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45.53%</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w w:val="95"/>
                <w:sz w:val="18"/>
              </w:rPr>
              <w:t>8,543.31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6"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年度股东大会决议及中国证券监督管理委员会《关于核准北京数字政通科技股份有限公司非公开发行股票</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的批复</w:t>
            </w:r>
            <w:r>
              <w:rPr>
                <w:rFonts w:ascii="宋体" w:hAnsi="宋体" w:cs="宋体" w:eastAsia="宋体" w:hint="default"/>
                <w:spacing w:val="-92"/>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4 </w:t>
            </w:r>
            <w:r>
              <w:rPr>
                <w:rFonts w:ascii="宋体" w:hAnsi="宋体" w:cs="宋体" w:eastAsia="宋体" w:hint="default"/>
                <w:sz w:val="18"/>
                <w:szCs w:val="18"/>
              </w:rPr>
              <w:t>号）核准，公司于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日采用非公开发行方式</w:t>
            </w:r>
            <w:r>
              <w:rPr>
                <w:rFonts w:ascii="宋体" w:hAnsi="宋体" w:cs="宋体" w:eastAsia="宋体" w:hint="default"/>
                <w:spacing w:val="-3"/>
                <w:sz w:val="18"/>
                <w:szCs w:val="18"/>
              </w:rPr>
              <w:t>向</w:t>
            </w:r>
            <w:r>
              <w:rPr>
                <w:rFonts w:ascii="宋体" w:hAnsi="宋体" w:cs="宋体" w:eastAsia="宋体" w:hint="default"/>
                <w:sz w:val="18"/>
                <w:szCs w:val="18"/>
              </w:rPr>
              <w:t>特定投资者发行股票数量为</w:t>
            </w:r>
          </w:p>
          <w:p>
            <w:pPr>
              <w:pStyle w:val="TableParagraph"/>
              <w:spacing w:line="304"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29,039,395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股（发行价每股</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18.53</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元），并申请增加注册资本人民币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29,039,395.00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元，由</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个发行对象投入，出资方式为货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币。瑞华会计师事务所（特殊普通合伙）出具了</w:t>
            </w:r>
            <w:r>
              <w:rPr>
                <w:rFonts w:ascii="Times New Roman" w:hAnsi="Times New Roman" w:cs="Times New Roman" w:eastAsia="Times New Roman" w:hint="default"/>
                <w:sz w:val="18"/>
                <w:szCs w:val="18"/>
              </w:rPr>
              <w:t>“</w:t>
            </w:r>
            <w:r>
              <w:rPr>
                <w:rFonts w:ascii="宋体" w:hAnsi="宋体" w:cs="宋体" w:eastAsia="宋体" w:hint="default"/>
                <w:sz w:val="18"/>
                <w:szCs w:val="18"/>
              </w:rPr>
              <w:t>瑞华验字</w:t>
            </w:r>
            <w:r>
              <w:rPr>
                <w:rFonts w:ascii="Times New Roman" w:hAnsi="Times New Roman" w:cs="Times New Roman" w:eastAsia="Times New Roman" w:hint="default"/>
                <w:sz w:val="18"/>
                <w:szCs w:val="18"/>
              </w:rPr>
              <w:t>[2017]01310007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的验资报告予以验证，根据该验资报告，截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日止，公司已收到主承销商转付的最终配售对象缴付的募集资金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538,099,989.35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元，扣除中泰证券股份 </w:t>
            </w:r>
            <w:r>
              <w:rPr>
                <w:rFonts w:ascii="宋体" w:hAnsi="宋体" w:cs="宋体" w:eastAsia="宋体" w:hint="default"/>
                <w:spacing w:val="-2"/>
                <w:sz w:val="18"/>
                <w:szCs w:val="18"/>
              </w:rPr>
              <w:t>有限公司、瑞华会计师事务所（特殊普通合伙）、北京市康达律师事务所等中介机构的发行费用后实际募集资金净额人民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526,459,909.53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其中新增注册资本人民币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29,039,395.00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元，余额人民币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497,420,514.53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元转入资本公积。</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2"/>
        <w:gridCol w:w="725"/>
        <w:gridCol w:w="898"/>
        <w:gridCol w:w="896"/>
        <w:gridCol w:w="727"/>
        <w:gridCol w:w="898"/>
        <w:gridCol w:w="898"/>
        <w:gridCol w:w="727"/>
        <w:gridCol w:w="727"/>
        <w:gridCol w:w="898"/>
        <w:gridCol w:w="727"/>
        <w:gridCol w:w="727"/>
      </w:tblGrid>
      <w:tr>
        <w:trPr>
          <w:trHeight w:val="1650"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5"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bl>
    <w:p>
      <w:pPr>
        <w:spacing w:after="0" w:line="319"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024002pt;margin-top:459.069977pt;width:442.05pt;height:54.6pt;mso-position-horizontal-relative:page;mso-position-vertical-relative:page;z-index:-1046008" coordorigin="1860,9181" coordsize="8841,1092">
            <v:shape style="position:absolute;left:1860;top:9181;width:8841;height:1092" coordorigin="1860,9181" coordsize="8841,1092" path="m1860,10273l10701,10273,10701,9181,1860,9181,1860,1027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17"/>
        <w:gridCol w:w="730"/>
        <w:gridCol w:w="898"/>
        <w:gridCol w:w="896"/>
        <w:gridCol w:w="727"/>
        <w:gridCol w:w="898"/>
        <w:gridCol w:w="898"/>
        <w:gridCol w:w="727"/>
        <w:gridCol w:w="727"/>
        <w:gridCol w:w="898"/>
        <w:gridCol w:w="727"/>
        <w:gridCol w:w="727"/>
      </w:tblGrid>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1" w:hRule="exact"/>
        </w:trPr>
        <w:tc>
          <w:tcPr>
            <w:tcW w:w="7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p>
        </w:tc>
        <w:tc>
          <w:tcPr>
            <w:tcW w:w="730"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网格化</w:t>
            </w:r>
          </w:p>
        </w:tc>
        <w:tc>
          <w:tcPr>
            <w:tcW w:w="730"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w:t>
            </w:r>
          </w:p>
        </w:tc>
        <w:tc>
          <w:tcPr>
            <w:tcW w:w="730"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71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41"/>
              <w:jc w:val="left"/>
              <w:rPr>
                <w:rFonts w:ascii="宋体" w:hAnsi="宋体" w:cs="宋体" w:eastAsia="宋体" w:hint="default"/>
                <w:sz w:val="18"/>
                <w:szCs w:val="18"/>
              </w:rPr>
            </w:pPr>
            <w:r>
              <w:rPr>
                <w:rFonts w:ascii="宋体" w:hAnsi="宋体" w:cs="宋体" w:eastAsia="宋体" w:hint="default"/>
                <w:sz w:val="18"/>
                <w:szCs w:val="18"/>
              </w:rPr>
              <w:t>城市综 合信息</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37,810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6,840.87</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29,266.69</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77.40%</w:t>
            </w: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3,363.14</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8,656.98</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服务及</w:t>
            </w:r>
          </w:p>
        </w:tc>
        <w:tc>
          <w:tcPr>
            <w:tcW w:w="730"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运营项</w:t>
            </w:r>
          </w:p>
        </w:tc>
        <w:tc>
          <w:tcPr>
            <w:tcW w:w="730"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0"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w:t>
            </w:r>
          </w:p>
        </w:tc>
        <w:tc>
          <w:tcPr>
            <w:tcW w:w="730"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动资金</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727" w:type="dxa"/>
            <w:vMerge/>
            <w:tcBorders>
              <w:left w:val="single" w:sz="4" w:space="0" w:color="000000"/>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7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0"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319" w:hRule="exact"/>
        </w:trPr>
        <w:tc>
          <w:tcPr>
            <w:tcW w:w="71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w:t>
            </w: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资项目</w:t>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nil" w:sz="6" w:space="0" w:color="auto"/>
              <w:left w:val="single" w:sz="10" w:space="0" w:color="D2D2D2"/>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53,810</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53,810</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6,840.87</w:t>
            </w:r>
          </w:p>
        </w:tc>
        <w:tc>
          <w:tcPr>
            <w:tcW w:w="898" w:type="dxa"/>
            <w:tcBorders>
              <w:top w:val="nil" w:sz="6" w:space="0" w:color="auto"/>
              <w:left w:val="single" w:sz="4" w:space="0" w:color="000000"/>
              <w:bottom w:val="nil" w:sz="6" w:space="0" w:color="auto"/>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45,266.69</w:t>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10" w:space="0" w:color="D2D2D2"/>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3,363.14</w:t>
            </w:r>
          </w:p>
        </w:tc>
        <w:tc>
          <w:tcPr>
            <w:tcW w:w="898" w:type="dxa"/>
            <w:tcBorders>
              <w:top w:val="nil" w:sz="6" w:space="0" w:color="auto"/>
              <w:left w:val="single" w:sz="4" w:space="0" w:color="000000"/>
              <w:bottom w:val="nil" w:sz="6" w:space="0" w:color="auto"/>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8,656.98</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71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6,840.87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45,266.69</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3,363.14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8,656.98</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357" w:hRule="exact"/>
        </w:trPr>
        <w:tc>
          <w:tcPr>
            <w:tcW w:w="71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未达到</w:t>
            </w:r>
          </w:p>
        </w:tc>
        <w:tc>
          <w:tcPr>
            <w:tcW w:w="8853" w:type="dxa"/>
            <w:gridSpan w:val="11"/>
            <w:tcBorders>
              <w:top w:val="single" w:sz="4" w:space="0" w:color="000000"/>
              <w:left w:val="single" w:sz="12" w:space="0" w:color="D2D2D2"/>
              <w:bottom w:val="nil" w:sz="6" w:space="0" w:color="auto"/>
              <w:right w:val="single" w:sz="4" w:space="0" w:color="000000"/>
            </w:tcBorders>
          </w:tcPr>
          <w:p>
            <w:pPr/>
          </w:p>
        </w:tc>
      </w:tr>
      <w:tr>
        <w:trPr>
          <w:trHeight w:val="311"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计划进</w:t>
            </w:r>
          </w:p>
        </w:tc>
        <w:tc>
          <w:tcPr>
            <w:tcW w:w="8853" w:type="dxa"/>
            <w:gridSpan w:val="11"/>
            <w:tcBorders>
              <w:top w:val="nil" w:sz="6" w:space="0" w:color="auto"/>
              <w:left w:val="single" w:sz="12" w:space="0" w:color="D2D2D2"/>
              <w:bottom w:val="nil" w:sz="6" w:space="0" w:color="auto"/>
              <w:right w:val="single" w:sz="4" w:space="0" w:color="000000"/>
            </w:tcBorders>
          </w:tcPr>
          <w:p>
            <w:pPr/>
          </w:p>
        </w:tc>
      </w:tr>
      <w:tr>
        <w:trPr>
          <w:trHeight w:val="312"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度或预</w:t>
            </w:r>
          </w:p>
        </w:tc>
        <w:tc>
          <w:tcPr>
            <w:tcW w:w="8853" w:type="dxa"/>
            <w:gridSpan w:val="11"/>
            <w:tcBorders>
              <w:top w:val="nil" w:sz="6" w:space="0" w:color="auto"/>
              <w:left w:val="single" w:sz="12" w:space="0" w:color="D2D2D2"/>
              <w:bottom w:val="nil" w:sz="6" w:space="0" w:color="auto"/>
              <w:right w:val="single" w:sz="4" w:space="0" w:color="000000"/>
            </w:tcBorders>
          </w:tcPr>
          <w:p>
            <w:pPr/>
          </w:p>
        </w:tc>
      </w:tr>
      <w:tr>
        <w:trPr>
          <w:trHeight w:val="624"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24" w:right="141"/>
              <w:jc w:val="left"/>
              <w:rPr>
                <w:rFonts w:ascii="宋体" w:hAnsi="宋体" w:cs="宋体" w:eastAsia="宋体" w:hint="default"/>
                <w:sz w:val="18"/>
                <w:szCs w:val="18"/>
              </w:rPr>
            </w:pPr>
            <w:r>
              <w:rPr>
                <w:rFonts w:ascii="宋体" w:hAnsi="宋体" w:cs="宋体" w:eastAsia="宋体" w:hint="default"/>
                <w:sz w:val="18"/>
                <w:szCs w:val="18"/>
              </w:rPr>
              <w:t>计收益 的情况</w:t>
            </w:r>
          </w:p>
        </w:tc>
        <w:tc>
          <w:tcPr>
            <w:tcW w:w="8853" w:type="dxa"/>
            <w:gridSpan w:val="11"/>
            <w:tcBorders>
              <w:top w:val="nil" w:sz="6" w:space="0" w:color="auto"/>
              <w:left w:val="single" w:sz="12" w:space="0" w:color="D2D2D2"/>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和原因</w:t>
            </w:r>
          </w:p>
        </w:tc>
        <w:tc>
          <w:tcPr>
            <w:tcW w:w="8853" w:type="dxa"/>
            <w:gridSpan w:val="11"/>
            <w:tcBorders>
              <w:top w:val="nil" w:sz="6" w:space="0" w:color="auto"/>
              <w:left w:val="single" w:sz="12" w:space="0" w:color="D2D2D2"/>
              <w:bottom w:val="nil" w:sz="6" w:space="0" w:color="auto"/>
              <w:right w:val="single" w:sz="4" w:space="0" w:color="000000"/>
            </w:tcBorders>
          </w:tcPr>
          <w:p>
            <w:pPr/>
          </w:p>
        </w:tc>
      </w:tr>
      <w:tr>
        <w:trPr>
          <w:trHeight w:val="312"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（分具</w:t>
            </w:r>
          </w:p>
        </w:tc>
        <w:tc>
          <w:tcPr>
            <w:tcW w:w="8853" w:type="dxa"/>
            <w:gridSpan w:val="11"/>
            <w:tcBorders>
              <w:top w:val="nil" w:sz="6" w:space="0" w:color="auto"/>
              <w:left w:val="single" w:sz="12" w:space="0" w:color="D2D2D2"/>
              <w:bottom w:val="nil" w:sz="6" w:space="0" w:color="auto"/>
              <w:right w:val="single" w:sz="4" w:space="0" w:color="000000"/>
            </w:tcBorders>
          </w:tcPr>
          <w:p>
            <w:pPr/>
          </w:p>
        </w:tc>
      </w:tr>
      <w:tr>
        <w:trPr>
          <w:trHeight w:val="360" w:hRule="exact"/>
        </w:trPr>
        <w:tc>
          <w:tcPr>
            <w:tcW w:w="71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37"/>
              <w:jc w:val="left"/>
              <w:rPr>
                <w:rFonts w:ascii="宋体" w:hAnsi="宋体" w:cs="宋体" w:eastAsia="宋体" w:hint="default"/>
                <w:sz w:val="18"/>
                <w:szCs w:val="18"/>
              </w:rPr>
            </w:pPr>
            <w:r>
              <w:rPr>
                <w:rFonts w:ascii="宋体" w:hAnsi="宋体" w:cs="宋体" w:eastAsia="宋体" w:hint="default"/>
                <w:sz w:val="18"/>
                <w:szCs w:val="18"/>
              </w:rPr>
              <w:t>体项目）</w:t>
            </w:r>
          </w:p>
        </w:tc>
        <w:tc>
          <w:tcPr>
            <w:tcW w:w="8853" w:type="dxa"/>
            <w:gridSpan w:val="11"/>
            <w:tcBorders>
              <w:top w:val="nil" w:sz="6" w:space="0" w:color="auto"/>
              <w:left w:val="single" w:sz="12" w:space="0" w:color="D2D2D2"/>
              <w:bottom w:val="single" w:sz="4" w:space="0" w:color="000000"/>
              <w:right w:val="single" w:sz="4" w:space="0" w:color="000000"/>
            </w:tcBorders>
          </w:tcPr>
          <w:p>
            <w:pPr/>
          </w:p>
        </w:tc>
      </w:tr>
      <w:tr>
        <w:trPr>
          <w:trHeight w:val="355" w:hRule="exact"/>
        </w:trPr>
        <w:tc>
          <w:tcPr>
            <w:tcW w:w="71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项目可</w:t>
            </w:r>
          </w:p>
        </w:tc>
        <w:tc>
          <w:tcPr>
            <w:tcW w:w="8853" w:type="dxa"/>
            <w:gridSpan w:val="11"/>
            <w:tcBorders>
              <w:top w:val="single" w:sz="4" w:space="0" w:color="000000"/>
              <w:left w:val="single" w:sz="12" w:space="0" w:color="D2D2D2"/>
              <w:bottom w:val="nil" w:sz="6" w:space="0" w:color="auto"/>
              <w:right w:val="single" w:sz="4" w:space="0" w:color="000000"/>
            </w:tcBorders>
          </w:tcPr>
          <w:p>
            <w:pPr/>
          </w:p>
        </w:tc>
      </w:tr>
      <w:tr>
        <w:trPr>
          <w:trHeight w:val="312"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行性发</w:t>
            </w:r>
          </w:p>
        </w:tc>
        <w:tc>
          <w:tcPr>
            <w:tcW w:w="8853" w:type="dxa"/>
            <w:gridSpan w:val="11"/>
            <w:tcBorders>
              <w:top w:val="nil" w:sz="6" w:space="0" w:color="auto"/>
              <w:left w:val="single" w:sz="12" w:space="0" w:color="D2D2D2"/>
              <w:bottom w:val="nil" w:sz="6" w:space="0" w:color="auto"/>
              <w:right w:val="single" w:sz="4" w:space="0" w:color="000000"/>
            </w:tcBorders>
          </w:tcPr>
          <w:p>
            <w:pPr/>
          </w:p>
        </w:tc>
      </w:tr>
      <w:tr>
        <w:trPr>
          <w:trHeight w:val="625"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0"/>
              <w:ind w:left="24" w:right="141"/>
              <w:jc w:val="left"/>
              <w:rPr>
                <w:rFonts w:ascii="宋体" w:hAnsi="宋体" w:cs="宋体" w:eastAsia="宋体" w:hint="default"/>
                <w:sz w:val="18"/>
                <w:szCs w:val="18"/>
              </w:rPr>
            </w:pPr>
            <w:r>
              <w:rPr>
                <w:rFonts w:ascii="宋体" w:hAnsi="宋体" w:cs="宋体" w:eastAsia="宋体" w:hint="default"/>
                <w:sz w:val="18"/>
                <w:szCs w:val="18"/>
              </w:rPr>
              <w:t>生重大 变化的</w:t>
            </w:r>
          </w:p>
        </w:tc>
        <w:tc>
          <w:tcPr>
            <w:tcW w:w="8853" w:type="dxa"/>
            <w:gridSpan w:val="11"/>
            <w:tcBorders>
              <w:top w:val="nil" w:sz="6" w:space="0" w:color="auto"/>
              <w:left w:val="single" w:sz="12" w:space="0" w:color="D2D2D2"/>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情况说</w:t>
            </w:r>
          </w:p>
        </w:tc>
        <w:tc>
          <w:tcPr>
            <w:tcW w:w="8853" w:type="dxa"/>
            <w:gridSpan w:val="11"/>
            <w:tcBorders>
              <w:top w:val="nil" w:sz="6" w:space="0" w:color="auto"/>
              <w:left w:val="single" w:sz="12" w:space="0" w:color="D2D2D2"/>
              <w:bottom w:val="nil" w:sz="6" w:space="0" w:color="auto"/>
              <w:right w:val="single" w:sz="4" w:space="0" w:color="000000"/>
            </w:tcBorders>
          </w:tcPr>
          <w:p>
            <w:pPr/>
          </w:p>
        </w:tc>
      </w:tr>
      <w:tr>
        <w:trPr>
          <w:trHeight w:val="357" w:hRule="exact"/>
        </w:trPr>
        <w:tc>
          <w:tcPr>
            <w:tcW w:w="71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w:t>
            </w:r>
          </w:p>
        </w:tc>
        <w:tc>
          <w:tcPr>
            <w:tcW w:w="8853" w:type="dxa"/>
            <w:gridSpan w:val="11"/>
            <w:tcBorders>
              <w:top w:val="nil" w:sz="6" w:space="0" w:color="auto"/>
              <w:left w:val="single" w:sz="12" w:space="0" w:color="D2D2D2"/>
              <w:bottom w:val="single" w:sz="4" w:space="0" w:color="000000"/>
              <w:right w:val="single" w:sz="4" w:space="0" w:color="000000"/>
            </w:tcBorders>
          </w:tcPr>
          <w:p>
            <w:pPr/>
          </w:p>
        </w:tc>
      </w:tr>
      <w:tr>
        <w:trPr>
          <w:trHeight w:val="403" w:hRule="exact"/>
        </w:trPr>
        <w:tc>
          <w:tcPr>
            <w:tcW w:w="71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w:t>
            </w:r>
          </w:p>
        </w:tc>
        <w:tc>
          <w:tcPr>
            <w:tcW w:w="8853"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4"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z w:val="18"/>
                <w:szCs w:val="18"/>
              </w:rPr>
              <w:t>金的金</w:t>
            </w:r>
          </w:p>
        </w:tc>
        <w:tc>
          <w:tcPr>
            <w:tcW w:w="8853" w:type="dxa"/>
            <w:gridSpan w:val="11"/>
            <w:vMerge w:val="restart"/>
            <w:tcBorders>
              <w:top w:val="single" w:sz="4" w:space="0" w:color="000000"/>
              <w:left w:val="single" w:sz="12" w:space="0" w:color="D2D2D2"/>
              <w:right w:val="single" w:sz="4" w:space="0" w:color="000000"/>
            </w:tcBorders>
          </w:tcPr>
          <w:p>
            <w:pPr/>
          </w:p>
        </w:tc>
      </w:tr>
      <w:tr>
        <w:trPr>
          <w:trHeight w:val="312"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4"/>
                <w:sz w:val="18"/>
                <w:szCs w:val="18"/>
              </w:rPr>
              <w:t>额、用途</w:t>
            </w:r>
          </w:p>
        </w:tc>
        <w:tc>
          <w:tcPr>
            <w:tcW w:w="8853" w:type="dxa"/>
            <w:gridSpan w:val="11"/>
            <w:vMerge/>
            <w:tcBorders>
              <w:left w:val="single" w:sz="12" w:space="0" w:color="D2D2D2"/>
              <w:right w:val="single" w:sz="4" w:space="0" w:color="000000"/>
            </w:tcBorders>
          </w:tcPr>
          <w:p>
            <w:pPr/>
          </w:p>
        </w:tc>
      </w:tr>
      <w:tr>
        <w:trPr>
          <w:trHeight w:val="312"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及使用</w:t>
            </w:r>
          </w:p>
        </w:tc>
        <w:tc>
          <w:tcPr>
            <w:tcW w:w="8853" w:type="dxa"/>
            <w:gridSpan w:val="11"/>
            <w:vMerge/>
            <w:tcBorders>
              <w:left w:val="single" w:sz="12" w:space="0" w:color="D2D2D2"/>
              <w:right w:val="single" w:sz="4" w:space="0" w:color="000000"/>
            </w:tcBorders>
          </w:tcPr>
          <w:p>
            <w:pPr/>
          </w:p>
        </w:tc>
      </w:tr>
      <w:tr>
        <w:trPr>
          <w:trHeight w:val="312" w:hRule="exact"/>
        </w:trPr>
        <w:tc>
          <w:tcPr>
            <w:tcW w:w="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进展情</w:t>
            </w:r>
          </w:p>
        </w:tc>
        <w:tc>
          <w:tcPr>
            <w:tcW w:w="8853" w:type="dxa"/>
            <w:gridSpan w:val="11"/>
            <w:vMerge/>
            <w:tcBorders>
              <w:left w:val="single" w:sz="12" w:space="0" w:color="D2D2D2"/>
              <w:right w:val="single" w:sz="4" w:space="0" w:color="000000"/>
            </w:tcBorders>
          </w:tcPr>
          <w:p>
            <w:pPr/>
          </w:p>
        </w:tc>
      </w:tr>
      <w:tr>
        <w:trPr>
          <w:trHeight w:val="395" w:hRule="exact"/>
        </w:trPr>
        <w:tc>
          <w:tcPr>
            <w:tcW w:w="717"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853" w:type="dxa"/>
            <w:gridSpan w:val="11"/>
            <w:vMerge/>
            <w:tcBorders>
              <w:left w:val="single" w:sz="12" w:space="0" w:color="D2D2D2"/>
              <w:bottom w:val="single" w:sz="4" w:space="0" w:color="FFFFFF"/>
              <w:right w:val="single" w:sz="4" w:space="0" w:color="000000"/>
            </w:tcBorders>
          </w:tcPr>
          <w:p>
            <w:pPr/>
          </w:p>
        </w:tc>
      </w:tr>
      <w:tr>
        <w:trPr>
          <w:trHeight w:val="366" w:hRule="exact"/>
        </w:trPr>
        <w:tc>
          <w:tcPr>
            <w:tcW w:w="717"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79"/>
              <w:ind w:left="24"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53" w:type="dxa"/>
            <w:gridSpan w:val="11"/>
            <w:tcBorders>
              <w:top w:val="single" w:sz="4" w:space="0" w:color="FFFFFF"/>
              <w:left w:val="single" w:sz="12" w:space="0" w:color="D2D2D2"/>
              <w:bottom w:val="single" w:sz="4" w:space="0" w:color="000000"/>
              <w:right w:val="single" w:sz="4" w:space="0" w:color="000000"/>
            </w:tcBorders>
          </w:tcPr>
          <w:p>
            <w:pPr>
              <w:pStyle w:val="TableParagraph"/>
              <w:spacing w:line="240" w:lineRule="auto" w:before="14"/>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71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金投资</w:t>
            </w:r>
          </w:p>
        </w:tc>
        <w:tc>
          <w:tcPr>
            <w:tcW w:w="8853" w:type="dxa"/>
            <w:gridSpan w:val="11"/>
            <w:tcBorders>
              <w:top w:val="single" w:sz="4" w:space="0" w:color="000000"/>
              <w:left w:val="single" w:sz="12" w:space="0" w:color="D2D2D2"/>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2"/>
        <w:gridCol w:w="8848"/>
      </w:tblGrid>
      <w:tr>
        <w:trPr>
          <w:trHeight w:val="315"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项目实</w:t>
            </w:r>
          </w:p>
        </w:tc>
        <w:tc>
          <w:tcPr>
            <w:tcW w:w="8848" w:type="dxa"/>
            <w:vMerge w:val="restart"/>
            <w:tcBorders>
              <w:top w:val="single" w:sz="4" w:space="0" w:color="000000"/>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施地点</w:t>
            </w:r>
          </w:p>
        </w:tc>
        <w:tc>
          <w:tcPr>
            <w:tcW w:w="8848" w:type="dxa"/>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变更情</w:t>
            </w:r>
          </w:p>
        </w:tc>
        <w:tc>
          <w:tcPr>
            <w:tcW w:w="8848" w:type="dxa"/>
            <w:vMerge/>
            <w:tcBorders>
              <w:left w:val="single" w:sz="4" w:space="0" w:color="000000"/>
              <w:right w:val="single" w:sz="4" w:space="0" w:color="000000"/>
            </w:tcBorders>
          </w:tcPr>
          <w:p>
            <w:pPr/>
          </w:p>
        </w:tc>
      </w:tr>
      <w:tr>
        <w:trPr>
          <w:trHeight w:val="360"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848" w:type="dxa"/>
            <w:vMerge/>
            <w:tcBorders>
              <w:left w:val="single" w:sz="4" w:space="0" w:color="000000"/>
              <w:bottom w:val="single" w:sz="4" w:space="0" w:color="000000"/>
              <w:right w:val="single" w:sz="4" w:space="0" w:color="000000"/>
            </w:tcBorders>
          </w:tcPr>
          <w:p>
            <w:pPr/>
          </w:p>
        </w:tc>
      </w:tr>
      <w:tr>
        <w:trPr>
          <w:trHeight w:val="401"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7"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金投资</w:t>
            </w:r>
          </w:p>
        </w:tc>
        <w:tc>
          <w:tcPr>
            <w:tcW w:w="8848" w:type="dxa"/>
            <w:vMerge w:val="restart"/>
            <w:tcBorders>
              <w:top w:val="single" w:sz="4" w:space="0" w:color="000000"/>
              <w:left w:val="single" w:sz="4" w:space="0" w:color="000000"/>
              <w:right w:val="single" w:sz="4" w:space="0" w:color="000000"/>
            </w:tcBorders>
          </w:tcPr>
          <w:p>
            <w:pPr/>
          </w:p>
        </w:tc>
      </w:tr>
      <w:tr>
        <w:trPr>
          <w:trHeight w:val="137" w:hRule="exact"/>
        </w:trPr>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项目实</w:t>
            </w:r>
          </w:p>
        </w:tc>
        <w:tc>
          <w:tcPr>
            <w:tcW w:w="8848" w:type="dxa"/>
            <w:vMerge/>
            <w:tcBorders>
              <w:left w:val="single" w:sz="4" w:space="0" w:color="000000"/>
              <w:bottom w:val="single" w:sz="4" w:space="0" w:color="000000"/>
              <w:right w:val="single" w:sz="4" w:space="0" w:color="000000"/>
            </w:tcBorders>
          </w:tcPr>
          <w:p>
            <w:pPr/>
          </w:p>
        </w:tc>
      </w:tr>
      <w:tr>
        <w:trPr>
          <w:trHeight w:val="175" w:hRule="exact"/>
        </w:trPr>
        <w:tc>
          <w:tcPr>
            <w:tcW w:w="722" w:type="dxa"/>
            <w:vMerge/>
            <w:tcBorders>
              <w:left w:val="single" w:sz="4" w:space="0" w:color="000000"/>
              <w:bottom w:val="nil" w:sz="6" w:space="0" w:color="auto"/>
              <w:right w:val="single" w:sz="4" w:space="0" w:color="000000"/>
            </w:tcBorders>
            <w:shd w:val="clear" w:color="auto" w:fill="D2D2D2"/>
          </w:tcPr>
          <w:p>
            <w:pPr/>
          </w:p>
        </w:tc>
        <w:tc>
          <w:tcPr>
            <w:tcW w:w="8848" w:type="dxa"/>
            <w:vMerge w:val="restart"/>
            <w:tcBorders>
              <w:top w:val="single" w:sz="4" w:space="0" w:color="000000"/>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施方式</w:t>
            </w:r>
          </w:p>
        </w:tc>
        <w:tc>
          <w:tcPr>
            <w:tcW w:w="8848" w:type="dxa"/>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调整情</w:t>
            </w:r>
          </w:p>
        </w:tc>
        <w:tc>
          <w:tcPr>
            <w:tcW w:w="8848" w:type="dxa"/>
            <w:vMerge/>
            <w:tcBorders>
              <w:left w:val="single" w:sz="4" w:space="0" w:color="000000"/>
              <w:right w:val="single" w:sz="4" w:space="0" w:color="000000"/>
            </w:tcBorders>
          </w:tcPr>
          <w:p>
            <w:pPr/>
          </w:p>
        </w:tc>
      </w:tr>
      <w:tr>
        <w:trPr>
          <w:trHeight w:val="357"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848" w:type="dxa"/>
            <w:vMerge/>
            <w:tcBorders>
              <w:left w:val="single" w:sz="4" w:space="0" w:color="000000"/>
              <w:bottom w:val="single" w:sz="4" w:space="0" w:color="000000"/>
              <w:right w:val="single" w:sz="4" w:space="0" w:color="000000"/>
            </w:tcBorders>
          </w:tcPr>
          <w:p>
            <w:pPr/>
          </w:p>
        </w:tc>
      </w:tr>
      <w:tr>
        <w:trPr>
          <w:trHeight w:val="404"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4"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金投资</w:t>
            </w:r>
          </w:p>
        </w:tc>
        <w:tc>
          <w:tcPr>
            <w:tcW w:w="8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2019-12-31</w:t>
            </w:r>
            <w:r>
              <w:rPr>
                <w:rFonts w:ascii="宋体" w:hAnsi="宋体" w:cs="宋体" w:eastAsia="宋体" w:hint="default"/>
                <w:sz w:val="18"/>
                <w:szCs w:val="18"/>
              </w:rPr>
              <w:t>，公司以募集资金置换预先已投入募集资金投资项目的自筹资金为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67,421,468.01 </w:t>
            </w:r>
            <w:r>
              <w:rPr>
                <w:rFonts w:ascii="宋体" w:hAnsi="宋体" w:cs="宋体" w:eastAsia="宋体" w:hint="default"/>
                <w:sz w:val="18"/>
                <w:szCs w:val="18"/>
              </w:rPr>
              <w:t>元。</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项目先</w:t>
            </w:r>
          </w:p>
        </w:tc>
        <w:tc>
          <w:tcPr>
            <w:tcW w:w="8848" w:type="dxa"/>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期投入</w:t>
            </w:r>
          </w:p>
        </w:tc>
        <w:tc>
          <w:tcPr>
            <w:tcW w:w="8848" w:type="dxa"/>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及置换</w:t>
            </w:r>
          </w:p>
        </w:tc>
        <w:tc>
          <w:tcPr>
            <w:tcW w:w="8848" w:type="dxa"/>
            <w:vMerge/>
            <w:tcBorders>
              <w:left w:val="single" w:sz="4" w:space="0" w:color="000000"/>
              <w:right w:val="single" w:sz="4" w:space="0" w:color="000000"/>
            </w:tcBorders>
          </w:tcPr>
          <w:p>
            <w:pPr/>
          </w:p>
        </w:tc>
      </w:tr>
      <w:tr>
        <w:trPr>
          <w:trHeight w:val="360"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8" w:type="dxa"/>
            <w:vMerge/>
            <w:tcBorders>
              <w:left w:val="single" w:sz="4" w:space="0" w:color="000000"/>
              <w:bottom w:val="single" w:sz="4" w:space="0" w:color="000000"/>
              <w:right w:val="single" w:sz="4" w:space="0" w:color="000000"/>
            </w:tcBorders>
          </w:tcPr>
          <w:p>
            <w:pPr/>
          </w:p>
        </w:tc>
      </w:tr>
      <w:tr>
        <w:trPr>
          <w:trHeight w:val="401"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用闲置</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7"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vMerge w:val="restart"/>
            <w:tcBorders>
              <w:top w:val="single" w:sz="4" w:space="0" w:color="000000"/>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金暂时</w:t>
            </w:r>
          </w:p>
        </w:tc>
        <w:tc>
          <w:tcPr>
            <w:tcW w:w="8848" w:type="dxa"/>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补充流</w:t>
            </w:r>
          </w:p>
        </w:tc>
        <w:tc>
          <w:tcPr>
            <w:tcW w:w="8848" w:type="dxa"/>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动资金</w:t>
            </w:r>
          </w:p>
        </w:tc>
        <w:tc>
          <w:tcPr>
            <w:tcW w:w="8848" w:type="dxa"/>
            <w:vMerge/>
            <w:tcBorders>
              <w:left w:val="single" w:sz="4" w:space="0" w:color="000000"/>
              <w:right w:val="single" w:sz="4" w:space="0" w:color="000000"/>
            </w:tcBorders>
          </w:tcPr>
          <w:p>
            <w:pPr/>
          </w:p>
        </w:tc>
      </w:tr>
      <w:tr>
        <w:trPr>
          <w:trHeight w:val="357"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8" w:type="dxa"/>
            <w:vMerge/>
            <w:tcBorders>
              <w:left w:val="single" w:sz="4" w:space="0" w:color="000000"/>
              <w:bottom w:val="single" w:sz="4" w:space="0" w:color="000000"/>
              <w:right w:val="single" w:sz="4" w:space="0" w:color="000000"/>
            </w:tcBorders>
          </w:tcPr>
          <w:p>
            <w:pPr/>
          </w:p>
        </w:tc>
      </w:tr>
      <w:tr>
        <w:trPr>
          <w:trHeight w:val="403"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项目实</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4"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施出现</w:t>
            </w:r>
          </w:p>
        </w:tc>
        <w:tc>
          <w:tcPr>
            <w:tcW w:w="8848" w:type="dxa"/>
            <w:vMerge w:val="restart"/>
            <w:tcBorders>
              <w:top w:val="single" w:sz="4" w:space="0" w:color="000000"/>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金结余</w:t>
            </w:r>
          </w:p>
        </w:tc>
        <w:tc>
          <w:tcPr>
            <w:tcW w:w="8848" w:type="dxa"/>
            <w:vMerge/>
            <w:tcBorders>
              <w:left w:val="single" w:sz="4" w:space="0" w:color="000000"/>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8848" w:type="dxa"/>
            <w:vMerge/>
            <w:tcBorders>
              <w:left w:val="single" w:sz="4" w:space="0" w:color="000000"/>
              <w:right w:val="single" w:sz="4" w:space="0" w:color="000000"/>
            </w:tcBorders>
          </w:tcPr>
          <w:p>
            <w:pPr/>
          </w:p>
        </w:tc>
      </w:tr>
      <w:tr>
        <w:trPr>
          <w:trHeight w:val="360"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及原因</w:t>
            </w:r>
          </w:p>
        </w:tc>
        <w:tc>
          <w:tcPr>
            <w:tcW w:w="8848" w:type="dxa"/>
            <w:vMerge/>
            <w:tcBorders>
              <w:left w:val="single" w:sz="4" w:space="0" w:color="000000"/>
              <w:bottom w:val="single" w:sz="4" w:space="0" w:color="000000"/>
              <w:right w:val="single" w:sz="4" w:space="0" w:color="000000"/>
            </w:tcBorders>
          </w:tcPr>
          <w:p>
            <w:pPr/>
          </w:p>
        </w:tc>
      </w:tr>
      <w:tr>
        <w:trPr>
          <w:trHeight w:val="355"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尚未使</w:t>
            </w:r>
          </w:p>
        </w:tc>
        <w:tc>
          <w:tcPr>
            <w:tcW w:w="884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用的募</w:t>
            </w:r>
          </w:p>
        </w:tc>
        <w:tc>
          <w:tcPr>
            <w:tcW w:w="8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w:t>
            </w:r>
          </w:p>
        </w:tc>
        <w:tc>
          <w:tcPr>
            <w:tcW w:w="8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尚未使用的募集资金未来将继续用于承诺投资项目</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用途及</w:t>
            </w:r>
          </w:p>
        </w:tc>
        <w:tc>
          <w:tcPr>
            <w:tcW w:w="884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去向</w:t>
            </w:r>
          </w:p>
        </w:tc>
        <w:tc>
          <w:tcPr>
            <w:tcW w:w="884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2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金使用</w:t>
            </w:r>
          </w:p>
        </w:tc>
        <w:tc>
          <w:tcPr>
            <w:tcW w:w="8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及披露</w:t>
            </w:r>
          </w:p>
        </w:tc>
        <w:tc>
          <w:tcPr>
            <w:tcW w:w="8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w:t>
            </w:r>
          </w:p>
        </w:tc>
        <w:tc>
          <w:tcPr>
            <w:tcW w:w="8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的问题</w:t>
            </w:r>
          </w:p>
        </w:tc>
        <w:tc>
          <w:tcPr>
            <w:tcW w:w="884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或其他</w:t>
            </w:r>
          </w:p>
        </w:tc>
        <w:tc>
          <w:tcPr>
            <w:tcW w:w="884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4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44"/>
        <w:ind w:left="0" w:right="1133" w:firstLine="0"/>
        <w:jc w:val="right"/>
        <w:rPr>
          <w:rFonts w:ascii="宋体" w:hAnsi="宋体" w:cs="宋体" w:eastAsia="宋体" w:hint="default"/>
          <w:sz w:val="18"/>
          <w:szCs w:val="18"/>
        </w:rPr>
      </w:pPr>
      <w:r>
        <w:rPr/>
        <w:pict>
          <v:shape style="position:absolute;margin-left:56.400002pt;margin-top:-529.048279pt;width:479.4pt;height:624.9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61"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网</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格化</w:t>
                        </w:r>
                        <w:r>
                          <w:rPr>
                            <w:rFonts w:ascii="Times New Roman" w:hAnsi="Times New Roman" w:cs="Times New Roman" w:eastAsia="Times New Roman" w:hint="default"/>
                            <w:sz w:val="18"/>
                            <w:szCs w:val="18"/>
                          </w:rPr>
                          <w:t>+"</w:t>
                        </w:r>
                        <w:r>
                          <w:rPr>
                            <w:rFonts w:ascii="宋体" w:hAnsi="宋体" w:cs="宋体" w:eastAsia="宋体" w:hint="default"/>
                            <w:sz w:val="18"/>
                            <w:szCs w:val="18"/>
                          </w:rPr>
                          <w:t>智慧</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城市综合信</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4373"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22"/>
                          <w:jc w:val="left"/>
                          <w:rPr>
                            <w:rFonts w:ascii="宋体" w:hAnsi="宋体" w:cs="宋体" w:eastAsia="宋体" w:hint="default"/>
                            <w:sz w:val="18"/>
                            <w:szCs w:val="18"/>
                          </w:rPr>
                        </w:pPr>
                        <w:r>
                          <w:rPr>
                            <w:rFonts w:ascii="宋体" w:hAnsi="宋体" w:cs="宋体" w:eastAsia="宋体" w:hint="default"/>
                            <w:sz w:val="18"/>
                            <w:szCs w:val="18"/>
                          </w:rPr>
                          <w:t>息服务及运 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江 西省大余县 智慧亮化路 灯节能改造 项目、宁德 市网格化服 务管理信息 平台和宁德 市政务云计 算中心项 目、东南大 区新一代</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网格化</w:t>
                        </w:r>
                        <w:r>
                          <w:rPr>
                            <w:rFonts w:ascii="Times New Roman" w:hAnsi="Times New Roman" w:cs="Times New Roman" w:eastAsia="Times New Roman" w:hint="default"/>
                            <w:sz w:val="18"/>
                            <w:szCs w:val="18"/>
                          </w:rPr>
                          <w:t>+'</w:t>
                        </w:r>
                        <w:r>
                          <w:rPr>
                            <w:rFonts w:ascii="宋体" w:hAnsi="宋体" w:cs="宋体" w:eastAsia="宋体" w:hint="default"/>
                            <w:sz w:val="18"/>
                            <w:szCs w:val="18"/>
                          </w:rPr>
                          <w:t>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09" w:lineRule="auto"/>
                          <w:ind w:left="24" w:right="23"/>
                          <w:jc w:val="left"/>
                          <w:rPr>
                            <w:rFonts w:ascii="宋体" w:hAnsi="宋体" w:cs="宋体" w:eastAsia="宋体" w:hint="default"/>
                            <w:sz w:val="18"/>
                            <w:szCs w:val="18"/>
                          </w:rPr>
                        </w:pP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网 格化</w:t>
                        </w:r>
                        <w:r>
                          <w:rPr>
                            <w:rFonts w:ascii="Times New Roman" w:hAnsi="Times New Roman" w:cs="Times New Roman" w:eastAsia="Times New Roman" w:hint="default"/>
                            <w:sz w:val="18"/>
                            <w:szCs w:val="18"/>
                          </w:rPr>
                          <w:t>+"</w:t>
                        </w:r>
                        <w:r>
                          <w:rPr>
                            <w:rFonts w:ascii="宋体" w:hAnsi="宋体" w:cs="宋体" w:eastAsia="宋体" w:hint="default"/>
                            <w:sz w:val="18"/>
                            <w:szCs w:val="18"/>
                          </w:rPr>
                          <w:t>智慧 城市综合信 息服务及运 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 慧乌当、新 一代</w:t>
                        </w:r>
                        <w:r>
                          <w:rPr>
                            <w:rFonts w:ascii="Times New Roman" w:hAnsi="Times New Roman" w:cs="Times New Roman" w:eastAsia="Times New Roman" w:hint="default"/>
                            <w:sz w:val="18"/>
                            <w:szCs w:val="18"/>
                          </w:rPr>
                          <w:t>'</w:t>
                        </w:r>
                        <w:r>
                          <w:rPr>
                            <w:rFonts w:ascii="宋体" w:hAnsi="宋体" w:cs="宋体" w:eastAsia="宋体" w:hint="default"/>
                            <w:sz w:val="18"/>
                            <w:szCs w:val="18"/>
                          </w:rPr>
                          <w:t>网格 化</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 市综合信息 服务及运营 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智慧</w:t>
                        </w:r>
                        <w:r>
                          <w:rPr>
                            <w:rFonts w:ascii="宋体" w:hAnsi="宋体" w:cs="宋体" w:eastAsia="宋体" w:hint="default"/>
                            <w:w w:val="99"/>
                            <w:sz w:val="18"/>
                            <w:szCs w:val="18"/>
                          </w:rPr>
                          <w:t> </w:t>
                        </w:r>
                        <w:r>
                          <w:rPr>
                            <w:rFonts w:ascii="宋体" w:hAnsi="宋体" w:cs="宋体" w:eastAsia="宋体" w:hint="default"/>
                            <w:sz w:val="18"/>
                            <w:szCs w:val="18"/>
                          </w:rPr>
                          <w:t>即墨经济开</w:t>
                        </w:r>
                        <w:r>
                          <w:rPr>
                            <w:rFonts w:ascii="宋体" w:hAnsi="宋体" w:cs="宋体" w:eastAsia="宋体" w:hint="default"/>
                            <w:w w:val="99"/>
                            <w:sz w:val="18"/>
                            <w:szCs w:val="18"/>
                          </w:rPr>
                          <w:t> </w:t>
                        </w:r>
                        <w:r>
                          <w:rPr>
                            <w:rFonts w:ascii="宋体" w:hAnsi="宋体" w:cs="宋体" w:eastAsia="宋体" w:hint="default"/>
                            <w:sz w:val="18"/>
                            <w:szCs w:val="18"/>
                          </w:rPr>
                          <w:t>发区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6,840.87</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29,266.69</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77.40%</w:t>
                        </w: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3,363.14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慧城市综合</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信息服务及</w:t>
                        </w: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运营项目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6,840.87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29,266.69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3,363.14</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57"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公司着力整合技术和市场资源、加强本地化运营和服务团队建设，并综合考虑项目实</w:t>
                        </w:r>
                      </w:p>
                    </w:tc>
                  </w:tr>
                  <w:tr>
                    <w:trPr>
                      <w:trHeight w:val="311"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施的优先次序对资金使用做出合理安排。根据项目的具体进展情况，鉴于公司与贵阳</w:t>
                        </w:r>
                      </w:p>
                    </w:tc>
                  </w:tr>
                  <w:tr>
                    <w:trPr>
                      <w:trHeight w:val="317"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市乌当区国有独资企业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贵州智源信息产业孵化基地有限公司所签订的</w:t>
                        </w:r>
                        <w:r>
                          <w:rPr>
                            <w:rFonts w:ascii="Times New Roman" w:hAnsi="Times New Roman" w:cs="Times New Roman" w:eastAsia="Times New Roman" w:hint="default"/>
                            <w:sz w:val="18"/>
                            <w:szCs w:val="18"/>
                          </w:rPr>
                          <w:t>“</w:t>
                        </w:r>
                        <w:r>
                          <w:rPr>
                            <w:rFonts w:ascii="宋体" w:hAnsi="宋体" w:cs="宋体" w:eastAsia="宋体" w:hint="default"/>
                            <w:sz w:val="18"/>
                            <w:szCs w:val="18"/>
                          </w:rPr>
                          <w:t>智慧乌当</w:t>
                        </w:r>
                        <w:r>
                          <w:rPr>
                            <w:rFonts w:ascii="Times New Roman" w:hAnsi="Times New Roman" w:cs="Times New Roman" w:eastAsia="Times New Roman" w:hint="default"/>
                            <w:sz w:val="18"/>
                            <w:szCs w:val="18"/>
                          </w:rPr>
                          <w:t>”</w:t>
                        </w:r>
                      </w:p>
                    </w:tc>
                  </w:tr>
                  <w:tr>
                    <w:trPr>
                      <w:trHeight w:val="307"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项目涉及部门众多，系统较为复杂，仍处于方案设计期间，尚未实际投入建设资金，</w:t>
                        </w:r>
                      </w:p>
                    </w:tc>
                  </w:tr>
                  <w:tr>
                    <w:trPr>
                      <w:trHeight w:val="317"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为提高资金使用效率和项目的投资收益率，于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w:t>
                        </w:r>
                      </w:p>
                    </w:tc>
                  </w:tr>
                  <w:tr>
                    <w:trPr>
                      <w:trHeight w:val="30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第三十二次会议</w:t>
                        </w:r>
                        <w:r>
                          <w:rPr>
                            <w:rFonts w:ascii="宋体" w:hAnsi="宋体" w:cs="宋体" w:eastAsia="宋体" w:hint="default"/>
                            <w:spacing w:val="-3"/>
                            <w:sz w:val="18"/>
                            <w:szCs w:val="18"/>
                          </w:rPr>
                          <w:t>，</w:t>
                        </w:r>
                        <w:r>
                          <w:rPr>
                            <w:rFonts w:ascii="宋体" w:hAnsi="宋体" w:cs="宋体" w:eastAsia="宋体" w:hint="default"/>
                            <w:sz w:val="18"/>
                            <w:szCs w:val="18"/>
                          </w:rPr>
                          <w:t>审议通过</w:t>
                        </w:r>
                        <w:r>
                          <w:rPr>
                            <w:rFonts w:ascii="宋体" w:hAnsi="宋体" w:cs="宋体" w:eastAsia="宋体" w:hint="default"/>
                            <w:spacing w:val="-3"/>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同意将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新一代</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网格化</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智慧城市综合信息服务及运营项目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中原用于投入</w:t>
                        </w:r>
                        <w:r>
                          <w:rPr>
                            <w:rFonts w:ascii="Times New Roman" w:hAnsi="Times New Roman" w:cs="Times New Roman" w:eastAsia="Times New Roman" w:hint="default"/>
                            <w:sz w:val="18"/>
                            <w:szCs w:val="18"/>
                          </w:rPr>
                          <w:t>“</w:t>
                        </w:r>
                        <w:r>
                          <w:rPr>
                            <w:rFonts w:ascii="宋体" w:hAnsi="宋体" w:cs="宋体" w:eastAsia="宋体" w:hint="default"/>
                            <w:sz w:val="18"/>
                            <w:szCs w:val="18"/>
                          </w:rPr>
                          <w:t>智慧乌当</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15,500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p>
                    </w:tc>
                  </w:tr>
                  <w:tr>
                    <w:trPr>
                      <w:trHeight w:val="32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5"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江西省大余县智慧亮化路灯节能改造项目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宁德市网格化服务管理</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信息平台和宁德市政务云计算中心项目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。本次变更项目涉及的总金额为</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15,500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占上述非公开发行募集资金总额的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28.81%</w:t>
                        </w:r>
                        <w:r>
                          <w:rPr>
                            <w:rFonts w:ascii="宋体" w:hAnsi="宋体" w:cs="宋体" w:eastAsia="宋体" w:hint="default"/>
                            <w:sz w:val="18"/>
                            <w:szCs w:val="18"/>
                          </w:rPr>
                          <w:t>，并于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日进行公告。公司</w:t>
                        </w:r>
                      </w:p>
                    </w:tc>
                  </w:tr>
                  <w:tr>
                    <w:trPr>
                      <w:trHeight w:val="307"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本次变更部分募集资金用途事宜已经第三届董事会第三十二次会议和第三届监事会</w:t>
                        </w:r>
                      </w:p>
                    </w:tc>
                  </w:tr>
                  <w:tr>
                    <w:trPr>
                      <w:trHeight w:val="317"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第二十六次会议审议通过，经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年第一次临时股东审议通过，公司独立董事发表</w:t>
                        </w:r>
                      </w:p>
                    </w:tc>
                  </w:tr>
                  <w:tr>
                    <w:trPr>
                      <w:trHeight w:val="312"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了明确同意的独立意见，履行了必要的审批程序。公司于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日召开第三</w:t>
                        </w:r>
                      </w:p>
                    </w:tc>
                  </w:tr>
                  <w:tr>
                    <w:trPr>
                      <w:trHeight w:val="314"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届董事会第三十七次会议，审议通过了《关于变更部分募集资金用途的议案</w:t>
                        </w:r>
                        <w:r>
                          <w:rPr>
                            <w:rFonts w:ascii="宋体" w:hAnsi="宋体" w:cs="宋体" w:eastAsia="宋体" w:hint="default"/>
                            <w:spacing w:val="-92"/>
                            <w:sz w:val="18"/>
                            <w:szCs w:val="18"/>
                          </w:rPr>
                          <w:t>》</w:t>
                        </w:r>
                        <w:r>
                          <w:rPr>
                            <w:rFonts w:ascii="宋体" w:hAnsi="宋体" w:cs="宋体" w:eastAsia="宋体" w:hint="default"/>
                            <w:sz w:val="18"/>
                            <w:szCs w:val="18"/>
                          </w:rPr>
                          <w:t>。同意</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1299"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4"/>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网格化</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智慧城市综合信息服务及运营项目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中原用于投入</w:t>
            </w:r>
            <w:r>
              <w:rPr>
                <w:rFonts w:ascii="Times New Roman" w:hAnsi="Times New Roman" w:cs="Times New Roman" w:eastAsia="Times New Roman" w:hint="default"/>
                <w:sz w:val="18"/>
                <w:szCs w:val="18"/>
              </w:rPr>
              <w:t>“</w:t>
            </w:r>
            <w:r>
              <w:rPr>
                <w:rFonts w:ascii="宋体" w:hAnsi="宋体" w:cs="宋体" w:eastAsia="宋体" w:hint="default"/>
                <w:sz w:val="18"/>
                <w:szCs w:val="18"/>
              </w:rPr>
              <w:t>智慧即墨经济 开发区</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东南大区新一代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网格化</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智慧城市综合信息服务</w:t>
            </w:r>
          </w:p>
          <w:p>
            <w:pPr>
              <w:pStyle w:val="TableParagraph"/>
              <w:spacing w:line="300" w:lineRule="auto" w:before="13"/>
              <w:ind w:left="23" w:right="26"/>
              <w:jc w:val="left"/>
              <w:rPr>
                <w:rFonts w:ascii="宋体" w:hAnsi="宋体" w:cs="宋体" w:eastAsia="宋体" w:hint="default"/>
                <w:sz w:val="18"/>
                <w:szCs w:val="18"/>
              </w:rPr>
            </w:pPr>
            <w:r>
              <w:rPr>
                <w:rFonts w:ascii="宋体" w:hAnsi="宋体" w:cs="宋体" w:eastAsia="宋体" w:hint="default"/>
                <w:sz w:val="18"/>
                <w:szCs w:val="18"/>
              </w:rPr>
              <w:t>及运营项目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简称：智慧东南</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。本次变更项目涉及的总金额为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万元，占上述非 公开发行募集资金总额的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16.73%</w:t>
            </w:r>
            <w:r>
              <w:rPr>
                <w:rFonts w:ascii="宋体" w:hAnsi="宋体" w:cs="宋体" w:eastAsia="宋体" w:hint="default"/>
                <w:sz w:val="18"/>
                <w:szCs w:val="18"/>
              </w:rPr>
              <w:t>。</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10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04"/>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北京数字智 通科技有限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计算机系统 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342,264,095.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75,189,779.5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74,429,982.4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-4,668,965.4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-2,689,438.5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356"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保定金迪地</w:t>
            </w:r>
          </w:p>
        </w:tc>
        <w:tc>
          <w:tcPr>
            <w:tcW w:w="119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8"/>
              <w:jc w:val="left"/>
              <w:rPr>
                <w:rFonts w:ascii="宋体" w:hAnsi="宋体" w:cs="宋体" w:eastAsia="宋体" w:hint="default"/>
                <w:sz w:val="18"/>
                <w:szCs w:val="18"/>
              </w:rPr>
            </w:pPr>
            <w:r>
              <w:rPr>
                <w:rFonts w:ascii="宋体" w:hAnsi="宋体" w:cs="宋体" w:eastAsia="宋体" w:hint="default"/>
                <w:sz w:val="18"/>
                <w:szCs w:val="18"/>
              </w:rPr>
              <w:t>下管线探测 工程有限公</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0"/>
              <w:jc w:val="left"/>
              <w:rPr>
                <w:rFonts w:ascii="宋体" w:hAnsi="宋体" w:cs="宋体" w:eastAsia="宋体" w:hint="default"/>
                <w:sz w:val="18"/>
                <w:szCs w:val="18"/>
              </w:rPr>
            </w:pPr>
            <w:r>
              <w:rPr>
                <w:rFonts w:ascii="宋体" w:hAnsi="宋体" w:cs="宋体" w:eastAsia="宋体" w:hint="default"/>
                <w:sz w:val="18"/>
                <w:szCs w:val="18"/>
              </w:rPr>
              <w:t>地下管线探 测检测</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488,933,436.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287,212,391.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296,847,695.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71,005,028.9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60,994,042.4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长沙政通康拓科技有限公司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保定政运恒通信息技术有限责任公司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湖北鄂东智城科技有限公司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633" w:right="1104"/>
        <w:jc w:val="left"/>
      </w:pPr>
      <w:r>
        <w:rPr/>
        <w:t>新的一年，公司将在以下方面加强工作，努力提高经营业绩： </w:t>
      </w:r>
      <w:r>
        <w:rPr>
          <w:rFonts w:ascii="宋体" w:hAnsi="宋体" w:cs="宋体" w:eastAsia="宋体" w:hint="default"/>
        </w:rPr>
        <w:t>1.</w:t>
      </w:r>
      <w:r>
        <w:rPr/>
        <w:t>智慧化城市综合管理服务平台建设 近年来，随着大部制改革步伐的加快，“大职能、宽领域、少机构”成为我国政府机构</w:t>
      </w:r>
    </w:p>
    <w:p>
      <w:pPr>
        <w:pStyle w:val="BodyText"/>
        <w:spacing w:line="357" w:lineRule="auto" w:before="37"/>
        <w:ind w:right="1134"/>
        <w:jc w:val="both"/>
      </w:pPr>
      <w:r>
        <w:rPr/>
        <w:t>未来改革和发展的主要方向。该平台面向城市管理领域的政府部门，基于移动互联网、物联</w:t>
      </w:r>
      <w:r>
        <w:rPr>
          <w:spacing w:val="-91"/>
        </w:rPr>
        <w:t> </w:t>
      </w:r>
      <w:r>
        <w:rPr>
          <w:spacing w:val="-91"/>
        </w:rPr>
      </w:r>
      <w:r>
        <w:rPr/>
        <w:t>网、大数据、人工智能等先进信息技术，为市政公用、市容环卫、园林绿化、城管执法等领</w:t>
      </w:r>
      <w:r>
        <w:rPr>
          <w:spacing w:val="-91"/>
        </w:rPr>
        <w:t> </w:t>
      </w:r>
      <w:r>
        <w:rPr>
          <w:spacing w:val="-91"/>
        </w:rPr>
      </w:r>
      <w:r>
        <w:rPr/>
        <w:t>域提供城市综合管理服务系统，相比于公司目前已有的相关产品，“智慧化城市综合管理服</w:t>
      </w:r>
      <w:r>
        <w:rPr>
          <w:spacing w:val="-87"/>
        </w:rPr>
        <w:t> </w:t>
      </w:r>
      <w:r>
        <w:rPr>
          <w:spacing w:val="-87"/>
        </w:rPr>
      </w:r>
      <w:r>
        <w:rPr/>
        <w:t>务平台”将实现基础支撑、行业监管、便民服务、智慧运行等四大方面的功能拓展和增值服</w:t>
      </w:r>
      <w:r>
        <w:rPr>
          <w:spacing w:val="-92"/>
        </w:rPr>
        <w:t> </w:t>
      </w:r>
      <w:r>
        <w:rPr>
          <w:spacing w:val="-92"/>
        </w:rPr>
      </w:r>
      <w:r>
        <w:rPr/>
        <w:t>务。</w:t>
      </w:r>
    </w:p>
    <w:p>
      <w:pPr>
        <w:pStyle w:val="BodyText"/>
        <w:spacing w:line="357" w:lineRule="auto"/>
        <w:ind w:right="1136" w:firstLine="480"/>
        <w:jc w:val="both"/>
      </w:pPr>
      <w:r>
        <w:rPr/>
        <w:t>大部制改革的核心是转变政府职能，其特征是“大职能、宽领域、少机构”，扩大一个 部所管理的业务范围，把多种内容有联系的事务交由一个部管辖，从而最大限度地避免政府</w:t>
      </w:r>
      <w:r>
        <w:rPr>
          <w:spacing w:val="-91"/>
        </w:rPr>
        <w:t> </w:t>
      </w:r>
      <w:r>
        <w:rPr>
          <w:spacing w:val="-91"/>
        </w:rPr>
      </w:r>
      <w:r>
        <w:rPr/>
        <w:t>职能交叉、政出多门、多头管理，从而提高行政效率，降低行政成本。</w:t>
      </w:r>
    </w:p>
    <w:p>
      <w:pPr>
        <w:pStyle w:val="BodyText"/>
        <w:spacing w:line="357" w:lineRule="auto"/>
        <w:ind w:right="1137" w:firstLine="480"/>
        <w:jc w:val="both"/>
      </w:pPr>
      <w:r>
        <w:rPr/>
        <w:t>随着大部制改革的持续深入，</w:t>
      </w:r>
      <w:r>
        <w:rPr>
          <w:rFonts w:ascii="宋体" w:hAnsi="宋体" w:cs="宋体" w:eastAsia="宋体" w:hint="default"/>
        </w:rPr>
        <w:t>2015</w:t>
      </w:r>
      <w:r>
        <w:rPr/>
        <w:t>年中央全面深化改革领导小组第十八次会议审议通过 了《关于深入推进城市执法体制改革改进城市管理工作的指导意见》（下文件简称《指导意</w:t>
      </w:r>
      <w:r>
        <w:rPr>
          <w:spacing w:val="-91"/>
        </w:rPr>
        <w:t> </w:t>
      </w:r>
      <w:r>
        <w:rPr>
          <w:spacing w:val="-91"/>
        </w:rPr>
      </w:r>
      <w:r>
        <w:rPr/>
        <w:t>见》）等文件，指出“按照精简统一效能的原则，住房城乡建设部会同中央编办指导地方整</w:t>
      </w:r>
      <w:r>
        <w:rPr>
          <w:spacing w:val="-90"/>
        </w:rPr>
        <w:t> </w:t>
      </w:r>
      <w:r>
        <w:rPr>
          <w:spacing w:val="-90"/>
        </w:rPr>
      </w:r>
      <w:r>
        <w:rPr/>
        <w:t>合归并省级执法队伍，推进市县两级政府城市管理领域大部门制改革，整合市政公用、市容</w:t>
      </w:r>
      <w:r>
        <w:rPr>
          <w:spacing w:val="-91"/>
        </w:rPr>
        <w:t> </w:t>
      </w:r>
      <w:r>
        <w:rPr>
          <w:spacing w:val="-91"/>
        </w:rPr>
      </w:r>
      <w:r>
        <w:rPr/>
        <w:t>环卫、园林绿化、城市管理执法等城市管理相关职能，实现管理执法机构综合设置。”</w:t>
      </w:r>
    </w:p>
    <w:p>
      <w:pPr>
        <w:pStyle w:val="BodyText"/>
        <w:spacing w:line="357" w:lineRule="auto"/>
        <w:ind w:right="1138" w:firstLine="480"/>
        <w:jc w:val="both"/>
      </w:pPr>
      <w:r>
        <w:rPr/>
        <w:t>根据《指导意见》相关要求，未来地方城市管理部门将进一步实现职能整合，城市管理 部门的机构设置将朝着综合化、一体化方向发展。由此也催生了对数字化城市管理系统的更</w:t>
      </w:r>
      <w:r>
        <w:rPr>
          <w:spacing w:val="-91"/>
        </w:rPr>
        <w:t> </w:t>
      </w:r>
      <w:r>
        <w:rPr>
          <w:spacing w:val="-91"/>
        </w:rPr>
      </w:r>
      <w:r>
        <w:rPr/>
        <w:t>高要求。</w:t>
      </w:r>
      <w:r>
        <w:rPr>
          <w:rFonts w:ascii="宋体" w:hAnsi="宋体" w:cs="宋体" w:eastAsia="宋体" w:hint="default"/>
        </w:rPr>
        <w:t>2018</w:t>
      </w:r>
      <w:r>
        <w:rPr/>
        <w:t>年全国住房和城乡建设工作会议明确提出，要加快数字化城市管理平台建设和</w:t>
      </w:r>
      <w:r>
        <w:rPr>
          <w:spacing w:val="-91"/>
        </w:rPr>
        <w:t> </w:t>
      </w:r>
      <w:r>
        <w:rPr>
          <w:spacing w:val="-91"/>
        </w:rPr>
      </w:r>
      <w:r>
        <w:rPr/>
        <w:t>功能整合，搭建城市综合管理服务平台。</w:t>
      </w:r>
    </w:p>
    <w:p>
      <w:pPr>
        <w:pStyle w:val="BodyText"/>
        <w:spacing w:line="357" w:lineRule="auto"/>
        <w:ind w:right="1009" w:firstLine="480"/>
        <w:jc w:val="both"/>
      </w:pPr>
      <w:r>
        <w:rPr/>
        <w:t>作为国内电子政务建设和服务领域的重要供应商，公司一直高度重视行业发展的趋势和 客户需求的变革，所以公司拟通过建设“智慧化城市综合管理服务平台”，增强城市管理统</w:t>
      </w:r>
      <w:r>
        <w:rPr>
          <w:spacing w:val="-88"/>
        </w:rPr>
        <w:t> </w:t>
      </w:r>
      <w:r>
        <w:rPr>
          <w:spacing w:val="-88"/>
        </w:rPr>
      </w:r>
      <w:r>
        <w:rPr>
          <w:spacing w:val="-2"/>
        </w:rPr>
        <w:t>筹协调能力，提高精细化管理服务水平，从而顺应行政体制改革，满足客户更多样化的需求。</w:t>
      </w:r>
    </w:p>
    <w:p>
      <w:pPr>
        <w:pStyle w:val="BodyText"/>
        <w:spacing w:line="357" w:lineRule="auto"/>
        <w:ind w:left="633" w:right="986"/>
        <w:jc w:val="left"/>
      </w:pPr>
      <w:r>
        <w:rPr>
          <w:rFonts w:ascii="宋体" w:hAnsi="宋体" w:cs="宋体" w:eastAsia="宋体" w:hint="default"/>
        </w:rPr>
        <w:t>2.</w:t>
      </w:r>
      <w:r>
        <w:rPr/>
        <w:t>基于物联网的智慧排水综合监管运维一体化平台建设 </w:t>
      </w:r>
      <w:r>
        <w:rPr>
          <w:spacing w:val="-3"/>
        </w:rPr>
        <w:t>近年来，随着城市化进程加快，城市人口增加，我国城市地下管线的建设规模不断扩大。</w:t>
      </w:r>
    </w:p>
    <w:p>
      <w:pPr>
        <w:pStyle w:val="BodyText"/>
        <w:spacing w:line="240" w:lineRule="auto"/>
        <w:ind w:right="1104"/>
        <w:jc w:val="left"/>
      </w:pPr>
      <w:r>
        <w:rPr/>
        <w:t>根据《</w:t>
      </w:r>
      <w:r>
        <w:rPr>
          <w:rFonts w:ascii="宋体" w:hAnsi="宋体" w:cs="宋体" w:eastAsia="宋体" w:hint="default"/>
        </w:rPr>
        <w:t>2017</w:t>
      </w:r>
      <w:r>
        <w:rPr/>
        <w:t>年中国城市建设统计年鉴》，截至</w:t>
      </w:r>
      <w:r>
        <w:rPr>
          <w:rFonts w:ascii="宋体" w:hAnsi="宋体" w:cs="宋体" w:eastAsia="宋体" w:hint="default"/>
        </w:rPr>
        <w:t>2017</w:t>
      </w:r>
      <w:r>
        <w:rPr/>
        <w:t>年年底，我国排水管道长度达到</w:t>
      </w:r>
      <w:r>
        <w:rPr>
          <w:rFonts w:ascii="宋体" w:hAnsi="宋体" w:cs="宋体" w:eastAsia="宋体" w:hint="default"/>
        </w:rPr>
        <w:t>63.0</w:t>
      </w:r>
      <w:r>
        <w:rPr/>
        <w:t>万千</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28"/>
        <w:jc w:val="both"/>
      </w:pPr>
      <w:r>
        <w:rPr/>
        <w:t>米，相比</w:t>
      </w:r>
      <w:r>
        <w:rPr>
          <w:rFonts w:ascii="宋体" w:hAnsi="宋体" w:cs="宋体" w:eastAsia="宋体" w:hint="default"/>
        </w:rPr>
        <w:t>1990</w:t>
      </w:r>
      <w:r>
        <w:rPr/>
        <w:t>年实现近</w:t>
      </w:r>
      <w:r>
        <w:rPr>
          <w:rFonts w:ascii="宋体" w:hAnsi="宋体" w:cs="宋体" w:eastAsia="宋体" w:hint="default"/>
        </w:rPr>
        <w:t>10</w:t>
      </w:r>
      <w:r>
        <w:rPr/>
        <w:t>倍的增长。随着地下管线日益错综复杂，管线数据更新日益频繁，</w:t>
      </w:r>
      <w:r>
        <w:rPr>
          <w:spacing w:val="-91"/>
        </w:rPr>
        <w:t> </w:t>
      </w:r>
      <w:r>
        <w:rPr>
          <w:spacing w:val="-91"/>
        </w:rPr>
      </w:r>
      <w:r>
        <w:rPr>
          <w:spacing w:val="-2"/>
        </w:rPr>
        <w:t>其管理难度也在不断增大。国务院印发的《国家新型城镇化规划</w:t>
      </w:r>
      <w:r>
        <w:rPr>
          <w:rFonts w:ascii="宋体" w:hAnsi="宋体" w:cs="宋体" w:eastAsia="宋体" w:hint="default"/>
          <w:spacing w:val="-2"/>
        </w:rPr>
        <w:t>2014-2020</w:t>
      </w:r>
      <w:r>
        <w:rPr>
          <w:spacing w:val="-2"/>
        </w:rPr>
        <w:t>年》提出：“发展</w:t>
      </w:r>
      <w:r>
        <w:rPr>
          <w:spacing w:val="-110"/>
        </w:rPr>
        <w:t> </w:t>
      </w:r>
      <w:r>
        <w:rPr>
          <w:spacing w:val="-110"/>
        </w:rPr>
      </w:r>
      <w:r>
        <w:rPr/>
        <w:t>智能管网，实现城市地下空间、地下管网的信息化管理和运行监控智能化”；住房城乡建设</w:t>
      </w:r>
      <w:r>
        <w:rPr>
          <w:spacing w:val="-86"/>
        </w:rPr>
        <w:t> </w:t>
      </w:r>
      <w:r>
        <w:rPr>
          <w:spacing w:val="-86"/>
        </w:rPr>
      </w:r>
      <w:r>
        <w:rPr/>
        <w:t>部提出的《国家智慧城市试点指标体系》明确规定地下管线与空间综合管理指标，实现城市</w:t>
      </w:r>
      <w:r>
        <w:rPr>
          <w:spacing w:val="-90"/>
        </w:rPr>
        <w:t> </w:t>
      </w:r>
      <w:r>
        <w:rPr>
          <w:spacing w:val="-90"/>
        </w:rPr>
      </w:r>
      <w:r>
        <w:rPr/>
        <w:t>地下管网数字化综合管理、监控，并利用三维可视化等技术手段提升管理水平。因此，建设</w:t>
      </w:r>
      <w:r>
        <w:rPr>
          <w:spacing w:val="-91"/>
        </w:rPr>
        <w:t> </w:t>
      </w:r>
      <w:r>
        <w:rPr>
          <w:spacing w:val="-91"/>
        </w:rPr>
      </w:r>
      <w:r>
        <w:rPr/>
        <w:t>智慧管网，提高城市地下管线管理水平，成为“智慧城市”建设刻不容缓的建设内容。</w:t>
      </w:r>
    </w:p>
    <w:p>
      <w:pPr>
        <w:pStyle w:val="BodyText"/>
        <w:spacing w:line="357" w:lineRule="auto"/>
        <w:ind w:right="996" w:firstLine="480"/>
        <w:jc w:val="left"/>
      </w:pPr>
      <w:r>
        <w:rPr/>
        <w:t>此外，受全球气候变化影响，暴雨等极端天气对城市管理、城市运行和人民群众生产生 </w:t>
      </w:r>
      <w:r>
        <w:rPr>
          <w:spacing w:val="-2"/>
        </w:rPr>
        <w:t>活造成了巨大影响。加之部分城市排水防涝等基础设施建设滞后，排水管网信息化基础薄弱，</w:t>
      </w:r>
      <w:r>
        <w:rPr/>
        <w:t> 更多依靠人工经验调度等方面的问题，排水设施总体调蓄雨洪和应急管理能力不足，导致城</w:t>
      </w:r>
      <w:r>
        <w:rPr>
          <w:spacing w:val="-91"/>
        </w:rPr>
        <w:t> </w:t>
      </w:r>
      <w:r>
        <w:rPr>
          <w:spacing w:val="-91"/>
        </w:rPr>
      </w:r>
      <w:r>
        <w:rPr/>
        <w:t>市内涝和溢流污染严重。同时，我国一些地区水环境质量差，水生态受损重，环境隐患多，</w:t>
      </w:r>
      <w:r>
        <w:rPr>
          <w:spacing w:val="-88"/>
        </w:rPr>
        <w:t> </w:t>
      </w:r>
      <w:r>
        <w:rPr>
          <w:spacing w:val="-88"/>
        </w:rPr>
      </w:r>
      <w:r>
        <w:rPr/>
        <w:t>老旧管网渗漏严重，设施提标改造需求迫切，部分污泥处置存在二次污染隐患，再生水利用</w:t>
      </w:r>
      <w:r>
        <w:rPr>
          <w:spacing w:val="-91"/>
        </w:rPr>
        <w:t> </w:t>
      </w:r>
      <w:r>
        <w:rPr>
          <w:spacing w:val="-91"/>
        </w:rPr>
      </w:r>
      <w:r>
        <w:rPr/>
        <w:t>率不高，各地重建设轻管理的问题十分突出，城镇污水处理的成效与群众对水环境改善的期</w:t>
      </w:r>
      <w:r>
        <w:rPr>
          <w:spacing w:val="-91"/>
        </w:rPr>
        <w:t> </w:t>
      </w:r>
      <w:r>
        <w:rPr>
          <w:spacing w:val="-91"/>
        </w:rPr>
      </w:r>
      <w:r>
        <w:rPr/>
        <w:t>待还存在差距，不利于经济社会持续发展。</w:t>
      </w:r>
    </w:p>
    <w:p>
      <w:pPr>
        <w:pStyle w:val="BodyText"/>
        <w:spacing w:line="357" w:lineRule="auto"/>
        <w:ind w:right="986" w:firstLine="480"/>
        <w:jc w:val="left"/>
      </w:pPr>
      <w:r>
        <w:rPr/>
        <w:t>并且，国家各部委对于城市排水防涝工作非常重视，自</w:t>
      </w:r>
      <w:r>
        <w:rPr>
          <w:rFonts w:ascii="宋体" w:hAnsi="宋体" w:cs="宋体" w:eastAsia="宋体" w:hint="default"/>
        </w:rPr>
        <w:t>2013</w:t>
      </w:r>
      <w:r>
        <w:rPr/>
        <w:t>年</w:t>
      </w:r>
      <w:r>
        <w:rPr>
          <w:rFonts w:ascii="宋体" w:hAnsi="宋体" w:cs="宋体" w:eastAsia="宋体" w:hint="default"/>
        </w:rPr>
        <w:t>3</w:t>
      </w:r>
      <w:r>
        <w:rPr/>
        <w:t>月以来，国务院办公厅、 </w:t>
      </w:r>
      <w:r>
        <w:rPr>
          <w:spacing w:val="-8"/>
        </w:rPr>
        <w:t>住房和城乡建设部先后发布了《关于做好城市排水防涝设施建设工作的通知》（国办发〔</w:t>
      </w:r>
      <w:r>
        <w:rPr>
          <w:rFonts w:ascii="宋体" w:hAnsi="宋体" w:cs="宋体" w:eastAsia="宋体" w:hint="default"/>
          <w:spacing w:val="-8"/>
        </w:rPr>
        <w:t>2013</w:t>
      </w:r>
      <w:r>
        <w:rPr>
          <w:spacing w:val="-8"/>
        </w:rPr>
        <w:t>〕</w:t>
      </w:r>
      <w:r>
        <w:rPr>
          <w:spacing w:val="-90"/>
        </w:rPr>
        <w:t> </w:t>
      </w:r>
      <w:r>
        <w:rPr>
          <w:rFonts w:ascii="宋体" w:hAnsi="宋体" w:cs="宋体" w:eastAsia="宋体" w:hint="default"/>
        </w:rPr>
        <w:t>23</w:t>
      </w:r>
      <w:r>
        <w:rPr/>
        <w:t>号）、《关于加强</w:t>
      </w:r>
      <w:r>
        <w:rPr>
          <w:rFonts w:ascii="宋体" w:hAnsi="宋体" w:cs="宋体" w:eastAsia="宋体" w:hint="default"/>
        </w:rPr>
        <w:t>2018</w:t>
      </w:r>
      <w:r>
        <w:rPr/>
        <w:t>年城市排水防涝工作确保安全度汛的通知》（建办城函〔</w:t>
      </w:r>
      <w:r>
        <w:rPr>
          <w:rFonts w:ascii="宋体" w:hAnsi="宋体" w:cs="宋体" w:eastAsia="宋体" w:hint="default"/>
        </w:rPr>
        <w:t>2018</w:t>
      </w:r>
      <w:r>
        <w:rPr/>
        <w:t>〕</w:t>
      </w:r>
      <w:r>
        <w:rPr>
          <w:rFonts w:ascii="宋体" w:hAnsi="宋体" w:cs="宋体" w:eastAsia="宋体" w:hint="default"/>
        </w:rPr>
        <w:t>143 </w:t>
      </w:r>
      <w:r>
        <w:rPr/>
        <w:t>号）、《关于做好</w:t>
      </w:r>
      <w:r>
        <w:rPr>
          <w:rFonts w:ascii="宋体" w:hAnsi="宋体" w:cs="宋体" w:eastAsia="宋体" w:hint="default"/>
        </w:rPr>
        <w:t>2019</w:t>
      </w:r>
      <w:r>
        <w:rPr/>
        <w:t>年城市排水防涝工作的通知》（建办城函〔</w:t>
      </w:r>
      <w:r>
        <w:rPr>
          <w:rFonts w:ascii="宋体" w:hAnsi="宋体" w:cs="宋体" w:eastAsia="宋体" w:hint="default"/>
        </w:rPr>
        <w:t>2019</w:t>
      </w:r>
      <w:r>
        <w:rPr/>
        <w:t>〕</w:t>
      </w:r>
      <w:r>
        <w:rPr>
          <w:rFonts w:ascii="宋体" w:hAnsi="宋体" w:cs="宋体" w:eastAsia="宋体" w:hint="default"/>
        </w:rPr>
        <w:t>176</w:t>
      </w:r>
      <w:r>
        <w:rPr/>
        <w:t>号）等一系列政 策性文件，要求加强城市污水管理水平，加强排水防涝防洪设施建设，提高城市排水管网体</w:t>
      </w:r>
      <w:r>
        <w:rPr>
          <w:spacing w:val="-91"/>
        </w:rPr>
        <w:t> </w:t>
      </w:r>
      <w:r>
        <w:rPr>
          <w:spacing w:val="-91"/>
        </w:rPr>
      </w:r>
      <w:r>
        <w:rPr/>
        <w:t>系的信息化、智慧化管理水平。</w:t>
      </w:r>
    </w:p>
    <w:p>
      <w:pPr>
        <w:pStyle w:val="BodyText"/>
        <w:spacing w:line="357" w:lineRule="auto"/>
        <w:ind w:right="1034" w:firstLine="480"/>
        <w:jc w:val="left"/>
      </w:pP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月，住房和城乡建设部、生态环境部、发展改革委印发《城镇污水处理提质增效</w:t>
      </w:r>
      <w:r>
        <w:rPr/>
        <w:t> 三年行动方案（</w:t>
      </w:r>
      <w:r>
        <w:rPr>
          <w:rFonts w:ascii="宋体" w:hAnsi="宋体" w:cs="宋体" w:eastAsia="宋体" w:hint="default"/>
        </w:rPr>
        <w:t>2019</w:t>
      </w:r>
      <w:r>
        <w:rPr/>
        <w:t>—</w:t>
      </w:r>
      <w:r>
        <w:rPr>
          <w:rFonts w:ascii="宋体" w:hAnsi="宋体" w:cs="宋体" w:eastAsia="宋体" w:hint="default"/>
        </w:rPr>
        <w:t>2021</w:t>
      </w:r>
      <w:r>
        <w:rPr/>
        <w:t>年）》，提出要“依法建立市政排水管网地理信息系统（</w:t>
      </w:r>
      <w:r>
        <w:rPr>
          <w:rFonts w:ascii="宋体" w:hAnsi="宋体" w:cs="宋体" w:eastAsia="宋体" w:hint="default"/>
        </w:rPr>
        <w:t>GIS</w:t>
      </w:r>
      <w:r>
        <w:rPr/>
        <w:t>）， </w:t>
      </w:r>
      <w:r>
        <w:rPr>
          <w:spacing w:val="-2"/>
        </w:rPr>
        <w:t>实现管网信息化、账册化管理。落实排水管网周期性检测评估制度，建立和完善基于</w:t>
      </w:r>
      <w:r>
        <w:rPr>
          <w:rFonts w:ascii="宋体" w:hAnsi="宋体" w:cs="宋体" w:eastAsia="宋体" w:hint="default"/>
          <w:spacing w:val="-2"/>
        </w:rPr>
        <w:t>GIS</w:t>
      </w:r>
      <w:r>
        <w:rPr>
          <w:spacing w:val="-2"/>
        </w:rPr>
        <w:t>系统</w:t>
      </w:r>
      <w:r>
        <w:rPr>
          <w:spacing w:val="-115"/>
        </w:rPr>
        <w:t> </w:t>
      </w:r>
      <w:r>
        <w:rPr/>
        <w:t>的动态更新机制”，同时“把污水处理提质增效作为关系民生的重大问题和扩大内需的重点</w:t>
      </w:r>
      <w:r>
        <w:rPr>
          <w:spacing w:val="-88"/>
        </w:rPr>
        <w:t> </w:t>
      </w:r>
      <w:r>
        <w:rPr>
          <w:spacing w:val="-88"/>
        </w:rPr>
      </w:r>
      <w:r>
        <w:rPr/>
        <w:t>领域，全面提升城市生活污水收集处理能力和水平。</w:t>
      </w:r>
    </w:p>
    <w:p>
      <w:pPr>
        <w:pStyle w:val="BodyText"/>
        <w:spacing w:line="357" w:lineRule="auto"/>
        <w:ind w:right="996" w:firstLine="480"/>
        <w:jc w:val="left"/>
      </w:pPr>
      <w:r>
        <w:rPr/>
        <w:t>基于物联网的智慧排水综合监管运维一体化平台是集现场检测技术、物联网技术、计算 机技术、智能移动终端技术、数据处理技术为一体的城市排水管网智能化管理系统，是为城</w:t>
      </w:r>
      <w:r>
        <w:rPr>
          <w:spacing w:val="-91"/>
        </w:rPr>
        <w:t> </w:t>
      </w:r>
      <w:r>
        <w:rPr>
          <w:spacing w:val="-91"/>
        </w:rPr>
      </w:r>
      <w:r>
        <w:rPr/>
        <w:t>市排水主管部门提供管网普查及数据处理、管网检测及应用分析、物联网实时监测、全业务</w:t>
      </w:r>
      <w:r>
        <w:rPr>
          <w:spacing w:val="-91"/>
        </w:rPr>
        <w:t> </w:t>
      </w:r>
      <w:r>
        <w:rPr>
          <w:spacing w:val="-91"/>
        </w:rPr>
      </w:r>
      <w:r>
        <w:rPr>
          <w:spacing w:val="-2"/>
        </w:rPr>
        <w:t>综合监管、大数据决策分析、应急指挥调度等涵盖数据、软件、运维全业务的综合监管平台。</w:t>
      </w:r>
      <w:r>
        <w:rPr/>
        <w:t> 该平台重点突出对排水管线的物联网监测和数据分析，将数据分析结果应用到排水管网的日</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6"/>
        <w:jc w:val="left"/>
      </w:pPr>
      <w:r>
        <w:rPr>
          <w:spacing w:val="-2"/>
        </w:rPr>
        <w:t>常运维中，通过数据分析发现疑似隐患并进行检测，实现常态化、区片化的运维管理。同时，</w:t>
      </w:r>
      <w:r>
        <w:rPr/>
        <w:t> 平台基于管网分析模型，能够模拟不同降雨量情况下城市排水影响区域和内涝情况，为实现</w:t>
      </w:r>
      <w:r>
        <w:rPr>
          <w:spacing w:val="-91"/>
        </w:rPr>
        <w:t> </w:t>
      </w:r>
      <w:r>
        <w:rPr>
          <w:spacing w:val="-91"/>
        </w:rPr>
      </w:r>
      <w:r>
        <w:rPr/>
        <w:t>不同汇水区之间的联合调度、防洪排涝提供常态化、智能化的支撑体系。此外，该平台还能</w:t>
      </w:r>
      <w:r>
        <w:rPr>
          <w:spacing w:val="-91"/>
        </w:rPr>
        <w:t> </w:t>
      </w:r>
      <w:r>
        <w:rPr>
          <w:spacing w:val="-91"/>
        </w:rPr>
      </w:r>
      <w:r>
        <w:rPr/>
        <w:t>够有效减少城市内涝和城市溢流污染，对于建设智慧城市下的智慧排水体系具有重要意义。</w:t>
      </w:r>
    </w:p>
    <w:p>
      <w:pPr>
        <w:pStyle w:val="BodyText"/>
        <w:spacing w:line="357" w:lineRule="auto"/>
        <w:ind w:left="633" w:right="1104"/>
        <w:jc w:val="left"/>
      </w:pPr>
      <w:r>
        <w:rPr>
          <w:rFonts w:ascii="宋体" w:hAnsi="宋体" w:cs="宋体" w:eastAsia="宋体" w:hint="default"/>
        </w:rPr>
        <w:t>3.</w:t>
      </w:r>
      <w:r>
        <w:rPr/>
        <w:t>基于多网合一的社会治理信息平台建设项目 社会治理是国家治理的重要方面，良好的社会治理是社会和谐稳定、人民安居乐业的前</w:t>
      </w:r>
    </w:p>
    <w:p>
      <w:pPr>
        <w:pStyle w:val="BodyText"/>
        <w:spacing w:line="357" w:lineRule="auto"/>
        <w:ind w:right="1104"/>
        <w:jc w:val="left"/>
      </w:pPr>
      <w:r>
        <w:rPr/>
        <w:t>提和保障，形成有效的社会治理、良好的社会秩序，使人民获得感、幸福感、安全感更加充</w:t>
      </w:r>
      <w:r>
        <w:rPr>
          <w:spacing w:val="-91"/>
        </w:rPr>
        <w:t> </w:t>
      </w:r>
      <w:r>
        <w:rPr>
          <w:spacing w:val="-91"/>
        </w:rPr>
      </w:r>
      <w:r>
        <w:rPr/>
        <w:t>实、更有保障、更可持续。</w:t>
      </w:r>
    </w:p>
    <w:p>
      <w:pPr>
        <w:pStyle w:val="BodyText"/>
        <w:spacing w:line="357" w:lineRule="auto"/>
        <w:ind w:right="998" w:firstLine="480"/>
        <w:jc w:val="left"/>
      </w:pPr>
      <w:r>
        <w:rPr/>
        <w:t>党的十八大以来，党和国家高度重视社会治理，有序推进平安中国建设。</w:t>
      </w:r>
      <w:r>
        <w:rPr>
          <w:rFonts w:ascii="宋体" w:hAnsi="宋体" w:cs="宋体" w:eastAsia="宋体" w:hint="default"/>
        </w:rPr>
        <w:t>2019</w:t>
      </w:r>
      <w:r>
        <w:rPr/>
        <w:t>年</w:t>
      </w:r>
      <w:r>
        <w:rPr>
          <w:rFonts w:ascii="宋体" w:hAnsi="宋体" w:cs="宋体" w:eastAsia="宋体" w:hint="default"/>
        </w:rPr>
        <w:t>1</w:t>
      </w:r>
      <w:r>
        <w:rPr/>
        <w:t>月中共 中央办公厅、国务院办公厅印发的《关于推进基层整合审批服务执法力量的实施意见》要求</w:t>
      </w:r>
      <w:r>
        <w:rPr>
          <w:spacing w:val="-91"/>
        </w:rPr>
        <w:t> </w:t>
      </w:r>
      <w:r>
        <w:rPr>
          <w:spacing w:val="-91"/>
        </w:rPr>
      </w:r>
      <w:r>
        <w:rPr/>
        <w:t>整合基层网格管理和指挥平台将上级部门在基层设置的多个网格整合为一个综合网格，依托</w:t>
      </w:r>
      <w:r>
        <w:rPr>
          <w:spacing w:val="-91"/>
        </w:rPr>
        <w:t> </w:t>
      </w:r>
      <w:r>
        <w:rPr>
          <w:spacing w:val="-91"/>
        </w:rPr>
      </w:r>
      <w:r>
        <w:rPr>
          <w:spacing w:val="-3"/>
        </w:rPr>
        <w:t>村（社区）合理划分基本网格单元，统筹网格内党的建设、社会保障、综合治理、应急管理、</w:t>
      </w:r>
      <w:r>
        <w:rPr>
          <w:spacing w:val="-83"/>
        </w:rPr>
        <w:t> </w:t>
      </w:r>
      <w:r>
        <w:rPr>
          <w:spacing w:val="-83"/>
        </w:rPr>
      </w:r>
      <w:r>
        <w:rPr/>
        <w:t>社会救助等工作，实现“多网合一”。社会治理体系逐步趋于综合的“多网合一”。</w:t>
      </w:r>
      <w:r>
        <w:rPr>
          <w:rFonts w:ascii="宋体" w:hAnsi="宋体" w:cs="宋体" w:eastAsia="宋体" w:hint="default"/>
        </w:rPr>
        <w:t>2019</w:t>
      </w:r>
      <w:r>
        <w:rPr/>
        <w:t>年</w:t>
      </w:r>
      <w:r>
        <w:rPr>
          <w:spacing w:val="-88"/>
        </w:rPr>
        <w:t> </w:t>
      </w:r>
      <w:r>
        <w:rPr>
          <w:rFonts w:ascii="宋体" w:hAnsi="宋体" w:cs="宋体" w:eastAsia="宋体" w:hint="default"/>
        </w:rPr>
        <w:t>10</w:t>
      </w:r>
      <w:r>
        <w:rPr/>
        <w:t>月底，党的十九届四中全会提出，“加强和创新社会治理，完善党委领导、政府负责、民</w:t>
      </w:r>
      <w:r>
        <w:rPr>
          <w:spacing w:val="-89"/>
        </w:rPr>
        <w:t> </w:t>
      </w:r>
      <w:r>
        <w:rPr>
          <w:spacing w:val="-89"/>
        </w:rPr>
      </w:r>
      <w:r>
        <w:rPr/>
        <w:t>主协商、社会协同、公众参与、法治保障、科技支撑的社会治理体系”。大数据、物联网、</w:t>
      </w:r>
      <w:r>
        <w:rPr>
          <w:spacing w:val="-88"/>
        </w:rPr>
        <w:t> </w:t>
      </w:r>
      <w:r>
        <w:rPr>
          <w:spacing w:val="-88"/>
        </w:rPr>
      </w:r>
      <w:r>
        <w:rPr>
          <w:spacing w:val="-2"/>
        </w:rPr>
        <w:t>人工智能、云计算和</w:t>
      </w:r>
      <w:r>
        <w:rPr>
          <w:rFonts w:ascii="宋体" w:hAnsi="宋体" w:cs="宋体" w:eastAsia="宋体" w:hint="default"/>
          <w:spacing w:val="-2"/>
        </w:rPr>
        <w:t>5G</w:t>
      </w:r>
      <w:r>
        <w:rPr>
          <w:spacing w:val="-2"/>
        </w:rPr>
        <w:t>等信息技术的革新，助力新时代社会治理信息平台优化、执行力增强、</w:t>
      </w:r>
      <w:r>
        <w:rPr>
          <w:spacing w:val="-117"/>
        </w:rPr>
        <w:t> </w:t>
      </w:r>
      <w:r>
        <w:rPr>
          <w:spacing w:val="-117"/>
        </w:rPr>
      </w:r>
      <w:r>
        <w:rPr/>
        <w:t>治理效能提升、维护安全稳定，最终实现通过科技支撑把国家治理的制度优势更好转化为社</w:t>
      </w:r>
      <w:r>
        <w:rPr>
          <w:spacing w:val="-91"/>
        </w:rPr>
        <w:t> </w:t>
      </w:r>
      <w:r>
        <w:rPr>
          <w:spacing w:val="-91"/>
        </w:rPr>
      </w:r>
      <w:r>
        <w:rPr/>
        <w:t>会治理效能，科技支撑成为社会治理的重要发展趋势。</w:t>
      </w:r>
    </w:p>
    <w:p>
      <w:pPr>
        <w:pStyle w:val="BodyText"/>
        <w:spacing w:line="357" w:lineRule="auto"/>
        <w:ind w:right="986" w:firstLine="480"/>
        <w:jc w:val="left"/>
      </w:pPr>
      <w:r>
        <w:rPr>
          <w:spacing w:val="-3"/>
        </w:rPr>
        <w:t>为满足中共十九大四中全会关于国家治理现代化的要求，深化社会治理社会化、法治化、</w:t>
      </w:r>
      <w:r>
        <w:rPr/>
        <w:t> 智能化、专业化应用，从单一政法口转变为满足多元社会治理领域各类用户的实际管理服务</w:t>
      </w:r>
      <w:r>
        <w:rPr>
          <w:spacing w:val="-91"/>
        </w:rPr>
        <w:t> </w:t>
      </w:r>
      <w:r>
        <w:rPr>
          <w:spacing w:val="-91"/>
        </w:rPr>
      </w:r>
      <w:r>
        <w:rPr/>
        <w:t>需要，公司将面向各地党委政府（具体统筹部门包括政法委、社会治理局、社会办、网格中</w:t>
      </w:r>
      <w:r>
        <w:rPr>
          <w:spacing w:val="-91"/>
        </w:rPr>
        <w:t> </w:t>
      </w:r>
      <w:r>
        <w:rPr>
          <w:spacing w:val="-91"/>
        </w:rPr>
      </w:r>
      <w:r>
        <w:rPr/>
        <w:t>心、智慧办、大数据局、信息办、街镇政府等单位），基于云计算、移动互联、物联网、大</w:t>
      </w:r>
      <w:r>
        <w:rPr>
          <w:spacing w:val="-90"/>
        </w:rPr>
        <w:t> </w:t>
      </w:r>
      <w:r>
        <w:rPr>
          <w:spacing w:val="-90"/>
        </w:rPr>
      </w:r>
      <w:r>
        <w:rPr/>
        <w:t>数据等先进技术，提供具备社会治理业务协同、综治专项应用、行业治理应用、街道吹哨等</w:t>
      </w:r>
      <w:r>
        <w:rPr>
          <w:spacing w:val="-91"/>
        </w:rPr>
        <w:t> </w:t>
      </w:r>
      <w:r>
        <w:rPr>
          <w:spacing w:val="-91"/>
        </w:rPr>
      </w:r>
      <w:r>
        <w:rPr>
          <w:spacing w:val="-3"/>
        </w:rPr>
        <w:t>功能的综治</w:t>
      </w:r>
      <w:r>
        <w:rPr>
          <w:rFonts w:ascii="宋体" w:hAnsi="宋体" w:cs="宋体" w:eastAsia="宋体" w:hint="default"/>
          <w:spacing w:val="-3"/>
        </w:rPr>
        <w:t>9+X</w:t>
      </w:r>
      <w:r>
        <w:rPr>
          <w:spacing w:val="-3"/>
        </w:rPr>
        <w:t>数据治理中心、网格巡查、网格走访、重点人清单式管控、校园安全监管、护</w:t>
      </w:r>
      <w:r>
        <w:rPr>
          <w:spacing w:val="-79"/>
        </w:rPr>
        <w:t> </w:t>
      </w:r>
      <w:r>
        <w:rPr>
          <w:spacing w:val="-79"/>
        </w:rPr>
      </w:r>
      <w:r>
        <w:rPr/>
        <w:t>路护线等内容的基于多网合一的共建共治共享社会治理平台。</w:t>
      </w:r>
    </w:p>
    <w:p>
      <w:pPr>
        <w:pStyle w:val="BodyText"/>
        <w:spacing w:line="357" w:lineRule="auto"/>
        <w:ind w:right="1133" w:firstLine="480"/>
        <w:jc w:val="both"/>
      </w:pPr>
      <w:r>
        <w:rPr/>
        <w:t>该建设项目立足于十九届四中全会提出的将大数据、物联网、人工智能、云计算等新一 代信息技术与社会治理相结合的理念，是新一代信息技术下的社会治理信息化政策的积极响</w:t>
      </w:r>
      <w:r>
        <w:rPr>
          <w:spacing w:val="-91"/>
        </w:rPr>
        <w:t> </w:t>
      </w:r>
      <w:r>
        <w:rPr>
          <w:spacing w:val="-91"/>
        </w:rPr>
      </w:r>
      <w:r>
        <w:rPr/>
        <w:t>应和深挖社会治理市场的实践。本项目的建设是公司顺应行业发展趋势，响应国家政策指导</w:t>
      </w:r>
      <w:r>
        <w:rPr>
          <w:spacing w:val="-86"/>
        </w:rPr>
        <w:t> </w:t>
      </w:r>
      <w:r>
        <w:rPr>
          <w:spacing w:val="-86"/>
        </w:rPr>
      </w:r>
      <w:r>
        <w:rPr/>
        <w:t>方向，满足客户需求变化的必要措施。</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jc w:val="left"/>
      </w:pPr>
      <w:r>
        <w:rPr>
          <w:rFonts w:ascii="宋体" w:hAnsi="宋体" w:cs="宋体" w:eastAsia="宋体" w:hint="default"/>
        </w:rPr>
        <w:t>4. </w:t>
      </w:r>
      <w:r>
        <w:rPr/>
        <w:t>研究区块链技术在城市管理领域的创新与应用 根据公司与住房和城乡建设部城市管理监督局签订的《住房和城乡建设部科研项目合同</w:t>
      </w:r>
    </w:p>
    <w:p>
      <w:pPr>
        <w:pStyle w:val="BodyText"/>
        <w:spacing w:line="357" w:lineRule="auto"/>
        <w:ind w:right="1138"/>
        <w:jc w:val="both"/>
      </w:pPr>
      <w:r>
        <w:rPr/>
        <w:t>书》，公司作为承担单位，将依托新成立的数字政通城市治理区块链应用研究院，同研究院</w:t>
      </w:r>
      <w:r>
        <w:rPr>
          <w:spacing w:val="-91"/>
        </w:rPr>
        <w:t> </w:t>
      </w:r>
      <w:r>
        <w:rPr>
          <w:spacing w:val="-91"/>
        </w:rPr>
      </w:r>
      <w:r>
        <w:rPr/>
        <w:t>特聘专家，针对城市综合管理服务平台关键技术研究课题，研究区块链技术在城市管理领域</w:t>
      </w:r>
      <w:r>
        <w:rPr>
          <w:spacing w:val="-91"/>
        </w:rPr>
        <w:t> </w:t>
      </w:r>
      <w:r>
        <w:rPr>
          <w:spacing w:val="-91"/>
        </w:rPr>
      </w:r>
      <w:r>
        <w:rPr/>
        <w:t>的创新与应用；推动区块链技术和新型智慧城市建设相结合，探索区块链技术在中国电子政</w:t>
      </w:r>
      <w:r>
        <w:rPr>
          <w:spacing w:val="-91"/>
        </w:rPr>
        <w:t> </w:t>
      </w:r>
      <w:r>
        <w:rPr>
          <w:spacing w:val="-91"/>
        </w:rPr>
      </w:r>
      <w:r>
        <w:rPr/>
        <w:t>务领域的应用，利用区块链技术促进城市在数据、信息、资金、人才、征信等方面更大规模</w:t>
      </w:r>
      <w:r>
        <w:rPr>
          <w:spacing w:val="-91"/>
        </w:rPr>
        <w:t> </w:t>
      </w:r>
      <w:r>
        <w:rPr>
          <w:spacing w:val="-91"/>
        </w:rPr>
      </w:r>
      <w:r>
        <w:rPr/>
        <w:t>的互联互通，保障生产要素在区域内有序高效流动，提升城市治理的智能化、精准化水平；</w:t>
      </w:r>
      <w:r>
        <w:rPr>
          <w:spacing w:val="-89"/>
        </w:rPr>
        <w:t> </w:t>
      </w:r>
      <w:r>
        <w:rPr>
          <w:spacing w:val="-89"/>
        </w:rPr>
      </w:r>
      <w:r>
        <w:rPr/>
        <w:t>探索利用区块链数据可信赖、可追溯、去中心化的特点，构建实时互联、数据共享、联动协</w:t>
      </w:r>
      <w:r>
        <w:rPr>
          <w:spacing w:val="-91"/>
        </w:rPr>
        <w:t> </w:t>
      </w:r>
      <w:r>
        <w:rPr>
          <w:spacing w:val="-91"/>
        </w:rPr>
      </w:r>
      <w:r>
        <w:rPr/>
        <w:t>同的智能化机制，实现政务数据跨部门、跨区域共同维护和利用，促进业务协同办理，提升</w:t>
      </w:r>
      <w:r>
        <w:rPr>
          <w:spacing w:val="-91"/>
        </w:rPr>
        <w:t> </w:t>
      </w:r>
      <w:r>
        <w:rPr>
          <w:spacing w:val="-91"/>
        </w:rPr>
      </w:r>
      <w:r>
        <w:rPr/>
        <w:t>电子政务系统实时监测、动态分析、精准预警、精准处置的能力，帮助政府客户深化行政管</w:t>
      </w:r>
      <w:r>
        <w:rPr>
          <w:spacing w:val="-91"/>
        </w:rPr>
        <w:t> </w:t>
      </w:r>
      <w:r>
        <w:rPr>
          <w:spacing w:val="-91"/>
        </w:rPr>
      </w:r>
      <w:r>
        <w:rPr/>
        <w:t>理体制改革，从而为人民群众带来更好的政务服务体验。</w:t>
      </w:r>
    </w:p>
    <w:p>
      <w:pPr>
        <w:pStyle w:val="BodyText"/>
        <w:spacing w:line="357" w:lineRule="auto"/>
        <w:ind w:right="1126" w:firstLine="480"/>
        <w:jc w:val="both"/>
      </w:pPr>
      <w:r>
        <w:rPr>
          <w:spacing w:val="3"/>
        </w:rPr>
        <w:t>公司将专注于区块链基础技术研究和城市治理领域的区块链应用研发、推动“区块链</w:t>
      </w:r>
      <w:r>
        <w:rPr>
          <w:rFonts w:ascii="宋体" w:hAnsi="宋体" w:cs="宋体" w:eastAsia="宋体" w:hint="default"/>
          <w:spacing w:val="3"/>
        </w:rPr>
        <w:t>+</w:t>
      </w:r>
      <w:r>
        <w:rPr>
          <w:rFonts w:ascii="宋体" w:hAnsi="宋体" w:cs="宋体" w:eastAsia="宋体" w:hint="default"/>
        </w:rPr>
        <w:t> </w:t>
      </w:r>
      <w:r>
        <w:rPr/>
        <w:t>行业”落地以及产业孵化。致力于建设成为一家行业领先并在国内有广泛影响力的区块链产</w:t>
      </w:r>
      <w:r>
        <w:rPr>
          <w:spacing w:val="-91"/>
        </w:rPr>
        <w:t> </w:t>
      </w:r>
      <w:r>
        <w:rPr>
          <w:spacing w:val="-91"/>
        </w:rPr>
      </w:r>
      <w:r>
        <w:rPr/>
        <w:t>业服务平台，推动价值互联，助力区块链赋能实体经济的国家战略目标。</w:t>
      </w:r>
    </w:p>
    <w:p>
      <w:pPr>
        <w:pStyle w:val="BodyText"/>
        <w:spacing w:line="357" w:lineRule="auto"/>
        <w:ind w:left="633" w:right="1104"/>
        <w:jc w:val="left"/>
      </w:pPr>
      <w:r>
        <w:rPr>
          <w:rFonts w:ascii="宋体" w:hAnsi="宋体" w:cs="宋体" w:eastAsia="宋体" w:hint="default"/>
        </w:rPr>
        <w:t>5.</w:t>
      </w:r>
      <w:r>
        <w:rPr/>
        <w:t>整合优势资源全力抗击疫情 连日来，新型冠状病毒感染的肺炎疫情牵动着亿万国人的心，在以习近平总书记为核心</w:t>
      </w:r>
    </w:p>
    <w:p>
      <w:pPr>
        <w:pStyle w:val="BodyText"/>
        <w:spacing w:line="357" w:lineRule="auto"/>
        <w:ind w:right="996"/>
        <w:jc w:val="left"/>
      </w:pPr>
      <w:r>
        <w:rPr>
          <w:spacing w:val="-2"/>
        </w:rPr>
        <w:t>的党中央坚强领导下，全国人民守望相助、共克时艰。数字政通一直密切关注疫情防控进展，</w:t>
      </w:r>
      <w:r>
        <w:rPr/>
        <w:t> 坚决拥护和贯彻落实党中央、国务院疫情防控工作的重大决策，积极响应政府号召和要求，</w:t>
      </w:r>
      <w:r>
        <w:rPr>
          <w:spacing w:val="-91"/>
        </w:rPr>
        <w:t> </w:t>
      </w:r>
      <w:r>
        <w:rPr>
          <w:spacing w:val="-91"/>
        </w:rPr>
      </w:r>
      <w:r>
        <w:rPr/>
        <w:t>将防控疫情放在首位，除了为湖北各地抗击疫情提供专项资金支持，还结合公司自身业务优</w:t>
      </w:r>
      <w:r>
        <w:rPr>
          <w:spacing w:val="-91"/>
        </w:rPr>
        <w:t> </w:t>
      </w:r>
      <w:r>
        <w:rPr>
          <w:spacing w:val="-91"/>
        </w:rPr>
      </w:r>
      <w:r>
        <w:rPr/>
        <w:t>势和特点积极履行社会责任，研究制定了多项解决方案和行动措施，为打赢这场疫情防控的</w:t>
      </w:r>
      <w:r>
        <w:rPr>
          <w:spacing w:val="-91"/>
        </w:rPr>
        <w:t> </w:t>
      </w:r>
      <w:r>
        <w:rPr>
          <w:spacing w:val="-91"/>
        </w:rPr>
      </w:r>
      <w:r>
        <w:rPr/>
        <w:t>阻击战发挥了应有的作用，贡献了自己的力量。</w:t>
      </w:r>
    </w:p>
    <w:p>
      <w:pPr>
        <w:pStyle w:val="BodyText"/>
        <w:spacing w:line="357" w:lineRule="auto" w:before="37"/>
        <w:ind w:right="996" w:firstLine="480"/>
        <w:jc w:val="left"/>
      </w:pPr>
      <w:r>
        <w:rPr/>
        <w:t>但是，疫情仍未过去，国内疫情虽已得到有效控制，境外疫情却更加严峻，境外输入更 是不容忽视，我们扔不能掉以轻心。因此，数字政通将结合已经实施的网格化疫情防控系统</w:t>
      </w:r>
      <w:r>
        <w:rPr>
          <w:spacing w:val="-91"/>
        </w:rPr>
        <w:t> </w:t>
      </w:r>
      <w:r>
        <w:rPr>
          <w:spacing w:val="-91"/>
        </w:rPr>
      </w:r>
      <w:r>
        <w:rPr>
          <w:spacing w:val="-2"/>
        </w:rPr>
        <w:t>的应用经验，携手包括华为、阿里在内的合作伙伴，整合优势资源，充分发挥自身在网格化、</w:t>
      </w:r>
      <w:r>
        <w:rPr/>
        <w:t> 区块链及云计算、大数据和人工智能等方面的技术优势，为各地政府客户提供更多的产品与</w:t>
      </w:r>
      <w:r>
        <w:rPr>
          <w:spacing w:val="-88"/>
        </w:rPr>
        <w:t> </w:t>
      </w:r>
      <w:r>
        <w:rPr>
          <w:spacing w:val="-88"/>
        </w:rPr>
      </w:r>
      <w:r>
        <w:rPr/>
        <w:t>解决方案，为国家和社会贡献自己的力量。</w:t>
      </w:r>
    </w:p>
    <w:p>
      <w:pPr>
        <w:spacing w:after="0" w:line="357"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04"/>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0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996" w:firstLine="482"/>
        <w:jc w:val="left"/>
      </w:pPr>
      <w:r>
        <w:rPr>
          <w:spacing w:val="-3"/>
        </w:rPr>
        <w:t>报告期内，公司严格按照《公司章程》相关利润分配政策和审议程序实施利润分配方案，</w:t>
      </w:r>
      <w:r>
        <w:rPr/>
        <w:t> </w:t>
      </w:r>
      <w:r>
        <w:rPr>
          <w:spacing w:val="-2"/>
        </w:rPr>
        <w:t>分红标准和分红比例明确清晰，相关的决策程序和机制完备。公司利润分配方案经由董事会、</w:t>
      </w:r>
      <w:r>
        <w:rPr/>
        <w:t> 监事会审议过后提交股东大会审议，并由独立董事发表独立意见，审议通过后在规定时间内</w:t>
      </w:r>
      <w:r>
        <w:rPr>
          <w:spacing w:val="-91"/>
        </w:rPr>
        <w:t> </w:t>
      </w:r>
      <w:r>
        <w:rPr>
          <w:spacing w:val="-91"/>
        </w:rPr>
      </w:r>
      <w:r>
        <w:rPr/>
        <w:t>进行实施，切实保证了全体股东的利益。</w:t>
      </w:r>
    </w:p>
    <w:p>
      <w:pPr>
        <w:pStyle w:val="BodyText"/>
        <w:spacing w:line="357" w:lineRule="auto"/>
        <w:ind w:right="1131" w:firstLine="482"/>
        <w:jc w:val="both"/>
      </w:pP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日，公司</w:t>
      </w:r>
      <w:r>
        <w:rPr>
          <w:rFonts w:ascii="宋体" w:hAnsi="宋体" w:cs="宋体" w:eastAsia="宋体" w:hint="default"/>
          <w:spacing w:val="-2"/>
        </w:rPr>
        <w:t>2018</w:t>
      </w:r>
      <w:r>
        <w:rPr>
          <w:spacing w:val="-2"/>
        </w:rPr>
        <w:t>年度股东大会审议通过了</w:t>
      </w:r>
      <w:r>
        <w:rPr>
          <w:rFonts w:ascii="宋体" w:hAnsi="宋体" w:cs="宋体" w:eastAsia="宋体" w:hint="default"/>
          <w:spacing w:val="-2"/>
        </w:rPr>
        <w:t>2018</w:t>
      </w:r>
      <w:r>
        <w:rPr>
          <w:spacing w:val="-2"/>
        </w:rPr>
        <w:t>年度利润分配方案，公司拟以总</w:t>
      </w:r>
      <w:r>
        <w:rPr/>
        <w:t> 股本</w:t>
      </w:r>
      <w:r>
        <w:rPr>
          <w:rFonts w:ascii="宋体" w:hAnsi="宋体" w:cs="宋体" w:eastAsia="宋体" w:hint="default"/>
        </w:rPr>
        <w:t>426,552,605</w:t>
      </w:r>
      <w:r>
        <w:rPr/>
        <w:t>股为基数，向全体股东每</w:t>
      </w:r>
      <w:r>
        <w:rPr>
          <w:rFonts w:ascii="宋体" w:hAnsi="宋体" w:cs="宋体" w:eastAsia="宋体" w:hint="default"/>
        </w:rPr>
        <w:t>10</w:t>
      </w:r>
      <w:r>
        <w:rPr/>
        <w:t>股派发现金红利</w:t>
      </w:r>
      <w:r>
        <w:rPr>
          <w:rFonts w:ascii="宋体" w:hAnsi="宋体" w:cs="宋体" w:eastAsia="宋体" w:hint="default"/>
        </w:rPr>
        <w:t>0.3</w:t>
      </w:r>
      <w:r>
        <w:rPr/>
        <w:t>元（含税），共计派发现金</w:t>
      </w:r>
      <w:r>
        <w:rPr>
          <w:spacing w:val="-88"/>
        </w:rPr>
        <w:t> </w:t>
      </w:r>
      <w:r>
        <w:rPr>
          <w:spacing w:val="-88"/>
        </w:rPr>
      </w:r>
      <w:r>
        <w:rPr>
          <w:spacing w:val="-2"/>
        </w:rPr>
        <w:t>红利</w:t>
      </w:r>
      <w:r>
        <w:rPr>
          <w:rFonts w:ascii="宋体" w:hAnsi="宋体" w:cs="宋体" w:eastAsia="宋体" w:hint="default"/>
          <w:spacing w:val="-2"/>
        </w:rPr>
        <w:t>12,796,578.15</w:t>
      </w:r>
      <w:r>
        <w:rPr>
          <w:spacing w:val="-2"/>
        </w:rPr>
        <w:t>元，剩余未分配利润结转以后年度分配。本年度不进行资本公积金转增股</w:t>
      </w:r>
      <w:r>
        <w:rPr>
          <w:spacing w:val="-109"/>
        </w:rPr>
        <w:t> </w:t>
      </w:r>
      <w:r>
        <w:rPr>
          <w:spacing w:val="-109"/>
        </w:rPr>
      </w:r>
      <w:r>
        <w:rPr/>
        <w:t>本。本次权益分派股权登记日为：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4</w:t>
      </w:r>
      <w:r>
        <w:rPr/>
        <w:t>日，除权除息日为：</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5</w:t>
      </w:r>
      <w:r>
        <w:rPr/>
        <w:t>日。</w:t>
      </w:r>
    </w:p>
    <w:p>
      <w:pPr>
        <w:spacing w:line="240" w:lineRule="auto" w:before="10"/>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431,158,006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17,246,320.20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42.809998pt;margin-top:71.875984pt;width:290.95pt;height:20.8pt;mso-position-horizontal-relative:page;mso-position-vertical-relative:page;z-index:-1045960" coordorigin="4856,1438" coordsize="5819,416">
            <v:group style="position:absolute;left:4868;top:1450;width:2;height:392" coordorigin="4868,1450" coordsize="2,392">
              <v:shape style="position:absolute;left:4868;top:1450;width:2;height:392" coordorigin="4868,1450" coordsize="0,392" path="m4868,1450l4868,1841e" filled="false" stroked="true" strokeweight="1.2pt" strokecolor="#ffffff">
                <v:path arrowok="t"/>
              </v:shape>
            </v:group>
            <v:group style="position:absolute;left:4880;top:1450;width:5795;height:392" coordorigin="4880,1450" coordsize="5795,392">
              <v:shape style="position:absolute;left:4880;top:1450;width:5795;height:392" coordorigin="4880,1450" coordsize="5795,392" path="m4880,1841l10675,1841,10675,1450,4880,1450,4880,184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17,246,320.20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872,739,278.58</w:t>
            </w:r>
          </w:p>
        </w:tc>
      </w:tr>
      <w:tr>
        <w:trPr>
          <w:trHeight w:val="71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公司拟以截止公告日总股本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w:t>
            </w:r>
            <w:r>
              <w:rPr>
                <w:rFonts w:ascii="宋体" w:hAnsi="宋体" w:cs="宋体" w:eastAsia="宋体" w:hint="default"/>
                <w:spacing w:val="-3"/>
                <w:sz w:val="18"/>
                <w:szCs w:val="18"/>
              </w:rPr>
              <w:t>股</w:t>
            </w:r>
            <w:r>
              <w:rPr>
                <w:rFonts w:ascii="宋体" w:hAnsi="宋体" w:cs="宋体" w:eastAsia="宋体" w:hint="default"/>
                <w:sz w:val="18"/>
                <w:szCs w:val="18"/>
              </w:rPr>
              <w:t>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，共计派发现金红利</w:t>
            </w:r>
          </w:p>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17,246,320.20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元，剩余未分配利润结转以后年度分配。本年度不进行资本公积金转增股本。</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357" w:lineRule="auto" w:before="132"/>
        <w:ind w:right="1128" w:firstLine="482"/>
        <w:jc w:val="both"/>
      </w:pP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日，公司召开第三届董事会第三十四次会议</w:t>
      </w:r>
      <w:r>
        <w:rPr>
          <w:rFonts w:ascii="宋体" w:hAnsi="宋体" w:cs="宋体" w:eastAsia="宋体" w:hint="default"/>
          <w:spacing w:val="-2"/>
        </w:rPr>
        <w:t>,</w:t>
      </w:r>
      <w:r>
        <w:rPr>
          <w:spacing w:val="-2"/>
        </w:rPr>
        <w:t>审议通过了</w:t>
      </w:r>
      <w:r>
        <w:rPr>
          <w:rFonts w:ascii="宋体" w:hAnsi="宋体" w:cs="宋体" w:eastAsia="宋体" w:hint="default"/>
          <w:spacing w:val="-2"/>
        </w:rPr>
        <w:t>2017</w:t>
      </w:r>
      <w:r>
        <w:rPr>
          <w:spacing w:val="-2"/>
        </w:rPr>
        <w:t>年度利润分</w:t>
      </w:r>
      <w:r>
        <w:rPr/>
        <w:t> </w:t>
      </w:r>
      <w:r>
        <w:rPr>
          <w:spacing w:val="-2"/>
        </w:rPr>
        <w:t>配方案：以公司现有总股本</w:t>
      </w:r>
      <w:r>
        <w:rPr>
          <w:rFonts w:ascii="宋体" w:hAnsi="宋体" w:cs="宋体" w:eastAsia="宋体" w:hint="default"/>
          <w:spacing w:val="-2"/>
        </w:rPr>
        <w:t>424,626,905</w:t>
      </w:r>
      <w:r>
        <w:rPr>
          <w:spacing w:val="-2"/>
        </w:rPr>
        <w:t>股为基数，每</w:t>
      </w:r>
      <w:r>
        <w:rPr>
          <w:rFonts w:ascii="宋体" w:hAnsi="宋体" w:cs="宋体" w:eastAsia="宋体" w:hint="default"/>
          <w:spacing w:val="-2"/>
        </w:rPr>
        <w:t>10</w:t>
      </w:r>
      <w:r>
        <w:rPr>
          <w:spacing w:val="-2"/>
        </w:rPr>
        <w:t>股派</w:t>
      </w:r>
      <w:r>
        <w:rPr>
          <w:rFonts w:ascii="宋体" w:hAnsi="宋体" w:cs="宋体" w:eastAsia="宋体" w:hint="default"/>
          <w:spacing w:val="-2"/>
        </w:rPr>
        <w:t>0.3</w:t>
      </w:r>
      <w:r>
        <w:rPr>
          <w:spacing w:val="-2"/>
        </w:rPr>
        <w:t>元人民币现金（含税</w:t>
      </w:r>
      <w:r>
        <w:rPr>
          <w:rFonts w:ascii="宋体" w:hAnsi="宋体" w:cs="宋体" w:eastAsia="宋体" w:hint="default"/>
          <w:spacing w:val="-2"/>
        </w:rPr>
        <w:t>)</w:t>
      </w:r>
      <w:r>
        <w:rPr>
          <w:spacing w:val="-2"/>
        </w:rPr>
        <w:t>，共计</w:t>
      </w:r>
      <w:r>
        <w:rPr>
          <w:spacing w:val="-103"/>
        </w:rPr>
        <w:t> </w:t>
      </w:r>
      <w:r>
        <w:rPr>
          <w:spacing w:val="-103"/>
        </w:rPr>
      </w:r>
      <w:r>
        <w:rPr/>
        <w:t>派发现金红利 </w:t>
      </w:r>
      <w:r>
        <w:rPr>
          <w:rFonts w:ascii="宋体" w:hAnsi="宋体" w:cs="宋体" w:eastAsia="宋体" w:hint="default"/>
        </w:rPr>
        <w:t>12,738,807.15</w:t>
      </w:r>
      <w:r>
        <w:rPr/>
        <w:t>元（含税</w:t>
      </w:r>
      <w:r>
        <w:rPr>
          <w:rFonts w:ascii="宋体" w:hAnsi="宋体" w:cs="宋体" w:eastAsia="宋体" w:hint="default"/>
        </w:rPr>
        <w:t>)</w:t>
      </w:r>
      <w:r>
        <w:rPr/>
        <w:t>。</w:t>
      </w:r>
    </w:p>
    <w:p>
      <w:pPr>
        <w:pStyle w:val="BodyText"/>
        <w:spacing w:line="357" w:lineRule="auto"/>
        <w:ind w:right="1129" w:firstLine="482"/>
        <w:jc w:val="both"/>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日，公司召开第四届董事会第三次会议</w:t>
      </w:r>
      <w:r>
        <w:rPr>
          <w:rFonts w:ascii="宋体" w:hAnsi="宋体" w:cs="宋体" w:eastAsia="宋体" w:hint="default"/>
          <w:spacing w:val="-2"/>
        </w:rPr>
        <w:t>,</w:t>
      </w:r>
      <w:r>
        <w:rPr>
          <w:spacing w:val="-2"/>
        </w:rPr>
        <w:t>审议通过了</w:t>
      </w:r>
      <w:r>
        <w:rPr>
          <w:rFonts w:ascii="宋体" w:hAnsi="宋体" w:cs="宋体" w:eastAsia="宋体" w:hint="default"/>
          <w:spacing w:val="-2"/>
        </w:rPr>
        <w:t>2018</w:t>
      </w:r>
      <w:r>
        <w:rPr>
          <w:spacing w:val="-2"/>
        </w:rPr>
        <w:t>年度利润分配方</w:t>
      </w:r>
      <w:r>
        <w:rPr/>
        <w:t> </w:t>
      </w:r>
      <w:r>
        <w:rPr>
          <w:spacing w:val="-2"/>
        </w:rPr>
        <w:t>案：以公司现有总股本</w:t>
      </w:r>
      <w:r>
        <w:rPr>
          <w:rFonts w:ascii="宋体" w:hAnsi="宋体" w:cs="宋体" w:eastAsia="宋体" w:hint="default"/>
          <w:spacing w:val="-2"/>
        </w:rPr>
        <w:t>426,552,605</w:t>
      </w:r>
      <w:r>
        <w:rPr>
          <w:spacing w:val="-2"/>
        </w:rPr>
        <w:t>股为基数，每</w:t>
      </w:r>
      <w:r>
        <w:rPr>
          <w:rFonts w:ascii="宋体" w:hAnsi="宋体" w:cs="宋体" w:eastAsia="宋体" w:hint="default"/>
          <w:spacing w:val="-2"/>
        </w:rPr>
        <w:t>10</w:t>
      </w:r>
      <w:r>
        <w:rPr>
          <w:spacing w:val="-2"/>
        </w:rPr>
        <w:t>股派</w:t>
      </w:r>
      <w:r>
        <w:rPr>
          <w:rFonts w:ascii="宋体" w:hAnsi="宋体" w:cs="宋体" w:eastAsia="宋体" w:hint="default"/>
          <w:spacing w:val="-2"/>
        </w:rPr>
        <w:t>0.3</w:t>
      </w:r>
      <w:r>
        <w:rPr>
          <w:spacing w:val="-2"/>
        </w:rPr>
        <w:t>元人民币现金（含税</w:t>
      </w:r>
      <w:r>
        <w:rPr>
          <w:rFonts w:ascii="宋体" w:hAnsi="宋体" w:cs="宋体" w:eastAsia="宋体" w:hint="default"/>
          <w:spacing w:val="-2"/>
        </w:rPr>
        <w:t>)</w:t>
      </w:r>
      <w:r>
        <w:rPr>
          <w:spacing w:val="-2"/>
        </w:rPr>
        <w:t>，共计派发</w:t>
      </w:r>
      <w:r>
        <w:rPr>
          <w:spacing w:val="-104"/>
        </w:rPr>
        <w:t> </w:t>
      </w:r>
      <w:r>
        <w:rPr>
          <w:spacing w:val="-104"/>
        </w:rPr>
      </w:r>
      <w:r>
        <w:rPr/>
        <w:t>现金红利</w:t>
      </w:r>
      <w:r>
        <w:rPr>
          <w:rFonts w:ascii="宋体" w:hAnsi="宋体" w:cs="宋体" w:eastAsia="宋体" w:hint="default"/>
        </w:rPr>
        <w:t>12,796,578.15</w:t>
      </w:r>
      <w:r>
        <w:rPr/>
        <w:t>元（含税</w:t>
      </w:r>
      <w:r>
        <w:rPr>
          <w:rFonts w:ascii="宋体" w:hAnsi="宋体" w:cs="宋体" w:eastAsia="宋体" w:hint="default"/>
        </w:rPr>
        <w:t>)</w:t>
      </w:r>
      <w:r>
        <w:rPr/>
        <w:t>。</w:t>
      </w:r>
    </w:p>
    <w:p>
      <w:pPr>
        <w:pStyle w:val="BodyText"/>
        <w:spacing w:line="357" w:lineRule="auto"/>
        <w:ind w:right="1131" w:firstLine="482"/>
        <w:jc w:val="both"/>
      </w:pPr>
      <w:r>
        <w:rPr>
          <w:rFonts w:ascii="宋体" w:hAnsi="宋体" w:cs="宋体" w:eastAsia="宋体" w:hint="default"/>
        </w:rPr>
        <w:t>3</w:t>
      </w:r>
      <w:r>
        <w:rPr/>
        <w:t>、</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26</w:t>
      </w:r>
      <w:r>
        <w:rPr/>
        <w:t>日，公司召开第四届董事会第十三次会议，审议通过了</w:t>
      </w:r>
      <w:r>
        <w:rPr>
          <w:rFonts w:ascii="宋体" w:hAnsi="宋体" w:cs="宋体" w:eastAsia="宋体" w:hint="default"/>
        </w:rPr>
        <w:t>2019</w:t>
      </w:r>
      <w:r>
        <w:rPr/>
        <w:t>年度利润分 </w:t>
      </w:r>
      <w:r>
        <w:rPr>
          <w:spacing w:val="-5"/>
        </w:rPr>
        <w:t>配方案：以公司现有总股本</w:t>
      </w:r>
      <w:r>
        <w:rPr>
          <w:rFonts w:ascii="宋体" w:hAnsi="宋体" w:cs="宋体" w:eastAsia="宋体" w:hint="default"/>
          <w:spacing w:val="-5"/>
        </w:rPr>
        <w:t>431,158,006</w:t>
      </w:r>
      <w:r>
        <w:rPr>
          <w:spacing w:val="-5"/>
        </w:rPr>
        <w:t>股为基数，向全体股东每</w:t>
      </w:r>
      <w:r>
        <w:rPr>
          <w:rFonts w:ascii="宋体" w:hAnsi="宋体" w:cs="宋体" w:eastAsia="宋体" w:hint="default"/>
          <w:spacing w:val="-5"/>
        </w:rPr>
        <w:t>10</w:t>
      </w:r>
      <w:r>
        <w:rPr>
          <w:spacing w:val="-5"/>
        </w:rPr>
        <w:t>股派发现金红利</w:t>
      </w:r>
      <w:r>
        <w:rPr>
          <w:rFonts w:ascii="宋体" w:hAnsi="宋体" w:cs="宋体" w:eastAsia="宋体" w:hint="default"/>
          <w:spacing w:val="-5"/>
        </w:rPr>
        <w:t>0.4</w:t>
      </w:r>
      <w:r>
        <w:rPr>
          <w:spacing w:val="-5"/>
        </w:rPr>
        <w:t>元（含</w:t>
      </w:r>
      <w:r>
        <w:rPr>
          <w:spacing w:val="-78"/>
        </w:rPr>
        <w:t> </w:t>
      </w:r>
      <w:r>
        <w:rPr>
          <w:spacing w:val="-78"/>
        </w:rPr>
      </w:r>
      <w:r>
        <w:rPr/>
        <w:t>税），共计派发现金红利</w:t>
      </w:r>
      <w:r>
        <w:rPr>
          <w:rFonts w:ascii="宋体" w:hAnsi="宋体" w:cs="宋体" w:eastAsia="宋体" w:hint="default"/>
        </w:rPr>
        <w:t>17,246,320.20</w:t>
      </w:r>
      <w:r>
        <w:rPr/>
        <w:t>元（含税</w:t>
      </w:r>
      <w:r>
        <w:rPr>
          <w:rFonts w:ascii="宋体" w:hAnsi="宋体" w:cs="宋体" w:eastAsia="宋体" w:hint="default"/>
        </w:rPr>
        <w:t>)</w:t>
      </w:r>
      <w:r>
        <w:rPr/>
        <w:t>。</w:t>
      </w:r>
    </w:p>
    <w:p>
      <w:pPr>
        <w:spacing w:line="240" w:lineRule="auto" w:before="13"/>
        <w:rPr>
          <w:rFonts w:ascii="宋体" w:hAnsi="宋体" w:cs="宋体" w:eastAsia="宋体" w:hint="default"/>
          <w:sz w:val="23"/>
          <w:szCs w:val="23"/>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95"/>
        <w:gridCol w:w="1197"/>
        <w:gridCol w:w="1184"/>
      </w:tblGrid>
      <w:tr>
        <w:trPr>
          <w:trHeight w:val="163"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17,246,320.20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130,702,321.60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17,246,320.20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13.20%</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12,796,578.15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117,186,570.99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12,796,578.15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10.92%</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12,738,807.15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169,594,871.96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12,738,807.15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7.51%</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04"/>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spacing w:line="256" w:lineRule="auto"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pict>
          <v:group style="position:absolute;margin-left:367.630005pt;margin-top:37.757721pt;width:55.8pt;height:85.85pt;mso-position-horizontal-relative:page;mso-position-vertical-relative:paragraph;z-index:-1045936" coordorigin="7353,755" coordsize="1116,1717">
            <v:shape style="position:absolute;left:7353;top:755;width:1116;height:1717" coordorigin="7353,755" coordsize="1116,1717" path="m7353,2472l8469,2472,8469,755,7353,755,7353,2472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年，承诺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年，承诺净利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429"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nil" w:sz="6" w:space="0" w:color="auto"/>
              <w:left w:val="single" w:sz="10" w:space="0" w:color="D2D2D2"/>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6" w:right="19"/>
              <w:jc w:val="both"/>
              <w:rPr>
                <w:rFonts w:ascii="宋体" w:hAnsi="宋体" w:cs="宋体" w:eastAsia="宋体" w:hint="default"/>
                <w:sz w:val="18"/>
                <w:szCs w:val="18"/>
              </w:rPr>
            </w:pPr>
            <w:r>
              <w:rPr>
                <w:rFonts w:ascii="宋体" w:hAnsi="宋体" w:cs="宋体" w:eastAsia="宋体" w:hint="default"/>
                <w:spacing w:val="-3"/>
                <w:sz w:val="18"/>
                <w:szCs w:val="18"/>
              </w:rPr>
              <w:t>金迪管线、金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迪科技、金迪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科仪</w:t>
            </w:r>
          </w:p>
        </w:tc>
        <w:tc>
          <w:tcPr>
            <w:tcW w:w="1128"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6" w:type="dxa"/>
            <w:vMerge w:val="restart"/>
            <w:tcBorders>
              <w:top w:val="nil" w:sz="6" w:space="0" w:color="auto"/>
              <w:left w:val="single" w:sz="4" w:space="0" w:color="000000"/>
              <w:right w:val="single" w:sz="10"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63"/>
              <w:ind w:left="2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承诺净利润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年，承诺</w:t>
            </w:r>
          </w:p>
        </w:tc>
        <w:tc>
          <w:tcPr>
            <w:tcW w:w="1126" w:type="dxa"/>
            <w:vMerge w:val="restart"/>
            <w:tcBorders>
              <w:top w:val="nil" w:sz="6" w:space="0" w:color="auto"/>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6" w:type="dxa"/>
            <w:vMerge w:val="restart"/>
            <w:tcBorders>
              <w:top w:val="nil" w:sz="6" w:space="0" w:color="auto"/>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末，公司遵守</w:t>
            </w:r>
            <w:r>
              <w:rPr>
                <w:rFonts w:ascii="宋体" w:hAnsi="宋体" w:cs="宋体" w:eastAsia="宋体" w:hint="default"/>
                <w:sz w:val="18"/>
                <w:szCs w:val="18"/>
              </w:rPr>
              <w:t> 了所做的承 诺</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10" w:space="0" w:color="FFFFFF"/>
            </w:tcBorders>
          </w:tcPr>
          <w:p>
            <w:pPr/>
          </w:p>
        </w:tc>
        <w:tc>
          <w:tcPr>
            <w:tcW w:w="1126" w:type="dxa"/>
            <w:vMerge/>
            <w:tcBorders>
              <w:left w:val="single" w:sz="10" w:space="0" w:color="FFFFFF"/>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32"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123" w:type="dxa"/>
            <w:vMerge/>
            <w:tcBorders>
              <w:left w:val="single" w:sz="10" w:space="0" w:color="D2D2D2"/>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10" w:space="0" w:color="FFFFFF"/>
            </w:tcBorders>
          </w:tcPr>
          <w:p>
            <w:pPr/>
          </w:p>
        </w:tc>
        <w:tc>
          <w:tcPr>
            <w:tcW w:w="1126" w:type="dxa"/>
            <w:vMerge/>
            <w:tcBorders>
              <w:left w:val="single" w:sz="10" w:space="0" w:color="FFFFFF"/>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6" w:type="dxa"/>
            <w:vMerge/>
            <w:tcBorders>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7,000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 2020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年，承诺净利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抵押、质押或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在该股份上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设定任何其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他形式的限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制或他项权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420"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nil" w:sz="6" w:space="0" w:color="auto"/>
              <w:left w:val="single" w:sz="10" w:space="0" w:color="D2D2D2"/>
              <w:right w:val="single" w:sz="4" w:space="0" w:color="000000"/>
            </w:tcBorders>
          </w:tcPr>
          <w:p>
            <w:pPr>
              <w:pStyle w:val="TableParagraph"/>
              <w:spacing w:line="316" w:lineRule="auto" w:before="157"/>
              <w:ind w:left="16" w:right="187"/>
              <w:jc w:val="both"/>
              <w:rPr>
                <w:rFonts w:ascii="宋体" w:hAnsi="宋体" w:cs="宋体" w:eastAsia="宋体" w:hint="default"/>
                <w:sz w:val="18"/>
                <w:szCs w:val="18"/>
              </w:rPr>
            </w:pPr>
            <w:r>
              <w:rPr>
                <w:rFonts w:ascii="宋体" w:hAnsi="宋体" w:cs="宋体" w:eastAsia="宋体" w:hint="default"/>
                <w:sz w:val="18"/>
                <w:szCs w:val="18"/>
              </w:rPr>
              <w:t>本公司董事 长及实际控 制人吴强华</w:t>
            </w:r>
          </w:p>
        </w:tc>
        <w:tc>
          <w:tcPr>
            <w:tcW w:w="1128" w:type="dxa"/>
            <w:vMerge w:val="restart"/>
            <w:tcBorders>
              <w:top w:val="nil" w:sz="6" w:space="0" w:color="auto"/>
              <w:left w:val="single" w:sz="4" w:space="0" w:color="000000"/>
              <w:right w:val="single" w:sz="4" w:space="0" w:color="000000"/>
            </w:tcBorders>
          </w:tcPr>
          <w:p>
            <w:pPr>
              <w:pStyle w:val="TableParagraph"/>
              <w:spacing w:line="316" w:lineRule="auto" w:before="1"/>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vMerge w:val="restart"/>
            <w:tcBorders>
              <w:top w:val="nil" w:sz="6" w:space="0" w:color="auto"/>
              <w:left w:val="single" w:sz="4" w:space="0" w:color="000000"/>
              <w:right w:val="single" w:sz="4" w:space="0" w:color="000000"/>
            </w:tcBorders>
          </w:tcPr>
          <w:p>
            <w:pPr>
              <w:pStyle w:val="TableParagraph"/>
              <w:spacing w:line="319" w:lineRule="auto" w:before="20"/>
              <w:ind w:left="23" w:right="19"/>
              <w:jc w:val="left"/>
              <w:rPr>
                <w:rFonts w:ascii="宋体" w:hAnsi="宋体" w:cs="宋体" w:eastAsia="宋体" w:hint="default"/>
                <w:sz w:val="18"/>
                <w:szCs w:val="18"/>
              </w:rPr>
            </w:pPr>
            <w:r>
              <w:rPr>
                <w:rFonts w:ascii="宋体" w:hAnsi="宋体" w:cs="宋体" w:eastAsia="宋体" w:hint="default"/>
                <w:spacing w:val="-2"/>
                <w:sz w:val="18"/>
                <w:szCs w:val="18"/>
              </w:rPr>
              <w:t>利，不委托他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人管理本人 本次发行前 已持有的公</w:t>
            </w:r>
          </w:p>
        </w:tc>
        <w:tc>
          <w:tcPr>
            <w:tcW w:w="1126" w:type="dxa"/>
            <w:vMerge w:val="restart"/>
            <w:tcBorders>
              <w:top w:val="nil" w:sz="6" w:space="0" w:color="auto"/>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持续</w:t>
            </w:r>
          </w:p>
        </w:tc>
        <w:tc>
          <w:tcPr>
            <w:tcW w:w="1106" w:type="dxa"/>
            <w:vMerge w:val="restart"/>
            <w:tcBorders>
              <w:top w:val="nil" w:sz="6" w:space="0" w:color="auto"/>
              <w:left w:val="single" w:sz="4" w:space="0" w:color="000000"/>
              <w:right w:val="single" w:sz="4" w:space="0" w:color="000000"/>
            </w:tcBorders>
          </w:tcPr>
          <w:p>
            <w:pPr>
              <w:pStyle w:val="TableParagraph"/>
              <w:spacing w:line="316" w:lineRule="auto" w:before="1"/>
              <w:ind w:left="23" w:right="19"/>
              <w:jc w:val="left"/>
              <w:rPr>
                <w:rFonts w:ascii="宋体" w:hAnsi="宋体" w:cs="宋体" w:eastAsia="宋体" w:hint="default"/>
                <w:sz w:val="18"/>
                <w:szCs w:val="18"/>
              </w:rPr>
            </w:pPr>
            <w:r>
              <w:rPr>
                <w:rFonts w:ascii="宋体" w:hAnsi="宋体" w:cs="宋体" w:eastAsia="宋体" w:hint="default"/>
                <w:spacing w:val="-5"/>
                <w:sz w:val="18"/>
                <w:szCs w:val="18"/>
              </w:rPr>
              <w:t>正常履行，未</w:t>
            </w:r>
            <w:r>
              <w:rPr>
                <w:rFonts w:ascii="宋体" w:hAnsi="宋体" w:cs="宋体" w:eastAsia="宋体" w:hint="default"/>
                <w:sz w:val="18"/>
                <w:szCs w:val="18"/>
              </w:rPr>
              <w:t> 出现任何违 反该承诺的 情况</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47"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123" w:type="dxa"/>
            <w:vMerge/>
            <w:tcBorders>
              <w:left w:val="single" w:sz="10" w:space="0" w:color="D2D2D2"/>
              <w:bottom w:val="nil" w:sz="6" w:space="0" w:color="auto"/>
              <w:right w:val="single" w:sz="4" w:space="0" w:color="000000"/>
            </w:tcBorders>
          </w:tcPr>
          <w:p>
            <w:pPr/>
          </w:p>
        </w:tc>
        <w:tc>
          <w:tcPr>
            <w:tcW w:w="1128"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6" w:type="dxa"/>
            <w:vMerge/>
            <w:tcBorders>
              <w:left w:val="single" w:sz="4" w:space="0" w:color="000000"/>
              <w:bottom w:val="nil" w:sz="6" w:space="0" w:color="auto"/>
              <w:right w:val="single" w:sz="4" w:space="0" w:color="000000"/>
            </w:tcBorders>
          </w:tcPr>
          <w:p>
            <w:pPr/>
          </w:p>
        </w:tc>
        <w:tc>
          <w:tcPr>
            <w:tcW w:w="1121" w:type="dxa"/>
            <w:vMerge/>
            <w:tcBorders>
              <w:left w:val="single" w:sz="4" w:space="0" w:color="000000"/>
              <w:bottom w:val="nil" w:sz="6" w:space="0" w:color="auto"/>
              <w:right w:val="single" w:sz="4" w:space="0" w:color="000000"/>
            </w:tcBorders>
          </w:tcPr>
          <w:p>
            <w:pPr/>
          </w:p>
        </w:tc>
        <w:tc>
          <w:tcPr>
            <w:tcW w:w="1106" w:type="dxa"/>
            <w:vMerge/>
            <w:tcBorders>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司股份，也不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该部分股份；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本人在任职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得超过本人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999pt;margin-top:72.47998pt;width:61.95pt;height:673pt;mso-position-horizontal-relative:page;mso-position-vertical-relative:page;z-index:-1045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6" w:type="dxa"/>
            <w:vMerge w:val="restart"/>
            <w:tcBorders>
              <w:top w:val="single" w:sz="4" w:space="0" w:color="000000"/>
              <w:left w:val="single" w:sz="4" w:space="0" w:color="000000"/>
              <w:right w:val="single" w:sz="4" w:space="0" w:color="000000"/>
            </w:tcBorders>
          </w:tcPr>
          <w:p>
            <w:pPr>
              <w:pStyle w:val="TableParagraph"/>
              <w:spacing w:line="1345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55.8pt;height:673pt;mso-position-horizontal-relative:char;mso-position-vertical-relative:line" coordorigin="0,0" coordsize="1116,13460">
                  <v:group style="position:absolute;left:0;top:0;width:1116;height:13460" coordorigin="0,0" coordsize="1116,13460">
                    <v:shape style="position:absolute;left:0;top:0;width:1116;height:13460" coordorigin="0,0" coordsize="1116,13460" path="m0,13459l1116,13459,1116,0,0,0,0,13459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五；本人离职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后半年内，不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股份。严格遵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守《公司法》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易制度</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东大会议事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规则</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会议事规则》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等规定，避免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和减少关联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交易，自觉维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护发行人及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全体股东的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利益，将不利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用本人在发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行人中的股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东地位在关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联交易中谋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取不正当利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必须与本人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易，均严格履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行相关法律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程序，遵照市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场公平交易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的原则进行，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将促使交易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的价格、相关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协议条款和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交易条件公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平合理，不会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给予与第三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人的条件相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比更优惠的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数字政通承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5"/>
                <w:sz w:val="18"/>
                <w:szCs w:val="18"/>
              </w:rPr>
              <w:t>正常履行，未</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诺不为激励</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期权与限制</w:t>
            </w: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出现任何违</w:t>
            </w: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对象依股票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性股票激励</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反该承诺的</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期权激励计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计划实施期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划获取有关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w:t>
            </w: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权益提供贷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款以及其他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任何形式的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财务资助，包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括为其贷款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提供担保。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line="259" w:lineRule="auto"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60" w:hRule="exact"/>
        </w:trPr>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98"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年度，保</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定金迪均超额</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完成了业绩承</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诺。在连续超</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119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4" w:right="81"/>
              <w:jc w:val="left"/>
              <w:rPr>
                <w:rFonts w:ascii="宋体" w:hAnsi="宋体" w:cs="宋体" w:eastAsia="宋体" w:hint="default"/>
                <w:sz w:val="18"/>
                <w:szCs w:val="18"/>
              </w:rPr>
            </w:pPr>
            <w:r>
              <w:rPr>
                <w:rFonts w:ascii="宋体" w:hAnsi="宋体" w:cs="宋体" w:eastAsia="宋体" w:hint="default"/>
                <w:sz w:val="18"/>
                <w:szCs w:val="18"/>
              </w:rPr>
              <w:t>保定金迪地下 管线探测工程</w:t>
            </w: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9"/>
              <w:jc w:val="left"/>
              <w:rPr>
                <w:rFonts w:ascii="宋体" w:hAnsi="宋体" w:cs="宋体" w:eastAsia="宋体" w:hint="default"/>
                <w:sz w:val="18"/>
                <w:szCs w:val="18"/>
              </w:rPr>
            </w:pPr>
            <w:r>
              <w:rPr>
                <w:rFonts w:ascii="宋体" w:hAnsi="宋体" w:cs="宋体" w:eastAsia="宋体" w:hint="default"/>
                <w:sz w:val="18"/>
                <w:szCs w:val="18"/>
              </w:rPr>
              <w:t>额实现承诺利 润的情况下，</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19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4" w:right="81"/>
              <w:jc w:val="both"/>
              <w:rPr>
                <w:rFonts w:ascii="宋体" w:hAnsi="宋体" w:cs="宋体" w:eastAsia="宋体" w:hint="default"/>
                <w:sz w:val="18"/>
                <w:szCs w:val="18"/>
              </w:rPr>
            </w:pPr>
            <w:r>
              <w:rPr>
                <w:rFonts w:ascii="宋体" w:hAnsi="宋体" w:cs="宋体" w:eastAsia="宋体" w:hint="default"/>
                <w:sz w:val="18"/>
                <w:szCs w:val="18"/>
              </w:rPr>
              <w:t>有限公司、保 定市金迪科技 开发有限公司 及保定金迪科</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758" w:right="0"/>
              <w:jc w:val="left"/>
              <w:rPr>
                <w:rFonts w:ascii="Times New Roman" w:hAnsi="Times New Roman" w:cs="Times New Roman" w:eastAsia="Times New Roman" w:hint="default"/>
                <w:sz w:val="18"/>
                <w:szCs w:val="18"/>
              </w:rPr>
            </w:pPr>
            <w:r>
              <w:rPr>
                <w:rFonts w:ascii="Times New Roman"/>
                <w:sz w:val="18"/>
              </w:rPr>
              <w:t>7,000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533" w:right="0"/>
              <w:jc w:val="left"/>
              <w:rPr>
                <w:rFonts w:ascii="Times New Roman" w:hAnsi="Times New Roman" w:cs="Times New Roman" w:eastAsia="Times New Roman" w:hint="default"/>
                <w:sz w:val="18"/>
                <w:szCs w:val="18"/>
              </w:rPr>
            </w:pPr>
            <w:r>
              <w:rPr>
                <w:rFonts w:ascii="Times New Roman"/>
                <w:sz w:val="18"/>
              </w:rPr>
              <w:t>6,082.21</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both"/>
              <w:rPr>
                <w:rFonts w:ascii="宋体" w:hAnsi="宋体" w:cs="宋体" w:eastAsia="宋体" w:hint="default"/>
                <w:sz w:val="18"/>
                <w:szCs w:val="18"/>
              </w:rPr>
            </w:pPr>
            <w:r>
              <w:rPr>
                <w:rFonts w:ascii="宋体" w:hAnsi="宋体" w:cs="宋体" w:eastAsia="宋体" w:hint="default"/>
                <w:sz w:val="18"/>
                <w:szCs w:val="18"/>
              </w:rPr>
              <w:t>根据市场发展</w:t>
            </w:r>
          </w:p>
          <w:p>
            <w:pPr>
              <w:pStyle w:val="TableParagraph"/>
              <w:spacing w:line="316" w:lineRule="auto" w:before="76"/>
              <w:ind w:left="23" w:right="17"/>
              <w:jc w:val="both"/>
              <w:rPr>
                <w:rFonts w:ascii="宋体" w:hAnsi="宋体" w:cs="宋体" w:eastAsia="宋体" w:hint="default"/>
                <w:sz w:val="18"/>
                <w:szCs w:val="18"/>
              </w:rPr>
            </w:pPr>
            <w:r>
              <w:rPr>
                <w:rFonts w:ascii="宋体" w:hAnsi="宋体" w:cs="宋体" w:eastAsia="宋体" w:hint="default"/>
                <w:sz w:val="18"/>
                <w:szCs w:val="18"/>
              </w:rPr>
              <w:t>趋势，为提升 可持续发展能 </w:t>
            </w:r>
            <w:r>
              <w:rPr>
                <w:rFonts w:ascii="宋体" w:hAnsi="宋体" w:cs="宋体" w:eastAsia="宋体" w:hint="default"/>
                <w:spacing w:val="-11"/>
                <w:sz w:val="18"/>
                <w:szCs w:val="18"/>
              </w:rPr>
              <w:t>力，自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360" w:lineRule="auto"/>
              <w:ind w:left="23" w:right="90"/>
              <w:jc w:val="left"/>
              <w:rPr>
                <w:rFonts w:ascii="Times New Roman" w:hAnsi="Times New Roman" w:cs="Times New Roman" w:eastAsia="Times New Roman" w:hint="default"/>
                <w:sz w:val="18"/>
                <w:szCs w:val="18"/>
              </w:rPr>
            </w:pPr>
            <w:r>
              <w:rPr>
                <w:rFonts w:ascii="Times New Roman"/>
                <w:spacing w:val="-2"/>
                <w:sz w:val="18"/>
              </w:rPr>
              <w:t>http://www.cni</w:t>
            </w:r>
            <w:r>
              <w:rPr>
                <w:rFonts w:ascii="Times New Roman"/>
                <w:spacing w:val="-34"/>
                <w:sz w:val="18"/>
              </w:rPr>
              <w:t> </w:t>
            </w:r>
            <w:r>
              <w:rPr>
                <w:rFonts w:ascii="Times New Roman"/>
                <w:spacing w:val="-34"/>
                <w:sz w:val="18"/>
              </w:rPr>
            </w:r>
            <w:r>
              <w:rPr>
                <w:rFonts w:ascii="Times New Roman"/>
                <w:sz w:val="18"/>
              </w:rPr>
              <w:t>nfo.co</w:t>
            </w:r>
            <w:r>
              <w:rPr>
                <w:rFonts w:ascii="Times New Roman"/>
                <w:spacing w:val="-5"/>
                <w:sz w:val="18"/>
              </w:rPr>
              <w:t> </w:t>
            </w:r>
            <w:r>
              <w:rPr>
                <w:rFonts w:ascii="Times New Roman"/>
                <w:sz w:val="18"/>
              </w:rPr>
              <w:t>m.cn/</w:t>
            </w:r>
          </w:p>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2017-076</w:t>
            </w:r>
            <w:r>
              <w:rPr>
                <w:rFonts w:ascii="宋体" w:hAnsi="宋体" w:cs="宋体" w:eastAsia="宋体" w:hint="default"/>
                <w:sz w:val="18"/>
                <w:szCs w:val="18"/>
              </w:rPr>
              <w:t>）</w:t>
            </w: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学仪器有限公</w:t>
            </w: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开始，保定金</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迪主动进行了</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业务结构的升</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级。在转型升</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级过程中，保</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定金迪不断加</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大了技术装</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备、核心产品</w:t>
            </w:r>
          </w:p>
        </w:tc>
        <w:tc>
          <w:tcPr>
            <w:tcW w:w="1198"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研发、技术服</w:t>
            </w:r>
          </w:p>
        </w:tc>
        <w:tc>
          <w:tcPr>
            <w:tcW w:w="1198"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315" w:hRule="exact"/>
        </w:trPr>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务、市场推广</w:t>
            </w:r>
          </w:p>
        </w:tc>
        <w:tc>
          <w:tcPr>
            <w:tcW w:w="1198"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等方面的投</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入，导致成本</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有所上升，因</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此对当期的经</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营业绩形成了</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一定的影响，</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7"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使得</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年低</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07"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于当年承诺实</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现的净利润</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额。但因承诺</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期没有结束，</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7"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年单年度</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07"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低于预测值不</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会触发业绩补</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12" w:hRule="exact"/>
        </w:trPr>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偿或对价调整</w:t>
            </w:r>
          </w:p>
        </w:tc>
        <w:tc>
          <w:tcPr>
            <w:tcW w:w="119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60" w:hRule="exact"/>
        </w:trPr>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条款。</w:t>
            </w:r>
          </w:p>
        </w:tc>
        <w:tc>
          <w:tcPr>
            <w:tcW w:w="1198"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业绩承诺的完成情况及其对商誉减值测试的影响</w:t>
      </w:r>
    </w:p>
    <w:p>
      <w:pPr>
        <w:spacing w:line="240" w:lineRule="auto" w:before="7"/>
        <w:rPr>
          <w:rFonts w:ascii="宋体" w:hAnsi="宋体" w:cs="宋体" w:eastAsia="宋体" w:hint="default"/>
          <w:sz w:val="19"/>
          <w:szCs w:val="19"/>
        </w:rPr>
      </w:pPr>
    </w:p>
    <w:p>
      <w:pPr>
        <w:pStyle w:val="Heading2"/>
        <w:spacing w:line="240" w:lineRule="auto"/>
        <w:ind w:right="1104"/>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04"/>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04"/>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104" w:firstLine="482"/>
        <w:jc w:val="left"/>
      </w:pPr>
      <w:r>
        <w:rPr>
          <w:rFonts w:ascii="宋体" w:hAnsi="宋体" w:cs="宋体" w:eastAsia="宋体" w:hint="default"/>
          <w:spacing w:val="-3"/>
        </w:rPr>
        <w:t>1</w:t>
      </w:r>
      <w:r>
        <w:rPr>
          <w:spacing w:val="-3"/>
        </w:rPr>
        <w:t>、执行《财政部关于修订印发</w:t>
      </w:r>
      <w:r>
        <w:rPr>
          <w:rFonts w:ascii="宋体" w:hAnsi="宋体" w:cs="宋体" w:eastAsia="宋体" w:hint="default"/>
          <w:spacing w:val="-3"/>
        </w:rPr>
        <w:t>2019</w:t>
      </w:r>
      <w:r>
        <w:rPr>
          <w:spacing w:val="-3"/>
        </w:rPr>
        <w:t>年度一般企业财务报表格式的通知》和《关于修订印</w:t>
      </w:r>
      <w:r>
        <w:rPr/>
        <w:t> 发合并财务报表格式（</w:t>
      </w:r>
      <w:r>
        <w:rPr>
          <w:rFonts w:ascii="宋体" w:hAnsi="宋体" w:cs="宋体" w:eastAsia="宋体" w:hint="default"/>
        </w:rPr>
        <w:t>2019</w:t>
      </w:r>
      <w:r>
        <w:rPr/>
        <w:t>版）的通知》</w:t>
      </w:r>
    </w:p>
    <w:p>
      <w:pPr>
        <w:pStyle w:val="BodyText"/>
        <w:spacing w:line="357" w:lineRule="auto"/>
        <w:ind w:right="1034" w:firstLine="482"/>
        <w:jc w:val="left"/>
      </w:pPr>
      <w:r>
        <w:rPr/>
        <w:t>财政部分别于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日和</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w:t>
      </w:r>
      <w:r>
        <w:rPr>
          <w:spacing w:val="8"/>
        </w:rPr>
        <w:t> </w:t>
      </w:r>
      <w:r>
        <w:rPr>
          <w:spacing w:val="-5"/>
        </w:rPr>
        <w:t>发布了《关于修订印发</w:t>
      </w:r>
      <w:r>
        <w:rPr>
          <w:rFonts w:ascii="宋体" w:hAnsi="宋体" w:cs="宋体" w:eastAsia="宋体" w:hint="default"/>
          <w:spacing w:val="-5"/>
        </w:rPr>
        <w:t>2019</w:t>
      </w:r>
      <w:r>
        <w:rPr>
          <w:spacing w:val="-5"/>
        </w:rPr>
        <w:t>年度一般企业</w:t>
      </w:r>
      <w:r>
        <w:rPr/>
        <w:t> 财务报表格式的通知》（财会（</w:t>
      </w:r>
      <w:r>
        <w:rPr>
          <w:rFonts w:ascii="宋体" w:hAnsi="宋体" w:cs="宋体" w:eastAsia="宋体" w:hint="default"/>
        </w:rPr>
        <w:t>2019</w:t>
      </w:r>
      <w:r>
        <w:rPr/>
        <w:t>）</w:t>
      </w:r>
      <w:r>
        <w:rPr>
          <w:rFonts w:ascii="宋体" w:hAnsi="宋体" w:cs="宋体" w:eastAsia="宋体" w:hint="default"/>
        </w:rPr>
        <w:t>6</w:t>
      </w:r>
      <w:r>
        <w:rPr/>
        <w:t>号）和《关于修订印发合并财务报表格式（</w:t>
      </w:r>
      <w:r>
        <w:rPr>
          <w:rFonts w:ascii="宋体" w:hAnsi="宋体" w:cs="宋体" w:eastAsia="宋体" w:hint="default"/>
        </w:rPr>
        <w:t>2019</w:t>
      </w:r>
      <w:r>
        <w:rPr/>
        <w:t>版）</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1"/>
        <w:jc w:val="both"/>
      </w:pPr>
      <w:r>
        <w:rPr/>
        <w:t>的通知》（财会（</w:t>
      </w:r>
      <w:r>
        <w:rPr>
          <w:rFonts w:ascii="宋体" w:hAnsi="宋体" w:cs="宋体" w:eastAsia="宋体" w:hint="default"/>
        </w:rPr>
        <w:t>2019</w:t>
      </w:r>
      <w:r>
        <w:rPr/>
        <w:t>）</w:t>
      </w:r>
      <w:r>
        <w:rPr>
          <w:rFonts w:ascii="宋体" w:hAnsi="宋体" w:cs="宋体" w:eastAsia="宋体" w:hint="default"/>
        </w:rPr>
        <w:t>16</w:t>
      </w:r>
      <w:r>
        <w:rPr/>
        <w:t>号），对一般企业财务报表格式进行了修订。根据《关于修订印</w:t>
      </w:r>
      <w:r>
        <w:rPr>
          <w:spacing w:val="-91"/>
        </w:rPr>
        <w:t> </w:t>
      </w:r>
      <w:r>
        <w:rPr>
          <w:spacing w:val="-91"/>
        </w:rPr>
      </w:r>
      <w:r>
        <w:rPr/>
        <w:t>发 </w:t>
      </w:r>
      <w:r>
        <w:rPr>
          <w:rFonts w:ascii="宋体" w:hAnsi="宋体" w:cs="宋体" w:eastAsia="宋体" w:hint="default"/>
        </w:rPr>
        <w:t>2019 </w:t>
      </w:r>
      <w:r>
        <w:rPr>
          <w:spacing w:val="-3"/>
        </w:rPr>
        <w:t>年度一般企业财务报表格式的通知》，资产负债表中，“应收票据</w:t>
      </w:r>
      <w:r>
        <w:rPr>
          <w:spacing w:val="2"/>
        </w:rPr>
        <w:t> </w:t>
      </w:r>
      <w:r>
        <w:rPr/>
        <w:t>及应收账款”项</w:t>
      </w:r>
      <w:r>
        <w:rPr/>
        <w:t> 目分拆为“应收票据”及“应收账款”，“应付票据及应付账款”项目分拆为“应付票据”</w:t>
      </w:r>
      <w:r>
        <w:rPr>
          <w:spacing w:val="-89"/>
        </w:rPr>
        <w:t> </w:t>
      </w:r>
      <w:r>
        <w:rPr>
          <w:spacing w:val="-89"/>
        </w:rPr>
      </w:r>
      <w:r>
        <w:rPr>
          <w:spacing w:val="-3"/>
        </w:rPr>
        <w:t>及“应付账款”；利润表中，“研发费用”项目除反映进行研究与开发过程中发生的费</w:t>
      </w:r>
      <w:r>
        <w:rPr>
          <w:spacing w:val="29"/>
        </w:rPr>
        <w:t> </w:t>
      </w:r>
      <w:r>
        <w:rPr/>
        <w:t>用化</w:t>
      </w:r>
      <w:r>
        <w:rPr>
          <w:spacing w:val="-118"/>
        </w:rPr>
        <w:t> </w:t>
      </w:r>
      <w:r>
        <w:rPr>
          <w:spacing w:val="-118"/>
        </w:rPr>
      </w:r>
      <w:r>
        <w:rPr/>
        <w:t>支出外，还包括了原在“管理费用”项目中列示的自行开发无形资产的摊销；本公司相应追</w:t>
      </w:r>
      <w:r>
        <w:rPr>
          <w:spacing w:val="-90"/>
        </w:rPr>
        <w:t> </w:t>
      </w:r>
      <w:r>
        <w:rPr>
          <w:spacing w:val="-90"/>
        </w:rPr>
      </w:r>
      <w:r>
        <w:rPr/>
        <w:t>溯调整了比较数据。该会计政策变更对合并及公司净利润和所有者权益无影响。</w:t>
      </w:r>
    </w:p>
    <w:p>
      <w:pPr>
        <w:pStyle w:val="BodyText"/>
        <w:spacing w:line="240" w:lineRule="auto"/>
        <w:ind w:left="635" w:right="1104"/>
        <w:jc w:val="left"/>
      </w:pPr>
      <w:r>
        <w:rPr>
          <w:rFonts w:ascii="宋体" w:hAnsi="宋体" w:cs="宋体" w:eastAsia="宋体" w:hint="default"/>
          <w:spacing w:val="-3"/>
        </w:rPr>
        <w:t>2</w:t>
      </w:r>
      <w:r>
        <w:rPr>
          <w:spacing w:val="-3"/>
        </w:rPr>
        <w:t>、本公司自</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日采用《企业会计准则第</w:t>
      </w:r>
      <w:r>
        <w:rPr>
          <w:rFonts w:ascii="宋体" w:hAnsi="宋体" w:cs="宋体" w:eastAsia="宋体" w:hint="default"/>
          <w:spacing w:val="-3"/>
        </w:rPr>
        <w:t>22</w:t>
      </w:r>
      <w:r>
        <w:rPr>
          <w:spacing w:val="-3"/>
        </w:rPr>
        <w:t>号——金融工具确认和计量》（财会</w:t>
      </w:r>
    </w:p>
    <w:p>
      <w:pPr>
        <w:pStyle w:val="BodyText"/>
        <w:spacing w:line="357" w:lineRule="auto" w:before="154"/>
        <w:ind w:right="1128"/>
        <w:jc w:val="both"/>
      </w:pPr>
      <w:r>
        <w:rPr/>
        <w:t>〔</w:t>
      </w:r>
      <w:r>
        <w:rPr>
          <w:rFonts w:ascii="宋体" w:hAnsi="宋体" w:cs="宋体" w:eastAsia="宋体" w:hint="default"/>
        </w:rPr>
        <w:t>2017</w:t>
      </w:r>
      <w:r>
        <w:rPr/>
        <w:t>〕</w:t>
      </w:r>
      <w:r>
        <w:rPr>
          <w:rFonts w:ascii="宋体" w:hAnsi="宋体" w:cs="宋体" w:eastAsia="宋体" w:hint="default"/>
        </w:rPr>
        <w:t>7</w:t>
      </w:r>
      <w:r>
        <w:rPr/>
        <w:t>号）、《企业会计准</w:t>
      </w:r>
      <w:r>
        <w:rPr>
          <w:spacing w:val="-76"/>
        </w:rPr>
        <w:t> </w:t>
      </w:r>
      <w:r>
        <w:rPr/>
        <w:t>则第</w:t>
      </w:r>
      <w:r>
        <w:rPr>
          <w:rFonts w:ascii="宋体" w:hAnsi="宋体" w:cs="宋体" w:eastAsia="宋体" w:hint="default"/>
        </w:rPr>
        <w:t>23</w:t>
      </w:r>
      <w:r>
        <w:rPr/>
        <w:t>号——金融资产转移》（财会〔</w:t>
      </w:r>
      <w:r>
        <w:rPr>
          <w:rFonts w:ascii="宋体" w:hAnsi="宋体" w:cs="宋体" w:eastAsia="宋体" w:hint="default"/>
        </w:rPr>
        <w:t>2017</w:t>
      </w:r>
      <w:r>
        <w:rPr/>
        <w:t>〕</w:t>
      </w:r>
      <w:r>
        <w:rPr>
          <w:rFonts w:ascii="宋体" w:hAnsi="宋体" w:cs="宋体" w:eastAsia="宋体" w:hint="default"/>
        </w:rPr>
        <w:t>8</w:t>
      </w:r>
      <w:r>
        <w:rPr/>
        <w:t>号）、《企业 会计准则第</w:t>
      </w:r>
      <w:r>
        <w:rPr>
          <w:rFonts w:ascii="宋体" w:hAnsi="宋体" w:cs="宋体" w:eastAsia="宋体" w:hint="default"/>
        </w:rPr>
        <w:t>24</w:t>
      </w:r>
      <w:r>
        <w:rPr/>
        <w:t>号——套期会计》（财会〔</w:t>
      </w:r>
      <w:r>
        <w:rPr>
          <w:rFonts w:ascii="宋体" w:hAnsi="宋体" w:cs="宋体" w:eastAsia="宋体" w:hint="default"/>
        </w:rPr>
        <w:t>2017</w:t>
      </w:r>
      <w:r>
        <w:rPr/>
        <w:t>〕</w:t>
      </w:r>
      <w:r>
        <w:rPr>
          <w:rFonts w:ascii="宋体" w:hAnsi="宋体" w:cs="宋体" w:eastAsia="宋体" w:hint="default"/>
        </w:rPr>
        <w:t>9</w:t>
      </w:r>
      <w:r>
        <w:rPr/>
        <w:t>号）以及《企</w:t>
      </w:r>
      <w:r>
        <w:rPr>
          <w:spacing w:val="29"/>
        </w:rPr>
        <w:t> </w:t>
      </w:r>
      <w:r>
        <w:rPr/>
        <w:t>业会计准则第</w:t>
      </w:r>
      <w:r>
        <w:rPr>
          <w:rFonts w:ascii="宋体" w:hAnsi="宋体" w:cs="宋体" w:eastAsia="宋体" w:hint="default"/>
        </w:rPr>
        <w:t>37</w:t>
      </w:r>
      <w:r>
        <w:rPr/>
        <w:t>号——金融</w:t>
      </w:r>
      <w:r>
        <w:rPr>
          <w:spacing w:val="-117"/>
        </w:rPr>
        <w:t> </w:t>
      </w:r>
      <w:r>
        <w:rPr/>
        <w:t>工具列报》（财会〔</w:t>
      </w:r>
      <w:r>
        <w:rPr>
          <w:rFonts w:ascii="宋体" w:hAnsi="宋体" w:cs="宋体" w:eastAsia="宋体" w:hint="default"/>
        </w:rPr>
        <w:t>2017</w:t>
      </w:r>
      <w:r>
        <w:rPr/>
        <w:t>〕</w:t>
      </w:r>
      <w:r>
        <w:rPr>
          <w:rFonts w:ascii="宋体" w:hAnsi="宋体" w:cs="宋体" w:eastAsia="宋体" w:hint="default"/>
        </w:rPr>
        <w:t>14</w:t>
      </w:r>
      <w:r>
        <w:rPr/>
        <w:t>号）相关规定，根据累积影响数，调整期初留存收益及财务报</w:t>
      </w:r>
      <w:r>
        <w:rPr>
          <w:spacing w:val="-90"/>
        </w:rPr>
        <w:t> </w:t>
      </w:r>
      <w:r>
        <w:rPr>
          <w:spacing w:val="-90"/>
        </w:rPr>
      </w:r>
      <w:r>
        <w:rPr/>
        <w:t>表其</w:t>
      </w:r>
      <w:r>
        <w:rPr>
          <w:spacing w:val="29"/>
        </w:rPr>
        <w:t> </w:t>
      </w:r>
      <w:r>
        <w:rPr>
          <w:spacing w:val="-3"/>
        </w:rPr>
        <w:t>他相关项目金额，对可比期间信息不予调整。执行新金融工具准则调整执行当年年初财</w:t>
      </w:r>
      <w:r>
        <w:rPr>
          <w:spacing w:val="-118"/>
        </w:rPr>
        <w:t> </w:t>
      </w:r>
      <w:r>
        <w:rPr>
          <w:spacing w:val="-118"/>
        </w:rPr>
      </w:r>
      <w:r>
        <w:rPr/>
        <w:t>务报表相关项目情况详见本报告“第十二节公司财务报告”之“五、重要会计政策及会计估</w:t>
      </w:r>
      <w:r>
        <w:rPr>
          <w:spacing w:val="-88"/>
        </w:rPr>
        <w:t> </w:t>
      </w:r>
      <w:r>
        <w:rPr>
          <w:spacing w:val="-88"/>
        </w:rPr>
      </w:r>
      <w:r>
        <w:rPr/>
        <w:t>计”之“重要会计政策和会计估计变更”。</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120" w:firstLine="480"/>
        <w:jc w:val="left"/>
      </w:pPr>
      <w:r>
        <w:rPr>
          <w:rFonts w:ascii="宋体" w:hAnsi="宋体" w:cs="宋体" w:eastAsia="宋体" w:hint="default"/>
          <w:spacing w:val="-2"/>
        </w:rPr>
        <w:t>(1)</w:t>
      </w:r>
      <w:r>
        <w:rPr>
          <w:spacing w:val="-2"/>
        </w:rPr>
        <w:t>本公司新设子公司长沙政通康拓科技有限责任公司，注册资本</w:t>
      </w:r>
      <w:r>
        <w:rPr>
          <w:rFonts w:ascii="宋体" w:hAnsi="宋体" w:cs="宋体" w:eastAsia="宋体" w:hint="default"/>
          <w:spacing w:val="-2"/>
        </w:rPr>
        <w:t>100.00</w:t>
      </w:r>
      <w:r>
        <w:rPr>
          <w:spacing w:val="-2"/>
        </w:rPr>
        <w:t>万元，本公司持</w:t>
      </w:r>
      <w:r>
        <w:rPr/>
        <w:t> 股比例</w:t>
      </w:r>
      <w:r>
        <w:rPr>
          <w:rFonts w:ascii="宋体" w:hAnsi="宋体" w:cs="宋体" w:eastAsia="宋体" w:hint="default"/>
        </w:rPr>
        <w:t>100%</w:t>
      </w:r>
      <w:r>
        <w:rPr/>
        <w:t>，已认缴出资额</w:t>
      </w:r>
      <w:r>
        <w:rPr>
          <w:rFonts w:ascii="宋体" w:hAnsi="宋体" w:cs="宋体" w:eastAsia="宋体" w:hint="default"/>
        </w:rPr>
        <w:t>1,000.00</w:t>
      </w:r>
      <w:r>
        <w:rPr/>
        <w:t>元；</w:t>
      </w:r>
    </w:p>
    <w:p>
      <w:pPr>
        <w:pStyle w:val="BodyText"/>
        <w:spacing w:line="357" w:lineRule="auto"/>
        <w:ind w:right="1120" w:firstLine="480"/>
        <w:jc w:val="left"/>
      </w:pPr>
      <w:r>
        <w:rPr>
          <w:rFonts w:ascii="宋体" w:hAnsi="宋体" w:cs="宋体" w:eastAsia="宋体" w:hint="default"/>
          <w:spacing w:val="-2"/>
        </w:rPr>
        <w:t>(2)</w:t>
      </w:r>
      <w:r>
        <w:rPr>
          <w:spacing w:val="-2"/>
        </w:rPr>
        <w:t>本公司新设子公司保定政运恒通信息技术有限责任公司，注册资本</w:t>
      </w:r>
      <w:r>
        <w:rPr>
          <w:rFonts w:ascii="宋体" w:hAnsi="宋体" w:cs="宋体" w:eastAsia="宋体" w:hint="default"/>
          <w:spacing w:val="-2"/>
        </w:rPr>
        <w:t>100.00</w:t>
      </w:r>
      <w:r>
        <w:rPr>
          <w:spacing w:val="-2"/>
        </w:rPr>
        <w:t>万元，本公</w:t>
      </w:r>
      <w:r>
        <w:rPr/>
        <w:t> 司持股比例</w:t>
      </w:r>
      <w:r>
        <w:rPr>
          <w:rFonts w:ascii="宋体" w:hAnsi="宋体" w:cs="宋体" w:eastAsia="宋体" w:hint="default"/>
        </w:rPr>
        <w:t>100%</w:t>
      </w:r>
      <w:r>
        <w:rPr/>
        <w:t>，尚未实际缴纳出资；</w:t>
      </w:r>
    </w:p>
    <w:p>
      <w:pPr>
        <w:spacing w:line="528" w:lineRule="auto" w:before="36"/>
        <w:ind w:left="152" w:right="2594"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本公司以</w:t>
      </w:r>
      <w:r>
        <w:rPr>
          <w:rFonts w:ascii="宋体" w:hAnsi="宋体" w:cs="宋体" w:eastAsia="宋体" w:hint="default"/>
          <w:sz w:val="24"/>
          <w:szCs w:val="24"/>
        </w:rPr>
        <w:t>5,242,000.00</w:t>
      </w:r>
      <w:r>
        <w:rPr>
          <w:rFonts w:ascii="宋体" w:hAnsi="宋体" w:cs="宋体" w:eastAsia="宋体" w:hint="default"/>
          <w:sz w:val="24"/>
          <w:szCs w:val="24"/>
        </w:rPr>
        <w:t>元收购湖北鄂东智城科技有限公司</w:t>
      </w:r>
      <w:r>
        <w:rPr>
          <w:rFonts w:ascii="宋体" w:hAnsi="宋体" w:cs="宋体" w:eastAsia="宋体" w:hint="default"/>
          <w:sz w:val="24"/>
          <w:szCs w:val="24"/>
        </w:rPr>
        <w:t>55%</w:t>
      </w:r>
      <w:r>
        <w:rPr>
          <w:rFonts w:ascii="宋体" w:hAnsi="宋体" w:cs="宋体" w:eastAsia="宋体" w:hint="default"/>
          <w:sz w:val="24"/>
          <w:szCs w:val="24"/>
        </w:rPr>
        <w:t>的股权。 </w:t>
      </w:r>
      <w:r>
        <w:rPr>
          <w:rFonts w:ascii="宋体" w:hAnsi="宋体" w:cs="宋体" w:eastAsia="宋体" w:hint="default"/>
          <w:b/>
          <w:bCs/>
          <w:sz w:val="24"/>
          <w:szCs w:val="24"/>
        </w:rPr>
        <w:t>八、聘任、解聘会计师事务所情况</w:t>
      </w:r>
      <w:r>
        <w:rPr>
          <w:rFonts w:ascii="宋体" w:hAnsi="宋体" w:cs="宋体" w:eastAsia="宋体" w:hint="default"/>
          <w:sz w:val="24"/>
          <w:szCs w:val="24"/>
        </w:rPr>
      </w:r>
    </w:p>
    <w:p>
      <w:pPr>
        <w:spacing w:before="58"/>
        <w:ind w:left="152"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王芳山，邓战涛</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04"/>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04"/>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9"/>
        <w:rPr>
          <w:rFonts w:ascii="宋体" w:hAnsi="宋体" w:cs="宋体" w:eastAsia="宋体" w:hint="default"/>
          <w:sz w:val="19"/>
          <w:szCs w:val="19"/>
        </w:rPr>
      </w:pPr>
    </w:p>
    <w:p>
      <w:pPr>
        <w:pStyle w:val="Heading2"/>
        <w:spacing w:line="240" w:lineRule="auto"/>
        <w:ind w:right="1104"/>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10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04"/>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04"/>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633" w:right="1104"/>
        <w:jc w:val="left"/>
      </w:pPr>
      <w:r>
        <w:rPr>
          <w:rFonts w:ascii="宋体" w:hAnsi="宋体" w:cs="宋体" w:eastAsia="宋体" w:hint="default"/>
        </w:rPr>
        <w:t>2016</w:t>
      </w:r>
      <w:r>
        <w:rPr/>
        <w:t>年限制性股票激励计划</w:t>
      </w:r>
    </w:p>
    <w:p>
      <w:pPr>
        <w:pStyle w:val="BodyText"/>
        <w:spacing w:line="357" w:lineRule="auto" w:before="154"/>
        <w:ind w:right="1129" w:firstLine="480"/>
        <w:jc w:val="both"/>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9</w:t>
      </w:r>
      <w:r>
        <w:rPr/>
        <w:t>日，公司召开了第三届董事会第三十三次会议和第三届监事会第二十七次会 议，审议通过了《关于回购注销部分限制性股票的议案》，同意对已离职的</w:t>
      </w:r>
      <w:r>
        <w:rPr>
          <w:rFonts w:ascii="宋体" w:hAnsi="宋体" w:cs="宋体" w:eastAsia="宋体" w:hint="default"/>
        </w:rPr>
        <w:t>13</w:t>
      </w:r>
      <w:r>
        <w:rPr/>
        <w:t>名激励对象，</w:t>
      </w:r>
      <w:r>
        <w:rPr>
          <w:spacing w:val="-87"/>
        </w:rPr>
        <w:t> </w:t>
      </w:r>
      <w:r>
        <w:rPr>
          <w:spacing w:val="-87"/>
        </w:rPr>
      </w:r>
      <w:r>
        <w:rPr>
          <w:spacing w:val="5"/>
        </w:rPr>
        <w:t>注销其已获授但尚未解锁的限制性股票合计</w:t>
      </w:r>
      <w:r>
        <w:rPr>
          <w:rFonts w:ascii="宋体" w:hAnsi="宋体" w:cs="宋体" w:eastAsia="宋体" w:hint="default"/>
          <w:spacing w:val="5"/>
        </w:rPr>
        <w:t>28.60</w:t>
      </w:r>
      <w:r>
        <w:rPr>
          <w:spacing w:val="5"/>
        </w:rPr>
        <w:t>万股，回购总金额</w:t>
      </w:r>
      <w:r>
        <w:rPr>
          <w:rFonts w:ascii="宋体" w:hAnsi="宋体" w:cs="宋体" w:eastAsia="宋体" w:hint="default"/>
          <w:spacing w:val="5"/>
        </w:rPr>
        <w:t>2,981,840</w:t>
      </w:r>
      <w:r>
        <w:rPr>
          <w:spacing w:val="5"/>
        </w:rPr>
        <w:t>元，公司于</w:t>
      </w:r>
      <w:r>
        <w:rPr>
          <w:spacing w:val="-90"/>
        </w:rPr>
        <w:t> </w:t>
      </w:r>
      <w:r>
        <w:rPr>
          <w:spacing w:val="-90"/>
        </w:rPr>
      </w:r>
      <w:r>
        <w:rPr>
          <w:rFonts w:ascii="宋体" w:hAnsi="宋体" w:cs="宋体" w:eastAsia="宋体" w:hint="default"/>
        </w:rPr>
        <w:t>2018 </w:t>
      </w:r>
      <w:r>
        <w:rPr/>
        <w:t>年 </w:t>
      </w:r>
      <w:r>
        <w:rPr>
          <w:rFonts w:ascii="宋体" w:hAnsi="宋体" w:cs="宋体" w:eastAsia="宋体" w:hint="default"/>
        </w:rPr>
        <w:t>5 </w:t>
      </w:r>
      <w:r>
        <w:rPr/>
        <w:t>月 </w:t>
      </w:r>
      <w:r>
        <w:rPr>
          <w:rFonts w:ascii="宋体" w:hAnsi="宋体" w:cs="宋体" w:eastAsia="宋体" w:hint="default"/>
        </w:rPr>
        <w:t>25</w:t>
      </w:r>
      <w:r>
        <w:rPr>
          <w:rFonts w:ascii="宋体" w:hAnsi="宋体" w:cs="宋体" w:eastAsia="宋体" w:hint="default"/>
          <w:spacing w:val="31"/>
        </w:rPr>
        <w:t> </w:t>
      </w:r>
      <w:r>
        <w:rPr/>
        <w:t>日在中国登记结算有限责任公司深圳分公司完成回购注销登记；审议通过 了《关于公司</w:t>
      </w:r>
      <w:r>
        <w:rPr>
          <w:rFonts w:ascii="宋体" w:hAnsi="宋体" w:cs="宋体" w:eastAsia="宋体" w:hint="default"/>
        </w:rPr>
        <w:t>2016</w:t>
      </w:r>
      <w:r>
        <w:rPr/>
        <w:t>年限制性股票激励计划预留部分第一个解锁期解锁条件成就的议案》，同</w:t>
      </w:r>
      <w:r>
        <w:rPr>
          <w:spacing w:val="-91"/>
        </w:rPr>
        <w:t> </w:t>
      </w:r>
      <w:r>
        <w:rPr>
          <w:spacing w:val="-91"/>
        </w:rPr>
      </w:r>
      <w:r>
        <w:rPr/>
        <w:t>意公司向符合解锁条件的</w:t>
      </w:r>
      <w:r>
        <w:rPr>
          <w:rFonts w:ascii="宋体" w:hAnsi="宋体" w:cs="宋体" w:eastAsia="宋体" w:hint="default"/>
        </w:rPr>
        <w:t>61</w:t>
      </w:r>
      <w:r>
        <w:rPr/>
        <w:t>名激励对象解锁限制性股票</w:t>
      </w:r>
      <w:r>
        <w:rPr>
          <w:rFonts w:ascii="宋体" w:hAnsi="宋体" w:cs="宋体" w:eastAsia="宋体" w:hint="default"/>
        </w:rPr>
        <w:t>303,600</w:t>
      </w:r>
      <w:r>
        <w:rPr/>
        <w:t>股，</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23</w:t>
      </w:r>
      <w:r>
        <w:rPr/>
        <w:t>日，本次解</w:t>
      </w:r>
      <w:r>
        <w:rPr>
          <w:spacing w:val="-91"/>
        </w:rPr>
        <w:t> </w:t>
      </w:r>
      <w:r>
        <w:rPr>
          <w:spacing w:val="-91"/>
        </w:rPr>
      </w:r>
      <w:r>
        <w:rPr/>
        <w:t>锁的限制性股票上市流通。</w:t>
      </w:r>
    </w:p>
    <w:p>
      <w:pPr>
        <w:pStyle w:val="BodyText"/>
        <w:spacing w:line="357" w:lineRule="auto"/>
        <w:ind w:right="1000" w:firstLine="480"/>
        <w:jc w:val="left"/>
      </w:pP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日，公司召开了第三届董事会第三十六次会议和第三届监事会第三十次会</w:t>
      </w:r>
      <w:r>
        <w:rPr/>
        <w:t> </w:t>
      </w:r>
      <w:r>
        <w:rPr>
          <w:spacing w:val="-2"/>
        </w:rPr>
        <w:t>议，审议通过了《关于公司</w:t>
      </w:r>
      <w:r>
        <w:rPr>
          <w:rFonts w:ascii="宋体" w:hAnsi="宋体" w:cs="宋体" w:eastAsia="宋体" w:hint="default"/>
          <w:spacing w:val="-2"/>
        </w:rPr>
        <w:t>2016</w:t>
      </w:r>
      <w:r>
        <w:rPr>
          <w:spacing w:val="-2"/>
        </w:rPr>
        <w:t>年限制性股票激励计划第二个解锁期解锁条件成就的议案》，</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04"/>
        <w:jc w:val="left"/>
      </w:pPr>
      <w:r>
        <w:rPr/>
        <w:t>同意公司向符合解锁条件的</w:t>
      </w:r>
      <w:r>
        <w:rPr>
          <w:rFonts w:ascii="宋体" w:hAnsi="宋体" w:cs="宋体" w:eastAsia="宋体" w:hint="default"/>
        </w:rPr>
        <w:t>150</w:t>
      </w:r>
      <w:r>
        <w:rPr/>
        <w:t>名激励对象解锁限制性股票</w:t>
      </w:r>
      <w:r>
        <w:rPr>
          <w:rFonts w:ascii="宋体" w:hAnsi="宋体" w:cs="宋体" w:eastAsia="宋体" w:hint="default"/>
        </w:rPr>
        <w:t>2,530,500</w:t>
      </w:r>
      <w:r>
        <w:rPr/>
        <w:t>股。</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5</w:t>
      </w:r>
      <w:r>
        <w:rPr/>
        <w:t>日，本</w:t>
      </w:r>
      <w:r>
        <w:rPr>
          <w:spacing w:val="-82"/>
        </w:rPr>
        <w:t> </w:t>
      </w:r>
      <w:r>
        <w:rPr/>
        <w:t>次解锁的限制性股票上市流通。</w:t>
      </w:r>
    </w:p>
    <w:p>
      <w:pPr>
        <w:pStyle w:val="BodyText"/>
        <w:spacing w:line="357" w:lineRule="auto"/>
        <w:ind w:right="1132" w:firstLine="48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日，公司召开第三届董事会第四十次会议审议通过了《关于限制性股票激 励计划预留部分第二个解锁期解锁条件成就的议案》。公司董事会同意为</w:t>
      </w:r>
      <w:r>
        <w:rPr>
          <w:rFonts w:ascii="宋体" w:hAnsi="宋体" w:cs="宋体" w:eastAsia="宋体" w:hint="default"/>
        </w:rPr>
        <w:t>52</w:t>
      </w:r>
      <w:r>
        <w:rPr/>
        <w:t>名符合解锁条件</w:t>
      </w:r>
      <w:r>
        <w:rPr>
          <w:spacing w:val="-86"/>
        </w:rPr>
        <w:t> </w:t>
      </w:r>
      <w:r>
        <w:rPr>
          <w:spacing w:val="-86"/>
        </w:rPr>
      </w:r>
      <w:r>
        <w:rPr>
          <w:spacing w:val="-2"/>
        </w:rPr>
        <w:t>的激励对象解除限售股</w:t>
      </w:r>
      <w:r>
        <w:rPr>
          <w:rFonts w:ascii="宋体" w:hAnsi="宋体" w:cs="宋体" w:eastAsia="宋体" w:hint="default"/>
          <w:spacing w:val="-2"/>
        </w:rPr>
        <w:t>254,100</w:t>
      </w:r>
      <w:r>
        <w:rPr>
          <w:spacing w:val="-2"/>
        </w:rPr>
        <w:t>股，公司独立董事就前述解锁事项发表了同意的独立意见，律</w:t>
      </w:r>
      <w:r>
        <w:rPr>
          <w:spacing w:val="-114"/>
        </w:rPr>
        <w:t> </w:t>
      </w:r>
      <w:r>
        <w:rPr>
          <w:spacing w:val="-114"/>
        </w:rPr>
      </w:r>
      <w:r>
        <w:rPr/>
        <w:t>师事务所就前述解锁事项出具了法律意见书。</w:t>
      </w:r>
    </w:p>
    <w:p>
      <w:pPr>
        <w:pStyle w:val="BodyText"/>
        <w:spacing w:line="357" w:lineRule="auto"/>
        <w:ind w:right="1034" w:firstLine="480"/>
        <w:jc w:val="left"/>
      </w:pP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日召开的第四届董事会第二次会议审议通过了《关于回购注销部分限制性股</w:t>
      </w:r>
      <w:r>
        <w:rPr/>
        <w:t> 票的议案》，根据公司《</w:t>
      </w:r>
      <w:r>
        <w:rPr>
          <w:rFonts w:ascii="宋体" w:hAnsi="宋体" w:cs="宋体" w:eastAsia="宋体" w:hint="default"/>
        </w:rPr>
        <w:t>2016</w:t>
      </w:r>
      <w:r>
        <w:rPr/>
        <w:t>年限制性股票激励计划（草案）》规定，第三个解锁期的解锁</w:t>
      </w:r>
      <w:r>
        <w:rPr>
          <w:spacing w:val="-90"/>
        </w:rPr>
        <w:t> </w:t>
      </w:r>
      <w:r>
        <w:rPr>
          <w:spacing w:val="-90"/>
        </w:rPr>
      </w:r>
      <w:r>
        <w:rPr>
          <w:spacing w:val="-2"/>
        </w:rPr>
        <w:t>条件是以</w:t>
      </w:r>
      <w:r>
        <w:rPr>
          <w:rFonts w:ascii="宋体" w:hAnsi="宋体" w:cs="宋体" w:eastAsia="宋体" w:hint="default"/>
          <w:spacing w:val="-2"/>
        </w:rPr>
        <w:t>2015</w:t>
      </w:r>
      <w:r>
        <w:rPr>
          <w:spacing w:val="-2"/>
        </w:rPr>
        <w:t>年净利润为基数，</w:t>
      </w:r>
      <w:r>
        <w:rPr>
          <w:rFonts w:ascii="宋体" w:hAnsi="宋体" w:cs="宋体" w:eastAsia="宋体" w:hint="default"/>
          <w:spacing w:val="-2"/>
        </w:rPr>
        <w:t>2018</w:t>
      </w:r>
      <w:r>
        <w:rPr>
          <w:spacing w:val="-2"/>
        </w:rPr>
        <w:t>年实现的净利润不低于基数的</w:t>
      </w:r>
      <w:r>
        <w:rPr>
          <w:rFonts w:ascii="宋体" w:hAnsi="宋体" w:cs="宋体" w:eastAsia="宋体" w:hint="default"/>
          <w:spacing w:val="-2"/>
        </w:rPr>
        <w:t>72%</w:t>
      </w:r>
      <w:r>
        <w:rPr>
          <w:spacing w:val="-2"/>
        </w:rPr>
        <w:t>。公司</w:t>
      </w:r>
      <w:r>
        <w:rPr>
          <w:rFonts w:ascii="宋体" w:hAnsi="宋体" w:cs="宋体" w:eastAsia="宋体" w:hint="default"/>
          <w:spacing w:val="-2"/>
        </w:rPr>
        <w:t>2015</w:t>
      </w:r>
      <w:r>
        <w:rPr>
          <w:spacing w:val="-2"/>
        </w:rPr>
        <w:t>年扣除非经</w:t>
      </w:r>
      <w:r>
        <w:rPr>
          <w:spacing w:val="-106"/>
        </w:rPr>
        <w:t> </w:t>
      </w:r>
      <w:r>
        <w:rPr>
          <w:spacing w:val="-2"/>
        </w:rPr>
        <w:t>常性损益后的净利润为</w:t>
      </w:r>
      <w:r>
        <w:rPr>
          <w:rFonts w:ascii="宋体" w:hAnsi="宋体" w:cs="宋体" w:eastAsia="宋体" w:hint="default"/>
          <w:spacing w:val="-2"/>
        </w:rPr>
        <w:t>10,596.17</w:t>
      </w:r>
      <w:r>
        <w:rPr>
          <w:spacing w:val="-2"/>
        </w:rPr>
        <w:t>万元，</w:t>
      </w:r>
      <w:r>
        <w:rPr>
          <w:rFonts w:ascii="宋体" w:hAnsi="宋体" w:cs="宋体" w:eastAsia="宋体" w:hint="default"/>
          <w:spacing w:val="-2"/>
        </w:rPr>
        <w:t>2018</w:t>
      </w:r>
      <w:r>
        <w:rPr>
          <w:spacing w:val="-2"/>
        </w:rPr>
        <w:t>年实现业绩解锁条件需要当年扣除非经常性损益</w:t>
      </w:r>
      <w:r>
        <w:rPr>
          <w:spacing w:val="-108"/>
        </w:rPr>
        <w:t> </w:t>
      </w:r>
      <w:r>
        <w:rPr/>
        <w:t>后的净利润不低于 </w:t>
      </w:r>
      <w:r>
        <w:rPr>
          <w:rFonts w:ascii="宋体" w:hAnsi="宋体" w:cs="宋体" w:eastAsia="宋体" w:hint="default"/>
        </w:rPr>
        <w:t>18,225.41</w:t>
      </w:r>
      <w:r>
        <w:rPr/>
        <w:t>万元。根据公司于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18</w:t>
      </w:r>
      <w:r>
        <w:rPr/>
        <w:t>日发布的《</w:t>
      </w:r>
      <w:r>
        <w:rPr>
          <w:rFonts w:ascii="宋体" w:hAnsi="宋体" w:cs="宋体" w:eastAsia="宋体" w:hint="default"/>
        </w:rPr>
        <w:t>2018</w:t>
      </w:r>
      <w:r>
        <w:rPr/>
        <w:t>年度业绩预告》 的数据，预计</w:t>
      </w:r>
      <w:r>
        <w:rPr>
          <w:rFonts w:ascii="宋体" w:hAnsi="宋体" w:cs="宋体" w:eastAsia="宋体" w:hint="default"/>
        </w:rPr>
        <w:t>2018</w:t>
      </w:r>
      <w:r>
        <w:rPr/>
        <w:t>年归属上市公司股东的净利润为</w:t>
      </w:r>
      <w:r>
        <w:rPr>
          <w:rFonts w:ascii="宋体" w:hAnsi="宋体" w:cs="宋体" w:eastAsia="宋体" w:hint="default"/>
        </w:rPr>
        <w:t>11,023.67</w:t>
      </w:r>
      <w:r>
        <w:rPr/>
        <w:t>万元至</w:t>
      </w:r>
      <w:r>
        <w:rPr>
          <w:spacing w:val="15"/>
        </w:rPr>
        <w:t> </w:t>
      </w:r>
      <w:r>
        <w:rPr>
          <w:rFonts w:ascii="宋体" w:hAnsi="宋体" w:cs="宋体" w:eastAsia="宋体" w:hint="default"/>
        </w:rPr>
        <w:t>14,415.57</w:t>
      </w:r>
      <w:r>
        <w:rPr>
          <w:rFonts w:ascii="宋体" w:hAnsi="宋体" w:cs="宋体" w:eastAsia="宋体" w:hint="default"/>
          <w:spacing w:val="16"/>
        </w:rPr>
        <w:t> </w:t>
      </w:r>
      <w:r>
        <w:rPr/>
        <w:t>万元区间，</w:t>
      </w:r>
      <w:r>
        <w:rPr>
          <w:spacing w:val="-111"/>
        </w:rPr>
        <w:t> </w:t>
      </w:r>
      <w:r>
        <w:rPr>
          <w:spacing w:val="-111"/>
        </w:rPr>
      </w:r>
      <w:r>
        <w:rPr/>
        <w:t>预计</w:t>
      </w:r>
      <w:r>
        <w:rPr>
          <w:spacing w:val="-47"/>
        </w:rPr>
        <w:t> </w:t>
      </w:r>
      <w:r>
        <w:rPr>
          <w:rFonts w:ascii="宋体" w:hAnsi="宋体" w:cs="宋体" w:eastAsia="宋体" w:hint="default"/>
        </w:rPr>
        <w:t>2018</w:t>
      </w:r>
      <w:r>
        <w:rPr/>
        <w:t>年非经常性损益对公司净利润的影响约为</w:t>
      </w:r>
      <w:r>
        <w:rPr>
          <w:rFonts w:ascii="宋体" w:hAnsi="宋体" w:cs="宋体" w:eastAsia="宋体" w:hint="default"/>
        </w:rPr>
        <w:t>50</w:t>
      </w:r>
      <w:r>
        <w:rPr/>
        <w:t>万元，故公司</w:t>
      </w:r>
      <w:r>
        <w:rPr>
          <w:rFonts w:ascii="宋体" w:hAnsi="宋体" w:cs="宋体" w:eastAsia="宋体" w:hint="default"/>
        </w:rPr>
        <w:t>2018</w:t>
      </w:r>
      <w:r>
        <w:rPr/>
        <w:t>年经营业绩未能达到 </w:t>
      </w:r>
      <w:r>
        <w:rPr>
          <w:spacing w:val="-3"/>
        </w:rPr>
        <w:t>限制性股票第三个解锁期的解锁条件；同时</w:t>
      </w:r>
      <w:r>
        <w:rPr>
          <w:spacing w:val="13"/>
        </w:rPr>
        <w:t> </w:t>
      </w:r>
      <w:r>
        <w:rPr>
          <w:rFonts w:ascii="宋体" w:hAnsi="宋体" w:cs="宋体" w:eastAsia="宋体" w:hint="default"/>
        </w:rPr>
        <w:t>9</w:t>
      </w:r>
      <w:r>
        <w:rPr>
          <w:rFonts w:ascii="宋体" w:hAnsi="宋体" w:cs="宋体" w:eastAsia="宋体" w:hint="default"/>
          <w:spacing w:val="12"/>
        </w:rPr>
        <w:t> </w:t>
      </w:r>
      <w:r>
        <w:rPr>
          <w:spacing w:val="-3"/>
        </w:rPr>
        <w:t>名激励对象因个人原因离职，已不符合激励对</w:t>
      </w:r>
      <w:r>
        <w:rPr>
          <w:spacing w:val="-111"/>
        </w:rPr>
        <w:t> </w:t>
      </w:r>
      <w:r>
        <w:rPr>
          <w:spacing w:val="-111"/>
        </w:rPr>
      </w:r>
      <w:r>
        <w:rPr/>
        <w:t>象条件。因此，公司将回购注销第三期的全部限制性股票</w:t>
      </w:r>
      <w:r>
        <w:rPr>
          <w:rFonts w:ascii="宋体" w:hAnsi="宋体" w:cs="宋体" w:eastAsia="宋体" w:hint="default"/>
        </w:rPr>
        <w:t>371.28</w:t>
      </w:r>
      <w:r>
        <w:rPr/>
        <w:t>万股和已离职激励对象尚未</w:t>
      </w:r>
      <w:r>
        <w:rPr>
          <w:spacing w:val="-90"/>
        </w:rPr>
        <w:t> </w:t>
      </w:r>
      <w:r>
        <w:rPr>
          <w:spacing w:val="-90"/>
        </w:rPr>
      </w:r>
      <w:r>
        <w:rPr>
          <w:spacing w:val="-2"/>
        </w:rPr>
        <w:t>解锁的限制性股票</w:t>
      </w:r>
      <w:r>
        <w:rPr>
          <w:rFonts w:ascii="宋体" w:hAnsi="宋体" w:cs="宋体" w:eastAsia="宋体" w:hint="default"/>
          <w:spacing w:val="-2"/>
        </w:rPr>
        <w:t>11.55</w:t>
      </w:r>
      <w:r>
        <w:rPr>
          <w:spacing w:val="-2"/>
        </w:rPr>
        <w:t>万股，回购注销股票共计</w:t>
      </w:r>
      <w:r>
        <w:rPr>
          <w:rFonts w:ascii="宋体" w:hAnsi="宋体" w:cs="宋体" w:eastAsia="宋体" w:hint="default"/>
          <w:spacing w:val="-2"/>
        </w:rPr>
        <w:t>382.83</w:t>
      </w:r>
      <w:r>
        <w:rPr>
          <w:spacing w:val="-2"/>
        </w:rPr>
        <w:t>万股，本次激励计划首批授予的限制</w:t>
      </w:r>
      <w:r>
        <w:rPr>
          <w:spacing w:val="-110"/>
        </w:rPr>
        <w:t> </w:t>
      </w:r>
      <w:r>
        <w:rPr>
          <w:spacing w:val="-110"/>
        </w:rPr>
      </w:r>
      <w:r>
        <w:rPr/>
        <w:t>性股票回购价格为</w:t>
      </w:r>
      <w:r>
        <w:rPr>
          <w:rFonts w:ascii="宋体" w:hAnsi="宋体" w:cs="宋体" w:eastAsia="宋体" w:hint="default"/>
        </w:rPr>
        <w:t>10.37</w:t>
      </w:r>
      <w:r>
        <w:rPr/>
        <w:t>元</w:t>
      </w:r>
      <w:r>
        <w:rPr>
          <w:rFonts w:ascii="宋体" w:hAnsi="宋体" w:cs="宋体" w:eastAsia="宋体" w:hint="default"/>
        </w:rPr>
        <w:t>/</w:t>
      </w:r>
      <w:r>
        <w:rPr/>
        <w:t>股，预留部分的限制性股票回购价格为</w:t>
      </w:r>
      <w:r>
        <w:rPr>
          <w:rFonts w:ascii="宋体" w:hAnsi="宋体" w:cs="宋体" w:eastAsia="宋体" w:hint="default"/>
        </w:rPr>
        <w:t>11.26</w:t>
      </w:r>
      <w:r>
        <w:rPr/>
        <w:t>元</w:t>
      </w:r>
      <w:r>
        <w:rPr>
          <w:rFonts w:ascii="宋体" w:hAnsi="宋体" w:cs="宋体" w:eastAsia="宋体" w:hint="default"/>
        </w:rPr>
        <w:t>/</w:t>
      </w:r>
      <w:r>
        <w:rPr/>
        <w:t>股，回购总金额</w:t>
      </w:r>
      <w:r>
        <w:rPr>
          <w:spacing w:val="-86"/>
        </w:rPr>
        <w:t> </w:t>
      </w:r>
      <w:r>
        <w:rPr>
          <w:spacing w:val="-86"/>
        </w:rPr>
      </w:r>
      <w:r>
        <w:rPr/>
        <w:t>为</w:t>
      </w:r>
      <w:r>
        <w:rPr>
          <w:rFonts w:ascii="宋体" w:hAnsi="宋体" w:cs="宋体" w:eastAsia="宋体" w:hint="default"/>
        </w:rPr>
        <w:t>40,103,798</w:t>
      </w:r>
      <w:r>
        <w:rPr/>
        <w:t>元。</w:t>
      </w:r>
    </w:p>
    <w:p>
      <w:pPr>
        <w:pStyle w:val="BodyText"/>
        <w:spacing w:line="240" w:lineRule="auto"/>
        <w:ind w:left="633" w:right="1104"/>
        <w:jc w:val="left"/>
      </w:pPr>
      <w:r>
        <w:rPr/>
        <w:t>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24</w:t>
      </w:r>
      <w:r>
        <w:rPr/>
        <w:t>日在中国登记结算有限责任公司深圳分公司完成回购注销登记。</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33" w:right="1104"/>
        <w:jc w:val="left"/>
      </w:pPr>
      <w:r>
        <w:rPr>
          <w:rFonts w:ascii="宋体" w:hAnsi="宋体" w:cs="宋体" w:eastAsia="宋体" w:hint="default"/>
        </w:rPr>
        <w:t>2018</w:t>
      </w:r>
      <w:r>
        <w:rPr/>
        <w:t>年股票期权与限制性股票激励计划</w:t>
      </w:r>
    </w:p>
    <w:p>
      <w:pPr>
        <w:pStyle w:val="BodyText"/>
        <w:spacing w:line="357" w:lineRule="auto" w:before="154"/>
        <w:ind w:right="1131" w:firstLine="480"/>
        <w:jc w:val="both"/>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日，公司第三届董事会第四十次会议审议通过了《关于公司</w:t>
      </w:r>
      <w:r>
        <w:rPr>
          <w:rFonts w:ascii="宋体" w:hAnsi="宋体" w:cs="宋体" w:eastAsia="宋体" w:hint="default"/>
          <w:spacing w:val="-2"/>
        </w:rPr>
        <w:t>&lt;2018</w:t>
      </w:r>
      <w:r>
        <w:rPr>
          <w:spacing w:val="-2"/>
        </w:rPr>
        <w:t>年股票期</w:t>
      </w:r>
      <w:r>
        <w:rPr/>
        <w:t> 权与限制性股票激励计划（草案）</w:t>
      </w:r>
      <w:r>
        <w:rPr>
          <w:rFonts w:ascii="宋体" w:hAnsi="宋体" w:cs="宋体" w:eastAsia="宋体" w:hint="default"/>
        </w:rPr>
        <w:t>&gt;</w:t>
      </w:r>
      <w:r>
        <w:rPr/>
        <w:t>及其摘要的议案》、《关于公司</w:t>
      </w:r>
      <w:r>
        <w:rPr>
          <w:rFonts w:ascii="宋体" w:hAnsi="宋体" w:cs="宋体" w:eastAsia="宋体" w:hint="default"/>
        </w:rPr>
        <w:t>&lt;2018</w:t>
      </w:r>
      <w:r>
        <w:rPr/>
        <w:t>年股票期权与限制</w:t>
      </w:r>
      <w:r>
        <w:rPr>
          <w:spacing w:val="-87"/>
        </w:rPr>
        <w:t> </w:t>
      </w:r>
      <w:r>
        <w:rPr>
          <w:spacing w:val="-87"/>
        </w:rPr>
      </w:r>
      <w:r>
        <w:rPr>
          <w:spacing w:val="-2"/>
        </w:rPr>
        <w:t>性股票激励计划实施考核管理办法</w:t>
      </w:r>
      <w:r>
        <w:rPr>
          <w:rFonts w:ascii="宋体" w:hAnsi="宋体" w:cs="宋体" w:eastAsia="宋体" w:hint="default"/>
          <w:spacing w:val="-2"/>
        </w:rPr>
        <w:t>&gt;</w:t>
      </w:r>
      <w:r>
        <w:rPr>
          <w:spacing w:val="-2"/>
        </w:rPr>
        <w:t>的议案》、《关于提请股东大会授权董事会办理股权激励</w:t>
      </w:r>
      <w:r>
        <w:rPr/>
        <w:t> 相关事宜的议案》、《关于召开</w:t>
      </w:r>
      <w:r>
        <w:rPr>
          <w:rFonts w:ascii="宋体" w:hAnsi="宋体" w:cs="宋体" w:eastAsia="宋体" w:hint="default"/>
        </w:rPr>
        <w:t>2018</w:t>
      </w:r>
      <w:r>
        <w:rPr/>
        <w:t>年第三次临时股东大会的议案》，公司第三届监事会第</w:t>
      </w:r>
      <w:r>
        <w:rPr>
          <w:spacing w:val="-89"/>
        </w:rPr>
        <w:t> </w:t>
      </w:r>
      <w:r>
        <w:rPr>
          <w:spacing w:val="-89"/>
        </w:rPr>
      </w:r>
      <w:r>
        <w:rPr/>
        <w:t>三十四次会议审议通过了相关议案。公司已对激励对象名单在公司内部进行了公示，公示期</w:t>
      </w:r>
      <w:r>
        <w:rPr>
          <w:spacing w:val="-91"/>
        </w:rPr>
        <w:t> </w:t>
      </w:r>
      <w:r>
        <w:rPr>
          <w:spacing w:val="-91"/>
        </w:rPr>
      </w:r>
      <w:r>
        <w:rPr/>
        <w:t>满后，监事会对本次股权激励计划授予激励对象名单进行了核查并对公示情况进行了说明，</w:t>
      </w:r>
      <w:r>
        <w:rPr>
          <w:spacing w:val="-91"/>
        </w:rPr>
        <w:t> </w:t>
      </w:r>
      <w:r>
        <w:rPr>
          <w:spacing w:val="-91"/>
        </w:rPr>
      </w:r>
      <w:r>
        <w:rPr/>
        <w:t>公司独立董事就本次股权激励计划是否有利于公司的持续发展及是否存在损害公司及全体股</w:t>
      </w:r>
      <w:r>
        <w:rPr>
          <w:spacing w:val="-86"/>
        </w:rPr>
        <w:t> </w:t>
      </w:r>
      <w:r>
        <w:rPr>
          <w:spacing w:val="-86"/>
        </w:rPr>
      </w:r>
      <w:r>
        <w:rPr/>
        <w:t>东利益的情形发表了独立意见。</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1" w:firstLine="480"/>
        <w:jc w:val="both"/>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日，公司</w:t>
      </w:r>
      <w:r>
        <w:rPr>
          <w:rFonts w:ascii="宋体" w:hAnsi="宋体" w:cs="宋体" w:eastAsia="宋体" w:hint="default"/>
          <w:spacing w:val="-2"/>
        </w:rPr>
        <w:t>2018</w:t>
      </w:r>
      <w:r>
        <w:rPr>
          <w:spacing w:val="-2"/>
        </w:rPr>
        <w:t>年第三次临时股东大会审议并通过了《关于公司</w:t>
      </w:r>
      <w:r>
        <w:rPr>
          <w:rFonts w:ascii="宋体" w:hAnsi="宋体" w:cs="宋体" w:eastAsia="宋体" w:hint="default"/>
          <w:spacing w:val="-2"/>
        </w:rPr>
        <w:t>&lt;2018</w:t>
      </w:r>
      <w:r>
        <w:rPr>
          <w:spacing w:val="-2"/>
        </w:rPr>
        <w:t>年股票</w:t>
      </w:r>
      <w:r>
        <w:rPr/>
        <w:t> 期权与限制性股票激励计划（草案）</w:t>
      </w:r>
      <w:r>
        <w:rPr>
          <w:rFonts w:ascii="宋体" w:hAnsi="宋体" w:cs="宋体" w:eastAsia="宋体" w:hint="default"/>
        </w:rPr>
        <w:t>&gt;</w:t>
      </w:r>
      <w:r>
        <w:rPr/>
        <w:t>及其摘要的议案》、《关于公司</w:t>
      </w:r>
      <w:r>
        <w:rPr>
          <w:rFonts w:ascii="宋体" w:hAnsi="宋体" w:cs="宋体" w:eastAsia="宋体" w:hint="default"/>
        </w:rPr>
        <w:t>&lt;2018</w:t>
      </w:r>
      <w:r>
        <w:rPr/>
        <w:t>年股票期权与限</w:t>
      </w:r>
      <w:r>
        <w:rPr>
          <w:spacing w:val="-88"/>
        </w:rPr>
        <w:t> </w:t>
      </w:r>
      <w:r>
        <w:rPr>
          <w:spacing w:val="-88"/>
        </w:rPr>
      </w:r>
      <w:r>
        <w:rPr>
          <w:spacing w:val="-2"/>
        </w:rPr>
        <w:t>制性股票激励计划实施考核管理办法</w:t>
      </w:r>
      <w:r>
        <w:rPr>
          <w:rFonts w:ascii="宋体" w:hAnsi="宋体" w:cs="宋体" w:eastAsia="宋体" w:hint="default"/>
          <w:spacing w:val="-2"/>
        </w:rPr>
        <w:t>&gt;</w:t>
      </w:r>
      <w:r>
        <w:rPr>
          <w:spacing w:val="-2"/>
        </w:rPr>
        <w:t>的议案》、《关于提请股东大会授权董事会办理股权激</w:t>
      </w:r>
      <w:r>
        <w:rPr/>
        <w:t> 励相关事宜的议案》。公司实施</w:t>
      </w:r>
      <w:r>
        <w:rPr>
          <w:rFonts w:ascii="宋体" w:hAnsi="宋体" w:cs="宋体" w:eastAsia="宋体" w:hint="default"/>
        </w:rPr>
        <w:t>2018</w:t>
      </w:r>
      <w:r>
        <w:rPr/>
        <w:t>年股票期权与限制性股票激励计划获得批准，董事会被</w:t>
      </w:r>
      <w:r>
        <w:rPr>
          <w:spacing w:val="-89"/>
        </w:rPr>
        <w:t> </w:t>
      </w:r>
      <w:r>
        <w:rPr>
          <w:spacing w:val="-89"/>
        </w:rPr>
      </w:r>
      <w:r>
        <w:rPr/>
        <w:t>授权确定授予日、在激励对象符合条件时向激励对象授予股票期权与限制性股票，并办理授</w:t>
      </w:r>
      <w:r>
        <w:rPr>
          <w:spacing w:val="-91"/>
        </w:rPr>
        <w:t> </w:t>
      </w:r>
      <w:r>
        <w:rPr>
          <w:spacing w:val="-91"/>
        </w:rPr>
      </w:r>
      <w:r>
        <w:rPr/>
        <w:t>予所必需的全部事宜。</w:t>
      </w:r>
    </w:p>
    <w:p>
      <w:pPr>
        <w:pStyle w:val="BodyText"/>
        <w:spacing w:line="240" w:lineRule="auto"/>
        <w:ind w:left="633" w:right="986"/>
        <w:jc w:val="left"/>
      </w:pP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18</w:t>
      </w:r>
      <w:r>
        <w:rPr>
          <w:spacing w:val="-3"/>
        </w:rPr>
        <w:t>日，公司第四届董事会第一次会议和第四届监事会</w:t>
      </w:r>
      <w:r>
        <w:rPr>
          <w:spacing w:val="13"/>
        </w:rPr>
        <w:t> </w:t>
      </w:r>
      <w:r>
        <w:rPr/>
        <w:t>第一次会议审议通过了</w:t>
      </w:r>
    </w:p>
    <w:p>
      <w:pPr>
        <w:pStyle w:val="BodyText"/>
        <w:spacing w:line="357" w:lineRule="auto" w:before="154"/>
        <w:ind w:right="1002"/>
        <w:jc w:val="left"/>
      </w:pPr>
      <w:r>
        <w:rPr>
          <w:spacing w:val="-5"/>
        </w:rPr>
        <w:t>《关于向激励对象授予股票期权与限制性股票的议案》。</w:t>
      </w:r>
      <w:r>
        <w:rPr>
          <w:spacing w:val="-83"/>
        </w:rPr>
        <w:t> </w:t>
      </w:r>
      <w:r>
        <w:rPr/>
        <w:t>公司独立董事对此发表了独立意见，</w:t>
      </w:r>
      <w:r>
        <w:rPr>
          <w:spacing w:val="-114"/>
        </w:rPr>
        <w:t> </w:t>
      </w:r>
      <w:r>
        <w:rPr>
          <w:spacing w:val="-114"/>
        </w:rPr>
      </w:r>
      <w:r>
        <w:rPr/>
        <w:t>认为激励对象主体资格合法、有效，确定的授予日符合相关规定。</w:t>
      </w:r>
    </w:p>
    <w:p>
      <w:pPr>
        <w:pStyle w:val="BodyText"/>
        <w:spacing w:line="357" w:lineRule="auto"/>
        <w:ind w:right="986" w:firstLine="480"/>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12</w:t>
      </w:r>
      <w:r>
        <w:rPr/>
        <w:t>日，公司完成了《公司</w:t>
      </w:r>
      <w:r>
        <w:rPr>
          <w:rFonts w:ascii="宋体" w:hAnsi="宋体" w:cs="宋体" w:eastAsia="宋体" w:hint="default"/>
        </w:rPr>
        <w:t>2018</w:t>
      </w:r>
      <w:r>
        <w:rPr/>
        <w:t>年股票期权与限制性股票激励计划》中股票期权 </w:t>
      </w:r>
      <w:r>
        <w:rPr>
          <w:spacing w:val="-5"/>
        </w:rPr>
        <w:t>的授予登记工作，</w:t>
      </w:r>
      <w:r>
        <w:rPr>
          <w:rFonts w:ascii="宋体" w:hAnsi="宋体" w:cs="宋体" w:eastAsia="宋体" w:hint="default"/>
          <w:spacing w:val="-5"/>
        </w:rPr>
        <w:t>2019</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13</w:t>
      </w:r>
      <w:r>
        <w:rPr>
          <w:spacing w:val="-5"/>
        </w:rPr>
        <w:t>日，公司完成了《公司</w:t>
      </w:r>
      <w:r>
        <w:rPr>
          <w:rFonts w:ascii="宋体" w:hAnsi="宋体" w:cs="宋体" w:eastAsia="宋体" w:hint="default"/>
          <w:spacing w:val="-5"/>
        </w:rPr>
        <w:t>2018</w:t>
      </w:r>
      <w:r>
        <w:rPr>
          <w:spacing w:val="-5"/>
        </w:rPr>
        <w:t>年股票期权与限制性股票激励计划》</w:t>
      </w:r>
      <w:r>
        <w:rPr>
          <w:spacing w:val="-88"/>
        </w:rPr>
        <w:t> </w:t>
      </w:r>
      <w:r>
        <w:rPr/>
        <w:t>中限制性股票的授予登记工作。</w:t>
      </w:r>
    </w:p>
    <w:p>
      <w:pPr>
        <w:spacing w:line="240" w:lineRule="auto" w:before="5"/>
        <w:rPr>
          <w:rFonts w:ascii="宋体" w:hAnsi="宋体" w:cs="宋体" w:eastAsia="宋体" w:hint="default"/>
          <w:sz w:val="27"/>
          <w:szCs w:val="27"/>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528" w:lineRule="auto" w:before="132"/>
        <w:ind w:right="3554" w:firstLine="480"/>
        <w:jc w:val="left"/>
        <w:rPr>
          <w:rFonts w:ascii="宋体" w:hAnsi="宋体" w:cs="宋体" w:eastAsia="宋体" w:hint="default"/>
        </w:rPr>
      </w:pPr>
      <w:r>
        <w:rPr/>
        <w:t>报告期内，</w:t>
      </w:r>
      <w:r>
        <w:rPr>
          <w:rFonts w:ascii="宋体" w:hAnsi="宋体" w:cs="宋体" w:eastAsia="宋体" w:hint="default"/>
        </w:rPr>
        <w:t>2019</w:t>
      </w:r>
      <w:r>
        <w:rPr/>
        <w:t>年度所需计提的股权激励费用为</w:t>
      </w:r>
      <w:r>
        <w:rPr>
          <w:rFonts w:ascii="宋体" w:hAnsi="宋体" w:cs="宋体" w:eastAsia="宋体" w:hint="default"/>
        </w:rPr>
        <w:t>43,110,075</w:t>
      </w:r>
      <w:r>
        <w:rPr/>
        <w:t>元。 </w:t>
      </w:r>
      <w:r>
        <w:rPr>
          <w:rFonts w:ascii="宋体" w:hAnsi="宋体" w:cs="宋体" w:eastAsia="宋体" w:hint="default"/>
          <w:b/>
          <w:bCs/>
        </w:rPr>
        <w:t>十五、重大关联交易</w:t>
      </w:r>
      <w:r>
        <w:rPr>
          <w:rFonts w:ascii="宋体" w:hAnsi="宋体" w:cs="宋体" w:eastAsia="宋体" w:hint="default"/>
        </w:rPr>
      </w:r>
    </w:p>
    <w:p>
      <w:pPr>
        <w:spacing w:before="37"/>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5"/>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7"/>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104"/>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5"/>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4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5"/>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4,170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4,170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9"/>
        <w:rPr>
          <w:rFonts w:ascii="宋体" w:hAnsi="宋体" w:cs="宋体" w:eastAsia="宋体" w:hint="default"/>
          <w:sz w:val="19"/>
          <w:szCs w:val="19"/>
        </w:rPr>
      </w:pPr>
    </w:p>
    <w:p>
      <w:pPr>
        <w:pStyle w:val="Heading2"/>
        <w:spacing w:line="240" w:lineRule="auto"/>
        <w:ind w:right="1104"/>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633" w:right="1104"/>
        <w:jc w:val="left"/>
      </w:pPr>
      <w:r>
        <w:rPr/>
        <w:t>（</w:t>
      </w:r>
      <w:r>
        <w:rPr>
          <w:rFonts w:ascii="宋体" w:hAnsi="宋体" w:cs="宋体" w:eastAsia="宋体" w:hint="default"/>
        </w:rPr>
        <w:t>1</w:t>
      </w:r>
      <w:r>
        <w:rPr/>
        <w:t>）职工权益保护 公司致力于保障员工合法权益，为员工提供健康、安全的工作环境，定期组织员工进行</w:t>
      </w:r>
    </w:p>
    <w:p>
      <w:pPr>
        <w:pStyle w:val="BodyText"/>
        <w:spacing w:line="357" w:lineRule="auto"/>
        <w:ind w:right="1139"/>
        <w:jc w:val="both"/>
      </w:pPr>
      <w:r>
        <w:rPr/>
        <w:t>体检，为员工提供补充医疗保险，关注员工的身心健康；尊重员工，积极采纳员工合理化建</w:t>
      </w:r>
      <w:r>
        <w:rPr>
          <w:spacing w:val="-91"/>
        </w:rPr>
        <w:t> </w:t>
      </w:r>
      <w:r>
        <w:rPr>
          <w:spacing w:val="-91"/>
        </w:rPr>
      </w:r>
      <w:r>
        <w:rPr/>
        <w:t>议，增强公司凝聚力；致力于培养出优秀的人才，帮助每一位员工实现自我价值，与企业共</w:t>
      </w:r>
      <w:r>
        <w:rPr>
          <w:spacing w:val="-91"/>
        </w:rPr>
        <w:t> </w:t>
      </w:r>
      <w:r>
        <w:rPr>
          <w:spacing w:val="-91"/>
        </w:rPr>
      </w:r>
      <w:r>
        <w:rPr/>
        <w:t>同成长。不断完善人力资源管理体系，努力为员工提供更大的发展空间及更多的人文关怀。</w:t>
      </w:r>
    </w:p>
    <w:p>
      <w:pPr>
        <w:pStyle w:val="BodyText"/>
        <w:spacing w:line="357" w:lineRule="auto"/>
        <w:ind w:left="633" w:right="1104"/>
        <w:jc w:val="left"/>
      </w:pPr>
      <w:r>
        <w:rPr/>
        <w:t>（</w:t>
      </w:r>
      <w:r>
        <w:rPr>
          <w:rFonts w:ascii="宋体" w:hAnsi="宋体" w:cs="宋体" w:eastAsia="宋体" w:hint="default"/>
        </w:rPr>
        <w:t>2</w:t>
      </w:r>
      <w:r>
        <w:rPr/>
        <w:t>）股东及债权人权益保护 公司严格按照《公司法》、《证券法》、《公司章程》等法律、法规、规范性文件及制</w:t>
      </w:r>
    </w:p>
    <w:p>
      <w:pPr>
        <w:pStyle w:val="BodyText"/>
        <w:spacing w:line="357" w:lineRule="auto"/>
        <w:ind w:right="996"/>
        <w:jc w:val="left"/>
      </w:pPr>
      <w:r>
        <w:rPr/>
        <w:t>度的要求，规范股东大会召集、召开、表决程序，确保所有股东享有平等的股东地位、平等</w:t>
      </w:r>
      <w:r>
        <w:rPr>
          <w:spacing w:val="-86"/>
        </w:rPr>
        <w:t> </w:t>
      </w:r>
      <w:r>
        <w:rPr>
          <w:spacing w:val="-86"/>
        </w:rPr>
      </w:r>
      <w:r>
        <w:rPr>
          <w:spacing w:val="-2"/>
        </w:rPr>
        <w:t>的股东权利；充分保护股东的合法权益，让中小投资者充分行使自己的权利；明确分红政策，</w:t>
      </w:r>
      <w:r>
        <w:rPr/>
        <w:t> 积极实施现金分红政策，确保股东投资回报。同时，公司财务政策稳健，与供应商及其他债</w:t>
      </w:r>
      <w:r>
        <w:rPr>
          <w:spacing w:val="-91"/>
        </w:rPr>
        <w:t> </w:t>
      </w:r>
      <w:r>
        <w:rPr>
          <w:spacing w:val="-91"/>
        </w:rPr>
      </w:r>
      <w:r>
        <w:rPr/>
        <w:t>权人合作情况良好，公司在维护股东利益的同时兼顾债权人的利益。</w:t>
      </w:r>
    </w:p>
    <w:p>
      <w:pPr>
        <w:pStyle w:val="BodyText"/>
        <w:spacing w:line="357" w:lineRule="auto"/>
        <w:ind w:left="633" w:right="1104"/>
        <w:jc w:val="left"/>
      </w:pPr>
      <w:r>
        <w:rPr/>
        <w:t>（</w:t>
      </w:r>
      <w:r>
        <w:rPr>
          <w:rFonts w:ascii="宋体" w:hAnsi="宋体" w:cs="宋体" w:eastAsia="宋体" w:hint="default"/>
        </w:rPr>
        <w:t>3</w:t>
      </w:r>
      <w:r>
        <w:rPr/>
        <w:t>）履行其他社会责任 公司诚信经营，遵纪守法，依法纳税，增加国家财政收入；公司根据自身需求，面向社</w:t>
      </w:r>
    </w:p>
    <w:p>
      <w:pPr>
        <w:pStyle w:val="BodyText"/>
        <w:spacing w:line="357" w:lineRule="auto"/>
        <w:ind w:right="1104"/>
        <w:jc w:val="left"/>
      </w:pPr>
      <w:r>
        <w:rPr/>
        <w:t>会公开招聘员工，促进就业；公司响应国家环保政策，坚持不懈的为社会和行业的可持续发</w:t>
      </w:r>
      <w:r>
        <w:rPr>
          <w:spacing w:val="-91"/>
        </w:rPr>
        <w:t> </w:t>
      </w:r>
      <w:r>
        <w:rPr>
          <w:spacing w:val="-91"/>
        </w:rPr>
      </w:r>
      <w:r>
        <w:rPr/>
        <w:t>展做出积极贡献。</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公司报告暂未开展精准扶贫工作，也暂无后续精准扶贫计划。</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81"/>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 本公司及其子公司均不属于环境保护部门公布的重点排污单位。</w:t>
      </w:r>
    </w:p>
    <w:p>
      <w:pPr>
        <w:spacing w:line="240" w:lineRule="auto" w:before="7"/>
        <w:rPr>
          <w:rFonts w:ascii="宋体" w:hAnsi="宋体" w:cs="宋体" w:eastAsia="宋体" w:hint="default"/>
          <w:sz w:val="18"/>
          <w:szCs w:val="18"/>
        </w:rPr>
      </w:pPr>
    </w:p>
    <w:p>
      <w:pPr>
        <w:pStyle w:val="Heading2"/>
        <w:spacing w:line="240" w:lineRule="auto"/>
        <w:ind w:right="1104"/>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104"/>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04"/>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04"/>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124,536,3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29.35%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-19,714,0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24.57%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124,536,3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29.35%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-19,714,0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24.57%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124,536,3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29.35%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-19,714,0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24.57%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299,804,5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70.65%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75.43%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299,804,5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70.65%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21,925,79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75.43%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424,340,9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2,211,700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2,211,700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2"/>
        <w:ind w:left="635" w:right="1104"/>
        <w:jc w:val="left"/>
      </w:pPr>
      <w:r>
        <w:rPr>
          <w:rFonts w:ascii="宋体" w:hAnsi="宋体" w:cs="宋体" w:eastAsia="宋体" w:hint="default"/>
          <w:spacing w:val="15"/>
        </w:rPr>
        <w:t>1</w:t>
      </w:r>
      <w:r>
        <w:rPr>
          <w:spacing w:val="15"/>
        </w:rPr>
        <w:t>、</w:t>
      </w:r>
      <w:r>
        <w:rPr>
          <w:rFonts w:ascii="宋体" w:hAnsi="宋体" w:cs="宋体" w:eastAsia="宋体" w:hint="default"/>
          <w:spacing w:val="15"/>
        </w:rPr>
        <w:t>2018</w:t>
      </w:r>
      <w:r>
        <w:rPr>
          <w:spacing w:val="15"/>
        </w:rPr>
        <w:t>年股票期权与限制性股票激励计划限制性股票授予登记完成，增加限售股</w:t>
      </w:r>
    </w:p>
    <w:p>
      <w:pPr>
        <w:pStyle w:val="BodyText"/>
        <w:spacing w:line="240" w:lineRule="auto" w:before="154"/>
        <w:ind w:right="1104"/>
        <w:jc w:val="left"/>
      </w:pPr>
      <w:r>
        <w:rPr>
          <w:rFonts w:ascii="宋体" w:hAnsi="宋体" w:cs="宋体" w:eastAsia="宋体" w:hint="default"/>
        </w:rPr>
        <w:t>6,040,000</w:t>
      </w:r>
      <w:r>
        <w:rPr/>
        <w:t>股。</w:t>
      </w:r>
    </w:p>
    <w:p>
      <w:pPr>
        <w:pStyle w:val="BodyText"/>
        <w:spacing w:line="240" w:lineRule="auto" w:before="154"/>
        <w:ind w:left="635" w:right="1104"/>
        <w:jc w:val="left"/>
      </w:pPr>
      <w:r>
        <w:rPr>
          <w:rFonts w:ascii="宋体" w:hAnsi="宋体" w:cs="宋体" w:eastAsia="宋体" w:hint="default"/>
        </w:rPr>
        <w:t>2</w:t>
      </w:r>
      <w:r>
        <w:rPr/>
        <w:t>、回购注销部分</w:t>
      </w:r>
      <w:r>
        <w:rPr>
          <w:rFonts w:ascii="宋体" w:hAnsi="宋体" w:cs="宋体" w:eastAsia="宋体" w:hint="default"/>
        </w:rPr>
        <w:t>2016</w:t>
      </w:r>
      <w:r>
        <w:rPr/>
        <w:t>年限制性股票激励计划股票，减少限售股</w:t>
      </w:r>
      <w:r>
        <w:rPr>
          <w:rFonts w:ascii="宋体" w:hAnsi="宋体" w:cs="宋体" w:eastAsia="宋体" w:hint="default"/>
        </w:rPr>
        <w:t>3,828,300</w:t>
      </w:r>
      <w:r>
        <w:rPr/>
        <w:t>股。</w:t>
      </w:r>
    </w:p>
    <w:p>
      <w:pPr>
        <w:spacing w:before="164"/>
        <w:ind w:left="152" w:right="1104"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129" w:firstLine="482"/>
        <w:jc w:val="both"/>
      </w:pPr>
      <w:r>
        <w:rPr>
          <w:rFonts w:ascii="宋体" w:hAnsi="宋体" w:cs="宋体" w:eastAsia="宋体" w:hint="default"/>
          <w:spacing w:val="-3"/>
        </w:rPr>
        <w:t>1</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18</w:t>
      </w:r>
      <w:r>
        <w:rPr>
          <w:spacing w:val="-3"/>
        </w:rPr>
        <w:t>日，公司第四届董事会第一次会议和第四届监事会第一次会议审议通过</w:t>
      </w:r>
      <w:r>
        <w:rPr/>
        <w:t> </w:t>
      </w:r>
      <w:r>
        <w:rPr>
          <w:spacing w:val="-2"/>
        </w:rPr>
        <w:t>了《关于向激励对象授予股票期权与限制性股票的议案》。</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14</w:t>
      </w:r>
      <w:r>
        <w:rPr>
          <w:spacing w:val="-2"/>
        </w:rPr>
        <w:t>日，</w:t>
      </w:r>
      <w:r>
        <w:rPr>
          <w:rFonts w:ascii="宋体" w:hAnsi="宋体" w:cs="宋体" w:eastAsia="宋体" w:hint="default"/>
          <w:spacing w:val="-2"/>
        </w:rPr>
        <w:t>2018</w:t>
      </w:r>
      <w:r>
        <w:rPr>
          <w:spacing w:val="-2"/>
        </w:rPr>
        <w:t>年股票期权</w:t>
      </w:r>
      <w:r>
        <w:rPr>
          <w:spacing w:val="-107"/>
        </w:rPr>
        <w:t> </w:t>
      </w:r>
      <w:r>
        <w:rPr>
          <w:spacing w:val="-107"/>
        </w:rPr>
      </w:r>
      <w:r>
        <w:rPr/>
        <w:t>与限制性股票激励计划限制性股票授予登记完成。</w:t>
      </w:r>
    </w:p>
    <w:p>
      <w:pPr>
        <w:pStyle w:val="BodyText"/>
        <w:spacing w:line="357" w:lineRule="auto"/>
        <w:ind w:right="1132" w:firstLine="482"/>
        <w:jc w:val="both"/>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22</w:t>
      </w:r>
      <w:r>
        <w:rPr/>
        <w:t>日，公司召开第四届董事会第二次会议审议通过了《关于回购注销部分 </w:t>
      </w:r>
      <w:r>
        <w:rPr>
          <w:spacing w:val="-2"/>
        </w:rPr>
        <w:t>限制性股票的议案》，公司于</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日在中国登记结算有限责任公司深圳分公司完成回</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1104"/>
        <w:jc w:val="left"/>
      </w:pPr>
      <w:r>
        <w:rPr/>
        <w:t>购注销登记。</w:t>
      </w:r>
    </w:p>
    <w:p>
      <w:pPr>
        <w:spacing w:before="164"/>
        <w:ind w:left="152" w:right="1104"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4"/>
        <w:ind w:left="635" w:right="1104"/>
        <w:jc w:val="left"/>
      </w:pPr>
      <w:r>
        <w:rPr/>
        <w:t>以上股份均已办理完成登记过户。</w:t>
      </w:r>
    </w:p>
    <w:p>
      <w:pPr>
        <w:spacing w:before="164"/>
        <w:ind w:left="152" w:right="1104"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130" w:firstLine="482"/>
        <w:jc w:val="both"/>
      </w:pP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日，公司召开第四届董事会第二次会议审议通过了《关于回购注销部分限制</w:t>
      </w:r>
      <w:r>
        <w:rPr/>
        <w:t> </w:t>
      </w:r>
      <w:r>
        <w:rPr>
          <w:spacing w:val="-2"/>
        </w:rPr>
        <w:t>性股票的议案》，公司于</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日在中国登记结算有限责任公司深圳分公司完成回购注</w:t>
      </w:r>
      <w:r>
        <w:rPr>
          <w:spacing w:val="-114"/>
        </w:rPr>
        <w:t> </w:t>
      </w:r>
      <w:r>
        <w:rPr/>
        <w:t>销登记。</w:t>
      </w:r>
    </w:p>
    <w:p>
      <w:pPr>
        <w:spacing w:before="46"/>
        <w:ind w:left="152" w:right="1104"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1"/>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129" w:firstLine="482"/>
        <w:jc w:val="both"/>
      </w:pPr>
      <w:r>
        <w:rPr>
          <w:spacing w:val="19"/>
        </w:rPr>
        <w:t>报告期内，公司因股权激励计划登记和注销，</w:t>
      </w:r>
      <w:r>
        <w:rPr>
          <w:spacing w:val="-96"/>
        </w:rPr>
        <w:t> </w:t>
      </w:r>
      <w:r>
        <w:rPr>
          <w:spacing w:val="18"/>
        </w:rPr>
        <w:t>公司股份总数由</w:t>
      </w:r>
      <w:r>
        <w:rPr>
          <w:spacing w:val="-93"/>
        </w:rPr>
        <w:t> </w:t>
      </w:r>
      <w:r>
        <w:rPr>
          <w:rFonts w:ascii="宋体" w:hAnsi="宋体" w:cs="宋体" w:eastAsia="宋体" w:hint="default"/>
        </w:rPr>
        <w:t>424,340,905</w:t>
      </w:r>
      <w:r>
        <w:rPr>
          <w:rFonts w:ascii="宋体" w:hAnsi="宋体" w:cs="宋体" w:eastAsia="宋体" w:hint="default"/>
          <w:spacing w:val="-95"/>
        </w:rPr>
        <w:t> </w:t>
      </w:r>
      <w:r>
        <w:rPr>
          <w:spacing w:val="13"/>
        </w:rPr>
        <w:t>股变为</w:t>
      </w:r>
      <w:r>
        <w:rPr/>
        <w:t> </w:t>
      </w:r>
      <w:r>
        <w:rPr>
          <w:rFonts w:ascii="宋体" w:hAnsi="宋体" w:cs="宋体" w:eastAsia="宋体" w:hint="default"/>
          <w:spacing w:val="-2"/>
        </w:rPr>
        <w:t>426,552,605</w:t>
      </w:r>
      <w:r>
        <w:rPr>
          <w:spacing w:val="-2"/>
        </w:rPr>
        <w:t>股。基本每股收益、稀释每股收益、归属于公司普通股股东的每股净资产等各项</w:t>
      </w:r>
      <w:r>
        <w:rPr>
          <w:spacing w:val="-109"/>
        </w:rPr>
        <w:t> </w:t>
      </w:r>
      <w:r>
        <w:rPr>
          <w:spacing w:val="-109"/>
        </w:rPr>
      </w:r>
      <w:r>
        <w:rPr/>
        <w:t>数据按新股本</w:t>
      </w:r>
      <w:r>
        <w:rPr>
          <w:rFonts w:ascii="宋体" w:hAnsi="宋体" w:cs="宋体" w:eastAsia="宋体" w:hint="default"/>
        </w:rPr>
        <w:t>426,552,605</w:t>
      </w:r>
      <w:r>
        <w:rPr/>
        <w:t>股计算。</w:t>
      </w:r>
    </w:p>
    <w:p>
      <w:pPr>
        <w:spacing w:before="47"/>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356"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90,308,110</w:t>
            </w:r>
          </w:p>
        </w:tc>
        <w:tc>
          <w:tcPr>
            <w:tcW w:w="1488"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90,308,110</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9"/>
              <w:jc w:val="left"/>
              <w:rPr>
                <w:rFonts w:ascii="宋体" w:hAnsi="宋体" w:cs="宋体" w:eastAsia="宋体" w:hint="default"/>
                <w:sz w:val="18"/>
                <w:szCs w:val="18"/>
              </w:rPr>
            </w:pPr>
            <w:r>
              <w:rPr>
                <w:rFonts w:ascii="宋体" w:hAnsi="宋体" w:cs="宋体" w:eastAsia="宋体" w:hint="default"/>
                <w:sz w:val="18"/>
                <w:szCs w:val="18"/>
              </w:rPr>
              <w:t>年第一个交易 日解锁其拥有</w:t>
            </w:r>
          </w:p>
        </w:tc>
      </w:tr>
      <w:tr>
        <w:trPr>
          <w:trHeight w:val="357"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20,725,796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20,725,796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个月解除锁定</w:t>
            </w:r>
          </w:p>
        </w:tc>
      </w:tr>
      <w:tr>
        <w:trPr>
          <w:trHeight w:val="355"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6,268,293</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4,908,293</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9"/>
              <w:jc w:val="left"/>
              <w:rPr>
                <w:rFonts w:ascii="宋体" w:hAnsi="宋体" w:cs="宋体" w:eastAsia="宋体" w:hint="default"/>
                <w:sz w:val="18"/>
                <w:szCs w:val="18"/>
              </w:rPr>
            </w:pPr>
            <w:r>
              <w:rPr>
                <w:rFonts w:ascii="宋体" w:hAnsi="宋体" w:cs="宋体" w:eastAsia="宋体" w:hint="default"/>
                <w:sz w:val="18"/>
                <w:szCs w:val="18"/>
              </w:rPr>
              <w:t>年第一个交易 日解锁其拥有</w:t>
            </w:r>
          </w:p>
        </w:tc>
      </w:tr>
      <w:tr>
        <w:trPr>
          <w:trHeight w:val="357"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7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1,739,850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1,499,850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高管锁定股每 年第一个交易</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675"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0"/>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日解锁其拥有 公司份的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355"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1,488,150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1,328,150</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9"/>
              <w:jc w:val="left"/>
              <w:rPr>
                <w:rFonts w:ascii="宋体" w:hAnsi="宋体" w:cs="宋体" w:eastAsia="宋体" w:hint="default"/>
                <w:sz w:val="18"/>
                <w:szCs w:val="18"/>
              </w:rPr>
            </w:pPr>
            <w:r>
              <w:rPr>
                <w:rFonts w:ascii="宋体" w:hAnsi="宋体" w:cs="宋体" w:eastAsia="宋体" w:hint="default"/>
                <w:sz w:val="18"/>
                <w:szCs w:val="18"/>
              </w:rPr>
              <w:t>年第一个交易 日解锁其拥有</w:t>
            </w:r>
          </w:p>
        </w:tc>
      </w:tr>
      <w:tr>
        <w:trPr>
          <w:trHeight w:val="357"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46"/>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355"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9"/>
              <w:jc w:val="left"/>
              <w:rPr>
                <w:rFonts w:ascii="宋体" w:hAnsi="宋体" w:cs="宋体" w:eastAsia="宋体" w:hint="default"/>
                <w:sz w:val="18"/>
                <w:szCs w:val="18"/>
              </w:rPr>
            </w:pPr>
            <w:r>
              <w:rPr>
                <w:rFonts w:ascii="宋体" w:hAnsi="宋体" w:cs="宋体" w:eastAsia="宋体" w:hint="default"/>
                <w:sz w:val="18"/>
                <w:szCs w:val="18"/>
              </w:rPr>
              <w:t>年第一个交易 日解锁其拥有</w:t>
            </w:r>
          </w:p>
        </w:tc>
      </w:tr>
      <w:tr>
        <w:trPr>
          <w:trHeight w:val="360"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46"/>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356"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354,750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298,750</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9"/>
              <w:jc w:val="left"/>
              <w:rPr>
                <w:rFonts w:ascii="宋体" w:hAnsi="宋体" w:cs="宋体" w:eastAsia="宋体" w:hint="default"/>
                <w:sz w:val="18"/>
                <w:szCs w:val="18"/>
              </w:rPr>
            </w:pPr>
            <w:r>
              <w:rPr>
                <w:rFonts w:ascii="宋体" w:hAnsi="宋体" w:cs="宋体" w:eastAsia="宋体" w:hint="default"/>
                <w:sz w:val="18"/>
                <w:szCs w:val="18"/>
              </w:rPr>
              <w:t>年第一个交易 日解锁其拥有</w:t>
            </w:r>
          </w:p>
        </w:tc>
      </w:tr>
      <w:tr>
        <w:trPr>
          <w:trHeight w:val="357"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46"/>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355" w:hRule="exact"/>
        </w:trPr>
        <w:tc>
          <w:tcPr>
            <w:tcW w:w="1208"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459,140</w:t>
            </w:r>
          </w:p>
        </w:tc>
        <w:tc>
          <w:tcPr>
            <w:tcW w:w="1488"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299,140</w:t>
            </w:r>
          </w:p>
        </w:tc>
        <w:tc>
          <w:tcPr>
            <w:tcW w:w="120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9"/>
              <w:jc w:val="left"/>
              <w:rPr>
                <w:rFonts w:ascii="宋体" w:hAnsi="宋体" w:cs="宋体" w:eastAsia="宋体" w:hint="default"/>
                <w:sz w:val="18"/>
                <w:szCs w:val="18"/>
              </w:rPr>
            </w:pPr>
            <w:r>
              <w:rPr>
                <w:rFonts w:ascii="宋体" w:hAnsi="宋体" w:cs="宋体" w:eastAsia="宋体" w:hint="default"/>
                <w:sz w:val="18"/>
                <w:szCs w:val="18"/>
              </w:rPr>
              <w:t>年第一个交易 日解锁其拥有</w:t>
            </w:r>
          </w:p>
        </w:tc>
      </w:tr>
      <w:tr>
        <w:trPr>
          <w:trHeight w:val="360" w:hRule="exact"/>
        </w:trPr>
        <w:tc>
          <w:tcPr>
            <w:tcW w:w="1208"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46"/>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公司份的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 股票激励计划</w:t>
            </w:r>
          </w:p>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（除高管外）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2,892,300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2,892,300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89"/>
              <w:jc w:val="left"/>
              <w:rPr>
                <w:rFonts w:ascii="宋体" w:hAnsi="宋体" w:cs="宋体" w:eastAsia="宋体" w:hint="default"/>
                <w:sz w:val="18"/>
                <w:szCs w:val="18"/>
              </w:rPr>
            </w:pPr>
            <w:r>
              <w:rPr>
                <w:rFonts w:ascii="宋体" w:hAnsi="宋体" w:cs="宋体" w:eastAsia="宋体" w:hint="default"/>
                <w:sz w:val="18"/>
                <w:szCs w:val="18"/>
              </w:rPr>
              <w:t>根据股权激励 计划解除限售</w:t>
            </w: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年股票 期权与限制性 股票激励计划</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6,040,000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9"/>
              <w:jc w:val="left"/>
              <w:rPr>
                <w:rFonts w:ascii="宋体" w:hAnsi="宋体" w:cs="宋体" w:eastAsia="宋体" w:hint="default"/>
                <w:sz w:val="18"/>
                <w:szCs w:val="18"/>
              </w:rPr>
            </w:pPr>
            <w:r>
              <w:rPr>
                <w:rFonts w:ascii="宋体" w:hAnsi="宋体" w:cs="宋体" w:eastAsia="宋体" w:hint="default"/>
                <w:sz w:val="18"/>
                <w:szCs w:val="18"/>
              </w:rPr>
              <w:t>根据股权激励 计划解除限售</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124,536,389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25,754,096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104,822,293</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0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年股票期权 与限制性股票激 励计划股票期权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6,040,000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6,040,000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5" w:right="986"/>
        <w:jc w:val="left"/>
        <w:rPr>
          <w:rFonts w:ascii="宋体" w:hAnsi="宋体" w:cs="宋体" w:eastAsia="宋体" w:hint="default"/>
        </w:rPr>
      </w:pPr>
      <w:r>
        <w:rPr>
          <w:rFonts w:ascii="宋体" w:hAnsi="宋体" w:cs="宋体" w:eastAsia="宋体" w:hint="default"/>
        </w:rPr>
        <w:t>2018</w:t>
      </w:r>
      <w:r>
        <w:rPr/>
        <w:t>年股票期权与限制性股票激励计划限制性股票授予登记完成，增加限售股</w:t>
      </w:r>
      <w:r>
        <w:rPr>
          <w:rFonts w:ascii="宋体" w:hAnsi="宋体" w:cs="宋体" w:eastAsia="宋体" w:hint="default"/>
        </w:rPr>
        <w:t>6,040,000</w:t>
      </w:r>
    </w:p>
    <w:p>
      <w:pPr>
        <w:pStyle w:val="BodyText"/>
        <w:spacing w:line="240" w:lineRule="auto" w:before="154"/>
        <w:ind w:right="1104"/>
        <w:jc w:val="left"/>
      </w:pPr>
      <w:r>
        <w:rPr/>
        <w:t>股。</w:t>
      </w:r>
    </w:p>
    <w:p>
      <w:pPr>
        <w:spacing w:line="240" w:lineRule="auto" w:before="13"/>
        <w:rPr>
          <w:rFonts w:ascii="宋体" w:hAnsi="宋体" w:cs="宋体" w:eastAsia="宋体" w:hint="default"/>
          <w:sz w:val="27"/>
          <w:szCs w:val="27"/>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2"/>
        <w:ind w:left="635" w:right="1104"/>
        <w:jc w:val="left"/>
      </w:pPr>
      <w:r>
        <w:rPr>
          <w:rFonts w:ascii="宋体" w:hAnsi="宋体" w:cs="宋体" w:eastAsia="宋体" w:hint="default"/>
          <w:spacing w:val="15"/>
        </w:rPr>
        <w:t>1</w:t>
      </w:r>
      <w:r>
        <w:rPr>
          <w:spacing w:val="15"/>
        </w:rPr>
        <w:t>、</w:t>
      </w:r>
      <w:r>
        <w:rPr>
          <w:rFonts w:ascii="宋体" w:hAnsi="宋体" w:cs="宋体" w:eastAsia="宋体" w:hint="default"/>
          <w:spacing w:val="15"/>
        </w:rPr>
        <w:t>2018</w:t>
      </w:r>
      <w:r>
        <w:rPr>
          <w:spacing w:val="15"/>
        </w:rPr>
        <w:t>年股票期权与限制性股票激励计划限制性股票授予登记完成，增加限售股</w:t>
      </w:r>
    </w:p>
    <w:p>
      <w:pPr>
        <w:pStyle w:val="BodyText"/>
        <w:spacing w:line="240" w:lineRule="auto" w:before="154"/>
        <w:ind w:right="1104"/>
        <w:jc w:val="left"/>
      </w:pPr>
      <w:r>
        <w:rPr>
          <w:rFonts w:ascii="宋体" w:hAnsi="宋体" w:cs="宋体" w:eastAsia="宋体" w:hint="default"/>
        </w:rPr>
        <w:t>6,040,000</w:t>
      </w:r>
      <w:r>
        <w:rPr/>
        <w:t>股。</w:t>
      </w:r>
    </w:p>
    <w:p>
      <w:pPr>
        <w:pStyle w:val="BodyText"/>
        <w:spacing w:line="240" w:lineRule="auto" w:before="154"/>
        <w:ind w:left="635" w:right="1104"/>
        <w:jc w:val="left"/>
      </w:pPr>
      <w:r>
        <w:rPr>
          <w:rFonts w:ascii="宋体" w:hAnsi="宋体" w:cs="宋体" w:eastAsia="宋体" w:hint="default"/>
        </w:rPr>
        <w:t>2</w:t>
      </w:r>
      <w:r>
        <w:rPr/>
        <w:t>、回购注销部分</w:t>
      </w:r>
      <w:r>
        <w:rPr>
          <w:rFonts w:ascii="宋体" w:hAnsi="宋体" w:cs="宋体" w:eastAsia="宋体" w:hint="default"/>
        </w:rPr>
        <w:t>2016</w:t>
      </w:r>
      <w:r>
        <w:rPr/>
        <w:t>年限制性股票激励计划股票，减少限售股</w:t>
      </w:r>
      <w:r>
        <w:rPr>
          <w:rFonts w:ascii="宋体" w:hAnsi="宋体" w:cs="宋体" w:eastAsia="宋体" w:hint="default"/>
        </w:rPr>
        <w:t>3,828,300</w:t>
      </w:r>
      <w:r>
        <w:rPr/>
        <w:t>股。</w:t>
      </w:r>
    </w:p>
    <w:p>
      <w:pPr>
        <w:spacing w:line="240" w:lineRule="auto" w:before="10"/>
        <w:rPr>
          <w:rFonts w:ascii="宋体" w:hAnsi="宋体" w:cs="宋体" w:eastAsia="宋体" w:hint="default"/>
          <w:sz w:val="30"/>
          <w:szCs w:val="30"/>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30"/>
        <w:gridCol w:w="3848"/>
        <w:gridCol w:w="3193"/>
      </w:tblGrid>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20,575,000</w:t>
            </w:r>
          </w:p>
        </w:tc>
      </w:tr>
      <w:tr>
        <w:trPr>
          <w:trHeight w:val="403"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6,040,000</w:t>
            </w:r>
          </w:p>
        </w:tc>
      </w:tr>
      <w:tr>
        <w:trPr>
          <w:trHeight w:val="1028"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年股票期权与限制性股票激励计划股票期权登记完成，向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激励对象授予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20575000 </w:t>
            </w:r>
            <w:r>
              <w:rPr>
                <w:rFonts w:ascii="宋体" w:hAnsi="宋体" w:cs="宋体" w:eastAsia="宋体" w:hint="default"/>
                <w:sz w:val="18"/>
                <w:szCs w:val="18"/>
              </w:rPr>
              <w:t>股股票期权。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年股票期权与限制性股票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激励计划股票限制性股票登记完成，向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203 </w:t>
            </w:r>
            <w:r>
              <w:rPr>
                <w:rFonts w:ascii="宋体" w:hAnsi="宋体" w:cs="宋体" w:eastAsia="宋体" w:hint="default"/>
                <w:sz w:val="18"/>
                <w:szCs w:val="18"/>
              </w:rPr>
              <w:t>名激励对象授予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6040000 </w:t>
            </w:r>
            <w:r>
              <w:rPr>
                <w:rFonts w:ascii="宋体" w:hAnsi="宋体" w:cs="宋体" w:eastAsia="宋体" w:hint="default"/>
                <w:sz w:val="18"/>
                <w:szCs w:val="18"/>
              </w:rPr>
              <w:t>股。</w:t>
            </w:r>
          </w:p>
        </w:tc>
      </w:tr>
    </w:tbl>
    <w:p>
      <w:pPr>
        <w:spacing w:line="240" w:lineRule="auto" w:before="1"/>
        <w:rPr>
          <w:rFonts w:ascii="宋体" w:hAnsi="宋体" w:cs="宋体" w:eastAsia="宋体" w:hint="default"/>
          <w:sz w:val="18"/>
          <w:szCs w:val="18"/>
        </w:rPr>
      </w:pPr>
    </w:p>
    <w:p>
      <w:pPr>
        <w:pStyle w:val="Heading2"/>
        <w:spacing w:line="240" w:lineRule="auto" w:before="26"/>
        <w:ind w:right="1104"/>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329.709991pt;margin-top:70.701714pt;width:52.6pt;height:31.2pt;mso-position-horizontal-relative:page;mso-position-vertical-relative:paragraph;z-index:-1045864" coordorigin="6594,1414" coordsize="1052,624">
            <v:shape style="position:absolute;left:6594;top:1414;width:1052;height:624" coordorigin="6594,1414" coordsize="1052,624" path="m6594,2038l7645,2038,7645,1414,6594,1414,6594,2038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46,739</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42,388</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7"/>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FFFFFF"/>
            </w:tcBorders>
            <w:shd w:val="clear" w:color="auto" w:fill="D2D2D2"/>
          </w:tcPr>
          <w:p>
            <w:pPr/>
          </w:p>
        </w:tc>
        <w:tc>
          <w:tcPr>
            <w:tcW w:w="1075" w:type="dxa"/>
            <w:tcBorders>
              <w:top w:val="single" w:sz="4" w:space="0" w:color="000000"/>
              <w:left w:val="single" w:sz="4" w:space="0" w:color="FFFFFF"/>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FFFFFF"/>
            </w:tcBorders>
            <w:shd w:val="clear" w:color="auto" w:fill="D2D2D2"/>
          </w:tcPr>
          <w:p>
            <w:pPr/>
          </w:p>
        </w:tc>
        <w:tc>
          <w:tcPr>
            <w:tcW w:w="107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42"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FFFFFF"/>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FFFFFF"/>
            </w:tcBorders>
            <w:shd w:val="clear" w:color="auto" w:fill="D2D2D2"/>
          </w:tcPr>
          <w:p>
            <w:pPr/>
          </w:p>
        </w:tc>
        <w:tc>
          <w:tcPr>
            <w:tcW w:w="1075" w:type="dxa"/>
            <w:vMerge/>
            <w:tcBorders>
              <w:left w:val="single" w:sz="4" w:space="0" w:color="FFFFFF"/>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FFFFFF"/>
            </w:tcBorders>
            <w:shd w:val="clear" w:color="auto" w:fill="D2D2D2"/>
          </w:tcPr>
          <w:p>
            <w:pPr/>
          </w:p>
        </w:tc>
        <w:tc>
          <w:tcPr>
            <w:tcW w:w="1075" w:type="dxa"/>
            <w:vMerge/>
            <w:tcBorders>
              <w:left w:val="single" w:sz="4" w:space="0" w:color="FFFFFF"/>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FFFFFF"/>
            </w:tcBorders>
            <w:shd w:val="clear" w:color="auto" w:fill="D2D2D2"/>
          </w:tcPr>
          <w:p>
            <w:pPr/>
          </w:p>
        </w:tc>
        <w:tc>
          <w:tcPr>
            <w:tcW w:w="1075" w:type="dxa"/>
            <w:tcBorders>
              <w:top w:val="nil" w:sz="6" w:space="0" w:color="auto"/>
              <w:left w:val="single" w:sz="4" w:space="0" w:color="FFFFFF"/>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28.23%</w:t>
            </w:r>
          </w:p>
        </w:tc>
        <w:tc>
          <w:tcPr>
            <w:tcW w:w="107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120,410,814</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90,308,110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30,102,704</w:t>
            </w:r>
          </w:p>
        </w:tc>
        <w:tc>
          <w:tcPr>
            <w:tcW w:w="1063" w:type="dxa"/>
            <w:tcBorders>
              <w:top w:val="single" w:sz="44" w:space="0" w:color="D2D2D2"/>
              <w:left w:val="single" w:sz="4" w:space="0" w:color="000000"/>
              <w:bottom w:val="single" w:sz="4" w:space="0" w:color="000000"/>
              <w:right w:val="single" w:sz="4" w:space="0" w:color="000000"/>
            </w:tcBorders>
          </w:tcPr>
          <w:p>
            <w:pPr/>
          </w:p>
        </w:tc>
        <w:tc>
          <w:tcPr>
            <w:tcW w:w="1064" w:type="dxa"/>
            <w:tcBorders>
              <w:top w:val="single" w:sz="44" w:space="0" w:color="D2D2D2"/>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3.67%</w:t>
            </w:r>
          </w:p>
        </w:tc>
        <w:tc>
          <w:tcPr>
            <w:tcW w:w="107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15,659,632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-5066164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15,149,632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安徽省铁路发 展基金股份有 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1.98%</w:t>
            </w:r>
          </w:p>
        </w:tc>
        <w:tc>
          <w:tcPr>
            <w:tcW w:w="107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8,450,940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8,450,940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4,225,000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05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6,597,724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4,908,293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1,689,431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-1137546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左智敏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5,576,199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5,576,199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5,568,156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5,568,156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2,024,200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1,528,150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496,050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1,979,800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1,799,850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179,950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1,555,145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1,555,145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安徽省铁路发展基金股份有限公司因公司非公开股票成为公司前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w:t>
            </w:r>
          </w:p>
        </w:tc>
      </w:tr>
      <w:tr>
        <w:trPr>
          <w:trHeight w:val="714"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316" w:lineRule="auto" w:before="49"/>
              <w:ind w:left="13" w:right="23"/>
              <w:jc w:val="left"/>
              <w:rPr>
                <w:rFonts w:ascii="宋体" w:hAnsi="宋体" w:cs="宋体" w:eastAsia="宋体" w:hint="default"/>
                <w:sz w:val="18"/>
                <w:szCs w:val="18"/>
              </w:rPr>
            </w:pPr>
            <w:r>
              <w:rPr>
                <w:rFonts w:ascii="宋体" w:hAnsi="宋体" w:cs="宋体" w:eastAsia="宋体" w:hint="default"/>
                <w:spacing w:val="-3"/>
                <w:sz w:val="18"/>
                <w:szCs w:val="18"/>
              </w:rPr>
              <w:t>上述股东之间，未知是否存在关联系或属于《上市公司持变动信息披露管理办法》规定的一</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致行动人。</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30,102,704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30,102,704</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15,149,632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15,149,632</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安徽省铁路发展基金股份有限 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8,450,940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8,450,940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左智敏</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5,576,199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5,576,199</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5,568,156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5,568,156</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1,689,431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1,689,431</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陈睿</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1,555,145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1,555,145</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沈希洪</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1,257,163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1,257,163</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胡刚</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1,235,000</w:t>
            </w:r>
          </w:p>
        </w:tc>
      </w:tr>
      <w:tr>
        <w:trPr>
          <w:trHeight w:val="987"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w:t>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pacing w:val="-3"/>
                <w:sz w:val="18"/>
                <w:szCs w:val="18"/>
              </w:rPr>
              <w:t>上述股东之间，未知是否存在关联系或属于《上市公司持变动信息披露管理办法》规定的一</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致行动人。</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7"/>
        <w:gridCol w:w="7173"/>
      </w:tblGrid>
      <w:tr>
        <w:trPr>
          <w:trHeight w:val="36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关系或一致行动的说明</w:t>
            </w:r>
          </w:p>
        </w:tc>
        <w:tc>
          <w:tcPr>
            <w:tcW w:w="717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2"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公司董事长、控股股东及实际控制人</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2" w:right="110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4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公司董事长、控股股东及实际控制人</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7"/>
        <w:ind w:left="152" w:right="110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4065" w:lineRule="exact"/>
        <w:ind w:left="135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202" cy="258127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4590202"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2"/>
        <w:rPr>
          <w:rFonts w:ascii="宋体" w:hAnsi="宋体" w:cs="宋体" w:eastAsia="宋体" w:hint="default"/>
          <w:sz w:val="22"/>
          <w:szCs w:val="22"/>
        </w:rPr>
      </w:pPr>
    </w:p>
    <w:p>
      <w:pPr>
        <w:pStyle w:val="BodyText"/>
        <w:spacing w:line="240" w:lineRule="auto" w:before="26"/>
        <w:ind w:right="1104"/>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04"/>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04"/>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04"/>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0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51" w:right="0"/>
              <w:jc w:val="left"/>
              <w:rPr>
                <w:rFonts w:ascii="宋体" w:hAnsi="宋体" w:cs="宋体" w:eastAsia="宋体" w:hint="default"/>
                <w:sz w:val="18"/>
                <w:szCs w:val="18"/>
              </w:rPr>
            </w:pPr>
            <w:r>
              <w:rPr>
                <w:rFonts w:ascii="宋体" w:hAnsi="宋体" w:cs="宋体" w:eastAsia="宋体" w:hint="default"/>
                <w:spacing w:val="-97"/>
                <w:sz w:val="18"/>
                <w:szCs w:val="18"/>
              </w:rPr>
              <w:t>）</w:t>
            </w:r>
            <w:r>
              <w:rPr>
                <w:rFonts w:ascii="宋体" w:hAnsi="宋体" w:cs="宋体" w:eastAsia="宋体" w:hint="default"/>
                <w:sz w:val="18"/>
                <w:szCs w:val="18"/>
              </w:rPr>
              <w:t>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120,410,8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120,410,8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612,187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499,140</w:t>
            </w: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2,319,800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1,979,800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6,757,724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6,597,724</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董事、高 级副总 裁、董事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1,984,200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2,024,200</w:t>
            </w: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刘先林</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邬伦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361"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幸帮艳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许菲</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473,000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64,000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537,000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132,957,7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-553,047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132,488,6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1"/>
        <w:rPr>
          <w:rFonts w:ascii="宋体" w:hAnsi="宋体" w:cs="宋体" w:eastAsia="宋体" w:hint="default"/>
          <w:b/>
          <w:bCs/>
          <w:sz w:val="18"/>
          <w:szCs w:val="18"/>
        </w:rPr>
      </w:pPr>
    </w:p>
    <w:p>
      <w:pPr>
        <w:pStyle w:val="Heading2"/>
        <w:spacing w:line="240" w:lineRule="auto" w:before="26"/>
        <w:ind w:right="1104"/>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04"/>
        <w:jc w:val="left"/>
        <w:rPr>
          <w:b w:val="0"/>
          <w:bCs w:val="0"/>
        </w:rPr>
      </w:pPr>
      <w:r>
        <w:rPr/>
        <w:t>三、任职情况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26"/>
        <w:ind w:left="633" w:right="1104"/>
        <w:jc w:val="left"/>
      </w:pPr>
      <w:r>
        <w:rPr/>
        <w:t>公司现任董事、监事、高级管理人员专业背景、主要工作经历以及目前在公司的主要职</w:t>
      </w:r>
    </w:p>
    <w:p>
      <w:pPr>
        <w:pStyle w:val="BodyText"/>
        <w:spacing w:line="240" w:lineRule="auto" w:before="154"/>
        <w:ind w:right="1104"/>
        <w:jc w:val="left"/>
      </w:pPr>
      <w:r>
        <w:rPr/>
        <w:t>责</w:t>
      </w:r>
    </w:p>
    <w:p>
      <w:pPr>
        <w:pStyle w:val="BodyText"/>
        <w:spacing w:line="357" w:lineRule="auto" w:before="154"/>
        <w:ind w:left="633" w:right="1104"/>
        <w:jc w:val="left"/>
      </w:pPr>
      <w:r>
        <w:rPr>
          <w:rFonts w:ascii="宋体" w:hAnsi="宋体" w:cs="宋体" w:eastAsia="宋体" w:hint="default"/>
        </w:rPr>
        <w:t>1.</w:t>
      </w:r>
      <w:r>
        <w:rPr/>
        <w:t>公司现任董事 吴强华，男，</w:t>
      </w:r>
      <w:r>
        <w:rPr>
          <w:rFonts w:ascii="宋体" w:hAnsi="宋体" w:cs="宋体" w:eastAsia="宋体" w:hint="default"/>
        </w:rPr>
        <w:t>50</w:t>
      </w:r>
      <w:r>
        <w:rPr/>
        <w:t>岁，中国国籍，无境外居留权。</w:t>
      </w:r>
      <w:r>
        <w:rPr>
          <w:rFonts w:ascii="宋体" w:hAnsi="宋体" w:cs="宋体" w:eastAsia="宋体" w:hint="default"/>
        </w:rPr>
        <w:t>1994</w:t>
      </w:r>
      <w:r>
        <w:rPr/>
        <w:t>年毕业于北京林业大学，研究生学</w:t>
      </w:r>
    </w:p>
    <w:p>
      <w:pPr>
        <w:pStyle w:val="BodyText"/>
        <w:spacing w:line="357" w:lineRule="auto"/>
        <w:ind w:left="0" w:right="1137"/>
        <w:jc w:val="right"/>
      </w:pPr>
      <w:r>
        <w:rPr/>
        <w:t>历，地理信息和测绘专业教授级高级工程师。</w:t>
      </w:r>
      <w:r>
        <w:rPr>
          <w:rFonts w:ascii="宋体" w:hAnsi="宋体" w:cs="宋体" w:eastAsia="宋体" w:hint="default"/>
        </w:rPr>
        <w:t>1994</w:t>
      </w:r>
      <w:r>
        <w:rPr/>
        <w:t>年至</w:t>
      </w:r>
      <w:r>
        <w:rPr>
          <w:rFonts w:ascii="宋体" w:hAnsi="宋体" w:cs="宋体" w:eastAsia="宋体" w:hint="default"/>
        </w:rPr>
        <w:t>2002</w:t>
      </w:r>
      <w:r>
        <w:rPr/>
        <w:t>年担任北京建设电子信息工程公</w:t>
      </w:r>
      <w:r>
        <w:rPr>
          <w:spacing w:val="-100"/>
        </w:rPr>
        <w:t> </w:t>
      </w:r>
      <w:r>
        <w:rPr>
          <w:spacing w:val="-100"/>
        </w:rPr>
      </w:r>
      <w:r>
        <w:rPr/>
        <w:t>司研发工程师、技术部经理；</w:t>
      </w:r>
      <w:r>
        <w:rPr>
          <w:rFonts w:ascii="宋体" w:hAnsi="宋体" w:cs="宋体" w:eastAsia="宋体" w:hint="default"/>
        </w:rPr>
        <w:t>2003</w:t>
      </w:r>
      <w:r>
        <w:rPr/>
        <w:t>年加入数字政通，历任董事长、总裁，现任公司董事长。 王东，男，</w:t>
      </w:r>
      <w:r>
        <w:rPr>
          <w:rFonts w:ascii="宋体" w:hAnsi="宋体" w:cs="宋体" w:eastAsia="宋体" w:hint="default"/>
        </w:rPr>
        <w:t>49</w:t>
      </w:r>
      <w:r>
        <w:rPr/>
        <w:t>岁，中国国籍，无境外居留权。研究生学历。</w:t>
      </w:r>
      <w:r>
        <w:rPr>
          <w:rFonts w:ascii="宋体" w:hAnsi="宋体" w:cs="宋体" w:eastAsia="宋体" w:hint="default"/>
        </w:rPr>
        <w:t>2010</w:t>
      </w:r>
      <w:r>
        <w:rPr/>
        <w:t>年</w:t>
      </w:r>
      <w:r>
        <w:rPr>
          <w:rFonts w:ascii="宋体" w:hAnsi="宋体" w:cs="宋体" w:eastAsia="宋体" w:hint="default"/>
        </w:rPr>
        <w:t>11</w:t>
      </w:r>
      <w:r>
        <w:rPr/>
        <w:t>月加入数字政通，</w:t>
      </w:r>
    </w:p>
    <w:p>
      <w:pPr>
        <w:pStyle w:val="BodyText"/>
        <w:spacing w:line="357" w:lineRule="auto"/>
        <w:ind w:left="633" w:right="1104" w:hanging="481"/>
        <w:jc w:val="left"/>
      </w:pPr>
      <w:r>
        <w:rPr/>
        <w:t>历任公司副总裁，现任公司董事、总裁。 胡环宇，男，</w:t>
      </w:r>
      <w:r>
        <w:rPr>
          <w:rFonts w:ascii="宋体" w:hAnsi="宋体" w:cs="宋体" w:eastAsia="宋体" w:hint="default"/>
        </w:rPr>
        <w:t>41</w:t>
      </w:r>
      <w:r>
        <w:rPr/>
        <w:t>岁，中国国籍，无境外居留权。</w:t>
      </w:r>
      <w:r>
        <w:rPr>
          <w:rFonts w:ascii="宋体" w:hAnsi="宋体" w:cs="宋体" w:eastAsia="宋体" w:hint="default"/>
        </w:rPr>
        <w:t>2004</w:t>
      </w:r>
      <w:r>
        <w:rPr/>
        <w:t>年毕业于北京科技大学。</w:t>
      </w:r>
      <w:r>
        <w:rPr>
          <w:rFonts w:ascii="宋体" w:hAnsi="宋体" w:cs="宋体" w:eastAsia="宋体" w:hint="default"/>
        </w:rPr>
        <w:t>2004</w:t>
      </w:r>
      <w:r>
        <w:rPr/>
        <w:t>年加</w:t>
      </w:r>
    </w:p>
    <w:p>
      <w:pPr>
        <w:pStyle w:val="BodyText"/>
        <w:spacing w:line="357" w:lineRule="auto"/>
        <w:ind w:right="1104"/>
        <w:jc w:val="left"/>
      </w:pPr>
      <w:r>
        <w:rPr/>
        <w:t>入数字政通，历任数字城管事业部工程部项目经理、数字城管事业部工程部经理、数字城管</w:t>
      </w:r>
      <w:r>
        <w:rPr>
          <w:spacing w:val="-91"/>
        </w:rPr>
        <w:t> </w:t>
      </w:r>
      <w:r>
        <w:rPr>
          <w:spacing w:val="-91"/>
        </w:rPr>
      </w:r>
      <w:r>
        <w:rPr/>
        <w:t>事业部副总经理、数字城管事业部总经理，现任公司董事。</w:t>
      </w:r>
    </w:p>
    <w:p>
      <w:pPr>
        <w:pStyle w:val="BodyText"/>
        <w:spacing w:line="357" w:lineRule="auto"/>
        <w:ind w:right="998" w:firstLine="480"/>
        <w:jc w:val="left"/>
      </w:pPr>
      <w:r>
        <w:rPr>
          <w:spacing w:val="-2"/>
        </w:rPr>
        <w:t>朱华，男，</w:t>
      </w:r>
      <w:r>
        <w:rPr>
          <w:rFonts w:ascii="宋体" w:hAnsi="宋体" w:cs="宋体" w:eastAsia="宋体" w:hint="default"/>
          <w:spacing w:val="-2"/>
        </w:rPr>
        <w:t>45</w:t>
      </w:r>
      <w:r>
        <w:rPr>
          <w:spacing w:val="-2"/>
        </w:rPr>
        <w:t>岁，中国国籍，无境外居留权。</w:t>
      </w:r>
      <w:r>
        <w:rPr>
          <w:rFonts w:ascii="宋体" w:hAnsi="宋体" w:cs="宋体" w:eastAsia="宋体" w:hint="default"/>
          <w:spacing w:val="-2"/>
        </w:rPr>
        <w:t>2000</w:t>
      </w:r>
      <w:r>
        <w:rPr>
          <w:spacing w:val="-2"/>
        </w:rPr>
        <w:t>年毕业于北京理工大学，研究生学历。</w:t>
      </w:r>
      <w:r>
        <w:rPr/>
        <w:t> </w:t>
      </w:r>
      <w:r>
        <w:rPr>
          <w:rFonts w:ascii="宋体" w:hAnsi="宋体" w:cs="宋体" w:eastAsia="宋体" w:hint="default"/>
        </w:rPr>
        <w:t>2000</w:t>
      </w:r>
      <w:r>
        <w:rPr/>
        <w:t>年至</w:t>
      </w:r>
      <w:r>
        <w:rPr>
          <w:rFonts w:ascii="宋体" w:hAnsi="宋体" w:cs="宋体" w:eastAsia="宋体" w:hint="default"/>
        </w:rPr>
        <w:t>2002</w:t>
      </w:r>
      <w:r>
        <w:rPr/>
        <w:t>年担任北京建设数字科技有限责任公司项目经理；</w:t>
      </w:r>
      <w:r>
        <w:rPr>
          <w:rFonts w:ascii="宋体" w:hAnsi="宋体" w:cs="宋体" w:eastAsia="宋体" w:hint="default"/>
        </w:rPr>
        <w:t>2002</w:t>
      </w:r>
      <w:r>
        <w:rPr/>
        <w:t>年加入数字政通，历任</w:t>
      </w:r>
      <w:r>
        <w:rPr>
          <w:spacing w:val="-88"/>
        </w:rPr>
        <w:t> </w:t>
      </w:r>
      <w:r>
        <w:rPr>
          <w:spacing w:val="-88"/>
        </w:rPr>
      </w:r>
      <w:r>
        <w:rPr/>
        <w:t>工程部经理、规划和国土事业部副总经理、规划和国土事业部总经理，现任公司董事、高级</w:t>
      </w:r>
      <w:r>
        <w:rPr>
          <w:spacing w:val="-91"/>
        </w:rPr>
        <w:t> </w:t>
      </w:r>
      <w:r>
        <w:rPr>
          <w:spacing w:val="-91"/>
        </w:rPr>
      </w:r>
      <w:r>
        <w:rPr/>
        <w:t>副总裁。</w:t>
      </w:r>
    </w:p>
    <w:p>
      <w:pPr>
        <w:pStyle w:val="BodyText"/>
        <w:spacing w:line="357" w:lineRule="auto"/>
        <w:ind w:right="1104" w:firstLine="480"/>
        <w:jc w:val="left"/>
      </w:pPr>
      <w:r>
        <w:rPr/>
        <w:t>王洪深，男，</w:t>
      </w:r>
      <w:r>
        <w:rPr>
          <w:rFonts w:ascii="宋体" w:hAnsi="宋体" w:cs="宋体" w:eastAsia="宋体" w:hint="default"/>
        </w:rPr>
        <w:t>43</w:t>
      </w:r>
      <w:r>
        <w:rPr/>
        <w:t>岁，中国国籍，无境外居留权。</w:t>
      </w:r>
      <w:r>
        <w:rPr>
          <w:rFonts w:ascii="宋体" w:hAnsi="宋体" w:cs="宋体" w:eastAsia="宋体" w:hint="default"/>
        </w:rPr>
        <w:t>2002</w:t>
      </w:r>
      <w:r>
        <w:rPr/>
        <w:t>年毕业于清华大学，研究生学历， 地理信息和测绘专业教授级高级工程师。</w:t>
      </w:r>
      <w:r>
        <w:rPr>
          <w:rFonts w:ascii="宋体" w:hAnsi="宋体" w:cs="宋体" w:eastAsia="宋体" w:hint="default"/>
        </w:rPr>
        <w:t>2002</w:t>
      </w:r>
      <w:r>
        <w:rPr/>
        <w:t>年加入数字政通，历任研发组组长、研发部经</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hanging="481"/>
        <w:jc w:val="left"/>
      </w:pPr>
      <w:r>
        <w:rPr/>
        <w:t>理、数字城管事业部副总经理、技术总监，现任公司董事、高级副总裁。 邱鲁闽，男，</w:t>
      </w:r>
      <w:r>
        <w:rPr>
          <w:rFonts w:ascii="宋体" w:hAnsi="宋体" w:cs="宋体" w:eastAsia="宋体" w:hint="default"/>
        </w:rPr>
        <w:t>44</w:t>
      </w:r>
      <w:r>
        <w:rPr/>
        <w:t>岁，中国国籍，无境外居留权。</w:t>
      </w:r>
      <w:r>
        <w:rPr>
          <w:rFonts w:ascii="宋体" w:hAnsi="宋体" w:cs="宋体" w:eastAsia="宋体" w:hint="default"/>
        </w:rPr>
        <w:t>2002</w:t>
      </w:r>
      <w:r>
        <w:rPr/>
        <w:t>年毕业于清华大学，研究生学历。</w:t>
      </w:r>
    </w:p>
    <w:p>
      <w:pPr>
        <w:pStyle w:val="BodyText"/>
        <w:spacing w:line="357" w:lineRule="auto"/>
        <w:ind w:right="1131"/>
        <w:jc w:val="both"/>
      </w:pPr>
      <w:r>
        <w:rPr>
          <w:spacing w:val="-2"/>
        </w:rPr>
        <w:t>曾任北京华胜天成科技股份有限公司投资总监及董事会秘书，</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月加入数字政通，现任</w:t>
      </w:r>
      <w:r>
        <w:rPr>
          <w:spacing w:val="-115"/>
        </w:rPr>
        <w:t> </w:t>
      </w:r>
      <w:r>
        <w:rPr>
          <w:spacing w:val="-115"/>
        </w:rPr>
      </w:r>
      <w:r>
        <w:rPr/>
        <w:t>公司董事、高级副总裁、董事会秘书。</w:t>
      </w:r>
    </w:p>
    <w:p>
      <w:pPr>
        <w:pStyle w:val="BodyText"/>
        <w:spacing w:line="357" w:lineRule="auto"/>
        <w:ind w:right="1133" w:firstLine="480"/>
        <w:jc w:val="both"/>
      </w:pPr>
      <w:r>
        <w:rPr/>
        <w:t>刘先林，男，</w:t>
      </w:r>
      <w:r>
        <w:rPr>
          <w:rFonts w:ascii="宋体" w:hAnsi="宋体" w:cs="宋体" w:eastAsia="宋体" w:hint="default"/>
        </w:rPr>
        <w:t>1939</w:t>
      </w:r>
      <w:r>
        <w:rPr/>
        <w:t>年出生，中国国籍，无境外居留权。</w:t>
      </w:r>
      <w:r>
        <w:rPr>
          <w:rFonts w:ascii="宋体" w:hAnsi="宋体" w:cs="宋体" w:eastAsia="宋体" w:hint="default"/>
        </w:rPr>
        <w:t>1962</w:t>
      </w:r>
      <w:r>
        <w:rPr/>
        <w:t>年毕业于武汉测绘学院（现 </w:t>
      </w:r>
      <w:r>
        <w:rPr>
          <w:spacing w:val="-5"/>
        </w:rPr>
        <w:t>武汉大学测绘学院），本科学历，摄影测量与遥感测绘专家，中国工程院院士。</w:t>
      </w:r>
      <w:r>
        <w:rPr>
          <w:rFonts w:ascii="宋体" w:hAnsi="宋体" w:cs="宋体" w:eastAsia="宋体" w:hint="default"/>
          <w:spacing w:val="-5"/>
        </w:rPr>
        <w:t>1962</w:t>
      </w:r>
      <w:r>
        <w:rPr>
          <w:spacing w:val="-5"/>
        </w:rPr>
        <w:t>年至</w:t>
      </w:r>
      <w:r>
        <w:rPr>
          <w:rFonts w:ascii="宋体" w:hAnsi="宋体" w:cs="宋体" w:eastAsia="宋体" w:hint="default"/>
          <w:spacing w:val="-5"/>
        </w:rPr>
        <w:t>1994</w:t>
      </w:r>
      <w:r>
        <w:rPr>
          <w:rFonts w:ascii="宋体" w:hAnsi="宋体" w:cs="宋体" w:eastAsia="宋体" w:hint="default"/>
          <w:spacing w:val="-98"/>
        </w:rPr>
        <w:t> </w:t>
      </w:r>
      <w:r>
        <w:rPr/>
        <w:t>年担任中国测绘科学研究院研究员；</w:t>
      </w:r>
      <w:r>
        <w:rPr>
          <w:rFonts w:ascii="宋体" w:hAnsi="宋体" w:cs="宋体" w:eastAsia="宋体" w:hint="default"/>
        </w:rPr>
        <w:t>1995</w:t>
      </w:r>
      <w:r>
        <w:rPr/>
        <w:t>年至</w:t>
      </w:r>
      <w:r>
        <w:rPr>
          <w:rFonts w:ascii="宋体" w:hAnsi="宋体" w:cs="宋体" w:eastAsia="宋体" w:hint="default"/>
        </w:rPr>
        <w:t>1996</w:t>
      </w:r>
      <w:r>
        <w:rPr/>
        <w:t>年担任中国测绘科学研究院院长；</w:t>
      </w:r>
      <w:r>
        <w:rPr>
          <w:rFonts w:ascii="宋体" w:hAnsi="宋体" w:cs="宋体" w:eastAsia="宋体" w:hint="default"/>
        </w:rPr>
        <w:t>1996</w:t>
      </w:r>
      <w:r>
        <w:rPr/>
        <w:t>年</w:t>
      </w:r>
      <w:r>
        <w:rPr>
          <w:spacing w:val="-87"/>
        </w:rPr>
        <w:t> </w:t>
      </w:r>
      <w:r>
        <w:rPr>
          <w:rFonts w:ascii="宋体" w:hAnsi="宋体" w:cs="宋体" w:eastAsia="宋体" w:hint="default"/>
        </w:rPr>
        <w:t>12</w:t>
      </w:r>
      <w:r>
        <w:rPr/>
        <w:t>月至今担任中国测绘科学研究院名誉院长。</w:t>
      </w:r>
    </w:p>
    <w:p>
      <w:pPr>
        <w:pStyle w:val="BodyText"/>
        <w:spacing w:line="357" w:lineRule="auto"/>
        <w:ind w:right="1135" w:firstLine="480"/>
        <w:jc w:val="both"/>
      </w:pPr>
      <w:r>
        <w:rPr/>
        <w:t>邬伦，男，</w:t>
      </w:r>
      <w:r>
        <w:rPr>
          <w:rFonts w:ascii="宋体" w:hAnsi="宋体" w:cs="宋体" w:eastAsia="宋体" w:hint="default"/>
        </w:rPr>
        <w:t>1964</w:t>
      </w:r>
      <w:r>
        <w:rPr/>
        <w:t>年出生，中国国籍，无境外居留权。</w:t>
      </w:r>
      <w:r>
        <w:rPr>
          <w:rFonts w:ascii="宋体" w:hAnsi="宋体" w:cs="宋体" w:eastAsia="宋体" w:hint="default"/>
        </w:rPr>
        <w:t>1990</w:t>
      </w:r>
      <w:r>
        <w:rPr/>
        <w:t>年毕业于北京大学，博士研究 生学历，教授、博士生导师。</w:t>
      </w:r>
      <w:r>
        <w:rPr>
          <w:rFonts w:ascii="宋体" w:hAnsi="宋体" w:cs="宋体" w:eastAsia="宋体" w:hint="default"/>
        </w:rPr>
        <w:t>1991</w:t>
      </w:r>
      <w:r>
        <w:rPr/>
        <w:t>年至</w:t>
      </w:r>
      <w:r>
        <w:rPr>
          <w:rFonts w:ascii="宋体" w:hAnsi="宋体" w:cs="宋体" w:eastAsia="宋体" w:hint="default"/>
        </w:rPr>
        <w:t>1992</w:t>
      </w:r>
      <w:r>
        <w:rPr/>
        <w:t>年任北京大学数学系应用数学与信息科学专业博</w:t>
      </w:r>
      <w:r>
        <w:rPr>
          <w:spacing w:val="-90"/>
        </w:rPr>
        <w:t> </w:t>
      </w:r>
      <w:r>
        <w:rPr>
          <w:spacing w:val="-90"/>
        </w:rPr>
      </w:r>
      <w:r>
        <w:rPr/>
        <w:t>士后、讲师；</w:t>
      </w:r>
      <w:r>
        <w:rPr>
          <w:rFonts w:ascii="宋体" w:hAnsi="宋体" w:cs="宋体" w:eastAsia="宋体" w:hint="default"/>
        </w:rPr>
        <w:t>1992</w:t>
      </w:r>
      <w:r>
        <w:rPr/>
        <w:t>年任北京大学城市与环境学系地理信息系统教研室主任、副教授；</w:t>
      </w:r>
      <w:r>
        <w:rPr>
          <w:rFonts w:ascii="宋体" w:hAnsi="宋体" w:cs="宋体" w:eastAsia="宋体" w:hint="default"/>
        </w:rPr>
        <w:t>1997</w:t>
      </w:r>
      <w:r>
        <w:rPr/>
        <w:t>年</w:t>
      </w:r>
      <w:r>
        <w:rPr>
          <w:spacing w:val="-89"/>
        </w:rPr>
        <w:t> </w:t>
      </w:r>
      <w:r>
        <w:rPr/>
        <w:t>升任教授、博士生导师；</w:t>
      </w:r>
      <w:r>
        <w:rPr>
          <w:rFonts w:ascii="宋体" w:hAnsi="宋体" w:cs="宋体" w:eastAsia="宋体" w:hint="default"/>
        </w:rPr>
        <w:t>2001</w:t>
      </w:r>
      <w:r>
        <w:rPr/>
        <w:t>年起任北京大学遥感与地理信息系统研究所所长；</w:t>
      </w:r>
      <w:r>
        <w:rPr>
          <w:rFonts w:ascii="宋体" w:hAnsi="宋体" w:cs="宋体" w:eastAsia="宋体" w:hint="default"/>
        </w:rPr>
        <w:t>2004</w:t>
      </w:r>
      <w:r>
        <w:rPr/>
        <w:t>年起兼</w:t>
      </w:r>
      <w:r>
        <w:rPr>
          <w:spacing w:val="-89"/>
        </w:rPr>
        <w:t> </w:t>
      </w:r>
      <w:r>
        <w:rPr/>
        <w:t>任北京大学数字中国研究院副院长。</w:t>
      </w:r>
    </w:p>
    <w:p>
      <w:pPr>
        <w:pStyle w:val="BodyText"/>
        <w:spacing w:line="357" w:lineRule="auto"/>
        <w:ind w:right="1012" w:firstLine="480"/>
        <w:jc w:val="both"/>
      </w:pPr>
      <w:r>
        <w:rPr/>
        <w:t>叶金福，男，</w:t>
      </w:r>
      <w:r>
        <w:rPr>
          <w:rFonts w:ascii="宋体" w:hAnsi="宋体" w:cs="宋体" w:eastAsia="宋体" w:hint="default"/>
        </w:rPr>
        <w:t>1975</w:t>
      </w:r>
      <w:r>
        <w:rPr/>
        <w:t>年出生，中国国籍，无境外居留权。</w:t>
      </w:r>
      <w:r>
        <w:rPr>
          <w:rFonts w:ascii="宋体" w:hAnsi="宋体" w:cs="宋体" w:eastAsia="宋体" w:hint="default"/>
        </w:rPr>
        <w:t>1999</w:t>
      </w:r>
      <w:r>
        <w:rPr/>
        <w:t>年毕业于厦门大学，</w:t>
      </w:r>
      <w:r>
        <w:rPr>
          <w:rFonts w:ascii="宋体" w:hAnsi="宋体" w:cs="宋体" w:eastAsia="宋体" w:hint="default"/>
        </w:rPr>
        <w:t>2009</w:t>
      </w:r>
      <w:r>
        <w:rPr/>
        <w:t>年 毕业于中央财经大学，会计学硕士，中国注册会计师、中国注册资产评估师。</w:t>
      </w:r>
      <w:r>
        <w:rPr>
          <w:rFonts w:ascii="宋体" w:hAnsi="宋体" w:cs="宋体" w:eastAsia="宋体" w:hint="default"/>
        </w:rPr>
        <w:t>2001</w:t>
      </w:r>
      <w:r>
        <w:rPr/>
        <w:t>年至</w:t>
      </w:r>
      <w:r>
        <w:rPr>
          <w:rFonts w:ascii="宋体" w:hAnsi="宋体" w:cs="宋体" w:eastAsia="宋体" w:hint="default"/>
        </w:rPr>
        <w:t>2008</w:t>
      </w:r>
      <w:r>
        <w:rPr>
          <w:rFonts w:ascii="宋体" w:hAnsi="宋体" w:cs="宋体" w:eastAsia="宋体" w:hint="default"/>
          <w:spacing w:val="-88"/>
        </w:rPr>
        <w:t> </w:t>
      </w:r>
      <w:r>
        <w:rPr/>
        <w:t>年在天健光华会计师事务所任职，历任项目经理、经理、授薪合伙人；</w:t>
      </w:r>
      <w:r>
        <w:rPr>
          <w:rFonts w:ascii="宋体" w:hAnsi="宋体" w:cs="宋体" w:eastAsia="宋体" w:hint="default"/>
        </w:rPr>
        <w:t>2009</w:t>
      </w:r>
      <w:r>
        <w:rPr/>
        <w:t>年至</w:t>
      </w:r>
      <w:r>
        <w:rPr>
          <w:rFonts w:ascii="宋体" w:hAnsi="宋体" w:cs="宋体" w:eastAsia="宋体" w:hint="default"/>
        </w:rPr>
        <w:t>2011</w:t>
      </w:r>
      <w:r>
        <w:rPr/>
        <w:t>年在天</w:t>
      </w:r>
      <w:r>
        <w:rPr>
          <w:spacing w:val="-89"/>
        </w:rPr>
        <w:t> </w:t>
      </w:r>
      <w:r>
        <w:rPr>
          <w:spacing w:val="-2"/>
        </w:rPr>
        <w:t>健正信会计师事务所任职，担任合伙人；</w:t>
      </w:r>
      <w:r>
        <w:rPr>
          <w:rFonts w:ascii="宋体" w:hAnsi="宋体" w:cs="宋体" w:eastAsia="宋体" w:hint="default"/>
          <w:spacing w:val="-2"/>
        </w:rPr>
        <w:t>2012</w:t>
      </w:r>
      <w:r>
        <w:rPr>
          <w:spacing w:val="-2"/>
        </w:rPr>
        <w:t>年至今在大华会计师事务所任职，担任合伙人。</w:t>
      </w:r>
    </w:p>
    <w:p>
      <w:pPr>
        <w:pStyle w:val="BodyText"/>
        <w:spacing w:line="357" w:lineRule="auto"/>
        <w:ind w:left="633" w:right="1104"/>
        <w:jc w:val="left"/>
      </w:pPr>
      <w:r>
        <w:rPr>
          <w:rFonts w:ascii="宋体" w:hAnsi="宋体" w:cs="宋体" w:eastAsia="宋体" w:hint="default"/>
        </w:rPr>
        <w:t>2.</w:t>
      </w:r>
      <w:r>
        <w:rPr/>
        <w:t>公司现任监事 邵建平，男，</w:t>
      </w:r>
      <w:r>
        <w:rPr>
          <w:rFonts w:ascii="宋体" w:hAnsi="宋体" w:cs="宋体" w:eastAsia="宋体" w:hint="default"/>
        </w:rPr>
        <w:t>66</w:t>
      </w:r>
      <w:r>
        <w:rPr/>
        <w:t>岁，中国国籍，无境外居留权。</w:t>
      </w:r>
      <w:r>
        <w:rPr>
          <w:rFonts w:ascii="宋体" w:hAnsi="宋体" w:cs="宋体" w:eastAsia="宋体" w:hint="default"/>
        </w:rPr>
        <w:t>1977</w:t>
      </w:r>
      <w:r>
        <w:rPr/>
        <w:t>年毕业于清华大学电子工程系计算</w:t>
      </w:r>
    </w:p>
    <w:p>
      <w:pPr>
        <w:pStyle w:val="BodyText"/>
        <w:spacing w:line="357" w:lineRule="auto"/>
        <w:ind w:right="1130"/>
        <w:jc w:val="both"/>
      </w:pPr>
      <w:r>
        <w:rPr/>
        <w:t>机专业，本科学历。</w:t>
      </w:r>
      <w:r>
        <w:rPr>
          <w:rFonts w:ascii="宋体" w:hAnsi="宋体" w:cs="宋体" w:eastAsia="宋体" w:hint="default"/>
        </w:rPr>
        <w:t>1977</w:t>
      </w:r>
      <w:r>
        <w:rPr/>
        <w:t>年至</w:t>
      </w:r>
      <w:r>
        <w:rPr>
          <w:rFonts w:ascii="宋体" w:hAnsi="宋体" w:cs="宋体" w:eastAsia="宋体" w:hint="default"/>
        </w:rPr>
        <w:t>1985</w:t>
      </w:r>
      <w:r>
        <w:rPr/>
        <w:t>年担任北京计算机三厂厂长助理职务；</w:t>
      </w:r>
      <w:r>
        <w:rPr>
          <w:rFonts w:ascii="宋体" w:hAnsi="宋体" w:cs="宋体" w:eastAsia="宋体" w:hint="default"/>
        </w:rPr>
        <w:t>1985</w:t>
      </w:r>
      <w:r>
        <w:rPr/>
        <w:t>年至</w:t>
      </w:r>
      <w:r>
        <w:rPr>
          <w:rFonts w:ascii="宋体" w:hAnsi="宋体" w:cs="宋体" w:eastAsia="宋体" w:hint="default"/>
        </w:rPr>
        <w:t>1988</w:t>
      </w:r>
      <w:r>
        <w:rPr/>
        <w:t>年担</w:t>
      </w:r>
      <w:r>
        <w:rPr>
          <w:spacing w:val="-87"/>
        </w:rPr>
        <w:t> </w:t>
      </w:r>
      <w:r>
        <w:rPr>
          <w:spacing w:val="3"/>
        </w:rPr>
        <w:t>任日本</w:t>
      </w:r>
      <w:r>
        <w:rPr>
          <w:rFonts w:ascii="宋体" w:hAnsi="宋体" w:cs="宋体" w:eastAsia="宋体" w:hint="default"/>
          <w:spacing w:val="3"/>
        </w:rPr>
        <w:t>DCL</w:t>
      </w:r>
      <w:r>
        <w:rPr>
          <w:spacing w:val="3"/>
        </w:rPr>
        <w:t>株式会社软件开发研修生职务；</w:t>
      </w:r>
      <w:r>
        <w:rPr>
          <w:rFonts w:ascii="宋体" w:hAnsi="宋体" w:cs="宋体" w:eastAsia="宋体" w:hint="default"/>
          <w:spacing w:val="3"/>
        </w:rPr>
        <w:t>1988</w:t>
      </w:r>
      <w:r>
        <w:rPr>
          <w:spacing w:val="3"/>
        </w:rPr>
        <w:t>年至</w:t>
      </w:r>
      <w:r>
        <w:rPr>
          <w:rFonts w:ascii="宋体" w:hAnsi="宋体" w:cs="宋体" w:eastAsia="宋体" w:hint="default"/>
          <w:spacing w:val="3"/>
        </w:rPr>
        <w:t>1989</w:t>
      </w:r>
      <w:r>
        <w:rPr>
          <w:spacing w:val="3"/>
        </w:rPr>
        <w:t>年担任北京计算机三厂厂长助理职</w:t>
      </w:r>
      <w:r>
        <w:rPr>
          <w:spacing w:val="-115"/>
        </w:rPr>
        <w:t> </w:t>
      </w:r>
      <w:r>
        <w:rPr>
          <w:spacing w:val="-115"/>
        </w:rPr>
      </w:r>
      <w:r>
        <w:rPr/>
        <w:t>务；</w:t>
      </w:r>
      <w:r>
        <w:rPr>
          <w:rFonts w:ascii="宋体" w:hAnsi="宋体" w:cs="宋体" w:eastAsia="宋体" w:hint="default"/>
        </w:rPr>
        <w:t>1989</w:t>
      </w:r>
      <w:r>
        <w:rPr/>
        <w:t>年至</w:t>
      </w:r>
      <w:r>
        <w:rPr>
          <w:rFonts w:ascii="宋体" w:hAnsi="宋体" w:cs="宋体" w:eastAsia="宋体" w:hint="default"/>
        </w:rPr>
        <w:t>1990</w:t>
      </w:r>
      <w:r>
        <w:rPr/>
        <w:t>年任职于京电香港有限公司；</w:t>
      </w:r>
      <w:r>
        <w:rPr>
          <w:rFonts w:ascii="宋体" w:hAnsi="宋体" w:cs="宋体" w:eastAsia="宋体" w:hint="default"/>
        </w:rPr>
        <w:t>1990</w:t>
      </w:r>
      <w:r>
        <w:rPr/>
        <w:t>年至</w:t>
      </w:r>
      <w:r>
        <w:rPr>
          <w:rFonts w:ascii="宋体" w:hAnsi="宋体" w:cs="宋体" w:eastAsia="宋体" w:hint="default"/>
        </w:rPr>
        <w:t>2001</w:t>
      </w:r>
      <w:r>
        <w:rPr/>
        <w:t>年担任北京计算机三厂厂长助</w:t>
      </w:r>
      <w:r>
        <w:rPr>
          <w:spacing w:val="-87"/>
        </w:rPr>
        <w:t> </w:t>
      </w:r>
      <w:r>
        <w:rPr>
          <w:spacing w:val="-87"/>
        </w:rPr>
      </w:r>
      <w:r>
        <w:rPr/>
        <w:t>理职务；</w:t>
      </w:r>
      <w:r>
        <w:rPr>
          <w:rFonts w:ascii="宋体" w:hAnsi="宋体" w:cs="宋体" w:eastAsia="宋体" w:hint="default"/>
        </w:rPr>
        <w:t>2001</w:t>
      </w:r>
      <w:r>
        <w:rPr/>
        <w:t>年至</w:t>
      </w:r>
      <w:r>
        <w:rPr>
          <w:rFonts w:ascii="宋体" w:hAnsi="宋体" w:cs="宋体" w:eastAsia="宋体" w:hint="default"/>
        </w:rPr>
        <w:t>2006</w:t>
      </w:r>
      <w:r>
        <w:rPr/>
        <w:t>年担任首都信息发展股份有限公司副总裁职务；</w:t>
      </w:r>
      <w:r>
        <w:rPr>
          <w:rFonts w:ascii="宋体" w:hAnsi="宋体" w:cs="宋体" w:eastAsia="宋体" w:hint="default"/>
        </w:rPr>
        <w:t>2006</w:t>
      </w:r>
      <w:r>
        <w:rPr/>
        <w:t>年至今担任首都</w:t>
      </w:r>
      <w:r>
        <w:rPr>
          <w:spacing w:val="-89"/>
        </w:rPr>
        <w:t> </w:t>
      </w:r>
      <w:r>
        <w:rPr>
          <w:spacing w:val="-89"/>
        </w:rPr>
      </w:r>
      <w:r>
        <w:rPr/>
        <w:t>信息发展股份有限公司顾问职务。现任公司监事。</w:t>
      </w:r>
    </w:p>
    <w:p>
      <w:pPr>
        <w:pStyle w:val="BodyText"/>
        <w:spacing w:line="357" w:lineRule="auto"/>
        <w:ind w:left="633" w:right="1117"/>
        <w:jc w:val="left"/>
      </w:pPr>
      <w:r>
        <w:rPr/>
        <w:t>幸帮艳，女，</w:t>
      </w:r>
      <w:r>
        <w:rPr>
          <w:rFonts w:ascii="宋体" w:hAnsi="宋体" w:cs="宋体" w:eastAsia="宋体" w:hint="default"/>
        </w:rPr>
        <w:t>46</w:t>
      </w:r>
      <w:r>
        <w:rPr/>
        <w:t>岁，中国国籍，无境外居留权。</w:t>
      </w:r>
      <w:r>
        <w:rPr>
          <w:rFonts w:ascii="宋体" w:hAnsi="宋体" w:cs="宋体" w:eastAsia="宋体" w:hint="default"/>
        </w:rPr>
        <w:t>2003</w:t>
      </w:r>
      <w:r>
        <w:rPr/>
        <w:t>年加入数字政通，现任公司监事。 </w:t>
      </w:r>
      <w:r>
        <w:rPr>
          <w:spacing w:val="-2"/>
        </w:rPr>
        <w:t>许菲，男，</w:t>
      </w:r>
      <w:r>
        <w:rPr>
          <w:rFonts w:ascii="宋体" w:hAnsi="宋体" w:cs="宋体" w:eastAsia="宋体" w:hint="default"/>
          <w:spacing w:val="-2"/>
        </w:rPr>
        <w:t>33</w:t>
      </w:r>
      <w:r>
        <w:rPr>
          <w:spacing w:val="-2"/>
        </w:rPr>
        <w:t>岁，中国国籍，无境外居留权，本科学历。</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月起就职于公司证券事</w:t>
      </w:r>
    </w:p>
    <w:p>
      <w:pPr>
        <w:pStyle w:val="BodyText"/>
        <w:spacing w:line="357" w:lineRule="auto"/>
        <w:ind w:left="633" w:right="5713" w:hanging="481"/>
        <w:jc w:val="left"/>
      </w:pPr>
      <w:r>
        <w:rPr/>
        <w:t>务部，担任证券事务代表。现任公司监事。 </w:t>
      </w:r>
      <w:r>
        <w:rPr>
          <w:rFonts w:ascii="宋体" w:hAnsi="宋体" w:cs="宋体" w:eastAsia="宋体" w:hint="default"/>
        </w:rPr>
        <w:t>3.</w:t>
      </w:r>
      <w:r>
        <w:rPr/>
        <w:t>公司现任高级管理人员 王东，男，现任公司总裁，详见董事简历。</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jc w:val="left"/>
      </w:pPr>
      <w:r>
        <w:rPr/>
        <w:t>朱华，男，现任公司高级副总裁，详见董事简历。 王洪深，男，现任公司高级副总裁，详见董事简历。 邱鲁闽，男，现任公司高级副总裁，详见董事简历。 殷小敏，女，</w:t>
      </w:r>
      <w:r>
        <w:rPr>
          <w:rFonts w:ascii="宋体" w:hAnsi="宋体" w:cs="宋体" w:eastAsia="宋体" w:hint="default"/>
        </w:rPr>
        <w:t>63</w:t>
      </w:r>
      <w:r>
        <w:rPr/>
        <w:t>岁，中国国籍，无境外居留权，</w:t>
      </w:r>
      <w:r>
        <w:rPr>
          <w:rFonts w:ascii="宋体" w:hAnsi="宋体" w:cs="宋体" w:eastAsia="宋体" w:hint="default"/>
        </w:rPr>
        <w:t>2007</w:t>
      </w:r>
      <w:r>
        <w:rPr/>
        <w:t>年加入公司，任财务负责人。现任</w:t>
      </w:r>
    </w:p>
    <w:p>
      <w:pPr>
        <w:pStyle w:val="BodyText"/>
        <w:spacing w:line="240" w:lineRule="auto"/>
        <w:ind w:right="1104"/>
        <w:jc w:val="left"/>
      </w:pPr>
      <w:r>
        <w:rPr/>
        <w:t>公司财务总监。</w:t>
      </w:r>
    </w:p>
    <w:p>
      <w:pPr>
        <w:spacing w:before="164"/>
        <w:ind w:left="152" w:right="1104"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刘先林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中国测绘科学研究院</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院士</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邬伦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line="340" w:lineRule="auto" w:before="115"/>
        <w:ind w:left="152" w:right="4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公司现任及报告期内离任董事、监事和高级管理人员近三年证券监管机构处罚的情况</w:t>
      </w:r>
    </w:p>
    <w:p>
      <w:pPr>
        <w:spacing w:before="41"/>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04"/>
        <w:jc w:val="left"/>
        <w:rPr>
          <w:b w:val="0"/>
          <w:bCs w:val="0"/>
        </w:rPr>
      </w:pPr>
      <w:r>
        <w:rPr/>
        <w:t>四、董事、监事、高级管理人员报酬情况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left="633" w:right="1104"/>
        <w:jc w:val="left"/>
      </w:pPr>
      <w:r>
        <w:rPr/>
        <w:t>董事、监事、高级管理人员报酬的决策程序、确定依据、实际支付情况 </w:t>
      </w:r>
      <w:r>
        <w:rPr>
          <w:rFonts w:ascii="宋体" w:hAnsi="宋体" w:cs="宋体" w:eastAsia="宋体" w:hint="default"/>
        </w:rPr>
        <w:t>1.</w:t>
      </w:r>
      <w:r>
        <w:rPr/>
        <w:t>董事、监事、高级管理人员报酬的决策程序：公司董事报酬或津贴由股东大会决定，</w:t>
      </w:r>
    </w:p>
    <w:p>
      <w:pPr>
        <w:pStyle w:val="BodyText"/>
        <w:spacing w:line="357" w:lineRule="auto"/>
        <w:ind w:right="1104"/>
        <w:jc w:val="left"/>
      </w:pPr>
      <w:r>
        <w:rPr/>
        <w:t>高级管理人员报酬由董事会决定，独立董事津贴由股东大会决定，董事、监事、高级管理人</w:t>
      </w:r>
      <w:r>
        <w:rPr>
          <w:spacing w:val="-91"/>
        </w:rPr>
        <w:t> </w:t>
      </w:r>
      <w:r>
        <w:rPr>
          <w:spacing w:val="-91"/>
        </w:rPr>
      </w:r>
      <w:r>
        <w:rPr/>
        <w:t>员薪酬由董事会薪酬与考核委员会组织并考核。</w:t>
      </w:r>
    </w:p>
    <w:p>
      <w:pPr>
        <w:pStyle w:val="BodyText"/>
        <w:spacing w:line="357" w:lineRule="auto"/>
        <w:ind w:right="1104" w:firstLine="480"/>
        <w:jc w:val="left"/>
      </w:pPr>
      <w:r>
        <w:rPr>
          <w:rFonts w:ascii="宋体" w:hAnsi="宋体" w:cs="宋体" w:eastAsia="宋体" w:hint="default"/>
        </w:rPr>
        <w:t>2.</w:t>
      </w:r>
      <w:r>
        <w:rPr/>
        <w:t>董事、监事、高级管理人员报酬确定依据：根据公司经营业绩，高级管理人员的报酬 根据公司薪酬分配政策，结合其经营绩效、工作能力、岗位职责等考核确定并发放。</w:t>
      </w:r>
    </w:p>
    <w:p>
      <w:pPr>
        <w:pStyle w:val="BodyText"/>
        <w:spacing w:line="357" w:lineRule="auto"/>
        <w:ind w:right="1104" w:firstLine="480"/>
        <w:jc w:val="left"/>
      </w:pPr>
      <w:r>
        <w:rPr>
          <w:rFonts w:ascii="宋体" w:hAnsi="宋体" w:cs="宋体" w:eastAsia="宋体" w:hint="default"/>
        </w:rPr>
        <w:t>3.</w:t>
      </w:r>
      <w:r>
        <w:rPr/>
        <w:t>董事、监事、高级管理人员报酬的实际支付情况：已按相关规定及时支付董事、监事 和高级管理人员报酬。</w:t>
      </w:r>
    </w:p>
    <w:p>
      <w:pPr>
        <w:spacing w:line="240" w:lineRule="auto" w:before="13"/>
        <w:rPr>
          <w:rFonts w:ascii="宋体" w:hAnsi="宋体" w:cs="宋体" w:eastAsia="宋体" w:hint="default"/>
          <w:sz w:val="23"/>
          <w:szCs w:val="23"/>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6"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董事、高级副总 裁、董事会秘书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刘先林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邬伦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幸帮艳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535.57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04"/>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7,810</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信息采集人员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6,286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7,810</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1,667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7,810</w:t>
            </w:r>
          </w:p>
        </w:tc>
      </w:tr>
    </w:tbl>
    <w:p>
      <w:pPr>
        <w:spacing w:line="240" w:lineRule="auto" w:before="3"/>
        <w:rPr>
          <w:rFonts w:ascii="宋体" w:hAnsi="宋体" w:cs="宋体" w:eastAsia="宋体" w:hint="default"/>
          <w:b/>
          <w:bCs/>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34" w:firstLine="480"/>
        <w:jc w:val="both"/>
      </w:pPr>
      <w:r>
        <w:rPr/>
        <w:t>员工薪酬分为基本薪酬</w:t>
      </w:r>
      <w:r>
        <w:rPr>
          <w:rFonts w:ascii="宋体" w:hAnsi="宋体" w:cs="宋体" w:eastAsia="宋体" w:hint="default"/>
        </w:rPr>
        <w:t>+</w:t>
      </w:r>
      <w:r>
        <w:rPr/>
        <w:t>绩效奖金</w:t>
      </w:r>
      <w:r>
        <w:rPr>
          <w:rFonts w:ascii="宋体" w:hAnsi="宋体" w:cs="宋体" w:eastAsia="宋体" w:hint="default"/>
        </w:rPr>
        <w:t>+</w:t>
      </w:r>
      <w:r>
        <w:rPr/>
        <w:t>岗位津贴，基本薪酬是根据员工的岗位价值、学历、 技能水平等因素确定，绩效奖金部分充分与公司的年度经营目标相结合，岗位津贴与员工日</w:t>
      </w:r>
      <w:r>
        <w:rPr>
          <w:spacing w:val="-91"/>
        </w:rPr>
        <w:t> </w:t>
      </w:r>
      <w:r>
        <w:rPr>
          <w:spacing w:val="-91"/>
        </w:rPr>
      </w:r>
      <w:r>
        <w:rPr/>
        <w:t>常补贴相结合，根据不同岗位制定不同的绩效考核管理方式，将公司效益与员工利息有效的</w:t>
      </w:r>
      <w:r>
        <w:rPr>
          <w:spacing w:val="-91"/>
        </w:rPr>
        <w:t> </w:t>
      </w:r>
      <w:r>
        <w:rPr>
          <w:spacing w:val="-91"/>
        </w:rPr>
      </w:r>
      <w:r>
        <w:rPr/>
        <w:t>紧密结合。公司通过提供有竞争力的薪酬福利待遇，建立公司与员工合理分享公司发展成果</w:t>
      </w:r>
      <w:r>
        <w:rPr>
          <w:spacing w:val="-91"/>
        </w:rPr>
        <w:t> </w:t>
      </w:r>
      <w:r>
        <w:rPr>
          <w:spacing w:val="-91"/>
        </w:rPr>
      </w:r>
      <w:r>
        <w:rPr/>
        <w:t>的机制，使薪酬与岗位、与个人贡献相匹配。通过“创新、责任、诚信、人和”企业文化的</w:t>
      </w:r>
      <w:r>
        <w:rPr>
          <w:spacing w:val="-87"/>
        </w:rPr>
        <w:t> </w:t>
      </w:r>
      <w:r>
        <w:rPr>
          <w:spacing w:val="-87"/>
        </w:rPr>
      </w:r>
      <w:r>
        <w:rPr/>
        <w:t>建设，努力实现公司及员工个人价值的最大化。</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139" w:firstLine="480"/>
        <w:jc w:val="both"/>
      </w:pPr>
      <w:r>
        <w:rPr/>
        <w:t>公司采用内部培训的方式，根据不同岗位制定具体培训计划，以提高员工素质与技能， 加强员工的岗位培训和技能培训，切实提高企业培训实效，实现人力资源增值。同时，为帮</w:t>
      </w:r>
      <w:r>
        <w:rPr>
          <w:spacing w:val="-91"/>
        </w:rPr>
        <w:t> </w:t>
      </w:r>
      <w:r>
        <w:rPr>
          <w:spacing w:val="-91"/>
        </w:rPr>
      </w:r>
      <w:r>
        <w:rPr/>
        <w:t>助新入职员工增进对公司及工作环境的了解，迅速进入状态，根据当期新员工的数量，不定</w:t>
      </w:r>
      <w:r>
        <w:rPr>
          <w:spacing w:val="-91"/>
        </w:rPr>
        <w:t> </w:t>
      </w:r>
      <w:r>
        <w:rPr>
          <w:spacing w:val="-91"/>
        </w:rPr>
      </w:r>
      <w:r>
        <w:rPr/>
        <w:t>期开展新员工入职培训。</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8"/>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04"/>
        <w:jc w:val="left"/>
        <w:rPr>
          <w:b w:val="0"/>
          <w:bCs w:val="0"/>
        </w:rPr>
      </w:pPr>
      <w:r>
        <w:rPr/>
        <w:t>一、公司治理的基本状况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38" w:firstLine="480"/>
        <w:jc w:val="both"/>
      </w:pPr>
      <w:r>
        <w:rPr>
          <w:spacing w:val="-17"/>
        </w:rPr>
        <w:t>报告期内，公司严格按照《公司法》、《证券法》、《上市公司治理准则》、《深圳证券交易</w:t>
      </w:r>
      <w:r>
        <w:rPr/>
        <w:t> </w:t>
      </w:r>
      <w:r>
        <w:rPr>
          <w:spacing w:val="-6"/>
        </w:rPr>
        <w:t>所创业板股票上市规则》、《深圳证券交易所创业板上市公司规范运作指引》等法律、法规和</w:t>
      </w:r>
      <w:r>
        <w:rPr>
          <w:spacing w:val="-85"/>
        </w:rPr>
        <w:t> </w:t>
      </w:r>
      <w:r>
        <w:rPr>
          <w:spacing w:val="-85"/>
        </w:rPr>
      </w:r>
      <w:r>
        <w:rPr/>
        <w:t>中国证监会有关法律法规等的要求，不断完善公司的法人治理结构，建立健全公司内部管理</w:t>
      </w:r>
      <w:r>
        <w:rPr>
          <w:spacing w:val="-91"/>
        </w:rPr>
        <w:t> </w:t>
      </w:r>
      <w:r>
        <w:rPr>
          <w:spacing w:val="-91"/>
        </w:rPr>
      </w:r>
      <w:r>
        <w:rPr/>
        <w:t>和控制制度，规范运作，严格进行信息披露工作，保护广大投资者利益。</w:t>
      </w:r>
    </w:p>
    <w:p>
      <w:pPr>
        <w:pStyle w:val="BodyText"/>
        <w:spacing w:line="357" w:lineRule="auto"/>
        <w:ind w:right="1139" w:firstLine="480"/>
        <w:jc w:val="both"/>
      </w:pPr>
      <w:r>
        <w:rPr/>
        <w:t>截至报告期末，公司治理的实际情况基本符合中国证监会发布的有关上市公司治理的规 范性文件的要求，已经形成了权力机构、决策机构、监督机构与管理层之间权责分明、各司</w:t>
      </w:r>
      <w:r>
        <w:rPr>
          <w:spacing w:val="-91"/>
        </w:rPr>
        <w:t> </w:t>
      </w:r>
      <w:r>
        <w:rPr>
          <w:spacing w:val="-91"/>
        </w:rPr>
      </w:r>
      <w:r>
        <w:rPr/>
        <w:t>其职、相互制衡、科学决策、协调运作的法人治理结构。</w:t>
      </w:r>
    </w:p>
    <w:p>
      <w:pPr>
        <w:pStyle w:val="BodyText"/>
        <w:spacing w:line="357" w:lineRule="auto"/>
        <w:ind w:left="633" w:right="1007"/>
        <w:jc w:val="left"/>
      </w:pPr>
      <w:r>
        <w:rPr>
          <w:rFonts w:ascii="宋体" w:hAnsi="宋体" w:cs="宋体" w:eastAsia="宋体" w:hint="default"/>
        </w:rPr>
        <w:t>1</w:t>
      </w:r>
      <w:r>
        <w:rPr/>
        <w:t>、关于股东与股东大会 </w:t>
      </w:r>
      <w:r>
        <w:rPr>
          <w:spacing w:val="-14"/>
        </w:rPr>
        <w:t>公司股东大会均严格按照《上市公司股东大会规则》、《公司章程》、《股东大会议事规则》</w:t>
      </w:r>
    </w:p>
    <w:p>
      <w:pPr>
        <w:pStyle w:val="BodyText"/>
        <w:spacing w:line="357" w:lineRule="auto"/>
        <w:ind w:right="1139"/>
        <w:jc w:val="both"/>
      </w:pPr>
      <w:r>
        <w:rPr/>
        <w:t>等规定召集、召开，平等对待所有股东，并尽可能为股东参加股东大会提供便利，使其充分</w:t>
      </w:r>
      <w:r>
        <w:rPr>
          <w:spacing w:val="-91"/>
        </w:rPr>
        <w:t> </w:t>
      </w:r>
      <w:r>
        <w:rPr>
          <w:spacing w:val="-91"/>
        </w:rPr>
      </w:r>
      <w:r>
        <w:rPr/>
        <w:t>行使股东权利。同时，公司聘请专业律师见证股东大会，确保会议召集召开以及表决程序符</w:t>
      </w:r>
      <w:r>
        <w:rPr>
          <w:spacing w:val="-91"/>
        </w:rPr>
        <w:t> </w:t>
      </w:r>
      <w:r>
        <w:rPr>
          <w:spacing w:val="-91"/>
        </w:rPr>
      </w:r>
      <w:r>
        <w:rPr/>
        <w:t>合相关法律规定，维护股东的合法权益。</w:t>
      </w:r>
    </w:p>
    <w:p>
      <w:pPr>
        <w:pStyle w:val="BodyText"/>
        <w:spacing w:line="357" w:lineRule="auto"/>
        <w:ind w:left="633" w:right="1104"/>
        <w:jc w:val="left"/>
      </w:pPr>
      <w:r>
        <w:rPr>
          <w:rFonts w:ascii="宋体" w:hAnsi="宋体" w:cs="宋体" w:eastAsia="宋体" w:hint="default"/>
        </w:rPr>
        <w:t>2</w:t>
      </w:r>
      <w:r>
        <w:rPr/>
        <w:t>、关于公司与控股股东、实际控制人 公司控股股东、实际控制人严格规范自己的行为，没有超越股东大会直接或间接干预公</w:t>
      </w:r>
    </w:p>
    <w:p>
      <w:pPr>
        <w:pStyle w:val="BodyText"/>
        <w:spacing w:line="357" w:lineRule="auto"/>
        <w:ind w:right="996"/>
        <w:jc w:val="left"/>
      </w:pPr>
      <w:r>
        <w:rPr>
          <w:spacing w:val="-2"/>
        </w:rPr>
        <w:t>司的决策和经营活动，未损害公司及其他股东的利益，不存在控股股东占用公司资金的现象，</w:t>
      </w:r>
      <w:r>
        <w:rPr/>
        <w:t> 公司亦无为控股股东提供担保的情形。公司拥有独立完整的业务和自主经营能力，在业务、</w:t>
      </w:r>
      <w:r>
        <w:rPr>
          <w:spacing w:val="-91"/>
        </w:rPr>
        <w:t> </w:t>
      </w:r>
      <w:r>
        <w:rPr>
          <w:spacing w:val="-91"/>
        </w:rPr>
      </w:r>
      <w:r>
        <w:rPr/>
        <w:t>人员、资产、机构、财务上独立于控股股东，公司董事会、监事会和内部机构独立运作。</w:t>
      </w:r>
    </w:p>
    <w:p>
      <w:pPr>
        <w:pStyle w:val="BodyText"/>
        <w:spacing w:line="240" w:lineRule="auto" w:before="37"/>
        <w:ind w:left="633" w:right="1104"/>
        <w:jc w:val="left"/>
      </w:pPr>
      <w:r>
        <w:rPr>
          <w:rFonts w:ascii="宋体" w:hAnsi="宋体" w:cs="宋体" w:eastAsia="宋体" w:hint="default"/>
        </w:rPr>
        <w:t>3</w:t>
      </w:r>
      <w:r>
        <w:rPr/>
        <w:t>、关于董事和董事会</w:t>
      </w:r>
    </w:p>
    <w:p>
      <w:pPr>
        <w:pStyle w:val="BodyText"/>
        <w:spacing w:line="357" w:lineRule="auto" w:before="154"/>
        <w:ind w:right="1010" w:firstLine="480"/>
        <w:jc w:val="left"/>
      </w:pPr>
      <w:r>
        <w:rPr/>
        <w:t>公司董事会设董事</w:t>
      </w:r>
      <w:r>
        <w:rPr>
          <w:spacing w:val="-51"/>
        </w:rPr>
        <w:t> </w:t>
      </w:r>
      <w:r>
        <w:rPr>
          <w:rFonts w:ascii="宋体" w:hAnsi="宋体" w:cs="宋体" w:eastAsia="宋体" w:hint="default"/>
        </w:rPr>
        <w:t>9</w:t>
      </w:r>
      <w:r>
        <w:rPr>
          <w:rFonts w:ascii="宋体" w:hAnsi="宋体" w:cs="宋体" w:eastAsia="宋体" w:hint="default"/>
          <w:spacing w:val="-51"/>
        </w:rPr>
        <w:t> </w:t>
      </w:r>
      <w:r>
        <w:rPr/>
        <w:t>名，其中独立董事</w:t>
      </w:r>
      <w:r>
        <w:rPr>
          <w:spacing w:val="-50"/>
        </w:rPr>
        <w:t> </w:t>
      </w:r>
      <w:r>
        <w:rPr>
          <w:rFonts w:ascii="宋体" w:hAnsi="宋体" w:cs="宋体" w:eastAsia="宋体" w:hint="default"/>
        </w:rPr>
        <w:t>3</w:t>
      </w:r>
      <w:r>
        <w:rPr>
          <w:rFonts w:ascii="宋体" w:hAnsi="宋体" w:cs="宋体" w:eastAsia="宋体" w:hint="default"/>
          <w:spacing w:val="-51"/>
        </w:rPr>
        <w:t> </w:t>
      </w:r>
      <w:r>
        <w:rPr/>
        <w:t>名，董事会的人数及人员构成符合法律、法规 </w:t>
      </w:r>
      <w:r>
        <w:rPr>
          <w:spacing w:val="-8"/>
        </w:rPr>
        <w:t>和《公司章程》的要求。公司董事能够依据《深圳证券交易所创业板上市公司规范运作指引》、</w:t>
      </w:r>
    </w:p>
    <w:p>
      <w:pPr>
        <w:pStyle w:val="BodyText"/>
        <w:spacing w:line="357" w:lineRule="auto"/>
        <w:ind w:right="1104"/>
        <w:jc w:val="left"/>
      </w:pPr>
      <w:r>
        <w:rPr>
          <w:spacing w:val="-6"/>
        </w:rPr>
        <w:t>《董事会议事规则》、《独立董事工作制度》等开展工作，出席董事会和股东大会，勤勉尽责</w:t>
      </w:r>
      <w:r>
        <w:rPr>
          <w:spacing w:val="-85"/>
        </w:rPr>
        <w:t> </w:t>
      </w:r>
      <w:r>
        <w:rPr>
          <w:spacing w:val="-85"/>
        </w:rPr>
      </w:r>
      <w:r>
        <w:rPr/>
        <w:t>地履行职责和义务，同时积极参加相关培训，熟悉相关法律法规。</w:t>
      </w:r>
    </w:p>
    <w:p>
      <w:pPr>
        <w:pStyle w:val="BodyText"/>
        <w:spacing w:line="240" w:lineRule="auto"/>
        <w:ind w:left="633" w:right="1104"/>
        <w:jc w:val="left"/>
      </w:pPr>
      <w:r>
        <w:rPr>
          <w:rFonts w:ascii="宋体" w:hAnsi="宋体" w:cs="宋体" w:eastAsia="宋体" w:hint="default"/>
        </w:rPr>
        <w:t>4</w:t>
      </w:r>
      <w:r>
        <w:rPr/>
        <w:t>、关于监事和监事会</w:t>
      </w:r>
    </w:p>
    <w:p>
      <w:pPr>
        <w:pStyle w:val="BodyText"/>
        <w:spacing w:line="357" w:lineRule="auto" w:before="154"/>
        <w:ind w:right="986" w:firstLine="480"/>
        <w:jc w:val="left"/>
      </w:pPr>
      <w:r>
        <w:rPr/>
        <w:t>公司监事会设监事</w:t>
      </w:r>
      <w:r>
        <w:rPr>
          <w:spacing w:val="-51"/>
        </w:rPr>
        <w:t> </w:t>
      </w:r>
      <w:r>
        <w:rPr>
          <w:rFonts w:ascii="宋体" w:hAnsi="宋体" w:cs="宋体" w:eastAsia="宋体" w:hint="default"/>
        </w:rPr>
        <w:t>3</w:t>
      </w:r>
      <w:r>
        <w:rPr>
          <w:rFonts w:ascii="宋体" w:hAnsi="宋体" w:cs="宋体" w:eastAsia="宋体" w:hint="default"/>
          <w:spacing w:val="-51"/>
        </w:rPr>
        <w:t> </w:t>
      </w:r>
      <w:r>
        <w:rPr/>
        <w:t>名，其中职工监事</w:t>
      </w:r>
      <w:r>
        <w:rPr>
          <w:spacing w:val="-50"/>
        </w:rPr>
        <w:t> </w:t>
      </w:r>
      <w:r>
        <w:rPr>
          <w:rFonts w:ascii="宋体" w:hAnsi="宋体" w:cs="宋体" w:eastAsia="宋体" w:hint="default"/>
        </w:rPr>
        <w:t>1</w:t>
      </w:r>
      <w:r>
        <w:rPr>
          <w:rFonts w:ascii="宋体" w:hAnsi="宋体" w:cs="宋体" w:eastAsia="宋体" w:hint="default"/>
          <w:spacing w:val="-51"/>
        </w:rPr>
        <w:t> </w:t>
      </w:r>
      <w:r>
        <w:rPr/>
        <w:t>名，监事会的人数和构成符合法律、法规的要 </w:t>
      </w:r>
      <w:r>
        <w:rPr>
          <w:spacing w:val="-8"/>
        </w:rPr>
        <w:t>求。公司监事能够按照《深圳证券交易所创业板上市公司规范运作指引》、《监事会议事规则》</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04"/>
        <w:jc w:val="left"/>
      </w:pPr>
      <w:r>
        <w:rPr/>
        <w:t>的要求，认真履行自己的职责，对公司重大事项、财务状况、董事和高级管理人员的履行职</w:t>
      </w:r>
      <w:r>
        <w:rPr>
          <w:spacing w:val="-91"/>
        </w:rPr>
        <w:t> </w:t>
      </w:r>
      <w:r>
        <w:rPr>
          <w:spacing w:val="-91"/>
        </w:rPr>
      </w:r>
      <w:r>
        <w:rPr/>
        <w:t>责的合法合规性进行监督，维护公司及股东的合法权益。</w:t>
      </w:r>
    </w:p>
    <w:p>
      <w:pPr>
        <w:pStyle w:val="BodyText"/>
        <w:spacing w:line="357" w:lineRule="auto"/>
        <w:ind w:left="633" w:right="1104"/>
        <w:jc w:val="left"/>
      </w:pPr>
      <w:r>
        <w:rPr>
          <w:rFonts w:ascii="宋体" w:hAnsi="宋体" w:cs="宋体" w:eastAsia="宋体" w:hint="default"/>
        </w:rPr>
        <w:t>5</w:t>
      </w:r>
      <w:r>
        <w:rPr/>
        <w:t>、关于绩效评价与激励约束机制 公司已建立企业绩效激励与评价体系，并不断完善。公司董事、监事和高级管理人员的</w:t>
      </w:r>
    </w:p>
    <w:p>
      <w:pPr>
        <w:pStyle w:val="BodyText"/>
        <w:spacing w:line="357" w:lineRule="auto"/>
        <w:ind w:right="996"/>
        <w:jc w:val="left"/>
      </w:pPr>
      <w:r>
        <w:rPr/>
        <w:t>绩效评价标准和激励约束机制公开、透明，符合法律、法规的规定。公司董事会设立了薪酬</w:t>
      </w:r>
      <w:r>
        <w:rPr>
          <w:spacing w:val="-91"/>
        </w:rPr>
        <w:t> </w:t>
      </w:r>
      <w:r>
        <w:rPr>
          <w:spacing w:val="-91"/>
        </w:rPr>
      </w:r>
      <w:r>
        <w:rPr>
          <w:spacing w:val="-2"/>
        </w:rPr>
        <w:t>与考核委员会，负责薪酬政策及方案的制定与审定。公司高级管理人员均认真履行工作职责，</w:t>
      </w:r>
      <w:r>
        <w:rPr/>
        <w:t> 较好地完成了董事会制定的经营管理任务。</w:t>
      </w:r>
    </w:p>
    <w:p>
      <w:pPr>
        <w:pStyle w:val="BodyText"/>
        <w:spacing w:line="357" w:lineRule="auto" w:before="37"/>
        <w:ind w:left="633" w:right="1104"/>
        <w:jc w:val="left"/>
      </w:pPr>
      <w:r>
        <w:rPr>
          <w:rFonts w:ascii="宋体" w:hAnsi="宋体" w:cs="宋体" w:eastAsia="宋体" w:hint="default"/>
        </w:rPr>
        <w:t>6</w:t>
      </w:r>
      <w:r>
        <w:rPr/>
        <w:t>、关于信息披露与透明度 </w:t>
      </w:r>
      <w:r>
        <w:rPr>
          <w:spacing w:val="-6"/>
        </w:rPr>
        <w:t>公司严格按照《上市公司信息披露管理办法》、深圳证券交易所创业板上市公司的信息披</w:t>
      </w:r>
    </w:p>
    <w:p>
      <w:pPr>
        <w:pStyle w:val="BodyText"/>
        <w:spacing w:line="357" w:lineRule="auto"/>
        <w:ind w:right="1128"/>
        <w:jc w:val="both"/>
      </w:pPr>
      <w:r>
        <w:rPr/>
        <w:t>露格式指引等规定以及公司制定的《信息披露制度》等要求，真实、准确、及时、公平、完</w:t>
      </w:r>
      <w:r>
        <w:rPr>
          <w:spacing w:val="-91"/>
        </w:rPr>
        <w:t> </w:t>
      </w:r>
      <w:r>
        <w:rPr>
          <w:spacing w:val="-91"/>
        </w:rPr>
      </w:r>
      <w:r>
        <w:rPr>
          <w:spacing w:val="3"/>
        </w:rPr>
        <w:t>整地披露有关信息；并指定公司董事会秘书负责信息披露工作，协调公司与投资者的关系</w:t>
      </w:r>
      <w:r>
        <w:rPr>
          <w:rFonts w:ascii="宋体" w:hAnsi="宋体" w:cs="宋体" w:eastAsia="宋体" w:hint="default"/>
          <w:spacing w:val="3"/>
        </w:rPr>
        <w:t>,</w:t>
      </w:r>
      <w:r>
        <w:rPr>
          <w:rFonts w:ascii="宋体" w:hAnsi="宋体" w:cs="宋体" w:eastAsia="宋体" w:hint="default"/>
          <w:spacing w:val="-96"/>
        </w:rPr>
        <w:t> </w:t>
      </w:r>
      <w:r>
        <w:rPr>
          <w:spacing w:val="-11"/>
        </w:rPr>
        <w:t>接待股东来访，回答投资者咨询；并指定《中国证券报》、《证券时报》、《证券日报》等法定</w:t>
      </w:r>
      <w:r>
        <w:rPr>
          <w:spacing w:val="-109"/>
        </w:rPr>
        <w:t> </w:t>
      </w:r>
      <w:r>
        <w:rPr>
          <w:spacing w:val="-109"/>
        </w:rPr>
      </w:r>
      <w:r>
        <w:rPr>
          <w:spacing w:val="-2"/>
        </w:rPr>
        <w:t>报纸和巨潮资讯网（</w:t>
      </w:r>
      <w:hyperlink r:id="rId11">
        <w:r>
          <w:rPr>
            <w:rFonts w:ascii="宋体" w:hAnsi="宋体" w:cs="宋体" w:eastAsia="宋体" w:hint="default"/>
            <w:spacing w:val="-2"/>
          </w:rPr>
          <w:t>www.cninfo.com.cn</w:t>
        </w:r>
      </w:hyperlink>
      <w:r>
        <w:rPr>
          <w:spacing w:val="-2"/>
        </w:rPr>
        <w:t>）为公司信息披露的指定报纸和网站，确保公司所有</w:t>
      </w:r>
      <w:r>
        <w:rPr>
          <w:spacing w:val="-103"/>
        </w:rPr>
        <w:t> </w:t>
      </w:r>
      <w:r>
        <w:rPr>
          <w:spacing w:val="-103"/>
        </w:rPr>
      </w:r>
      <w:r>
        <w:rPr/>
        <w:t>股东能够以平等的机会获得信息。</w:t>
      </w:r>
    </w:p>
    <w:p>
      <w:pPr>
        <w:pStyle w:val="BodyText"/>
        <w:spacing w:line="357" w:lineRule="auto"/>
        <w:ind w:left="633" w:right="1104"/>
        <w:jc w:val="left"/>
      </w:pPr>
      <w:r>
        <w:rPr>
          <w:rFonts w:ascii="宋体" w:hAnsi="宋体" w:cs="宋体" w:eastAsia="宋体" w:hint="default"/>
        </w:rPr>
        <w:t>7</w:t>
      </w:r>
      <w:r>
        <w:rPr/>
        <w:t>、关于相关利益者 公司充分尊重和维护相关利益者的合法权益，实现社会、股东、公司、员工等各方面利</w:t>
      </w:r>
    </w:p>
    <w:p>
      <w:pPr>
        <w:pStyle w:val="BodyText"/>
        <w:spacing w:line="357" w:lineRule="auto"/>
        <w:ind w:right="1104"/>
        <w:jc w:val="left"/>
      </w:pPr>
      <w:r>
        <w:rPr/>
        <w:t>益的协调平衡，诚信对待供应商和客户，坚持与相关利益者互利共赢的原则，共同推动公司</w:t>
      </w:r>
      <w:r>
        <w:rPr>
          <w:spacing w:val="-91"/>
        </w:rPr>
        <w:t> </w:t>
      </w:r>
      <w:r>
        <w:rPr>
          <w:spacing w:val="-91"/>
        </w:rPr>
      </w:r>
      <w:r>
        <w:rPr/>
        <w:t>持续、稳健发展。</w:t>
      </w:r>
    </w:p>
    <w:p>
      <w:pPr>
        <w:spacing w:before="46"/>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104"/>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04" w:firstLine="480"/>
        <w:jc w:val="left"/>
      </w:pPr>
      <w:r>
        <w:rPr/>
        <w:t>公司控股股东、实际控制人为自然人，公司与控股股东在业务、人员、资产、机构、财 务方面均保持独立。</w:t>
      </w:r>
    </w:p>
    <w:p>
      <w:pPr>
        <w:spacing w:line="240" w:lineRule="auto" w:before="11"/>
        <w:rPr>
          <w:rFonts w:ascii="宋体" w:hAnsi="宋体" w:cs="宋体" w:eastAsia="宋体" w:hint="default"/>
          <w:sz w:val="19"/>
          <w:szCs w:val="19"/>
        </w:rPr>
      </w:pPr>
    </w:p>
    <w:p>
      <w:pPr>
        <w:pStyle w:val="Heading2"/>
        <w:spacing w:line="240" w:lineRule="auto"/>
        <w:ind w:right="110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04"/>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15">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sz w:val="18"/>
              </w:rPr>
              <w:t>2019-023</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7"/>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15">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sz w:val="18"/>
              </w:rPr>
              <w:t>2019-035</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4"/>
              <w:ind w:left="24"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15">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sz w:val="18"/>
              </w:rPr>
              <w:t>2019-057</w:t>
            </w:r>
          </w:p>
        </w:tc>
      </w:tr>
    </w:tbl>
    <w:p>
      <w:pPr>
        <w:spacing w:line="240" w:lineRule="auto" w:before="3"/>
        <w:rPr>
          <w:rFonts w:ascii="宋体" w:hAnsi="宋体" w:cs="宋体" w:eastAsia="宋体" w:hint="default"/>
          <w:b/>
          <w:bCs/>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04"/>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刘先林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叶金福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邬伦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72"/>
        <w:ind w:right="986" w:firstLine="480"/>
        <w:jc w:val="left"/>
      </w:pPr>
      <w:r>
        <w:rPr>
          <w:spacing w:val="-6"/>
        </w:rPr>
        <w:t>公司独立董事勤勉尽责，严格按照中国证监会的相关规定及《公司章程》、《董事会议事</w:t>
      </w:r>
      <w:r>
        <w:rPr/>
        <w:t> </w:t>
      </w:r>
      <w:r>
        <w:rPr>
          <w:spacing w:val="-3"/>
        </w:rPr>
        <w:t>规则》和《独立董事制度》开展工作，关注公司运作，独立履行职责，对公司内部控制建设、</w:t>
      </w:r>
      <w:r>
        <w:rPr>
          <w:spacing w:val="-83"/>
        </w:rPr>
        <w:t> </w:t>
      </w:r>
      <w:r>
        <w:rPr>
          <w:spacing w:val="-83"/>
        </w:rPr>
      </w:r>
      <w:r>
        <w:rPr/>
        <w:t>管理体系建设等重大决策等方面提出了很多宝贵的专业性建议，对公司财务及生产经营活动</w:t>
      </w:r>
      <w:r>
        <w:rPr>
          <w:spacing w:val="-91"/>
        </w:rPr>
        <w:t> </w:t>
      </w:r>
      <w:r>
        <w:rPr>
          <w:spacing w:val="-91"/>
        </w:rPr>
      </w:r>
      <w:r>
        <w:rPr/>
        <w:t>进行了有效监督，对于每个需要发表独立意见的事项会结合自身经验和专业背景提出意见，</w:t>
      </w:r>
      <w:r>
        <w:rPr>
          <w:spacing w:val="-91"/>
        </w:rPr>
        <w:t> </w:t>
      </w:r>
      <w:r>
        <w:rPr>
          <w:spacing w:val="-91"/>
        </w:rPr>
      </w:r>
      <w:r>
        <w:rPr/>
        <w:t>提高了公司决策的科学性，为完善公司监督机制，维护公司和全体股东的合法权益发挥了应</w:t>
      </w:r>
      <w:r>
        <w:rPr>
          <w:spacing w:val="-91"/>
        </w:rPr>
        <w:t> </w:t>
      </w:r>
      <w:r>
        <w:rPr>
          <w:spacing w:val="-91"/>
        </w:rPr>
      </w:r>
      <w:r>
        <w:rPr/>
        <w:t>有的作用。</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04" w:firstLine="480"/>
        <w:jc w:val="left"/>
      </w:pPr>
      <w:r>
        <w:rPr/>
        <w:t>公司董事会下设发展战略委员会、审计委员会、薪酬与考核委员会和提名委员会四个专 门委员会。</w:t>
      </w:r>
    </w:p>
    <w:p>
      <w:pPr>
        <w:pStyle w:val="BodyText"/>
        <w:spacing w:line="357" w:lineRule="auto"/>
        <w:ind w:left="633" w:right="1104"/>
        <w:jc w:val="left"/>
      </w:pPr>
      <w:r>
        <w:rPr>
          <w:rFonts w:ascii="宋体" w:hAnsi="宋体" w:cs="宋体" w:eastAsia="宋体" w:hint="default"/>
        </w:rPr>
        <w:t>1</w:t>
      </w:r>
      <w:r>
        <w:rPr/>
        <w:t>、发展战略委员会 报告期内，公司发展战略委员会按照《董事会发展战略委员会工作规则》的相关要求履</w:t>
      </w:r>
    </w:p>
    <w:p>
      <w:pPr>
        <w:pStyle w:val="BodyText"/>
        <w:spacing w:line="357" w:lineRule="auto"/>
        <w:ind w:right="1139"/>
        <w:jc w:val="both"/>
      </w:pPr>
      <w:r>
        <w:rPr/>
        <w:t>行工作职责，召开一次发展战略委员会会议，对公司长期发展战略规划、年度预算、决算登</w:t>
      </w:r>
      <w:r>
        <w:rPr>
          <w:spacing w:val="-91"/>
        </w:rPr>
        <w:t> </w:t>
      </w:r>
      <w:r>
        <w:rPr>
          <w:spacing w:val="-91"/>
        </w:rPr>
      </w:r>
      <w:r>
        <w:rPr/>
        <w:t>进行审议，同时对公司业务、技术和产品的总体发展方向进行规划，对其他影响公司发展的</w:t>
      </w:r>
      <w:r>
        <w:rPr>
          <w:spacing w:val="-91"/>
        </w:rPr>
        <w:t> </w:t>
      </w:r>
      <w:r>
        <w:rPr>
          <w:spacing w:val="-91"/>
        </w:rPr>
      </w:r>
      <w:r>
        <w:rPr/>
        <w:t>重大事项进行研究并提出建议，进一步提高公司战略决策的合理性和科学性。</w:t>
      </w:r>
    </w:p>
    <w:p>
      <w:pPr>
        <w:pStyle w:val="BodyText"/>
        <w:spacing w:line="357" w:lineRule="auto"/>
        <w:ind w:left="633" w:right="1104"/>
        <w:jc w:val="left"/>
      </w:pPr>
      <w:r>
        <w:rPr>
          <w:rFonts w:ascii="宋体" w:hAnsi="宋体" w:cs="宋体" w:eastAsia="宋体" w:hint="default"/>
        </w:rPr>
        <w:t>2</w:t>
      </w:r>
      <w:r>
        <w:rPr/>
        <w:t>、审计委员会 报告期内，公司审计委员会按照《审计委员会工作规则》的相关要求，认真履行工作职</w:t>
      </w:r>
    </w:p>
    <w:p>
      <w:pPr>
        <w:pStyle w:val="BodyText"/>
        <w:spacing w:line="357" w:lineRule="auto"/>
        <w:ind w:right="1131"/>
        <w:jc w:val="both"/>
      </w:pPr>
      <w:r>
        <w:rPr/>
        <w:t>责，监督公司内部控制，审核公司财务信息及披露情况。年报披露期间与审计会计师进行沟</w:t>
      </w:r>
      <w:r>
        <w:rPr>
          <w:spacing w:val="-87"/>
        </w:rPr>
        <w:t> </w:t>
      </w:r>
      <w:r>
        <w:rPr>
          <w:spacing w:val="-87"/>
        </w:rPr>
      </w:r>
      <w:r>
        <w:rPr/>
        <w:t>通，制定年度审计计划并对年度审计工作进行安排，就审计过程中的问题与相关人员进行了</w:t>
      </w:r>
      <w:r>
        <w:rPr>
          <w:spacing w:val="-91"/>
        </w:rPr>
        <w:t> </w:t>
      </w:r>
      <w:r>
        <w:rPr>
          <w:spacing w:val="-91"/>
        </w:rPr>
      </w:r>
      <w:r>
        <w:rPr/>
        <w:t>有效沟通，保证公司年报及审计工作顺利完成。</w:t>
      </w:r>
      <w:r>
        <w:rPr>
          <w:rFonts w:ascii="宋体" w:hAnsi="宋体" w:cs="宋体" w:eastAsia="宋体" w:hint="default"/>
        </w:rPr>
        <w:t>2019</w:t>
      </w:r>
      <w:r>
        <w:rPr>
          <w:rFonts w:ascii="宋体" w:hAnsi="宋体" w:cs="宋体" w:eastAsia="宋体" w:hint="default"/>
          <w:spacing w:val="-80"/>
        </w:rPr>
        <w:t> </w:t>
      </w:r>
      <w:r>
        <w:rPr/>
        <w:t>年，审计委员会共召开了四次会议，重 点对公司定期财务报告、募集资金使用情况、内部控制制度对等事项进行审议。</w:t>
      </w:r>
    </w:p>
    <w:p>
      <w:pPr>
        <w:pStyle w:val="BodyText"/>
        <w:spacing w:line="357" w:lineRule="auto"/>
        <w:ind w:left="633" w:right="1104"/>
        <w:jc w:val="left"/>
      </w:pPr>
      <w:r>
        <w:rPr>
          <w:rFonts w:ascii="宋体" w:hAnsi="宋体" w:cs="宋体" w:eastAsia="宋体" w:hint="default"/>
        </w:rPr>
        <w:t>3</w:t>
      </w:r>
      <w:r>
        <w:rPr/>
        <w:t>、薪酬与考核委员会 报告期内，公司薪酬与考核委员会按照《薪酬与考核委员工作规则》的相关要求，对公</w:t>
      </w:r>
    </w:p>
    <w:p>
      <w:pPr>
        <w:pStyle w:val="BodyText"/>
        <w:spacing w:line="357" w:lineRule="auto"/>
        <w:ind w:right="1133"/>
        <w:jc w:val="both"/>
      </w:pPr>
      <w:r>
        <w:rPr/>
        <w:t>司薪酬及绩效考核情况进行监督，审查董事和高级管理人员的薪酬及绩效考核方案，并提交</w:t>
      </w:r>
      <w:r>
        <w:rPr>
          <w:spacing w:val="-91"/>
        </w:rPr>
        <w:t> </w:t>
      </w:r>
      <w:r>
        <w:rPr>
          <w:spacing w:val="-91"/>
        </w:rPr>
      </w:r>
      <w:r>
        <w:rPr/>
        <w:t>董事会审核。同时组织对董事、高级管理人员进行业绩考核，对考核和评价标准提出建议，</w:t>
      </w:r>
      <w:r>
        <w:rPr>
          <w:spacing w:val="-86"/>
        </w:rPr>
        <w:t> </w:t>
      </w:r>
      <w:r>
        <w:rPr>
          <w:spacing w:val="-86"/>
        </w:rPr>
      </w:r>
      <w:r>
        <w:rPr/>
        <w:t>促进公司进一步提高薪酬与绩效考核工作的科学性和实效性。</w:t>
      </w:r>
      <w:r>
        <w:rPr>
          <w:rFonts w:ascii="宋体" w:hAnsi="宋体" w:cs="宋体" w:eastAsia="宋体" w:hint="default"/>
        </w:rPr>
        <w:t>2019</w:t>
      </w:r>
      <w:r>
        <w:rPr>
          <w:rFonts w:ascii="宋体" w:hAnsi="宋体" w:cs="宋体" w:eastAsia="宋体" w:hint="default"/>
          <w:spacing w:val="-83"/>
        </w:rPr>
        <w:t> </w:t>
      </w:r>
      <w:r>
        <w:rPr/>
        <w:t>年度，薪酬与考核委员会</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hanging="481"/>
        <w:jc w:val="left"/>
      </w:pPr>
      <w:r>
        <w:rPr/>
        <w:t>召开了两次会议，对公司高级管理人员的薪酬进行和股权激励相关事项进行考核。 </w:t>
      </w:r>
      <w:r>
        <w:rPr>
          <w:rFonts w:ascii="宋体" w:hAnsi="宋体" w:cs="宋体" w:eastAsia="宋体" w:hint="default"/>
        </w:rPr>
        <w:t>4</w:t>
      </w:r>
      <w:r>
        <w:rPr/>
        <w:t>、提名委员会 报告期内，公司提名委员会按照《提名委员会工作规则》的相关要求认真履职，对公司</w:t>
      </w:r>
    </w:p>
    <w:p>
      <w:pPr>
        <w:pStyle w:val="BodyText"/>
        <w:spacing w:line="357" w:lineRule="auto"/>
        <w:ind w:right="1104"/>
        <w:jc w:val="left"/>
      </w:pPr>
      <w:r>
        <w:rPr/>
        <w:t>董事、高级管理人员工作情况进行了评估，认为公司董事会人员结构合理，高管团队具有丰</w:t>
      </w:r>
      <w:r>
        <w:rPr>
          <w:spacing w:val="-91"/>
        </w:rPr>
        <w:t> </w:t>
      </w:r>
      <w:r>
        <w:rPr>
          <w:spacing w:val="-91"/>
        </w:rPr>
      </w:r>
      <w:r>
        <w:rPr/>
        <w:t>富的行业经验和管理经验，能够胜任各自的工作。</w:t>
      </w:r>
    </w:p>
    <w:p>
      <w:pPr>
        <w:spacing w:line="240" w:lineRule="auto" w:before="11"/>
        <w:rPr>
          <w:rFonts w:ascii="宋体" w:hAnsi="宋体" w:cs="宋体" w:eastAsia="宋体" w:hint="default"/>
          <w:sz w:val="19"/>
          <w:szCs w:val="19"/>
        </w:rPr>
      </w:pPr>
    </w:p>
    <w:p>
      <w:pPr>
        <w:pStyle w:val="Heading2"/>
        <w:spacing w:line="240" w:lineRule="auto"/>
        <w:ind w:right="1104"/>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04"/>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before="0"/>
        <w:ind w:right="1139" w:firstLine="480"/>
        <w:jc w:val="both"/>
      </w:pPr>
      <w:r>
        <w:rPr/>
        <w:t>公司建立了完善的高级管理人员绩效管理体系，明确了高级管理人员考核、晋升、培训 和奖惩激励机制，有效的提升了公司治理水平，进一步完善高级管理人员绩效评价和激励、</w:t>
      </w:r>
      <w:r>
        <w:rPr>
          <w:spacing w:val="-91"/>
        </w:rPr>
        <w:t> </w:t>
      </w:r>
      <w:r>
        <w:rPr>
          <w:spacing w:val="-91"/>
        </w:rPr>
      </w:r>
      <w:r>
        <w:rPr/>
        <w:t>约束机制，最大限度地调动公司高级管理人员的积极性及创造性，确保公司各项业务的顺利</w:t>
      </w:r>
      <w:r>
        <w:rPr>
          <w:spacing w:val="-91"/>
        </w:rPr>
        <w:t> </w:t>
      </w:r>
      <w:r>
        <w:rPr>
          <w:spacing w:val="-91"/>
        </w:rPr>
      </w:r>
      <w:r>
        <w:rPr/>
        <w:t>开展，促进了公司业绩稳定持续发展，更好维护广大投资者的根本利益。</w:t>
      </w:r>
    </w:p>
    <w:p>
      <w:pPr>
        <w:spacing w:line="240" w:lineRule="auto" w:before="11"/>
        <w:rPr>
          <w:rFonts w:ascii="宋体" w:hAnsi="宋体" w:cs="宋体" w:eastAsia="宋体" w:hint="default"/>
          <w:sz w:val="19"/>
          <w:szCs w:val="19"/>
        </w:rPr>
      </w:pPr>
    </w:p>
    <w:p>
      <w:pPr>
        <w:pStyle w:val="Heading2"/>
        <w:spacing w:line="240" w:lineRule="auto"/>
        <w:ind w:right="110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327"/>
        <w:gridCol w:w="3053"/>
      </w:tblGrid>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8"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9" w:lineRule="auto" w:before="49"/>
              <w:ind w:left="23" w:right="43"/>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）控制环境无效；（</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）公司董事</w:t>
            </w:r>
            <w:r>
              <w:rPr>
                <w:rFonts w:ascii="宋体" w:hAnsi="宋体" w:cs="宋体" w:eastAsia="宋体" w:hint="default"/>
                <w:spacing w:val="10"/>
                <w:sz w:val="18"/>
                <w:szCs w:val="18"/>
              </w:rPr>
              <w:t> </w:t>
            </w:r>
            <w:r>
              <w:rPr>
                <w:rFonts w:ascii="宋体" w:hAnsi="宋体" w:cs="宋体" w:eastAsia="宋体" w:hint="default"/>
                <w:sz w:val="18"/>
                <w:szCs w:val="18"/>
              </w:rPr>
              <w:t>、监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事和高级管理人员舞弊并给企业造成重大 </w:t>
            </w:r>
            <w:r>
              <w:rPr>
                <w:rFonts w:ascii="宋体" w:hAnsi="宋体" w:cs="宋体" w:eastAsia="宋体" w:hint="default"/>
                <w:spacing w:val="-5"/>
                <w:sz w:val="18"/>
                <w:szCs w:val="18"/>
              </w:rPr>
              <w:t>损失和不利影响；（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w:t>
            </w:r>
          </w:p>
        </w:tc>
        <w:tc>
          <w:tcPr>
            <w:tcW w:w="3053" w:type="dxa"/>
            <w:vMerge w:val="restart"/>
            <w:tcBorders>
              <w:top w:val="single" w:sz="4" w:space="0" w:color="000000"/>
              <w:left w:val="single" w:sz="4" w:space="0" w:color="000000"/>
              <w:right w:val="single" w:sz="4" w:space="0" w:color="000000"/>
            </w:tcBorders>
          </w:tcPr>
          <w:p>
            <w:pPr>
              <w:pStyle w:val="TableParagraph"/>
              <w:spacing w:line="300" w:lineRule="auto" w:before="49"/>
              <w:ind w:left="2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）公司经营活动严重违反国家法律 </w:t>
            </w:r>
            <w:r>
              <w:rPr>
                <w:rFonts w:ascii="宋体" w:hAnsi="宋体" w:cs="宋体" w:eastAsia="宋体" w:hint="default"/>
                <w:spacing w:val="-9"/>
                <w:sz w:val="18"/>
                <w:szCs w:val="18"/>
              </w:rPr>
              <w:t>法规；（</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）媒体负面新闻频频曝光，对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公司声誉造成重大损害；（</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）中高级管</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98"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6"/>
          <w:szCs w:val="26"/>
        </w:rPr>
      </w:pPr>
    </w:p>
    <w:p>
      <w:pPr>
        <w:spacing w:before="44"/>
        <w:ind w:left="0" w:right="1162" w:firstLine="0"/>
        <w:jc w:val="right"/>
        <w:rPr>
          <w:rFonts w:ascii="宋体" w:hAnsi="宋体" w:cs="宋体" w:eastAsia="宋体" w:hint="default"/>
          <w:sz w:val="18"/>
          <w:szCs w:val="18"/>
        </w:rPr>
      </w:pPr>
      <w:r>
        <w:rPr/>
        <w:pict>
          <v:shape style="position:absolute;margin-left:56.459999pt;margin-top:1.291719pt;width:479.2pt;height:415.5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40"/>
                  </w:tblGrid>
                  <w:tr>
                    <w:trPr>
                      <w:trHeight w:val="32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期财务报告存在重大错误，而内部控制在</w:t>
                        </w:r>
                      </w:p>
                    </w:tc>
                    <w:tc>
                      <w:tcPr>
                        <w:tcW w:w="3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理人员和高级技术人员严重流失</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运行过程中未能发现该错报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）已经发</w:t>
                        </w:r>
                      </w:p>
                    </w:tc>
                    <w:tc>
                      <w:tcPr>
                        <w:tcW w:w="30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重要业务缺乏制度控制或制度系统性</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现并报告给管理层的重要缺陷在合理的时</w:t>
                        </w:r>
                      </w:p>
                    </w:tc>
                    <w:tc>
                      <w:tcPr>
                        <w:tcW w:w="30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失效</w:t>
                        </w:r>
                        <w:r>
                          <w:rPr>
                            <w:rFonts w:ascii="宋体" w:hAnsi="宋体" w:cs="宋体" w:eastAsia="宋体" w:hint="default"/>
                            <w:spacing w:val="-125"/>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34"/>
                            <w:sz w:val="18"/>
                            <w:szCs w:val="18"/>
                          </w:rPr>
                          <w:t>）</w:t>
                        </w:r>
                        <w:r>
                          <w:rPr>
                            <w:rFonts w:ascii="宋体" w:hAnsi="宋体" w:cs="宋体" w:eastAsia="宋体" w:hint="default"/>
                            <w:sz w:val="18"/>
                            <w:szCs w:val="18"/>
                          </w:rPr>
                          <w:t>内部控制评价的结</w:t>
                        </w:r>
                        <w:r>
                          <w:rPr>
                            <w:rFonts w:ascii="宋体" w:hAnsi="宋体" w:cs="宋体" w:eastAsia="宋体" w:hint="default"/>
                            <w:spacing w:val="2"/>
                            <w:sz w:val="18"/>
                            <w:szCs w:val="18"/>
                          </w:rPr>
                          <w:t>果</w:t>
                        </w:r>
                        <w:r>
                          <w:rPr>
                            <w:rFonts w:ascii="宋体" w:hAnsi="宋体" w:cs="宋体" w:eastAsia="宋体" w:hint="default"/>
                            <w:sz w:val="18"/>
                            <w:szCs w:val="18"/>
                          </w:rPr>
                          <w:t>特别是</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间内未加以改正</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）审计委员会和内部</w:t>
                        </w:r>
                      </w:p>
                    </w:tc>
                    <w:tc>
                      <w:tcPr>
                        <w:tcW w:w="30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重大缺陷或重要缺陷未得到整改。</w:t>
                        </w:r>
                      </w:p>
                    </w:tc>
                  </w:tr>
                  <w:tr>
                    <w:trPr>
                      <w:trHeight w:val="35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审计部对公司的内部控制监督无效。</w:t>
                        </w:r>
                      </w:p>
                    </w:tc>
                    <w:tc>
                      <w:tcPr>
                        <w:tcW w:w="304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tcBorders>
                          <w:top w:val="single" w:sz="4" w:space="0" w:color="000000"/>
                          <w:left w:val="single" w:sz="4" w:space="0" w:color="000000"/>
                          <w:bottom w:val="nil" w:sz="6" w:space="0" w:color="auto"/>
                          <w:right w:val="single" w:sz="14" w:space="0" w:color="FFFFFF"/>
                        </w:tcBorders>
                      </w:tcPr>
                      <w:p>
                        <w:pPr/>
                      </w:p>
                    </w:tc>
                    <w:tc>
                      <w:tcPr>
                        <w:tcW w:w="3040" w:type="dxa"/>
                        <w:tcBorders>
                          <w:top w:val="single" w:sz="4" w:space="0" w:color="000000"/>
                          <w:left w:val="single" w:sz="14" w:space="0" w:color="FFFFFF"/>
                          <w:bottom w:val="nil" w:sz="6" w:space="0" w:color="auto"/>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与利润表相关的，以营业收入指标衡</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润表相关的，以营业收入指标衡量，如果</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4"/>
                            <w:sz w:val="18"/>
                            <w:szCs w:val="18"/>
                          </w:rPr>
                          <w:t>量，如果该缺陷单独或连同其他缺陷可</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该缺陷单独或连同其他缺陷可能导致的财</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能导致的财务报告错报金额小于营业</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务报告错报金额小于营业收入的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则认</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定为一般缺陷；如果超过营业收入的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超过营业收入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1.5%</w:t>
                        </w:r>
                        <w:r>
                          <w:rPr>
                            <w:rFonts w:ascii="宋体" w:hAnsi="宋体" w:cs="宋体" w:eastAsia="宋体" w:hint="default"/>
                            <w:spacing w:val="-7"/>
                            <w:sz w:val="18"/>
                            <w:szCs w:val="18"/>
                          </w:rPr>
                          <w:t>，则认定</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但小于</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，则认定为重要缺陷；如果超</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6"/>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为重要缺陷；如果超过营业收入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tc>
                  </w:tr>
                  <w:tr>
                    <w:trPr>
                      <w:trHeight w:val="619"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300" w:lineRule="auto" w:before="5"/>
                          <w:ind w:left="24" w:right="-12"/>
                          <w:jc w:val="left"/>
                          <w:rPr>
                            <w:rFonts w:ascii="宋体" w:hAnsi="宋体" w:cs="宋体" w:eastAsia="宋体" w:hint="default"/>
                            <w:sz w:val="18"/>
                            <w:szCs w:val="18"/>
                          </w:rPr>
                        </w:pPr>
                        <w:r>
                          <w:rPr>
                            <w:rFonts w:ascii="宋体" w:hAnsi="宋体" w:cs="宋体" w:eastAsia="宋体" w:hint="default"/>
                            <w:sz w:val="18"/>
                            <w:szCs w:val="18"/>
                          </w:rPr>
                          <w:t>过营业收入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的，则认定为重大缺陷。 内部控制缺陷可能导致或导致的损失与资</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316" w:lineRule="auto" w:before="5"/>
                          <w:ind w:left="-1" w:right="20"/>
                          <w:jc w:val="left"/>
                          <w:rPr>
                            <w:rFonts w:ascii="宋体" w:hAnsi="宋体" w:cs="宋体" w:eastAsia="宋体" w:hint="default"/>
                            <w:sz w:val="18"/>
                            <w:szCs w:val="18"/>
                          </w:rPr>
                        </w:pPr>
                        <w:r>
                          <w:rPr>
                            <w:rFonts w:ascii="宋体" w:hAnsi="宋体" w:cs="宋体" w:eastAsia="宋体" w:hint="default"/>
                            <w:spacing w:val="-4"/>
                            <w:sz w:val="18"/>
                            <w:szCs w:val="18"/>
                          </w:rPr>
                          <w:t>的，则认定为重大缺陷。内部控制缺陷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可能导致或导致的损失与资产管理相</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产管理相关的，以资产总额指标衡量。如</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4"/>
                            <w:sz w:val="18"/>
                            <w:szCs w:val="18"/>
                          </w:rPr>
                          <w:t>关的，以资产总额指标衡量。如果该缺</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果该缺陷单独或连同其他缺陷可能导致的</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陷单独或连同其他缺陷可能导致的财</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10"/>
                          <w:ind w:left="24" w:right="-15"/>
                          <w:jc w:val="left"/>
                          <w:rPr>
                            <w:rFonts w:ascii="宋体" w:hAnsi="宋体" w:cs="宋体" w:eastAsia="宋体" w:hint="default"/>
                            <w:sz w:val="18"/>
                            <w:szCs w:val="18"/>
                          </w:rPr>
                        </w:pPr>
                        <w:r>
                          <w:rPr>
                            <w:rFonts w:ascii="宋体" w:hAnsi="宋体" w:cs="宋体" w:eastAsia="宋体" w:hint="default"/>
                            <w:sz w:val="18"/>
                            <w:szCs w:val="18"/>
                          </w:rPr>
                          <w:t>财务报告错报金额小于资产总额的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务报告错报金额小于资产总额的</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则认定为一般缺陷；如果超出资产总额的</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，则认定为一般缺陷；如果超出资</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。则认定为重要缺陷；如</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，则认定为重</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35"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4" w:right="-37"/>
                          <w:jc w:val="left"/>
                          <w:rPr>
                            <w:rFonts w:ascii="宋体" w:hAnsi="宋体" w:cs="宋体" w:eastAsia="宋体" w:hint="default"/>
                            <w:sz w:val="18"/>
                            <w:szCs w:val="18"/>
                          </w:rPr>
                        </w:pPr>
                        <w:r>
                          <w:rPr>
                            <w:rFonts w:ascii="宋体" w:hAnsi="宋体" w:cs="宋体" w:eastAsia="宋体" w:hint="default"/>
                            <w:sz w:val="18"/>
                            <w:szCs w:val="18"/>
                          </w:rPr>
                          <w:t>果超出资产总额</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40"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要缺陷；如果超出资产总额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w:t>
                        </w:r>
                      </w:p>
                    </w:tc>
                  </w:tr>
                  <w:tr>
                    <w:trPr>
                      <w:trHeight w:val="353"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tcBorders>
                          <w:top w:val="nil" w:sz="6" w:space="0" w:color="auto"/>
                          <w:left w:val="single" w:sz="4" w:space="0" w:color="000000"/>
                          <w:bottom w:val="single" w:sz="4" w:space="0" w:color="000000"/>
                          <w:right w:val="single" w:sz="14" w:space="0" w:color="FFFFFF"/>
                        </w:tcBorders>
                      </w:tcPr>
                      <w:p>
                        <w:pPr/>
                      </w:p>
                    </w:tc>
                    <w:tc>
                      <w:tcPr>
                        <w:tcW w:w="3040" w:type="dxa"/>
                        <w:tcBorders>
                          <w:top w:val="nil" w:sz="6" w:space="0" w:color="auto"/>
                          <w:left w:val="single" w:sz="14" w:space="0" w:color="FFFFFF"/>
                          <w:bottom w:val="single" w:sz="4" w:space="0" w:color="000000"/>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定为重大缺陷。</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spacing w:line="240" w:lineRule="auto" w:before="26"/>
        <w:ind w:right="1104"/>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审计师认为，数字政通公司于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日在所有重大方面保持了按照财政部颁布的《内部会计控制规范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试行</w:t>
            </w:r>
            <w:r>
              <w:rPr>
                <w:rFonts w:ascii="Times New Roman" w:hAnsi="Times New Roman" w:cs="Times New Roman" w:eastAsia="Times New Roman" w:hint="default"/>
                <w:sz w:val="18"/>
                <w:szCs w:val="18"/>
              </w:rPr>
              <w:t>&gt;</w:t>
            </w:r>
            <w:r>
              <w:rPr>
                <w:rFonts w:ascii="宋体" w:hAnsi="宋体" w:cs="宋体" w:eastAsia="宋体" w:hint="default"/>
                <w:sz w:val="18"/>
                <w:szCs w:val="18"/>
              </w:rPr>
              <w:t>》的有关规范标准中与财务报表相关的有效的内部控制。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04"/>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84"/>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0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王芳山、邓战涛</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before="49"/>
        <w:ind w:left="0" w:right="101" w:firstLine="0"/>
        <w:jc w:val="right"/>
        <w:rPr>
          <w:rFonts w:ascii="宋体" w:hAnsi="宋体" w:cs="宋体" w:eastAsia="宋体" w:hint="default"/>
          <w:sz w:val="18"/>
          <w:szCs w:val="18"/>
        </w:rPr>
      </w:pPr>
      <w:r>
        <w:rPr>
          <w:rFonts w:ascii="宋体" w:hAnsi="宋体" w:cs="宋体" w:eastAsia="宋体" w:hint="default"/>
          <w:sz w:val="18"/>
          <w:szCs w:val="18"/>
        </w:rPr>
        <w:t>审计报告正文</w:t>
      </w:r>
    </w:p>
    <w:p>
      <w:pPr>
        <w:spacing w:before="157"/>
        <w:ind w:left="0" w:right="0" w:firstLine="0"/>
        <w:jc w:val="right"/>
        <w:rPr>
          <w:rFonts w:ascii="宋体" w:hAnsi="宋体" w:cs="宋体" w:eastAsia="宋体" w:hint="default"/>
          <w:sz w:val="32"/>
          <w:szCs w:val="32"/>
        </w:rPr>
      </w:pPr>
      <w:r>
        <w:rPr>
          <w:rFonts w:ascii="宋体" w:hAnsi="宋体" w:cs="宋体" w:eastAsia="宋体" w:hint="default"/>
          <w:b/>
          <w:bCs/>
          <w:w w:val="95"/>
          <w:sz w:val="32"/>
          <w:szCs w:val="32"/>
        </w:rPr>
        <w:t>审计报告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pStyle w:val="Heading2"/>
        <w:spacing w:line="300" w:lineRule="auto"/>
        <w:ind w:left="635" w:right="866" w:hanging="483"/>
        <w:jc w:val="left"/>
        <w:rPr>
          <w:b w:val="0"/>
          <w:bCs w:val="0"/>
        </w:rPr>
      </w:pPr>
      <w:r>
        <w:rPr/>
        <w:t>北京数字政通科技股份有限公司全体股东：</w:t>
      </w:r>
      <w:r>
        <w:rPr>
          <w:w w:val="99"/>
        </w:rPr>
        <w:t> </w:t>
      </w:r>
      <w:r>
        <w:rPr/>
        <w:t>一、审计意见</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32"/>
          <w:szCs w:val="32"/>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上会师报字</w:t>
      </w:r>
      <w:r>
        <w:rPr>
          <w:rFonts w:ascii="Times New Roman" w:hAnsi="Times New Roman" w:cs="Times New Roman" w:eastAsia="Times New Roman" w:hint="default"/>
          <w:sz w:val="21"/>
          <w:szCs w:val="21"/>
        </w:rPr>
        <w:t>(2020)</w:t>
      </w:r>
      <w:r>
        <w:rPr>
          <w:rFonts w:ascii="宋体" w:hAnsi="宋体" w:cs="宋体" w:eastAsia="宋体" w:hint="default"/>
          <w:sz w:val="21"/>
          <w:szCs w:val="21"/>
        </w:rPr>
        <w:t>第</w:t>
      </w:r>
      <w:r>
        <w:rPr>
          <w:rFonts w:ascii="Times New Roman" w:hAnsi="Times New Roman" w:cs="Times New Roman" w:eastAsia="Times New Roman" w:hint="default"/>
          <w:sz w:val="21"/>
          <w:szCs w:val="21"/>
        </w:rPr>
        <w:t>3430</w:t>
      </w:r>
      <w:r>
        <w:rPr>
          <w:rFonts w:ascii="宋体" w:hAnsi="宋体" w:cs="宋体" w:eastAsia="宋体" w:hint="default"/>
          <w:sz w:val="21"/>
          <w:szCs w:val="21"/>
        </w:rPr>
        <w:t>号</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5617" w:space="1573"/>
            <w:col w:w="3740"/>
          </w:cols>
        </w:sectPr>
      </w:pPr>
    </w:p>
    <w:p>
      <w:pPr>
        <w:pStyle w:val="BodyText"/>
        <w:spacing w:line="357" w:lineRule="auto" w:before="94"/>
        <w:ind w:right="1135" w:firstLine="480"/>
        <w:jc w:val="both"/>
      </w:pPr>
      <w:r>
        <w:rPr/>
        <w:t>我们审计了北京数字政通科技股份有限公司</w:t>
      </w:r>
      <w:r>
        <w:rPr>
          <w:rFonts w:ascii="宋体" w:hAnsi="宋体" w:cs="宋体" w:eastAsia="宋体" w:hint="default"/>
        </w:rPr>
        <w:t>(</w:t>
      </w:r>
      <w:r>
        <w:rPr/>
        <w:t>以下简称“数字政通公司”)财务报表，包 括</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日的合并及公司资产负债表，</w:t>
      </w:r>
      <w:r>
        <w:rPr>
          <w:rFonts w:ascii="宋体" w:hAnsi="宋体" w:cs="宋体" w:eastAsia="宋体" w:hint="default"/>
        </w:rPr>
        <w:t>2019</w:t>
      </w:r>
      <w:r>
        <w:rPr/>
        <w:t>年度的合并及公司利润表、合并及公司现</w:t>
      </w:r>
      <w:r>
        <w:rPr>
          <w:spacing w:val="-90"/>
        </w:rPr>
        <w:t> </w:t>
      </w:r>
      <w:r>
        <w:rPr>
          <w:spacing w:val="-90"/>
        </w:rPr>
      </w:r>
      <w:r>
        <w:rPr/>
        <w:t>金流量表、合并及公司所有者权益变动表以及相关财务报表附注。</w:t>
      </w:r>
    </w:p>
    <w:p>
      <w:pPr>
        <w:pStyle w:val="BodyText"/>
        <w:spacing w:line="357" w:lineRule="auto"/>
        <w:ind w:right="1135" w:firstLine="480"/>
        <w:jc w:val="both"/>
      </w:pPr>
      <w:r>
        <w:rPr/>
        <w:t>我们认为，后附的财务报表在所有重大方面按照企业会计准则的规定编制，公允反映了 数字政通公司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2019</w:t>
      </w:r>
      <w:r>
        <w:rPr/>
        <w:t>年度的合并及公司经营成果和</w:t>
      </w:r>
      <w:r>
        <w:rPr>
          <w:spacing w:val="-90"/>
        </w:rPr>
        <w:t> </w:t>
      </w:r>
      <w:r>
        <w:rPr>
          <w:spacing w:val="-90"/>
        </w:rPr>
      </w:r>
      <w:r>
        <w:rPr/>
        <w:t>现金流量。</w:t>
      </w:r>
    </w:p>
    <w:p>
      <w:pPr>
        <w:spacing w:line="357" w:lineRule="auto" w:before="36"/>
        <w:ind w:left="633" w:right="1104"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BodyText"/>
        <w:spacing w:line="357" w:lineRule="auto" w:before="37"/>
        <w:ind w:right="1137"/>
        <w:jc w:val="both"/>
      </w:pPr>
      <w:r>
        <w:rPr/>
        <w:t>财务报表审计的责任”部分进一步阐述了我们在这些准则下的责任。按照中国注册会计师职</w:t>
      </w:r>
      <w:r>
        <w:rPr>
          <w:spacing w:val="-90"/>
        </w:rPr>
        <w:t> </w:t>
      </w:r>
      <w:r>
        <w:rPr>
          <w:spacing w:val="-90"/>
        </w:rPr>
      </w:r>
      <w:r>
        <w:rPr/>
        <w:t>业道德守则，我们独立于数字政通公司，并履行了职业道德方面的其他责任。我们相信，我</w:t>
      </w:r>
      <w:r>
        <w:rPr>
          <w:spacing w:val="-91"/>
        </w:rPr>
        <w:t> </w:t>
      </w:r>
      <w:r>
        <w:rPr>
          <w:spacing w:val="-91"/>
        </w:rPr>
      </w:r>
      <w:r>
        <w:rPr/>
        <w:t>们获取的审计证据是充分、适当的，为发表审计意见提供了基础。</w:t>
      </w:r>
    </w:p>
    <w:p>
      <w:pPr>
        <w:pStyle w:val="BodyText"/>
        <w:spacing w:line="357" w:lineRule="auto"/>
        <w:ind w:left="633" w:right="1104"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357" w:lineRule="auto"/>
        <w:ind w:right="1139"/>
        <w:jc w:val="both"/>
      </w:pPr>
      <w:r>
        <w:rPr/>
        <w:t>项的应对以对财务报表整体进行审计并形成审计意见为背景，我们不对这些事项单独发表意</w:t>
      </w:r>
      <w:r>
        <w:rPr>
          <w:spacing w:val="-91"/>
        </w:rPr>
        <w:t> </w:t>
      </w:r>
      <w:r>
        <w:rPr>
          <w:spacing w:val="-91"/>
        </w:rPr>
      </w:r>
      <w:r>
        <w:rPr/>
        <w:t>见。我们确定下列事项是需要在审计报告中沟通的关键审计事项。</w:t>
      </w:r>
    </w:p>
    <w:p>
      <w:pPr>
        <w:spacing w:after="0" w:line="357" w:lineRule="auto"/>
        <w:jc w:val="both"/>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8834"/>
        <w:jc w:val="left"/>
      </w:pPr>
      <w:r>
        <w:rPr>
          <w:rFonts w:ascii="宋体" w:hAnsi="宋体" w:cs="宋体" w:eastAsia="宋体" w:hint="default"/>
        </w:rPr>
        <w:t>1</w:t>
      </w:r>
      <w:r>
        <w:rPr/>
        <w:t>、收入确认 </w:t>
      </w:r>
      <w:r>
        <w:rPr>
          <w:rFonts w:ascii="宋体" w:hAnsi="宋体" w:cs="宋体" w:eastAsia="宋体" w:hint="default"/>
        </w:rPr>
        <w:t>(1)</w:t>
      </w:r>
      <w:r>
        <w:rPr>
          <w:rFonts w:ascii="宋体" w:hAnsi="宋体" w:cs="宋体" w:eastAsia="宋体" w:hint="default"/>
          <w:spacing w:val="-1"/>
        </w:rPr>
        <w:t> </w:t>
      </w:r>
      <w:r>
        <w:rPr/>
        <w:t>事项描述</w:t>
      </w:r>
    </w:p>
    <w:p>
      <w:pPr>
        <w:pStyle w:val="BodyText"/>
        <w:spacing w:line="357" w:lineRule="auto"/>
        <w:ind w:right="1131" w:firstLine="480"/>
        <w:jc w:val="both"/>
      </w:pPr>
      <w:r>
        <w:rPr/>
        <w:t>数字政通公司主要从事专业智慧城市应用软件的开发和销售，并提供技术支持和后续服 务，收入类型为数字城管项目收入、采集项目收入、安防项目收入、管道探测项目收入、管</w:t>
      </w:r>
      <w:r>
        <w:rPr>
          <w:spacing w:val="-91"/>
        </w:rPr>
        <w:t> </w:t>
      </w:r>
      <w:r>
        <w:rPr>
          <w:spacing w:val="-91"/>
        </w:rPr>
      </w:r>
      <w:r>
        <w:rPr>
          <w:spacing w:val="-4"/>
        </w:rPr>
        <w:t>网检测项目收入，</w:t>
      </w:r>
      <w:r>
        <w:rPr>
          <w:rFonts w:ascii="宋体" w:hAnsi="宋体" w:cs="宋体" w:eastAsia="宋体" w:hint="default"/>
          <w:spacing w:val="-4"/>
        </w:rPr>
        <w:t>2019</w:t>
      </w:r>
      <w:r>
        <w:rPr>
          <w:rFonts w:ascii="宋体" w:hAnsi="宋体" w:cs="宋体" w:eastAsia="宋体" w:hint="default"/>
          <w:spacing w:val="-32"/>
        </w:rPr>
        <w:t> </w:t>
      </w:r>
      <w:r>
        <w:rPr/>
        <w:t>年度合并营业收入人民币</w:t>
      </w:r>
      <w:r>
        <w:rPr>
          <w:rFonts w:ascii="宋体" w:hAnsi="宋体" w:cs="宋体" w:eastAsia="宋体" w:hint="default"/>
        </w:rPr>
        <w:t>125,753.89</w:t>
      </w:r>
      <w:r>
        <w:rPr/>
        <w:t>万元。收入确认的会计政策详情 </w:t>
      </w:r>
      <w:r>
        <w:rPr>
          <w:spacing w:val="-3"/>
        </w:rPr>
        <w:t>及收入的列报请参阅合并财务报表附注“四、重要会计政策和会计估计”25</w:t>
      </w:r>
      <w:r>
        <w:rPr>
          <w:spacing w:val="19"/>
        </w:rPr>
        <w:t> </w:t>
      </w:r>
      <w:r>
        <w:rPr/>
        <w:t>所述的会计政策</w:t>
      </w:r>
      <w:r>
        <w:rPr/>
        <w:t> 及合并财务报表附注“六、合并财务报表主要项目附注”34。因收入金额重大且为数字政通</w:t>
      </w:r>
      <w:r>
        <w:rPr>
          <w:spacing w:val="-88"/>
        </w:rPr>
        <w:t> </w:t>
      </w:r>
      <w:r>
        <w:rPr>
          <w:spacing w:val="-88"/>
        </w:rPr>
      </w:r>
      <w:r>
        <w:rPr/>
        <w:t>公司关键业绩指标，从而存在管理层为了达到特定目标或期望而操纵收入确认的风险，故我</w:t>
      </w:r>
      <w:r>
        <w:rPr>
          <w:spacing w:val="-86"/>
        </w:rPr>
        <w:t> </w:t>
      </w:r>
      <w:r>
        <w:rPr>
          <w:spacing w:val="-86"/>
        </w:rPr>
      </w:r>
      <w:r>
        <w:rPr/>
        <w:t>们将收入确认识别为关键审计事项。</w:t>
      </w:r>
    </w:p>
    <w:p>
      <w:pPr>
        <w:pStyle w:val="BodyText"/>
        <w:spacing w:line="240" w:lineRule="auto"/>
        <w:ind w:left="633" w:right="1104"/>
        <w:jc w:val="left"/>
      </w:pPr>
      <w:r>
        <w:rPr>
          <w:rFonts w:ascii="宋体" w:hAnsi="宋体" w:cs="宋体" w:eastAsia="宋体" w:hint="default"/>
        </w:rPr>
        <w:t>(2)</w:t>
      </w:r>
      <w:r>
        <w:rPr>
          <w:rFonts w:ascii="宋体" w:hAnsi="宋体" w:cs="宋体" w:eastAsia="宋体" w:hint="default"/>
          <w:spacing w:val="-1"/>
        </w:rPr>
        <w:t> </w:t>
      </w:r>
      <w:r>
        <w:rPr/>
        <w:t>审计应对</w:t>
      </w:r>
    </w:p>
    <w:p>
      <w:pPr>
        <w:pStyle w:val="BodyText"/>
        <w:spacing w:line="240" w:lineRule="auto" w:before="154"/>
        <w:ind w:left="633" w:right="1104"/>
        <w:jc w:val="left"/>
      </w:pPr>
      <w:r>
        <w:rPr/>
        <w:t>① 了解、评估与收入循环相关内部控制的设计，并测试销售内部控制运行的有效性；</w:t>
      </w:r>
    </w:p>
    <w:p>
      <w:pPr>
        <w:pStyle w:val="BodyText"/>
        <w:spacing w:line="357" w:lineRule="auto" w:before="154"/>
        <w:ind w:right="996" w:firstLine="480"/>
        <w:jc w:val="left"/>
      </w:pPr>
      <w:r>
        <w:rPr/>
        <w:t>②</w:t>
      </w:r>
      <w:r>
        <w:rPr>
          <w:spacing w:val="14"/>
        </w:rPr>
        <w:t> </w:t>
      </w:r>
      <w:r>
        <w:rPr>
          <w:spacing w:val="-3"/>
        </w:rPr>
        <w:t>对于数字城管项目，我们选取重要客户检查了相关合同、完工进度单，并根据完工进</w:t>
      </w:r>
      <w:r>
        <w:rPr/>
        <w:t> 度单所述进度重新计算本期应确认收入金额，复核收入记录的准确性，同时对完工进度进行</w:t>
      </w:r>
      <w:r>
        <w:rPr>
          <w:spacing w:val="-91"/>
        </w:rPr>
        <w:t> </w:t>
      </w:r>
      <w:r>
        <w:rPr>
          <w:spacing w:val="-91"/>
        </w:rPr>
      </w:r>
      <w:r>
        <w:rPr/>
        <w:t>函证，复核收入的真实性；对于采集项目，我们检查了相关合同，并重新计算本期应当确认</w:t>
      </w:r>
      <w:r>
        <w:rPr>
          <w:spacing w:val="-91"/>
        </w:rPr>
        <w:t> </w:t>
      </w:r>
      <w:r>
        <w:rPr>
          <w:spacing w:val="-91"/>
        </w:rPr>
      </w:r>
      <w:r>
        <w:rPr/>
        <w:t>收入的金额以验证收入的准确性；对于安防项目、管道探测项目、管网检测项目，我们选取</w:t>
      </w:r>
      <w:r>
        <w:rPr>
          <w:spacing w:val="-91"/>
        </w:rPr>
        <w:t> </w:t>
      </w:r>
      <w:r>
        <w:rPr>
          <w:spacing w:val="-91"/>
        </w:rPr>
      </w:r>
      <w:r>
        <w:rPr/>
        <w:t>样本检查了相关合同、项目验收单，根据取得的项目验收单追查至账面，核实收入是否记录</w:t>
      </w:r>
      <w:r>
        <w:rPr>
          <w:spacing w:val="-88"/>
        </w:rPr>
        <w:t> </w:t>
      </w:r>
      <w:r>
        <w:rPr>
          <w:spacing w:val="-88"/>
        </w:rPr>
      </w:r>
      <w:r>
        <w:rPr>
          <w:spacing w:val="-2"/>
        </w:rPr>
        <w:t>于恰当的会计期间，并根据相关合同金额检查核对账面已确认收入金额，复核收入的准确性、</w:t>
      </w:r>
      <w:r>
        <w:rPr/>
        <w:t> 真实性；</w:t>
      </w:r>
    </w:p>
    <w:p>
      <w:pPr>
        <w:pStyle w:val="BodyText"/>
        <w:spacing w:line="357" w:lineRule="auto"/>
        <w:ind w:right="1130" w:firstLine="480"/>
        <w:jc w:val="both"/>
      </w:pPr>
      <w:r>
        <w:rPr/>
        <w:t>③</w:t>
      </w:r>
      <w:r>
        <w:rPr>
          <w:spacing w:val="27"/>
        </w:rPr>
        <w:t> </w:t>
      </w:r>
      <w:r>
        <w:rPr>
          <w:spacing w:val="-3"/>
        </w:rPr>
        <w:t>检查资产负债表日前后记录的收入交易，选取样本，核对完工进度单、项目验收单及</w:t>
      </w:r>
      <w:r>
        <w:rPr/>
        <w:t> 其他支持性文件，以评价收入是否被记录于恰当的会计期间；</w:t>
      </w:r>
    </w:p>
    <w:p>
      <w:pPr>
        <w:pStyle w:val="BodyText"/>
        <w:spacing w:line="357" w:lineRule="auto"/>
        <w:ind w:left="633" w:right="1753"/>
        <w:jc w:val="left"/>
      </w:pPr>
      <w:r>
        <w:rPr/>
        <w:t>④ 对重大客户的收入执行函证及访谈程序，以验证销售收入的准确性、真实性。 </w:t>
      </w:r>
      <w:r>
        <w:rPr>
          <w:rFonts w:ascii="宋体" w:hAnsi="宋体" w:cs="宋体" w:eastAsia="宋体" w:hint="default"/>
        </w:rPr>
        <w:t>2</w:t>
      </w:r>
      <w:r>
        <w:rPr/>
        <w:t>、商誉减值</w:t>
      </w:r>
    </w:p>
    <w:p>
      <w:pPr>
        <w:pStyle w:val="BodyText"/>
        <w:spacing w:line="240" w:lineRule="auto"/>
        <w:ind w:left="633" w:right="1104"/>
        <w:jc w:val="left"/>
      </w:pPr>
      <w:r>
        <w:rPr>
          <w:rFonts w:ascii="宋体" w:hAnsi="宋体" w:cs="宋体" w:eastAsia="宋体" w:hint="default"/>
        </w:rPr>
        <w:t>(1)</w:t>
      </w:r>
      <w:r>
        <w:rPr>
          <w:rFonts w:ascii="宋体" w:hAnsi="宋体" w:cs="宋体" w:eastAsia="宋体" w:hint="default"/>
          <w:spacing w:val="-1"/>
        </w:rPr>
        <w:t> </w:t>
      </w:r>
      <w:r>
        <w:rPr/>
        <w:t>事项描述</w:t>
      </w:r>
    </w:p>
    <w:p>
      <w:pPr>
        <w:pStyle w:val="BodyText"/>
        <w:spacing w:line="357" w:lineRule="auto" w:before="154"/>
        <w:ind w:right="1131" w:firstLine="480"/>
        <w:jc w:val="both"/>
      </w:pPr>
      <w:r>
        <w:rPr>
          <w:spacing w:val="9"/>
        </w:rPr>
        <w:t>截止 </w:t>
      </w:r>
      <w:r>
        <w:rPr>
          <w:rFonts w:ascii="宋体" w:hAnsi="宋体" w:cs="宋体" w:eastAsia="宋体" w:hint="default"/>
          <w:spacing w:val="3"/>
        </w:rPr>
        <w:t>2019</w:t>
      </w:r>
      <w:r>
        <w:rPr>
          <w:spacing w:val="3"/>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42"/>
        </w:rPr>
        <w:t> </w:t>
      </w:r>
      <w:r>
        <w:rPr>
          <w:spacing w:val="16"/>
        </w:rPr>
        <w:t>日，数字政通公司合并资产负债表中的商誉净值为人民币</w:t>
      </w:r>
      <w:r>
        <w:rPr/>
        <w:t> </w:t>
      </w:r>
      <w:r>
        <w:rPr>
          <w:rFonts w:ascii="宋体" w:hAnsi="宋体" w:cs="宋体" w:eastAsia="宋体" w:hint="default"/>
          <w:spacing w:val="3"/>
        </w:rPr>
        <w:t>44,077.94</w:t>
      </w:r>
      <w:r>
        <w:rPr>
          <w:spacing w:val="3"/>
        </w:rPr>
        <w:t>万元。相关信息披露参阅合并财务报表附注“四、重要会计政策和会计估计”19</w:t>
      </w:r>
      <w:r>
        <w:rPr/>
        <w:t> 所述的会计政策及合并财务报表附注“六、合并财务报表主要项目附注”18。基于商誉的账</w:t>
      </w:r>
      <w:r>
        <w:rPr>
          <w:spacing w:val="-90"/>
        </w:rPr>
        <w:t> </w:t>
      </w:r>
      <w:r>
        <w:rPr>
          <w:spacing w:val="-90"/>
        </w:rPr>
      </w:r>
      <w:r>
        <w:rPr/>
        <w:t>面价值对财务报表的重要性，管理层对商誉至少每年年终进行减值测试，管理层通过比较被</w:t>
      </w:r>
      <w:r>
        <w:rPr>
          <w:spacing w:val="-91"/>
        </w:rPr>
        <w:t> </w:t>
      </w:r>
      <w:r>
        <w:rPr>
          <w:spacing w:val="-91"/>
        </w:rPr>
      </w:r>
      <w:r>
        <w:rPr/>
        <w:t>分摊商誉的相关资产组的可收回金额与该资产组及商誉的账面价值，对商誉进行减值测试。</w:t>
      </w:r>
      <w:r>
        <w:rPr>
          <w:spacing w:val="-91"/>
        </w:rPr>
        <w:t> </w:t>
      </w:r>
      <w:r>
        <w:rPr>
          <w:spacing w:val="-91"/>
        </w:rPr>
      </w:r>
      <w:r>
        <w:rPr/>
        <w:t>管理层在测试中需要做出重大判断和假设，其中可能存在错误或潜在的管理层偏向的情况，</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6194" w:hanging="481"/>
        <w:jc w:val="left"/>
      </w:pPr>
      <w:r>
        <w:rPr/>
        <w:t>因此我们将商誉减值识别为关键审计事项。 </w:t>
      </w:r>
      <w:r>
        <w:rPr>
          <w:rFonts w:ascii="宋体" w:hAnsi="宋体" w:cs="宋体" w:eastAsia="宋体" w:hint="default"/>
        </w:rPr>
        <w:t>(2)</w:t>
      </w:r>
      <w:r>
        <w:rPr>
          <w:rFonts w:ascii="宋体" w:hAnsi="宋体" w:cs="宋体" w:eastAsia="宋体" w:hint="default"/>
          <w:spacing w:val="-1"/>
        </w:rPr>
        <w:t> </w:t>
      </w:r>
      <w:r>
        <w:rPr/>
        <w:t>审计应对</w:t>
      </w:r>
    </w:p>
    <w:p>
      <w:pPr>
        <w:pStyle w:val="BodyText"/>
        <w:spacing w:line="357" w:lineRule="auto"/>
        <w:ind w:right="1132" w:firstLine="480"/>
        <w:jc w:val="both"/>
      </w:pPr>
      <w:r>
        <w:rPr/>
        <w:t>①</w:t>
      </w:r>
      <w:r>
        <w:rPr>
          <w:spacing w:val="27"/>
        </w:rPr>
        <w:t> </w:t>
      </w:r>
      <w:r>
        <w:rPr>
          <w:spacing w:val="-3"/>
        </w:rPr>
        <w:t>了解和评价管理层与商誉减值相关的内部控制的设计和执行有效性，包括关键假设的</w:t>
      </w:r>
      <w:r>
        <w:rPr/>
        <w:t> 采用及减值计提金额的复核与审批；</w:t>
      </w:r>
    </w:p>
    <w:p>
      <w:pPr>
        <w:pStyle w:val="BodyText"/>
        <w:spacing w:line="240" w:lineRule="auto"/>
        <w:ind w:left="633" w:right="1104"/>
        <w:jc w:val="left"/>
      </w:pPr>
      <w:r>
        <w:rPr/>
        <w:t>② 评估管理层商誉减值测试方法的适当性及确定是否一贯应用；</w:t>
      </w:r>
    </w:p>
    <w:p>
      <w:pPr>
        <w:pStyle w:val="BodyText"/>
        <w:spacing w:line="240" w:lineRule="auto" w:before="154"/>
        <w:ind w:left="633" w:right="1104"/>
        <w:jc w:val="left"/>
      </w:pPr>
      <w:r>
        <w:rPr/>
        <w:t>③ 评价管理层聘请的第三方评估机构的客观性、独立性及专业胜任能力；</w:t>
      </w:r>
    </w:p>
    <w:p>
      <w:pPr>
        <w:pStyle w:val="BodyText"/>
        <w:spacing w:line="240" w:lineRule="auto" w:before="154"/>
        <w:ind w:left="633" w:right="1104"/>
        <w:jc w:val="left"/>
      </w:pPr>
      <w:r>
        <w:rPr/>
        <w:t>④ 复核管理层对资产组的认定和商誉的分摊方法；</w:t>
      </w:r>
    </w:p>
    <w:p>
      <w:pPr>
        <w:pStyle w:val="BodyText"/>
        <w:spacing w:line="357" w:lineRule="auto" w:before="154"/>
        <w:ind w:right="1132" w:firstLine="480"/>
        <w:jc w:val="both"/>
      </w:pPr>
      <w:r>
        <w:rPr/>
        <w:t>⑤</w:t>
      </w:r>
      <w:r>
        <w:rPr>
          <w:spacing w:val="27"/>
        </w:rPr>
        <w:t> </w:t>
      </w:r>
      <w:r>
        <w:rPr>
          <w:spacing w:val="-3"/>
        </w:rPr>
        <w:t>取得并阅读了管理层为商誉减值测试聘请的评估师出具的资产评估报告，并与评估师</w:t>
      </w:r>
      <w:r>
        <w:rPr/>
        <w:t> 进行了讨论，了解其评估方法及关键假设并复核商誉减值测试方法的恰当性；检查现金流量</w:t>
      </w:r>
      <w:r>
        <w:rPr>
          <w:spacing w:val="-91"/>
        </w:rPr>
        <w:t> </w:t>
      </w:r>
      <w:r>
        <w:rPr>
          <w:spacing w:val="-91"/>
        </w:rPr>
      </w:r>
      <w:r>
        <w:rPr/>
        <w:t>预测和所采用折现率的合理性，复核预计未来现金流量现值的计算是否准确；</w:t>
      </w:r>
    </w:p>
    <w:p>
      <w:pPr>
        <w:pStyle w:val="BodyText"/>
        <w:spacing w:line="357" w:lineRule="auto"/>
        <w:ind w:left="633" w:right="1104"/>
        <w:jc w:val="left"/>
      </w:pPr>
      <w:r>
        <w:rPr/>
        <w:t>⑥ 检查与商誉减值相关的信息是否已在财务报表中作出恰当列报和披露。 </w:t>
      </w:r>
      <w:r>
        <w:rPr>
          <w:rFonts w:ascii="宋体" w:hAnsi="宋体" w:cs="宋体" w:eastAsia="宋体" w:hint="default"/>
          <w:b/>
          <w:bCs/>
        </w:rPr>
        <w:t>四、其他信息</w:t>
      </w:r>
      <w:r>
        <w:rPr>
          <w:rFonts w:ascii="宋体" w:hAnsi="宋体" w:cs="宋体" w:eastAsia="宋体" w:hint="default"/>
          <w:b/>
          <w:bCs/>
          <w:w w:val="99"/>
        </w:rPr>
        <w:t> </w:t>
      </w:r>
      <w:r>
        <w:rPr/>
        <w:t>数字政通公司管理层对其他信息负责。其他信息包括《北京数字政通科技股份有限公司</w:t>
      </w:r>
    </w:p>
    <w:p>
      <w:pPr>
        <w:pStyle w:val="BodyText"/>
        <w:spacing w:line="357" w:lineRule="auto"/>
        <w:ind w:left="633" w:right="1104" w:hanging="481"/>
        <w:jc w:val="left"/>
      </w:pPr>
      <w:r>
        <w:rPr>
          <w:rFonts w:ascii="宋体" w:hAnsi="宋体" w:cs="宋体" w:eastAsia="宋体" w:hint="default"/>
        </w:rPr>
        <w:t>2019</w:t>
      </w:r>
      <w:r>
        <w:rPr/>
        <w:t>年年度报告》中涵盖的信息，但不包括财务报表和我们的审计报告。 我们对财务报表发表的审计意见不涵盖其他信息，我们也不对其他信息发表任何形式的</w:t>
      </w:r>
    </w:p>
    <w:p>
      <w:pPr>
        <w:pStyle w:val="BodyText"/>
        <w:spacing w:line="240" w:lineRule="auto"/>
        <w:ind w:right="1104"/>
        <w:jc w:val="left"/>
      </w:pPr>
      <w:r>
        <w:rPr/>
        <w:t>鉴证结论。</w:t>
      </w:r>
    </w:p>
    <w:p>
      <w:pPr>
        <w:pStyle w:val="BodyText"/>
        <w:spacing w:line="357" w:lineRule="auto" w:before="154"/>
        <w:ind w:right="114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spacing w:line="357" w:lineRule="auto" w:before="36"/>
        <w:ind w:left="635" w:right="6175" w:hanging="483"/>
        <w:jc w:val="left"/>
        <w:rPr>
          <w:rFonts w:ascii="宋体" w:hAnsi="宋体" w:cs="宋体" w:eastAsia="宋体" w:hint="default"/>
          <w:sz w:val="24"/>
          <w:szCs w:val="24"/>
        </w:rPr>
      </w:pPr>
      <w:r>
        <w:rPr>
          <w:rFonts w:ascii="宋体" w:hAnsi="宋体" w:cs="宋体" w:eastAsia="宋体" w:hint="default"/>
          <w:sz w:val="24"/>
          <w:szCs w:val="24"/>
        </w:rPr>
        <w:t>在这方面，我们无任何事项需要报告。 </w:t>
      </w:r>
      <w:r>
        <w:rPr>
          <w:rFonts w:ascii="宋体" w:hAnsi="宋体" w:cs="宋体" w:eastAsia="宋体" w:hint="default"/>
          <w:b/>
          <w:bCs/>
          <w:sz w:val="24"/>
          <w:szCs w:val="24"/>
        </w:rPr>
        <w:t>五、管理层和治理层对财务报表的责任</w:t>
      </w:r>
      <w:r>
        <w:rPr>
          <w:rFonts w:ascii="宋体" w:hAnsi="宋体" w:cs="宋体" w:eastAsia="宋体" w:hint="default"/>
          <w:sz w:val="24"/>
          <w:szCs w:val="24"/>
        </w:rPr>
      </w:r>
    </w:p>
    <w:p>
      <w:pPr>
        <w:pStyle w:val="BodyText"/>
        <w:spacing w:line="357" w:lineRule="auto" w:before="37"/>
        <w:ind w:right="996" w:firstLine="480"/>
        <w:jc w:val="left"/>
      </w:pPr>
      <w:r>
        <w:rPr/>
        <w:t>数字政通公司管理层负责按照企业会计准则的规定编制财务报表，使其实现公允反映， </w:t>
      </w:r>
      <w:r>
        <w:rPr>
          <w:spacing w:val="-2"/>
        </w:rPr>
        <w:t>并设计、执行和维护必要的内部控制，以使财务报表不存在由于舞弊或错误导致的重大错报。</w:t>
      </w:r>
    </w:p>
    <w:p>
      <w:pPr>
        <w:pStyle w:val="BodyText"/>
        <w:spacing w:line="357" w:lineRule="auto"/>
        <w:ind w:right="1139" w:firstLine="480"/>
        <w:jc w:val="both"/>
      </w:pPr>
      <w:r>
        <w:rPr/>
        <w:t>在编制财务报表时，管理层负责评估数字政通公司的持续经营能力，披露与持续经营相 关的事项（如适用），并运用持续经营假设，除非管理层计划清算数字政通公司、终止运营</w:t>
      </w:r>
      <w:r>
        <w:rPr>
          <w:spacing w:val="-91"/>
        </w:rPr>
        <w:t> </w:t>
      </w:r>
      <w:r>
        <w:rPr>
          <w:spacing w:val="-91"/>
        </w:rPr>
      </w:r>
      <w:r>
        <w:rPr/>
        <w:t>或别无其他现实的选择。</w:t>
      </w:r>
    </w:p>
    <w:p>
      <w:pPr>
        <w:spacing w:line="357" w:lineRule="auto" w:before="36"/>
        <w:ind w:left="635" w:right="5234" w:hanging="3"/>
        <w:jc w:val="left"/>
        <w:rPr>
          <w:rFonts w:ascii="宋体" w:hAnsi="宋体" w:cs="宋体" w:eastAsia="宋体" w:hint="default"/>
          <w:sz w:val="24"/>
          <w:szCs w:val="24"/>
        </w:rPr>
      </w:pPr>
      <w:r>
        <w:rPr>
          <w:rFonts w:ascii="宋体" w:hAnsi="宋体" w:cs="宋体" w:eastAsia="宋体" w:hint="default"/>
          <w:sz w:val="24"/>
          <w:szCs w:val="24"/>
        </w:rPr>
        <w:t>治理层负责监督数字政通公司的财务报告过程。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240" w:lineRule="auto"/>
        <w:ind w:left="633" w:right="1104"/>
        <w:jc w:val="left"/>
      </w:pPr>
      <w:r>
        <w:rPr>
          <w:spacing w:val="6"/>
        </w:rPr>
        <w:t>我们的目标是对财务报表整体是否不存在由于舞弊或错误导致的重大错报获取合理保</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证，并出具包含审计意见的审计报告。合理保证是高水平的保证，但并不能保证按照审计准</w:t>
      </w:r>
      <w:r>
        <w:rPr>
          <w:spacing w:val="-91"/>
        </w:rPr>
        <w:t> </w:t>
      </w:r>
      <w:r>
        <w:rPr>
          <w:spacing w:val="-91"/>
        </w:rPr>
      </w:r>
      <w:r>
        <w:rPr/>
        <w:t>则执行的审计在某一重大错报存在时总能发现。错报可能由于舞弊或错误导致，如果合理预</w:t>
      </w:r>
      <w:r>
        <w:rPr>
          <w:spacing w:val="-91"/>
        </w:rPr>
        <w:t> </w:t>
      </w:r>
      <w:r>
        <w:rPr>
          <w:spacing w:val="-91"/>
        </w:rPr>
      </w:r>
      <w:r>
        <w:rPr/>
        <w:t>期错报单独或汇总起来可能影响财务报表使用者依据财务报表作出的经济决策，则通常认为</w:t>
      </w:r>
      <w:r>
        <w:rPr>
          <w:spacing w:val="-91"/>
        </w:rPr>
        <w:t> </w:t>
      </w:r>
      <w:r>
        <w:rPr>
          <w:spacing w:val="-91"/>
        </w:rPr>
      </w:r>
      <w:r>
        <w:rPr/>
        <w:t>错报是重大的。</w:t>
      </w:r>
    </w:p>
    <w:p>
      <w:pPr>
        <w:pStyle w:val="BodyText"/>
        <w:spacing w:line="357" w:lineRule="auto"/>
        <w:ind w:right="1140" w:firstLine="480"/>
        <w:jc w:val="both"/>
      </w:pPr>
      <w:r>
        <w:rPr/>
        <w:t>在按照审计准则执行审计工作的过程中，我们运用职业判断，并保持职业怀疑。同时， 我们也执行以下工作：</w:t>
      </w:r>
    </w:p>
    <w:p>
      <w:pPr>
        <w:pStyle w:val="BodyText"/>
        <w:spacing w:line="357" w:lineRule="auto"/>
        <w:ind w:right="1132" w:firstLine="480"/>
        <w:jc w:val="both"/>
      </w:pPr>
      <w:r>
        <w:rPr>
          <w:rFonts w:ascii="宋体" w:hAnsi="宋体" w:cs="宋体" w:eastAsia="宋体" w:hint="default"/>
          <w:spacing w:val="-3"/>
        </w:rPr>
        <w:t>1</w:t>
      </w:r>
      <w:r>
        <w:rPr>
          <w:spacing w:val="-3"/>
        </w:rPr>
        <w:t>、识别和评估由于舞弊或错误导致的财务报表重大错报风险，设计和实施审计程序以应</w:t>
      </w:r>
      <w:r>
        <w:rPr/>
        <w:t> 对这些风险，并获取充分、适当的审计证据，作为发表审计意见的基础。由于舞弊可能涉及</w:t>
      </w:r>
      <w:r>
        <w:rPr>
          <w:spacing w:val="-91"/>
        </w:rPr>
        <w:t> </w:t>
      </w:r>
      <w:r>
        <w:rPr>
          <w:spacing w:val="-91"/>
        </w:rPr>
      </w:r>
      <w:r>
        <w:rPr/>
        <w:t>串通、伪造、故意遗漏、虚假陈述或凌驾于内部控制之上，未能发现由于舞弊导致的重大错</w:t>
      </w:r>
      <w:r>
        <w:rPr>
          <w:spacing w:val="-91"/>
        </w:rPr>
        <w:t> </w:t>
      </w:r>
      <w:r>
        <w:rPr>
          <w:spacing w:val="-91"/>
        </w:rPr>
      </w:r>
      <w:r>
        <w:rPr/>
        <w:t>报的风险高于未能发现由于错误导致的重大错报的风险。</w:t>
      </w:r>
    </w:p>
    <w:p>
      <w:pPr>
        <w:pStyle w:val="BodyText"/>
        <w:spacing w:line="240" w:lineRule="auto"/>
        <w:ind w:left="633" w:right="1104"/>
        <w:jc w:val="left"/>
      </w:pPr>
      <w:r>
        <w:rPr>
          <w:rFonts w:ascii="宋体" w:hAnsi="宋体" w:cs="宋体" w:eastAsia="宋体" w:hint="default"/>
        </w:rPr>
        <w:t>2</w:t>
      </w:r>
      <w:r>
        <w:rPr/>
        <w:t>、了解与审计相关的内部控制，以设计恰当的审计程序。</w:t>
      </w:r>
    </w:p>
    <w:p>
      <w:pPr>
        <w:pStyle w:val="BodyText"/>
        <w:spacing w:line="240" w:lineRule="auto" w:before="154"/>
        <w:ind w:left="633" w:right="1104"/>
        <w:jc w:val="left"/>
      </w:pPr>
      <w:r>
        <w:rPr>
          <w:rFonts w:ascii="宋体" w:hAnsi="宋体" w:cs="宋体" w:eastAsia="宋体" w:hint="default"/>
        </w:rPr>
        <w:t>3</w:t>
      </w:r>
      <w:r>
        <w:rPr/>
        <w:t>、评价管理层选用会计政策的恰当性和作出会计估计及相关披露的合理性。</w:t>
      </w:r>
    </w:p>
    <w:p>
      <w:pPr>
        <w:pStyle w:val="BodyText"/>
        <w:spacing w:line="357" w:lineRule="auto" w:before="154"/>
        <w:ind w:right="1133" w:firstLine="480"/>
        <w:jc w:val="both"/>
      </w:pPr>
      <w:r>
        <w:rPr>
          <w:rFonts w:ascii="宋体" w:hAnsi="宋体" w:cs="宋体" w:eastAsia="宋体" w:hint="default"/>
          <w:spacing w:val="-3"/>
        </w:rPr>
        <w:t>4</w:t>
      </w:r>
      <w:r>
        <w:rPr>
          <w:spacing w:val="-3"/>
        </w:rPr>
        <w:t>、对管理层使用持续经营假设的恰当性得出结论。同时，根据获取的审计证据，就可能</w:t>
      </w:r>
      <w:r>
        <w:rPr/>
        <w:t> 导致对数字政通公司持续经营能力产生重大疑虑的事项或情况是否存在重大不确定性得出结</w:t>
      </w:r>
      <w:r>
        <w:rPr>
          <w:spacing w:val="-91"/>
        </w:rPr>
        <w:t> </w:t>
      </w:r>
      <w:r>
        <w:rPr>
          <w:spacing w:val="-91"/>
        </w:rPr>
      </w:r>
      <w:r>
        <w:rPr/>
        <w:t>论。如果我们得出结论认为存在重大不确定性，审计准则要求我们在审计报告中提请报表使</w:t>
      </w:r>
      <w:r>
        <w:rPr>
          <w:spacing w:val="-91"/>
        </w:rPr>
        <w:t> </w:t>
      </w:r>
      <w:r>
        <w:rPr>
          <w:spacing w:val="-91"/>
        </w:rPr>
      </w:r>
      <w:r>
        <w:rPr/>
        <w:t>用者注意财务报表中的相关披露；如果披露不充分，我们应当发表非无保留意见。我们的结</w:t>
      </w:r>
      <w:r>
        <w:rPr>
          <w:spacing w:val="-89"/>
        </w:rPr>
        <w:t> </w:t>
      </w:r>
      <w:r>
        <w:rPr>
          <w:spacing w:val="-89"/>
        </w:rPr>
      </w:r>
      <w:r>
        <w:rPr/>
        <w:t>论基于截至审计报告日可获得的信息。然而，未来的事项或情况可能导致数字政通公司不能</w:t>
      </w:r>
      <w:r>
        <w:rPr>
          <w:spacing w:val="-91"/>
        </w:rPr>
        <w:t> </w:t>
      </w:r>
      <w:r>
        <w:rPr>
          <w:spacing w:val="-91"/>
        </w:rPr>
      </w:r>
      <w:r>
        <w:rPr/>
        <w:t>持续经营。</w:t>
      </w:r>
    </w:p>
    <w:p>
      <w:pPr>
        <w:pStyle w:val="BodyText"/>
        <w:spacing w:line="357" w:lineRule="auto"/>
        <w:ind w:right="1129" w:firstLine="480"/>
        <w:jc w:val="both"/>
      </w:pPr>
      <w:r>
        <w:rPr>
          <w:rFonts w:ascii="宋体" w:hAnsi="宋体" w:cs="宋体" w:eastAsia="宋体" w:hint="default"/>
          <w:spacing w:val="-3"/>
        </w:rPr>
        <w:t>5</w:t>
      </w:r>
      <w:r>
        <w:rPr>
          <w:spacing w:val="-3"/>
        </w:rPr>
        <w:t>、评价财务报表的总体列报、结构和内容</w:t>
      </w:r>
      <w:r>
        <w:rPr>
          <w:rFonts w:ascii="宋体" w:hAnsi="宋体" w:cs="宋体" w:eastAsia="宋体" w:hint="default"/>
          <w:spacing w:val="-3"/>
        </w:rPr>
        <w:t>(</w:t>
      </w:r>
      <w:r>
        <w:rPr>
          <w:spacing w:val="-3"/>
        </w:rPr>
        <w:t>包括披露</w:t>
      </w:r>
      <w:r>
        <w:rPr>
          <w:rFonts w:ascii="宋体" w:hAnsi="宋体" w:cs="宋体" w:eastAsia="宋体" w:hint="default"/>
          <w:spacing w:val="-3"/>
        </w:rPr>
        <w:t>)</w:t>
      </w:r>
      <w:r>
        <w:rPr>
          <w:spacing w:val="-3"/>
        </w:rPr>
        <w:t>，并评价财务报表是否公允反映相</w:t>
      </w:r>
      <w:r>
        <w:rPr/>
        <w:t> 关交易和事项。</w:t>
      </w:r>
    </w:p>
    <w:p>
      <w:pPr>
        <w:pStyle w:val="BodyText"/>
        <w:spacing w:line="357" w:lineRule="auto"/>
        <w:ind w:right="986" w:firstLine="480"/>
        <w:jc w:val="left"/>
      </w:pPr>
      <w:r>
        <w:rPr>
          <w:rFonts w:ascii="宋体" w:hAnsi="宋体" w:cs="宋体" w:eastAsia="宋体" w:hint="default"/>
          <w:spacing w:val="-3"/>
        </w:rPr>
        <w:t>6</w:t>
      </w:r>
      <w:r>
        <w:rPr>
          <w:spacing w:val="-3"/>
        </w:rPr>
        <w:t>、就数字政通公司中实体或业务活动的财务信息获取充分、适当的审计证据，以对合并</w:t>
      </w:r>
      <w:r>
        <w:rPr/>
        <w:t> </w:t>
      </w:r>
      <w:r>
        <w:rPr>
          <w:spacing w:val="-3"/>
        </w:rPr>
        <w:t>财务报表发表审计意见。我们负责指导、监督和执行集团审计，并对审计意见承担全部责任。</w:t>
      </w:r>
    </w:p>
    <w:p>
      <w:pPr>
        <w:pStyle w:val="BodyText"/>
        <w:spacing w:line="357" w:lineRule="auto"/>
        <w:ind w:right="1140" w:firstLine="480"/>
        <w:jc w:val="both"/>
      </w:pPr>
      <w:r>
        <w:rPr/>
        <w:t>我们与治理层就计划的审计范围、时间安排和重大审计发现等事项进行沟通，包括沟通 我们在审计中识别出的值得关注的内部控制缺陷。</w:t>
      </w:r>
    </w:p>
    <w:p>
      <w:pPr>
        <w:pStyle w:val="BodyText"/>
        <w:spacing w:line="357" w:lineRule="auto"/>
        <w:ind w:right="1140" w:firstLine="480"/>
        <w:jc w:val="both"/>
      </w:pPr>
      <w:r>
        <w:rPr/>
        <w:t>我们还就已遵守与独立性相关的职业道德要求向治理层提供声明，并与治理层沟通可能 被合理认为影响我们独立性的所有关系和其他事项，以及相关的防范措施（如适用）。</w:t>
      </w:r>
    </w:p>
    <w:p>
      <w:pPr>
        <w:pStyle w:val="BodyText"/>
        <w:spacing w:line="357" w:lineRule="auto"/>
        <w:ind w:right="1139"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91"/>
        </w:rPr>
        <w:t> </w:t>
      </w:r>
      <w:r>
        <w:rPr>
          <w:spacing w:val="-91"/>
        </w:rPr>
      </w:r>
      <w:r>
        <w:rPr/>
        <w:t>或在极少数情形下，如果合理预期在审计报告中沟通某事项造成的负面后果超过在公众利益</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tabs>
          <w:tab w:pos="5614" w:val="left" w:leader="none"/>
        </w:tabs>
        <w:spacing w:line="535" w:lineRule="auto" w:before="26"/>
        <w:ind w:left="633" w:right="2670" w:hanging="481"/>
        <w:jc w:val="left"/>
      </w:pPr>
      <w:r>
        <w:rPr/>
        <w:t>方面产生的益处，我们确定不应在审计报告中沟通该事项。 上会会计师事务所（特殊普通合伙）</w:t>
        <w:tab/>
        <w:t>中国注册会计师：王芳山</w:t>
      </w:r>
    </w:p>
    <w:p>
      <w:pPr>
        <w:pStyle w:val="BodyText"/>
        <w:spacing w:line="240" w:lineRule="auto" w:before="14"/>
        <w:ind w:left="5554" w:right="1104"/>
        <w:jc w:val="left"/>
      </w:pPr>
      <w:r>
        <w:rPr/>
        <w:t>中国注册会计师：邓战涛</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tabs>
          <w:tab w:pos="5914" w:val="left" w:leader="none"/>
        </w:tabs>
        <w:spacing w:line="240" w:lineRule="auto" w:before="0"/>
        <w:ind w:left="2913" w:right="1104"/>
        <w:jc w:val="left"/>
      </w:pPr>
      <w:r>
        <w:rPr/>
        <w:t>中国</w:t>
      </w:r>
      <w:r>
        <w:rPr>
          <w:spacing w:val="72"/>
        </w:rPr>
        <w:t> </w:t>
      </w:r>
      <w:r>
        <w:rPr/>
        <w:t>上海</w:t>
        <w:tab/>
        <w:t>二〇二〇年四月二十六日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2"/>
        <w:spacing w:line="240" w:lineRule="auto"/>
        <w:ind w:right="1104"/>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731,956,585.59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807,143,248.11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5,623,758.55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1,160,112,826.09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1,067,276,237.42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4,417,640.00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26,980,463.90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5,227,140.16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112,391,593.96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122,597,106.66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125,831,363.90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133,586,072.16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26,495,574.56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39,953,581.43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6,669,900.36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7,685,973.93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2,215,855,948.36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2,189,093,118.42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61,375,021.72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84,544,047.85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3,490,457.68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7,908,743.79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59,826,505.58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71,805,792.58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69,026,204.10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58,513,363.22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23,534,430.61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112,722,889.97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119,874,488.20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31,542,891.56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30,904,913.59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440,779,441.04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440,779,441.04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42,823.20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60,811.20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48,600,712.32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42,519,229.28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893,961,377.78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899,930,830.75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3,109,817,326.14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3,089,023,949.17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1,274,800.00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321,036,222.36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292,282,879.71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91,842,109.34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117,626,431.08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32,092,892.88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27,516,323.17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51,065,548.36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59,265,578.66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133,937,838.26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221,135,497.29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33,833.34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7,356,790.00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7,356,790.00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721,249,411.20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884,826,709.91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7,768,086.39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9,555,534.15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23,026,086.39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23,213,534.15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744,275,497.59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908,040,244.06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426,552,605.00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424,340,905.00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992,295,851.58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959,426,639.37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40,103,798.00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96,608,622.03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88,226,696.38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872,739,278.58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739,220,638.21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2,354,372,357.19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2,171,111,080.96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11,169,471.36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9,872,624.15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2,365,541,828.55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2,180,983,705.11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3,109,817,326.14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3,089,023,949.17</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法定代表人：吴强华</w:t>
        <w:tab/>
      </w:r>
      <w:r>
        <w:rPr>
          <w:rFonts w:ascii="宋体" w:hAnsi="宋体" w:cs="宋体" w:eastAsia="宋体" w:hint="default"/>
          <w:spacing w:val="-1"/>
          <w:sz w:val="18"/>
          <w:szCs w:val="18"/>
        </w:rPr>
        <w:t>主管会计工作负责人：殷小敏</w:t>
        <w:tab/>
      </w:r>
      <w:r>
        <w:rPr>
          <w:rFonts w:ascii="宋体" w:hAnsi="宋体" w:cs="宋体" w:eastAsia="宋体" w:hint="default"/>
          <w:sz w:val="18"/>
          <w:szCs w:val="18"/>
        </w:rPr>
        <w:t>会计机构负责人：向华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6" w:right="0"/>
              <w:jc w:val="left"/>
              <w:rPr>
                <w:rFonts w:ascii="Times New Roman" w:hAnsi="Times New Roman" w:cs="Times New Roman" w:eastAsia="Times New Roman" w:hint="default"/>
                <w:sz w:val="18"/>
                <w:szCs w:val="18"/>
              </w:rPr>
            </w:pPr>
            <w:r>
              <w:rPr>
                <w:rFonts w:ascii="Times New Roman"/>
                <w:sz w:val="18"/>
              </w:rPr>
              <w:t>591,605,766.64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665,678,238.86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4,948,758.55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728,652,796.50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694,377,552.55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3,392,700.00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4,830,586.89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6,228.90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444,110,490.13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432,672,344.69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15,079,629.58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23,040,821.57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1,787,671,969.74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1,820,723,945.12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3,622,404.83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16,466,905.09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800,026,488.02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794,821,774.13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38,019,822.24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48,424,379.61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27,808,213.43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19,994,260.97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56,133,050.02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50,885,726.37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31,542,891.56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28,712,123.17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28,079,544.13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21,002,816.10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1,028,232,414.23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1,023,307,985.44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2,815,904,383.97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2,844,031,930.56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61,274,800.00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244,231,162.81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230,381,054.96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35,456,352.65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21,610,503.30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11,648,581.23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9,142,934.32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23,187,612.40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38,669,425.52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130,671,904.70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220,528,045.37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506,470,413.79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650,331,963.47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13,658,000.00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521,728,413.79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663,989,963.47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426,552,605.00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424,340,905.00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1,090,098,423.73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1,055,479,846.73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40,103,798.00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96,608,622.03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88,226,696.38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714,740,319.42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652,098,316.98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2,294,175,970.18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2,180,041,967.09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2,815,904,383.97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2,844,031,930.56</w:t>
            </w:r>
          </w:p>
        </w:tc>
      </w:tr>
    </w:tbl>
    <w:p>
      <w:pPr>
        <w:spacing w:line="240" w:lineRule="auto" w:before="10"/>
        <w:rPr>
          <w:rFonts w:ascii="Times New Roman" w:hAnsi="Times New Roman" w:cs="Times New Roman" w:eastAsia="Times New Roman" w:hint="default"/>
          <w:sz w:val="21"/>
          <w:szCs w:val="21"/>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1,257,538,949.54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1,288,815,520.62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1,257,538,949.54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1,288,815,520.62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1,126,348,676.89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1,135,070,631.87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843,672,716.57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918,250,858.35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39.949982pt;width:158.9pt;height:20.65pt;mso-position-horizontal-relative:page;mso-position-vertical-relative:page;z-index:-1045792" coordorigin="4220,6799" coordsize="3178,413">
            <v:group style="position:absolute;left:4231;top:6810;width:2;height:392" coordorigin="4231,6810" coordsize="2,392">
              <v:shape style="position:absolute;left:4231;top:6810;width:2;height:392" coordorigin="4231,6810" coordsize="0,392" path="m4231,6810l4231,7201e" filled="false" stroked="true" strokeweight="1.08pt" strokecolor="#ffffff">
                <v:path arrowok="t"/>
              </v:shape>
            </v:group>
            <v:group style="position:absolute;left:4242;top:6810;width:3157;height:392" coordorigin="4242,6810" coordsize="3157,392">
              <v:shape style="position:absolute;left:4242;top:6810;width:3157;height:392" coordorigin="4242,6810" coordsize="3157,392" path="m4242,7201l7398,7201,7398,6810,4242,6810,4242,7201xe" filled="true" fillcolor="#ffffff" stroked="false">
                <v:path arrowok="t"/>
                <v:fill type="solid"/>
              </v:shape>
            </v:group>
            <w10:wrap type="none"/>
          </v:group>
        </w:pict>
      </w:r>
      <w:r>
        <w:rPr/>
        <w:pict>
          <v:group style="position:absolute;margin-left:211.009995pt;margin-top:598.839966pt;width:158.9pt;height:20.65pt;mso-position-horizontal-relative:page;mso-position-vertical-relative:page;z-index:-1045768" coordorigin="4220,11977" coordsize="3178,413">
            <v:group style="position:absolute;left:4231;top:11988;width:2;height:392" coordorigin="4231,11988" coordsize="2,392">
              <v:shape style="position:absolute;left:4231;top:11988;width:2;height:392" coordorigin="4231,11988" coordsize="0,392" path="m4231,11988l4231,12379e" filled="false" stroked="true" strokeweight="1.08pt" strokecolor="#ffffff">
                <v:path arrowok="t"/>
              </v:shape>
            </v:group>
            <v:group style="position:absolute;left:4242;top:11988;width:3157;height:392" coordorigin="4242,11988" coordsize="3157,392">
              <v:shape style="position:absolute;left:4242;top:11988;width:3157;height:392" coordorigin="4242,11988" coordsize="3157,392" path="m4242,12379l7398,12379,7398,11988,4242,11988,4242,1237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12,345,078.03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13,733,110.78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92,587,250.76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90,110,781.22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104,145,982.44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46,860,337.43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88,068,203.04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76,756,425.78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-14,470,553.95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-10,640,881.69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5,787,465.26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7,783,028.02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17,297,392.79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11,475,008.58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41,270,627.02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50,208,737.98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-3,994,182.69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-1,866,689.18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-4,418,286.11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-1,783,391.80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-25,828,042.31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-1,698,162.83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-77,609,453.32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55,301.98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-58,702.24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140,995,813.82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124,418,781.99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476,073.81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1,719,243.16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438,436.66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279,634.09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tabs>
                <w:tab w:pos="2055" w:val="left" w:leader="none"/>
              </w:tabs>
              <w:spacing w:line="240" w:lineRule="auto" w:before="49"/>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141,033,450.97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125,858,391.06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11,165,573.42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12,487,774.18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129,867,877.55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113,370,616.88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129,867,877.55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113,370,616.88</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130,702,321.60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117,186,570.99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-834,444.05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-3,815,954.11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129,867,877.55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113,370,616.88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130,702,321.60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117,186,570.99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-834,444.05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-3,815,954.11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1224" w:firstLine="0"/>
        <w:jc w:val="right"/>
        <w:rPr>
          <w:rFonts w:ascii="宋体" w:hAnsi="宋体" w:cs="宋体" w:eastAsia="宋体" w:hint="default"/>
          <w:sz w:val="18"/>
          <w:szCs w:val="18"/>
        </w:rPr>
      </w:pPr>
      <w:r>
        <w:rPr>
          <w:rFonts w:ascii="宋体" w:hAnsi="宋体" w:cs="宋体" w:eastAsia="宋体" w:hint="default"/>
          <w:sz w:val="18"/>
          <w:szCs w:val="18"/>
        </w:rPr>
        <w:t>法定代表人：吴强华</w:t>
        <w:tab/>
      </w:r>
      <w:r>
        <w:rPr>
          <w:rFonts w:ascii="宋体" w:hAnsi="宋体" w:cs="宋体" w:eastAsia="宋体" w:hint="default"/>
          <w:spacing w:val="-1"/>
          <w:sz w:val="18"/>
          <w:szCs w:val="18"/>
        </w:rPr>
        <w:t>主管会计工作负责人：殷小敏</w:t>
        <w:tab/>
      </w:r>
      <w:r>
        <w:rPr>
          <w:rFonts w:ascii="宋体" w:hAnsi="宋体" w:cs="宋体" w:eastAsia="宋体" w:hint="default"/>
          <w:sz w:val="18"/>
          <w:szCs w:val="18"/>
        </w:rPr>
        <w:t>会计机构负责人：向华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858,676,269.77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962,980,115.91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592,932,850.38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707,754,740.54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5,603,750.85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9,090,530.97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67,389,256.56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68,701,340.78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80,509,446.05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27,188,949.27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71,340,979.83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61,346,193.26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-13,151,534.90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-11,253,735.11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1,776,969.17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4,787,974.59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13,261,475.53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10,872,254.55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34,787,678.82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43,505,268.50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-4,418,286.11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-3,658,737.85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-4,418,286.11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-1,783,391.80</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-10,908,854.20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-12,462,243.26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85,530.15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73,597,589.66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127,536,383.59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91,034.06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73,506,555.60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127,636,383.59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1,517,623.62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7,987,312.59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71,988,931.98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119,649,071.00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71,988,931.98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119,649,071.00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71,988,931.98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119,649,071.00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1,285,139,226.69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1,367,835,370.16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31,625,834.86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49,184,619.42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118,855,299.96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95,537,248.62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1,435,620,361.51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1,512,557,238.20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501,849,523.53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561,749,633.06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437,175,088.63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426,166,089.35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134,523,852.46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157,423,725.41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178,283,754.27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191,487,495.40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1,251,832,218.89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1,336,826,943.22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183,788,142.62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175,730,294.98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424,103.42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3,924,361.49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25,240,974.91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1,760,600.00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70,047,615.91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40,487,895.25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657,172.33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111,747,615.91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41,145,067.58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-86,506,641.00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-39,384,467.58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33,824,000.00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577,029.55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163,824,000.00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216,377,029.55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139,790,217.00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18,582,793.65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19,265,880.20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130,828,198.00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78,045,157.15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356,410,991.65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237,101,254.35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-192,586,991.65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-20,724,224.80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-95,305,490.03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115,621,602.60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795,603,559.06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679,981,956.46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700,298,069.03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795,603,559.06</w:t>
            </w:r>
          </w:p>
        </w:tc>
      </w:tr>
    </w:tbl>
    <w:p>
      <w:pPr>
        <w:spacing w:line="240" w:lineRule="auto" w:before="10"/>
        <w:rPr>
          <w:rFonts w:ascii="Times New Roman" w:hAnsi="Times New Roman" w:cs="Times New Roman" w:eastAsia="Times New Roman" w:hint="default"/>
          <w:sz w:val="21"/>
          <w:szCs w:val="21"/>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948,749,510.79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1,002,633,613.92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29,295,419.32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42,600,316.71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87,833,385.57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224,469,880.59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1,065,878,315.68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1,269,703,811.22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585,165,841.52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570,353,681.72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125,759,155.44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125,882,700.40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71,412,125.21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89,499,745.42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168,052,271.30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257,331,936.84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950,389,393.47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1,043,068,064.38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115,488,922.21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226,635,746.84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185,295.98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1,368,390.60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185,295.98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1,368,390.60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32,766,597.27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27,534,763.17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73,732,400.00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106,498,997.27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47,534,763.17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-106,313,701.29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-46,166,372.57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33,824,000.00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14,572,297.56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17,522,197.09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41,953,798.00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77,362,611.51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136,526,095.56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204,884,808.60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-102,702,095.56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-74,884,808.60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-93,526,874.64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105,584,565.67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663,900,387.87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558,315,822.20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570,373,513.23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663,900,387.87</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53" w:type="dxa"/>
            <w:vMerge/>
            <w:tcBorders>
              <w:left w:val="single" w:sz="4"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53" w:type="dxa"/>
            <w:vMerge/>
            <w:tcBorders>
              <w:left w:val="single" w:sz="4"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所有</w:t>
            </w:r>
          </w:p>
        </w:tc>
      </w:tr>
      <w:tr>
        <w:trPr>
          <w:trHeight w:val="151" w:hRule="exact"/>
        </w:trPr>
        <w:tc>
          <w:tcPr>
            <w:tcW w:w="1253" w:type="dxa"/>
            <w:vMerge/>
            <w:tcBorders>
              <w:left w:val="single" w:sz="4" w:space="0" w:color="000000"/>
              <w:bottom w:val="single" w:sz="4" w:space="0" w:color="FFFFFF"/>
              <w:right w:val="single" w:sz="4" w:space="0" w:color="000000"/>
            </w:tcBorders>
            <w:shd w:val="clear" w:color="auto" w:fill="D2D2D2"/>
          </w:tcPr>
          <w:p>
            <w:pPr/>
          </w:p>
        </w:tc>
        <w:tc>
          <w:tcPr>
            <w:tcW w:w="7149"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01"/>
              <w:jc w:val="both"/>
              <w:rPr>
                <w:rFonts w:ascii="宋体" w:hAnsi="宋体" w:cs="宋体" w:eastAsia="宋体" w:hint="default"/>
                <w:sz w:val="18"/>
                <w:szCs w:val="18"/>
              </w:rPr>
            </w:pPr>
            <w:r>
              <w:rPr>
                <w:rFonts w:ascii="宋体" w:hAnsi="宋体" w:cs="宋体" w:eastAsia="宋体" w:hint="default"/>
                <w:sz w:val="18"/>
                <w:szCs w:val="18"/>
              </w:rPr>
              <w:t>者权 益合 计</w:t>
            </w:r>
          </w:p>
        </w:tc>
      </w:tr>
      <w:tr>
        <w:trPr>
          <w:trHeight w:val="165"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bottom w:val="nil" w:sz="6" w:space="0" w:color="auto"/>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nil" w:sz="6" w:space="0" w:color="auto"/>
              <w:left w:val="single" w:sz="4" w:space="0" w:color="000000"/>
              <w:bottom w:val="single" w:sz="4" w:space="0" w:color="000000"/>
              <w:right w:val="single" w:sz="4" w:space="0" w:color="000000"/>
            </w:tcBorders>
            <w:shd w:val="clear" w:color="auto" w:fill="D2D2D2"/>
          </w:tcPr>
          <w:p>
            <w:pPr/>
          </w:p>
        </w:tc>
        <w:tc>
          <w:tcPr>
            <w:tcW w:w="466" w:type="dxa"/>
            <w:tcBorders>
              <w:top w:val="nil" w:sz="6" w:space="0" w:color="auto"/>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424,3</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40,90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5.00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959,42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6,639.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22"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739,22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0,638.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2,171,</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111,08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0.96</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9,872,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624.15</w:t>
            </w:r>
          </w:p>
        </w:tc>
        <w:tc>
          <w:tcPr>
            <w:tcW w:w="578" w:type="dxa"/>
            <w:vMerge w:val="restart"/>
            <w:tcBorders>
              <w:top w:val="single" w:sz="39" w:space="0" w:color="D2D2D2"/>
              <w:left w:val="single" w:sz="4" w:space="0" w:color="000000"/>
              <w:right w:val="single" w:sz="4" w:space="0" w:color="000000"/>
            </w:tcBorders>
          </w:tcPr>
          <w:p>
            <w:pPr>
              <w:pStyle w:val="TableParagraph"/>
              <w:spacing w:line="240" w:lineRule="auto" w:before="46"/>
              <w:ind w:left="75" w:right="0"/>
              <w:jc w:val="center"/>
              <w:rPr>
                <w:rFonts w:ascii="Times New Roman" w:hAnsi="Times New Roman" w:cs="Times New Roman" w:eastAsia="Times New Roman" w:hint="default"/>
                <w:sz w:val="18"/>
                <w:szCs w:val="18"/>
              </w:rPr>
            </w:pPr>
            <w:r>
              <w:rPr>
                <w:rFonts w:ascii="Times New Roman"/>
                <w:sz w:val="18"/>
              </w:rPr>
              <w:t>2,180,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983,70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5.11</w:t>
            </w:r>
          </w:p>
        </w:tc>
      </w:tr>
      <w:tr>
        <w:trPr>
          <w:trHeight w:val="704"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3"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1,183,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032.45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同一</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12"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控制下企业合</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7"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424,3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40,90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959,42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6,639.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89,409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762,03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2,195,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104,65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9,872,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624.15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2,204,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977,27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7.92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2,211</w:t>
            </w:r>
          </w:p>
          <w:p>
            <w:pPr>
              <w:pStyle w:val="TableParagraph"/>
              <w:spacing w:line="240" w:lineRule="auto" w:before="102"/>
              <w:ind w:left="78"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32,869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-6,279,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798.00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7,198,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893.20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110,70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8,100.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159,26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7,703.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847.21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160,56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4,550.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130,70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2,321.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130,70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2,321.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-834,4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44.05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129,86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7,877.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55</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2,211</w:t>
            </w:r>
          </w:p>
          <w:p>
            <w:pPr>
              <w:pStyle w:val="TableParagraph"/>
              <w:spacing w:line="240" w:lineRule="auto" w:before="103"/>
              <w:ind w:left="78"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34,618</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,577.0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-6,279,</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798.00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43,110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2,131,</w:t>
            </w:r>
          </w:p>
          <w:p>
            <w:pPr>
              <w:pStyle w:val="TableParagraph"/>
              <w:spacing w:line="240" w:lineRule="auto" w:before="103"/>
              <w:ind w:left="59" w:right="0"/>
              <w:jc w:val="left"/>
              <w:rPr>
                <w:rFonts w:ascii="Times New Roman" w:hAnsi="Times New Roman" w:cs="Times New Roman" w:eastAsia="Times New Roman" w:hint="default"/>
                <w:sz w:val="18"/>
                <w:szCs w:val="18"/>
              </w:rPr>
            </w:pPr>
            <w:r>
              <w:rPr>
                <w:rFonts w:ascii="Times New Roman"/>
                <w:sz w:val="18"/>
              </w:rPr>
              <w:t>291.26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45,241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,366.2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6,040</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61"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6"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60"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43,110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9,286,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075.00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9,286,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075.00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8,300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-36,27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5,498.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-40,10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3,798.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2,131,</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291.26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2,131,</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291.26</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7,198,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893.20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4,221.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-12,79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-12,79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39</w:t>
            </w:r>
          </w:p>
        </w:tc>
      </w:tr>
      <w:tr>
        <w:trPr>
          <w:trHeight w:val="361"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7,198,</w:t>
            </w:r>
          </w:p>
        </w:tc>
        <w:tc>
          <w:tcPr>
            <w:tcW w:w="583" w:type="dxa"/>
            <w:vMerge w:val="restart"/>
            <w:tcBorders>
              <w:top w:val="single" w:sz="4" w:space="0" w:color="000000"/>
              <w:left w:val="single" w:sz="4" w:space="0" w:color="000000"/>
              <w:right w:val="single" w:sz="4" w:space="0" w:color="000000"/>
            </w:tcBorders>
          </w:tcPr>
          <w:p>
            <w:pPr/>
          </w:p>
        </w:tc>
        <w:tc>
          <w:tcPr>
            <w:tcW w:w="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-7,198,</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54"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积</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36" w:right="0"/>
              <w:jc w:val="center"/>
              <w:rPr>
                <w:rFonts w:ascii="Times New Roman" w:hAnsi="Times New Roman" w:cs="Times New Roman" w:eastAsia="Times New Roman" w:hint="default"/>
                <w:sz w:val="18"/>
                <w:szCs w:val="18"/>
              </w:rPr>
            </w:pPr>
            <w:r>
              <w:rPr>
                <w:rFonts w:ascii="Times New Roman"/>
                <w:sz w:val="18"/>
              </w:rPr>
              <w:t>893.20</w:t>
            </w:r>
          </w:p>
        </w:tc>
        <w:tc>
          <w:tcPr>
            <w:tcW w:w="583" w:type="dxa"/>
            <w:vMerge/>
            <w:tcBorders>
              <w:left w:val="single" w:sz="4" w:space="0" w:color="000000"/>
              <w:bottom w:val="single" w:sz="4" w:space="0" w:color="000000"/>
              <w:right w:val="single" w:sz="4" w:space="0" w:color="000000"/>
            </w:tcBorders>
          </w:tcPr>
          <w:p>
            <w:pPr/>
          </w:p>
        </w:tc>
        <w:tc>
          <w:tcPr>
            <w:tcW w:w="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39" w:right="0"/>
              <w:jc w:val="center"/>
              <w:rPr>
                <w:rFonts w:ascii="Times New Roman" w:hAnsi="Times New Roman" w:cs="Times New Roman" w:eastAsia="Times New Roman" w:hint="default"/>
                <w:sz w:val="18"/>
                <w:szCs w:val="18"/>
              </w:rPr>
            </w:pPr>
            <w:r>
              <w:rPr>
                <w:rFonts w:ascii="Times New Roman"/>
                <w:sz w:val="18"/>
              </w:rPr>
              <w:t>893.20</w:t>
            </w: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-12,79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-12,79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-12,79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-1,749,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364.79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-1,749,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364.79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-1,749,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364.79</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426,5</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52,60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992,29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5,851.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33,824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96,608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872,73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9,278.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2,354,</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372,35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2,365,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541,82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8.55</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502"/>
        <w:gridCol w:w="437"/>
        <w:gridCol w:w="449"/>
        <w:gridCol w:w="493"/>
        <w:gridCol w:w="576"/>
        <w:gridCol w:w="576"/>
        <w:gridCol w:w="578"/>
        <w:gridCol w:w="576"/>
        <w:gridCol w:w="576"/>
        <w:gridCol w:w="578"/>
        <w:gridCol w:w="588"/>
        <w:gridCol w:w="566"/>
        <w:gridCol w:w="569"/>
        <w:gridCol w:w="641"/>
        <w:gridCol w:w="641"/>
      </w:tblGrid>
      <w:tr>
        <w:trPr>
          <w:trHeight w:val="403"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4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0"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1" w:type="dxa"/>
            <w:vMerge/>
            <w:tcBorders>
              <w:left w:val="single" w:sz="4" w:space="0" w:color="000000"/>
              <w:right w:val="single" w:sz="4" w:space="0" w:color="000000"/>
            </w:tcBorders>
            <w:shd w:val="clear" w:color="auto" w:fill="D2D2D2"/>
          </w:tcPr>
          <w:p>
            <w:pPr/>
          </w:p>
        </w:tc>
      </w:tr>
      <w:tr>
        <w:trPr>
          <w:trHeight w:val="165"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78"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93"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3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17"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90" w:hRule="exact"/>
        </w:trPr>
        <w:tc>
          <w:tcPr>
            <w:tcW w:w="1200"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34" w:hRule="exact"/>
        </w:trPr>
        <w:tc>
          <w:tcPr>
            <w:tcW w:w="1200"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37"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37"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3"/>
              <w:ind w:left="42"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2"/>
              <w:ind w:left="42" w:right="0"/>
              <w:jc w:val="left"/>
              <w:rPr>
                <w:rFonts w:ascii="Times New Roman" w:hAnsi="Times New Roman" w:cs="Times New Roman" w:eastAsia="Times New Roman" w:hint="default"/>
                <w:sz w:val="18"/>
                <w:szCs w:val="18"/>
              </w:rPr>
            </w:pPr>
            <w:r>
              <w:rPr>
                <w:rFonts w:ascii="Times New Roman"/>
                <w:sz w:val="18"/>
              </w:rPr>
              <w:t>26,90</w:t>
            </w:r>
          </w:p>
        </w:tc>
        <w:tc>
          <w:tcPr>
            <w:tcW w:w="43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0" w:right="0"/>
              <w:jc w:val="left"/>
              <w:rPr>
                <w:rFonts w:ascii="Times New Roman" w:hAnsi="Times New Roman" w:cs="Times New Roman" w:eastAsia="Times New Roman" w:hint="default"/>
                <w:sz w:val="18"/>
                <w:szCs w:val="18"/>
              </w:rPr>
            </w:pPr>
            <w:r>
              <w:rPr>
                <w:rFonts w:ascii="Times New Roman"/>
                <w:sz w:val="18"/>
              </w:rPr>
              <w:t>968,81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0,608.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0" w:right="0"/>
              <w:jc w:val="left"/>
              <w:rPr>
                <w:rFonts w:ascii="Times New Roman" w:hAnsi="Times New Roman" w:cs="Times New Roman" w:eastAsia="Times New Roman" w:hint="default"/>
                <w:sz w:val="18"/>
                <w:szCs w:val="18"/>
              </w:rPr>
            </w:pPr>
            <w:r>
              <w:rPr>
                <w:rFonts w:ascii="Times New Roman"/>
                <w:sz w:val="18"/>
              </w:rPr>
              <w:t>75,606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,625.0</w:t>
            </w:r>
          </w:p>
        </w:tc>
        <w:tc>
          <w:tcPr>
            <w:tcW w:w="578" w:type="dxa"/>
            <w:tcBorders>
              <w:top w:val="single" w:sz="22" w:space="0" w:color="D2D2D2"/>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0" w:right="0"/>
              <w:jc w:val="left"/>
              <w:rPr>
                <w:rFonts w:ascii="Times New Roman" w:hAnsi="Times New Roman" w:cs="Times New Roman" w:eastAsia="Times New Roman" w:hint="default"/>
                <w:sz w:val="18"/>
                <w:szCs w:val="18"/>
              </w:rPr>
            </w:pPr>
            <w:r>
              <w:rPr>
                <w:rFonts w:ascii="Times New Roman"/>
                <w:sz w:val="18"/>
              </w:rPr>
              <w:t>76,261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,789.2</w:t>
            </w:r>
          </w:p>
        </w:tc>
        <w:tc>
          <w:tcPr>
            <w:tcW w:w="578" w:type="dxa"/>
            <w:tcBorders>
              <w:top w:val="single" w:sz="22" w:space="0" w:color="D2D2D2"/>
              <w:left w:val="single" w:sz="4" w:space="0" w:color="000000"/>
              <w:bottom w:val="single" w:sz="4" w:space="0" w:color="000000"/>
              <w:right w:val="single" w:sz="4" w:space="0" w:color="000000"/>
            </w:tcBorders>
          </w:tcPr>
          <w:p>
            <w:pPr/>
          </w:p>
        </w:tc>
        <w:tc>
          <w:tcPr>
            <w:tcW w:w="58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0"/>
              <w:ind w:left="62" w:right="0"/>
              <w:jc w:val="left"/>
              <w:rPr>
                <w:rFonts w:ascii="Times New Roman" w:hAnsi="Times New Roman" w:cs="Times New Roman" w:eastAsia="Times New Roman" w:hint="default"/>
                <w:sz w:val="18"/>
                <w:szCs w:val="18"/>
              </w:rPr>
            </w:pPr>
            <w:r>
              <w:rPr>
                <w:rFonts w:ascii="Times New Roman"/>
                <w:sz w:val="18"/>
              </w:rPr>
              <w:t>646,73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5,486.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4" w:right="0"/>
              <w:jc w:val="left"/>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02"/>
              <w:ind w:left="41" w:right="0"/>
              <w:jc w:val="left"/>
              <w:rPr>
                <w:rFonts w:ascii="Times New Roman" w:hAnsi="Times New Roman" w:cs="Times New Roman" w:eastAsia="Times New Roman" w:hint="default"/>
                <w:sz w:val="18"/>
                <w:szCs w:val="18"/>
              </w:rPr>
            </w:pPr>
            <w:r>
              <w:rPr>
                <w:rFonts w:ascii="Times New Roman"/>
                <w:sz w:val="18"/>
              </w:rPr>
              <w:t>828,16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14,743,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910.47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1" w:right="0"/>
              <w:jc w:val="left"/>
              <w:rPr>
                <w:rFonts w:ascii="Times New Roman" w:hAnsi="Times New Roman" w:cs="Times New Roman" w:eastAsia="Times New Roman" w:hint="default"/>
                <w:sz w:val="18"/>
                <w:szCs w:val="18"/>
              </w:rPr>
            </w:pPr>
            <w:r>
              <w:rPr>
                <w:rFonts w:ascii="Times New Roman"/>
                <w:sz w:val="18"/>
              </w:rPr>
              <w:t>2,055,5</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72,074.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44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6" w:right="0"/>
              <w:jc w:val="left"/>
              <w:rPr>
                <w:rFonts w:ascii="Times New Roman" w:hAnsi="Times New Roman" w:cs="Times New Roman" w:eastAsia="Times New Roman" w:hint="default"/>
                <w:sz w:val="18"/>
                <w:szCs w:val="18"/>
              </w:rPr>
            </w:pPr>
            <w:r>
              <w:rPr>
                <w:rFonts w:ascii="Times New Roman"/>
                <w:sz w:val="18"/>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1" w:right="0"/>
              <w:jc w:val="left"/>
              <w:rPr>
                <w:rFonts w:ascii="Times New Roman" w:hAnsi="Times New Roman" w:cs="Times New Roman" w:eastAsia="Times New Roman" w:hint="default"/>
                <w:sz w:val="18"/>
                <w:szCs w:val="18"/>
              </w:rPr>
            </w:pPr>
            <w:r>
              <w:rPr>
                <w:rFonts w:ascii="Times New Roman"/>
                <w:sz w:val="18"/>
              </w:rPr>
              <w:t>3.85</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32</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424,6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26,90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968,81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0,608.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75,606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646,73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828,16</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3.85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14,743,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910.47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72,074.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-9,383,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969.07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2,827.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130,28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2,917.</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-4,871,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286.32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125,411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,630.79</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117,18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6,570.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117,18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6,570.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-3,815,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954.11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113,370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,616.88</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-9,679,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103.00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-35,50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2,827.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259,801</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.72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25,797,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525.72</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-2,695,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840.00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-2,695,</w:t>
            </w:r>
          </w:p>
          <w:p>
            <w:pPr>
              <w:pStyle w:val="TableParagraph"/>
              <w:spacing w:line="240" w:lineRule="auto" w:before="105"/>
              <w:ind w:left="41" w:right="0"/>
              <w:jc w:val="left"/>
              <w:rPr>
                <w:rFonts w:ascii="Times New Roman" w:hAnsi="Times New Roman" w:cs="Times New Roman" w:eastAsia="Times New Roman" w:hint="default"/>
                <w:sz w:val="18"/>
                <w:szCs w:val="18"/>
              </w:rPr>
            </w:pPr>
            <w:r>
              <w:rPr>
                <w:rFonts w:ascii="Times New Roman"/>
                <w:sz w:val="18"/>
              </w:rPr>
              <w:t>840.00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577,029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-2,118,8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10.45</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-6,983,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263.00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-35,50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2,827.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28,233,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564.00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-317,22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-317,22</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7.83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-24,70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1,418.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6,511.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-12,736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,511.81</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4,907.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-12,73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6,511.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6,511.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-12,736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,511.81</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295,13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3.93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295,13</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3.93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133.93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424,3</w:t>
            </w:r>
          </w:p>
          <w:p>
            <w:pPr>
              <w:pStyle w:val="TableParagraph"/>
              <w:spacing w:line="240" w:lineRule="auto" w:before="103"/>
              <w:ind w:left="52" w:right="0"/>
              <w:jc w:val="left"/>
              <w:rPr>
                <w:rFonts w:ascii="Times New Roman" w:hAnsi="Times New Roman" w:cs="Times New Roman" w:eastAsia="Times New Roman" w:hint="default"/>
                <w:sz w:val="18"/>
                <w:szCs w:val="18"/>
              </w:rPr>
            </w:pPr>
            <w:r>
              <w:rPr>
                <w:rFonts w:ascii="Times New Roman"/>
                <w:sz w:val="18"/>
              </w:rPr>
              <w:t>40,90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959,42</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6,639.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40,103</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88,226</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,696.3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739,22</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0,638.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2,171,</w:t>
            </w:r>
          </w:p>
          <w:p>
            <w:pPr>
              <w:pStyle w:val="TableParagraph"/>
              <w:spacing w:line="240" w:lineRule="auto" w:before="103"/>
              <w:ind w:left="30" w:right="0"/>
              <w:jc w:val="center"/>
              <w:rPr>
                <w:rFonts w:ascii="Times New Roman" w:hAnsi="Times New Roman" w:cs="Times New Roman" w:eastAsia="Times New Roman" w:hint="default"/>
                <w:sz w:val="18"/>
                <w:szCs w:val="18"/>
              </w:rPr>
            </w:pPr>
            <w:r>
              <w:rPr>
                <w:rFonts w:ascii="Times New Roman"/>
                <w:sz w:val="18"/>
              </w:rPr>
              <w:t>111,08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0.96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9,872,6</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24.15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2,180,9</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83,705.</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bl>
    <w:p>
      <w:pPr>
        <w:spacing w:line="240" w:lineRule="auto" w:before="10"/>
        <w:rPr>
          <w:rFonts w:ascii="Times New Roman" w:hAnsi="Times New Roman" w:cs="Times New Roman" w:eastAsia="Times New Roman" w:hint="default"/>
          <w:sz w:val="21"/>
          <w:szCs w:val="21"/>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95"/>
        <w:gridCol w:w="652"/>
        <w:gridCol w:w="593"/>
        <w:gridCol w:w="603"/>
        <w:gridCol w:w="606"/>
        <w:gridCol w:w="726"/>
        <w:gridCol w:w="727"/>
        <w:gridCol w:w="725"/>
        <w:gridCol w:w="727"/>
        <w:gridCol w:w="727"/>
        <w:gridCol w:w="604"/>
        <w:gridCol w:w="721"/>
        <w:gridCol w:w="862"/>
      </w:tblGrid>
      <w:tr>
        <w:trPr>
          <w:trHeight w:val="401" w:hRule="exact"/>
        </w:trPr>
        <w:tc>
          <w:tcPr>
            <w:tcW w:w="1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7"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22" w:right="18"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5"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02" w:type="dxa"/>
            <w:gridSpan w:val="3"/>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04" w:type="dxa"/>
            <w:vMerge/>
            <w:tcBorders>
              <w:left w:val="single" w:sz="4" w:space="0" w:color="000000"/>
              <w:right w:val="single" w:sz="4" w:space="0" w:color="000000"/>
            </w:tcBorders>
            <w:shd w:val="clear" w:color="auto" w:fill="D2D2D2"/>
          </w:tcPr>
          <w:p>
            <w:pPr/>
          </w:p>
        </w:tc>
        <w:tc>
          <w:tcPr>
            <w:tcW w:w="7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5" w:type="dxa"/>
            <w:vMerge w:val="restart"/>
            <w:tcBorders>
              <w:top w:val="nil" w:sz="6" w:space="0" w:color="auto"/>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04" w:type="dxa"/>
            <w:vMerge/>
            <w:tcBorders>
              <w:left w:val="single" w:sz="4" w:space="0" w:color="000000"/>
              <w:right w:val="single" w:sz="4" w:space="0" w:color="000000"/>
            </w:tcBorders>
            <w:shd w:val="clear" w:color="auto" w:fill="D2D2D2"/>
          </w:tcPr>
          <w:p>
            <w:pPr/>
          </w:p>
        </w:tc>
        <w:tc>
          <w:tcPr>
            <w:tcW w:w="721"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5" w:type="dxa"/>
            <w:vMerge/>
            <w:tcBorders>
              <w:left w:val="single" w:sz="4" w:space="0" w:color="000000"/>
              <w:bottom w:val="single" w:sz="4" w:space="0" w:color="000000"/>
              <w:right w:val="single" w:sz="4" w:space="0" w:color="000000"/>
            </w:tcBorders>
            <w:shd w:val="clear" w:color="auto" w:fill="D2D2D2"/>
          </w:tcPr>
          <w:p>
            <w:pPr/>
          </w:p>
        </w:tc>
        <w:tc>
          <w:tcPr>
            <w:tcW w:w="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6"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一、上年期末余</w:t>
            </w:r>
          </w:p>
        </w:tc>
        <w:tc>
          <w:tcPr>
            <w:tcW w:w="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4"/>
              <w:ind w:left="104" w:right="0"/>
              <w:jc w:val="left"/>
              <w:rPr>
                <w:rFonts w:ascii="Times New Roman" w:hAnsi="Times New Roman" w:cs="Times New Roman" w:eastAsia="Times New Roman" w:hint="default"/>
                <w:sz w:val="18"/>
                <w:szCs w:val="18"/>
              </w:rPr>
            </w:pPr>
            <w:r>
              <w:rPr>
                <w:rFonts w:ascii="Times New Roman"/>
                <w:sz w:val="18"/>
              </w:rPr>
              <w:t>424,34</w:t>
            </w:r>
          </w:p>
        </w:tc>
        <w:tc>
          <w:tcPr>
            <w:tcW w:w="593"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112"/>
              <w:ind w:left="61" w:right="0"/>
              <w:jc w:val="left"/>
              <w:rPr>
                <w:rFonts w:ascii="Times New Roman" w:hAnsi="Times New Roman" w:cs="Times New Roman" w:eastAsia="Times New Roman" w:hint="default"/>
                <w:sz w:val="18"/>
                <w:szCs w:val="18"/>
              </w:rPr>
            </w:pPr>
            <w:r>
              <w:rPr>
                <w:rFonts w:ascii="Times New Roman"/>
                <w:sz w:val="18"/>
              </w:rPr>
              <w:t>1,055,47</w:t>
            </w:r>
          </w:p>
        </w:tc>
        <w:tc>
          <w:tcPr>
            <w:tcW w:w="727"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40,103,7</w:t>
            </w:r>
          </w:p>
        </w:tc>
        <w:tc>
          <w:tcPr>
            <w:tcW w:w="725" w:type="dxa"/>
            <w:tcBorders>
              <w:top w:val="single" w:sz="21" w:space="0" w:color="D2D2D2"/>
              <w:left w:val="single" w:sz="4" w:space="0" w:color="000000"/>
              <w:bottom w:val="single" w:sz="4" w:space="0" w:color="000000"/>
              <w:right w:val="single" w:sz="4" w:space="0" w:color="000000"/>
            </w:tcBorders>
          </w:tcPr>
          <w:p>
            <w:pPr/>
          </w:p>
        </w:tc>
        <w:tc>
          <w:tcPr>
            <w:tcW w:w="727" w:type="dxa"/>
            <w:tcBorders>
              <w:top w:val="single" w:sz="21" w:space="0" w:color="D2D2D2"/>
              <w:left w:val="single" w:sz="4" w:space="0" w:color="000000"/>
              <w:bottom w:val="single" w:sz="4" w:space="0" w:color="000000"/>
              <w:right w:val="single" w:sz="4" w:space="0" w:color="000000"/>
            </w:tcBorders>
          </w:tcPr>
          <w:p>
            <w:pPr/>
          </w:p>
        </w:tc>
        <w:tc>
          <w:tcPr>
            <w:tcW w:w="727"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112"/>
              <w:ind w:left="62" w:right="0"/>
              <w:jc w:val="left"/>
              <w:rPr>
                <w:rFonts w:ascii="Times New Roman" w:hAnsi="Times New Roman" w:cs="Times New Roman" w:eastAsia="Times New Roman" w:hint="default"/>
                <w:sz w:val="18"/>
                <w:szCs w:val="18"/>
              </w:rPr>
            </w:pPr>
            <w:r>
              <w:rPr>
                <w:rFonts w:ascii="Times New Roman"/>
                <w:sz w:val="18"/>
              </w:rPr>
              <w:t>88,226,6</w:t>
            </w:r>
          </w:p>
        </w:tc>
        <w:tc>
          <w:tcPr>
            <w:tcW w:w="604"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652,09</w:t>
            </w:r>
          </w:p>
        </w:tc>
        <w:tc>
          <w:tcPr>
            <w:tcW w:w="72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112"/>
              <w:ind w:left="64" w:right="0"/>
              <w:jc w:val="left"/>
              <w:rPr>
                <w:rFonts w:ascii="Times New Roman" w:hAnsi="Times New Roman" w:cs="Times New Roman" w:eastAsia="Times New Roman" w:hint="default"/>
                <w:sz w:val="18"/>
                <w:szCs w:val="18"/>
              </w:rPr>
            </w:pPr>
            <w:r>
              <w:rPr>
                <w:rFonts w:ascii="Times New Roman"/>
                <w:sz w:val="18"/>
              </w:rPr>
              <w:t>2,180,041,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67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0,905.0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left"/>
              <w:rPr>
                <w:rFonts w:ascii="Times New Roman" w:hAnsi="Times New Roman" w:cs="Times New Roman" w:eastAsia="Times New Roman" w:hint="default"/>
                <w:sz w:val="18"/>
                <w:szCs w:val="18"/>
              </w:rPr>
            </w:pPr>
            <w:r>
              <w:rPr>
                <w:rFonts w:ascii="Times New Roman"/>
                <w:sz w:val="18"/>
              </w:rPr>
              <w:t>9,846.73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0" w:right="0"/>
              <w:jc w:val="left"/>
              <w:rPr>
                <w:rFonts w:ascii="Times New Roman" w:hAnsi="Times New Roman" w:cs="Times New Roman" w:eastAsia="Times New Roman" w:hint="default"/>
                <w:sz w:val="18"/>
                <w:szCs w:val="18"/>
              </w:rPr>
            </w:pPr>
            <w:r>
              <w:rPr>
                <w:rFonts w:ascii="Times New Roman"/>
                <w:sz w:val="18"/>
              </w:rPr>
              <w:t>98.00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96.38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8,316.9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5" w:right="0"/>
              <w:jc w:val="left"/>
              <w:rPr>
                <w:rFonts w:ascii="Times New Roman" w:hAnsi="Times New Roman" w:cs="Times New Roman" w:eastAsia="Times New Roman" w:hint="default"/>
                <w:sz w:val="18"/>
                <w:szCs w:val="18"/>
              </w:rPr>
            </w:pPr>
            <w:r>
              <w:rPr>
                <w:rFonts w:ascii="Times New Roman"/>
                <w:sz w:val="18"/>
              </w:rPr>
              <w:t>967.09</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1,183,03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2.45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10,647,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292.05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11,830,324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0,905.0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1,055,47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9,846.73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40,103,7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98.00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89,409,7</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28.83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5,609.0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2,191,872,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291.59</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2,211,7</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34,618,5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77.00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-6,279,7</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98.00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7,198,89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3.20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51,994,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710.39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102,303,6</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78.59</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71,988,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931.98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71,988,93</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1.98</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2,211,7</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34,618,5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77.00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-6,279,7</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98.00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43,110,075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6,040,0</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27,784,0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33,824,00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43,110,0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75.00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33,824,0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9,286,075.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-3,828,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-36,275,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498.00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-40,103,</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798.00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7,198,89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3.20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-19,994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,221.59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-12,795,32</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8.39</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7,198,89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3.20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-7,198,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893.20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-12,795</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,328.39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-12,795,32</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8.39</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426,55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2,605.0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1,090,09</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8,423.73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33,824,0</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96,608,6</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22.03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5"/>
                <w:sz w:val="18"/>
              </w:rPr>
              <w:t>0,319.4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2,294,175,</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970.18</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8"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424,62</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6,905.</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58,949.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75,606,6</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25.00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76,261,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789.28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557,150,6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64.89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2,047,591,6</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83.90</w:t>
            </w:r>
          </w:p>
        </w:tc>
      </w:tr>
      <w:tr>
        <w:trPr>
          <w:trHeight w:val="704"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424,62</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6,905.</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58,949.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75,606,6</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25.00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76,261,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789.28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557,150,6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64.89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2,047,591,6</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83.90</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6"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12" w:right="9"/>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本期增减变</w:t>
            </w:r>
            <w:r>
              <w:rPr>
                <w:rFonts w:ascii="宋体" w:hAnsi="宋体" w:cs="宋体" w:eastAsia="宋体" w:hint="default"/>
                <w:sz w:val="18"/>
                <w:szCs w:val="18"/>
              </w:rPr>
              <w:t> 动金</w:t>
            </w:r>
            <w:r>
              <w:rPr>
                <w:rFonts w:ascii="宋体" w:hAnsi="宋体" w:cs="宋体" w:eastAsia="宋体" w:hint="default"/>
                <w:spacing w:val="-85"/>
                <w:sz w:val="18"/>
                <w:szCs w:val="18"/>
              </w:rPr>
              <w:t>额</w:t>
            </w:r>
            <w:r>
              <w:rPr>
                <w:rFonts w:ascii="宋体" w:hAnsi="宋体" w:cs="宋体" w:eastAsia="宋体" w:hint="default"/>
                <w:sz w:val="18"/>
                <w:szCs w:val="18"/>
              </w:rPr>
              <w:t>（减少以</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-286,0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-9,679,1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-35,502,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827.00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11,964,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907.10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94,947,65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132,450,28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3.19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119,649,0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119,649,07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-286,0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-9,679,1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-35,502,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827.00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25,537,724.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-286,0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-9,679,1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03.00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-35,502,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827.00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25,537,724.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11,964,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907.10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-24,701,4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18.91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-12,736,511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11,964,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907.10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-11,964,9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07.10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-12,736,5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11.81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-12,736,511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424,34</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0,905.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79,846.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40,103,7</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98.00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88,226,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696.38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652,098,3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2,180,041,9</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67.09</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1131" w:firstLine="480"/>
        <w:jc w:val="both"/>
      </w:pPr>
      <w:r>
        <w:rPr/>
        <w:t>北京数字政通科技股份有限公司（以下简称本公司、公司）原名北京数字图通科技有限 公司，成立于</w:t>
      </w:r>
      <w:r>
        <w:rPr>
          <w:rFonts w:ascii="宋体" w:hAnsi="宋体" w:cs="宋体" w:eastAsia="宋体" w:hint="default"/>
        </w:rPr>
        <w:t>2001</w:t>
      </w:r>
      <w:r>
        <w:rPr/>
        <w:t>年</w:t>
      </w:r>
      <w:r>
        <w:rPr>
          <w:rFonts w:ascii="宋体" w:hAnsi="宋体" w:cs="宋体" w:eastAsia="宋体" w:hint="default"/>
        </w:rPr>
        <w:t>11</w:t>
      </w:r>
      <w:r>
        <w:rPr/>
        <w:t>月</w:t>
      </w:r>
      <w:r>
        <w:rPr>
          <w:rFonts w:ascii="宋体" w:hAnsi="宋体" w:cs="宋体" w:eastAsia="宋体" w:hint="default"/>
        </w:rPr>
        <w:t>6</w:t>
      </w:r>
      <w:r>
        <w:rPr/>
        <w:t>日，</w:t>
      </w:r>
      <w:r>
        <w:rPr>
          <w:rFonts w:ascii="宋体" w:hAnsi="宋体" w:cs="宋体" w:eastAsia="宋体" w:hint="default"/>
        </w:rPr>
        <w:t>2003</w:t>
      </w:r>
      <w:r>
        <w:rPr/>
        <w:t>年</w:t>
      </w:r>
      <w:r>
        <w:rPr>
          <w:rFonts w:ascii="宋体" w:hAnsi="宋体" w:cs="宋体" w:eastAsia="宋体" w:hint="default"/>
        </w:rPr>
        <w:t>3</w:t>
      </w:r>
      <w:r>
        <w:rPr/>
        <w:t>月</w:t>
      </w:r>
      <w:r>
        <w:rPr>
          <w:rFonts w:ascii="宋体" w:hAnsi="宋体" w:cs="宋体" w:eastAsia="宋体" w:hint="default"/>
        </w:rPr>
        <w:t>7</w:t>
      </w:r>
      <w:r>
        <w:rPr/>
        <w:t>日更名为北京数字政通科技有限公司。</w:t>
      </w:r>
      <w:r>
        <w:rPr>
          <w:rFonts w:ascii="宋体" w:hAnsi="宋体" w:cs="宋体" w:eastAsia="宋体" w:hint="default"/>
        </w:rPr>
        <w:t>2009</w:t>
      </w:r>
      <w:r>
        <w:rPr/>
        <w:t>年</w:t>
      </w:r>
      <w:r>
        <w:rPr>
          <w:rFonts w:ascii="宋体" w:hAnsi="宋体" w:cs="宋体" w:eastAsia="宋体" w:hint="default"/>
        </w:rPr>
        <w:t>6</w:t>
      </w:r>
      <w:r>
        <w:rPr/>
        <w:t>月</w:t>
      </w:r>
      <w:r>
        <w:rPr>
          <w:spacing w:val="-87"/>
        </w:rPr>
        <w:t> </w:t>
      </w:r>
      <w:r>
        <w:rPr>
          <w:rFonts w:ascii="宋体" w:hAnsi="宋体" w:cs="宋体" w:eastAsia="宋体" w:hint="default"/>
          <w:spacing w:val="-2"/>
        </w:rPr>
        <w:t>10</w:t>
      </w:r>
      <w:r>
        <w:rPr>
          <w:spacing w:val="-2"/>
        </w:rPr>
        <w:t>日整体变更为股份有限公司，更名为北京数字政通科技股份有限公司。</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14</w:t>
      </w:r>
      <w:r>
        <w:rPr>
          <w:spacing w:val="-2"/>
        </w:rPr>
        <w:t>日公司</w:t>
      </w:r>
      <w:r>
        <w:rPr>
          <w:spacing w:val="-111"/>
        </w:rPr>
        <w:t> </w:t>
      </w:r>
      <w:r>
        <w:rPr/>
        <w:t>向社会公众公开发行流通股</w:t>
      </w:r>
      <w:r>
        <w:rPr>
          <w:rFonts w:ascii="宋体" w:hAnsi="宋体" w:cs="宋体" w:eastAsia="宋体" w:hint="default"/>
        </w:rPr>
        <w:t>1,400</w:t>
      </w:r>
      <w:r>
        <w:rPr/>
        <w:t>万股，并在深圳证券交易所上市交易，股票代码</w:t>
      </w:r>
      <w:r>
        <w:rPr>
          <w:rFonts w:ascii="宋体" w:hAnsi="宋体" w:cs="宋体" w:eastAsia="宋体" w:hint="default"/>
        </w:rPr>
        <w:t>300075</w:t>
      </w:r>
      <w:r>
        <w:rPr/>
        <w:t>。</w:t>
      </w:r>
    </w:p>
    <w:p>
      <w:pPr>
        <w:pStyle w:val="BodyText"/>
        <w:spacing w:line="357" w:lineRule="auto"/>
        <w:ind w:right="1129" w:firstLine="480"/>
        <w:jc w:val="both"/>
      </w:pPr>
      <w:r>
        <w:rPr/>
        <w:t>公司统一社会信用代码：</w:t>
      </w:r>
      <w:r>
        <w:rPr>
          <w:rFonts w:ascii="宋体" w:hAnsi="宋体" w:cs="宋体" w:eastAsia="宋体" w:hint="default"/>
        </w:rPr>
        <w:t>91110000801160143K</w:t>
      </w:r>
      <w:r>
        <w:rPr/>
        <w:t>；法定代表人：吴强华；注册地址：北京 </w:t>
      </w:r>
      <w:r>
        <w:rPr>
          <w:spacing w:val="-2"/>
        </w:rPr>
        <w:t>市海淀区西直门北大街</w:t>
      </w:r>
      <w:r>
        <w:rPr>
          <w:rFonts w:ascii="宋体" w:hAnsi="宋体" w:cs="宋体" w:eastAsia="宋体" w:hint="default"/>
          <w:spacing w:val="-2"/>
        </w:rPr>
        <w:t>32</w:t>
      </w:r>
      <w:r>
        <w:rPr>
          <w:spacing w:val="-2"/>
        </w:rPr>
        <w:t>号枫蓝国际中心</w:t>
      </w:r>
      <w:r>
        <w:rPr>
          <w:rFonts w:ascii="宋体" w:hAnsi="宋体" w:cs="宋体" w:eastAsia="宋体" w:hint="default"/>
          <w:spacing w:val="-2"/>
        </w:rPr>
        <w:t>A</w:t>
      </w:r>
      <w:r>
        <w:rPr>
          <w:spacing w:val="-2"/>
        </w:rPr>
        <w:t>座</w:t>
      </w:r>
      <w:r>
        <w:rPr>
          <w:rFonts w:ascii="宋体" w:hAnsi="宋体" w:cs="宋体" w:eastAsia="宋体" w:hint="default"/>
          <w:spacing w:val="-2"/>
        </w:rPr>
        <w:t>18</w:t>
      </w:r>
      <w:r>
        <w:rPr>
          <w:spacing w:val="-2"/>
        </w:rPr>
        <w:t>层</w:t>
      </w:r>
      <w:r>
        <w:rPr>
          <w:rFonts w:ascii="宋体" w:hAnsi="宋体" w:cs="宋体" w:eastAsia="宋体" w:hint="default"/>
          <w:spacing w:val="-2"/>
        </w:rPr>
        <w:t>1805</w:t>
      </w:r>
      <w:r>
        <w:rPr>
          <w:spacing w:val="-2"/>
        </w:rPr>
        <w:t>室；办公地址：北京市海淀区中关村软</w:t>
      </w:r>
      <w:r>
        <w:rPr>
          <w:spacing w:val="-112"/>
        </w:rPr>
        <w:t> </w:t>
      </w:r>
      <w:r>
        <w:rPr>
          <w:spacing w:val="-112"/>
        </w:rPr>
      </w:r>
      <w:r>
        <w:rPr/>
        <w:t>件园</w:t>
      </w:r>
      <w:r>
        <w:rPr>
          <w:rFonts w:ascii="宋体" w:hAnsi="宋体" w:cs="宋体" w:eastAsia="宋体" w:hint="default"/>
        </w:rPr>
        <w:t>9</w:t>
      </w:r>
      <w:r>
        <w:rPr/>
        <w:t>号楼国际软件大厦三区</w:t>
      </w:r>
      <w:r>
        <w:rPr>
          <w:rFonts w:ascii="宋体" w:hAnsi="宋体" w:cs="宋体" w:eastAsia="宋体" w:hint="default"/>
        </w:rPr>
        <w:t>101</w:t>
      </w:r>
      <w:r>
        <w:rPr/>
        <w:t>室。</w:t>
      </w:r>
    </w:p>
    <w:p>
      <w:pPr>
        <w:pStyle w:val="BodyText"/>
        <w:spacing w:line="357" w:lineRule="auto"/>
        <w:ind w:left="633" w:right="1104"/>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日，公司股本总数为</w:t>
      </w:r>
      <w:r>
        <w:rPr>
          <w:rFonts w:ascii="宋体" w:hAnsi="宋体" w:cs="宋体" w:eastAsia="宋体" w:hint="default"/>
        </w:rPr>
        <w:t>426552605</w:t>
      </w:r>
      <w:r>
        <w:rPr/>
        <w:t>股。 公司主要经营专业智慧城市应用软件的开发和销售，并提供技术支持和后续服务，是国</w:t>
      </w:r>
    </w:p>
    <w:p>
      <w:pPr>
        <w:pStyle w:val="BodyText"/>
        <w:spacing w:line="357" w:lineRule="auto"/>
        <w:ind w:right="1129"/>
        <w:jc w:val="both"/>
      </w:pPr>
      <w:r>
        <w:rPr/>
        <w:t>内知名度较高、市场份额领先的智慧城市应用软件开发商和全面解决方案供应商之一。公司</w:t>
      </w:r>
      <w:r>
        <w:rPr>
          <w:spacing w:val="-91"/>
        </w:rPr>
        <w:t> </w:t>
      </w:r>
      <w:r>
        <w:rPr>
          <w:spacing w:val="-91"/>
        </w:rPr>
      </w:r>
      <w:r>
        <w:rPr>
          <w:spacing w:val="-2"/>
        </w:rPr>
        <w:t>以具有其特色的“网格化</w:t>
      </w:r>
      <w:r>
        <w:rPr>
          <w:rFonts w:ascii="宋体" w:hAnsi="宋体" w:cs="宋体" w:eastAsia="宋体" w:hint="default"/>
          <w:spacing w:val="-2"/>
        </w:rPr>
        <w:t>+</w:t>
      </w:r>
      <w:r>
        <w:rPr>
          <w:spacing w:val="-2"/>
        </w:rPr>
        <w:t>”智慧城市建设模式为核心，业务涉及智慧城市管理、智慧综合行</w:t>
      </w:r>
      <w:r>
        <w:rPr/>
        <w:t> 政执法管理、智慧社会综合治理、智慧水利管理、智慧环保、智慧城市管网、智慧城市数据</w:t>
      </w:r>
      <w:r>
        <w:rPr>
          <w:spacing w:val="-91"/>
        </w:rPr>
        <w:t> </w:t>
      </w:r>
      <w:r>
        <w:rPr>
          <w:spacing w:val="-91"/>
        </w:rPr>
      </w:r>
      <w:r>
        <w:rPr/>
        <w:t>运营服务、智慧国土资源和城市规划管理、以及新一代多网融合电子政务系统等智慧城市建</w:t>
      </w:r>
      <w:r>
        <w:rPr>
          <w:spacing w:val="-91"/>
        </w:rPr>
        <w:t> </w:t>
      </w:r>
      <w:r>
        <w:rPr>
          <w:spacing w:val="-91"/>
        </w:rPr>
      </w:r>
      <w:r>
        <w:rPr/>
        <w:t>设领域。</w:t>
      </w:r>
    </w:p>
    <w:p>
      <w:pPr>
        <w:pStyle w:val="BodyText"/>
        <w:spacing w:line="357" w:lineRule="auto" w:before="37"/>
        <w:ind w:right="986" w:firstLine="480"/>
        <w:jc w:val="left"/>
      </w:pPr>
      <w:r>
        <w:rPr>
          <w:spacing w:val="-3"/>
        </w:rPr>
        <w:t>公司经营范围：技术开发、技术转让、技术服务、技术咨询、技术推广；基础软件服务、</w:t>
      </w:r>
      <w:r>
        <w:rPr/>
        <w:t> 应用软件服务、产品设计；计算机系统服务；数据处理；出租办公用房；机械设备租赁；经</w:t>
      </w:r>
      <w:r>
        <w:rPr>
          <w:spacing w:val="-91"/>
        </w:rPr>
        <w:t> </w:t>
      </w:r>
      <w:r>
        <w:rPr>
          <w:spacing w:val="-91"/>
        </w:rPr>
      </w:r>
      <w:r>
        <w:rPr/>
        <w:t>济贸易咨询；投资咨询；项目投资；投资管理；资产管理；货物进出口、技术进出口、代理</w:t>
      </w:r>
      <w:r>
        <w:rPr>
          <w:spacing w:val="-88"/>
        </w:rPr>
        <w:t> </w:t>
      </w:r>
      <w:r>
        <w:rPr>
          <w:spacing w:val="-88"/>
        </w:rPr>
      </w:r>
      <w:r>
        <w:rPr/>
        <w:t>进出口；销售通讯设备、电子产品、计算机、软件及辅助设备、汽车；专业承包。</w:t>
      </w:r>
    </w:p>
    <w:p>
      <w:pPr>
        <w:pStyle w:val="BodyText"/>
        <w:spacing w:line="357" w:lineRule="auto"/>
        <w:ind w:left="633" w:right="1104"/>
        <w:jc w:val="left"/>
      </w:pPr>
      <w:r>
        <w:rPr/>
        <w:t>本财务报表业经本公司董事会于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26</w:t>
      </w:r>
      <w:r>
        <w:rPr/>
        <w:t>日审议批准报出。 本公司合并财务报表的合并范围以控制为基础确定，包括本公司及全部子公司的财务报</w:t>
      </w:r>
    </w:p>
    <w:p>
      <w:pPr>
        <w:pStyle w:val="BodyText"/>
        <w:spacing w:line="357" w:lineRule="auto"/>
        <w:ind w:right="1131"/>
        <w:jc w:val="both"/>
      </w:pPr>
      <w:r>
        <w:rPr>
          <w:spacing w:val="6"/>
        </w:rPr>
        <w:t>表。本期合并财务报表范围及其变化情况详见“合并范围的变更”和“在其他主体中的权</w:t>
      </w:r>
      <w:r>
        <w:rPr>
          <w:spacing w:val="-91"/>
        </w:rPr>
        <w:t> </w:t>
      </w:r>
      <w:r>
        <w:rPr>
          <w:spacing w:val="-91"/>
        </w:rPr>
      </w:r>
      <w:r>
        <w:rPr/>
        <w:t>益”。</w:t>
      </w:r>
    </w:p>
    <w:p>
      <w:pPr>
        <w:spacing w:after="0" w:line="357"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0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134" w:firstLine="480"/>
        <w:jc w:val="both"/>
      </w:pPr>
      <w:r>
        <w:rPr/>
        <w:t>公司以持续经营为财务报表的编制基础，以权责发生制为记账基础。公司一般采用历史 成本对会计要素进行计量，在保证所确定的会计要素金额能够取得并可靠计量的前提下采用</w:t>
      </w:r>
      <w:r>
        <w:rPr>
          <w:spacing w:val="-87"/>
        </w:rPr>
        <w:t> </w:t>
      </w:r>
      <w:r>
        <w:rPr>
          <w:spacing w:val="-87"/>
        </w:rPr>
      </w:r>
      <w:r>
        <w:rPr/>
        <w:t>重置成本、可变现净值、现值及公允价值进行计量。</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38" w:firstLine="480"/>
        <w:jc w:val="both"/>
      </w:pPr>
      <w:r>
        <w:rPr/>
        <w:t>公司不存在可能导致对公司自报告期末起</w:t>
      </w:r>
      <w:r>
        <w:rPr>
          <w:rFonts w:ascii="宋体" w:hAnsi="宋体" w:cs="宋体" w:eastAsia="宋体" w:hint="default"/>
        </w:rPr>
        <w:t>12</w:t>
      </w:r>
      <w:r>
        <w:rPr/>
        <w:t>个月内的持续经营能力产生重大疑虑的事项 或情况。因此，本财务报表系在持续经营假设的基础上编制。</w:t>
      </w:r>
    </w:p>
    <w:p>
      <w:pPr>
        <w:spacing w:line="240" w:lineRule="auto" w:before="11"/>
        <w:rPr>
          <w:rFonts w:ascii="宋体" w:hAnsi="宋体" w:cs="宋体" w:eastAsia="宋体" w:hint="default"/>
          <w:sz w:val="19"/>
          <w:szCs w:val="19"/>
        </w:rPr>
      </w:pPr>
    </w:p>
    <w:p>
      <w:pPr>
        <w:pStyle w:val="Heading2"/>
        <w:spacing w:line="240" w:lineRule="auto"/>
        <w:ind w:right="1104"/>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33" w:firstLine="480"/>
        <w:jc w:val="both"/>
      </w:pPr>
      <w:r>
        <w:rPr/>
        <w:t>公司财务报表及附注系按财政部颁布的《企业会计准则》、应用指南、企业会计准则解</w:t>
      </w:r>
      <w:hyperlink r:id="rId18">
        <w:r>
          <w:rPr/>
          <w:t> 释、中国证券监督管理委员会</w:t>
        </w:r>
      </w:hyperlink>
      <w:r>
        <w:rPr/>
        <w:t>发布的《公开发行证券的公司信息披露编报规则第</w:t>
      </w:r>
      <w:r>
        <w:rPr>
          <w:rFonts w:ascii="宋体" w:hAnsi="宋体" w:cs="宋体" w:eastAsia="宋体" w:hint="default"/>
        </w:rPr>
        <w:t>15</w:t>
      </w:r>
      <w:r>
        <w:rPr/>
        <w:t>号—财务</w:t>
      </w:r>
      <w:r>
        <w:rPr>
          <w:spacing w:val="-88"/>
        </w:rPr>
        <w:t> </w:t>
      </w:r>
      <w:r>
        <w:rPr>
          <w:spacing w:val="-88"/>
        </w:rPr>
      </w:r>
      <w:r>
        <w:rPr/>
        <w:t>报告的一般规定</w:t>
      </w:r>
      <w:r>
        <w:rPr>
          <w:rFonts w:ascii="宋体" w:hAnsi="宋体" w:cs="宋体" w:eastAsia="宋体" w:hint="default"/>
        </w:rPr>
        <w:t>[2014</w:t>
      </w:r>
      <w:r>
        <w:rPr/>
        <w:t>年修订</w:t>
      </w:r>
      <w:r>
        <w:rPr>
          <w:rFonts w:ascii="宋体" w:hAnsi="宋体" w:cs="宋体" w:eastAsia="宋体" w:hint="default"/>
        </w:rPr>
        <w:t>]</w:t>
      </w:r>
      <w:r>
        <w:rPr/>
        <w:t>》以及相关补充规定的要求编制，真实、完整地反映了公司的</w:t>
      </w:r>
      <w:r>
        <w:rPr>
          <w:spacing w:val="-90"/>
        </w:rPr>
        <w:t> </w:t>
      </w:r>
      <w:r>
        <w:rPr>
          <w:spacing w:val="-90"/>
        </w:rPr>
      </w:r>
      <w:r>
        <w:rPr/>
        <w:t>财务状况、经营成果和现金流量等有关信息。</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240" w:lineRule="auto" w:before="0"/>
        <w:ind w:left="633" w:right="1104"/>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1"/>
        <w:rPr>
          <w:rFonts w:ascii="宋体" w:hAnsi="宋体" w:cs="宋体" w:eastAsia="宋体" w:hint="default"/>
          <w:sz w:val="30"/>
          <w:szCs w:val="30"/>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633" w:right="1104"/>
        <w:jc w:val="left"/>
      </w:pPr>
      <w:r>
        <w:rPr/>
        <w:t>本公司营业周期为</w:t>
      </w:r>
      <w:r>
        <w:rPr>
          <w:rFonts w:ascii="宋体" w:hAnsi="宋体" w:cs="宋体" w:eastAsia="宋体" w:hint="default"/>
        </w:rPr>
        <w:t>12</w:t>
      </w:r>
      <w:r>
        <w:rPr/>
        <w:t>个月。</w:t>
      </w:r>
    </w:p>
    <w:p>
      <w:pPr>
        <w:spacing w:line="240" w:lineRule="auto" w:before="10"/>
        <w:rPr>
          <w:rFonts w:ascii="宋体" w:hAnsi="宋体" w:cs="宋体" w:eastAsia="宋体" w:hint="default"/>
          <w:sz w:val="30"/>
          <w:szCs w:val="30"/>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240" w:lineRule="auto" w:before="0"/>
        <w:ind w:left="633" w:right="1104"/>
        <w:jc w:val="left"/>
      </w:pPr>
      <w:r>
        <w:rPr/>
        <w:t>本公司采用人民币为记账本位币。</w:t>
      </w:r>
    </w:p>
    <w:p>
      <w:pPr>
        <w:spacing w:line="240" w:lineRule="auto" w:before="10"/>
        <w:rPr>
          <w:rFonts w:ascii="宋体" w:hAnsi="宋体" w:cs="宋体" w:eastAsia="宋体" w:hint="default"/>
          <w:sz w:val="30"/>
          <w:szCs w:val="30"/>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633" w:right="986"/>
        <w:jc w:val="left"/>
      </w:pPr>
      <w:r>
        <w:rPr/>
        <w:t>（</w:t>
      </w:r>
      <w:r>
        <w:rPr>
          <w:rFonts w:ascii="宋体" w:hAnsi="宋体" w:cs="宋体" w:eastAsia="宋体" w:hint="default"/>
        </w:rPr>
        <w:t>1</w:t>
      </w:r>
      <w:r>
        <w:rPr/>
        <w:t>）在同一控制下的企业合并中，公司作为购买方取得对其他参与合并企业的控制权，</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1"/>
        <w:jc w:val="both"/>
      </w:pPr>
      <w:r>
        <w:rPr/>
        <w:t>如以支付现金、转让非现金资产或承担债务方式作为合并对价的，在合并日按照被合并方所</w:t>
      </w:r>
      <w:r>
        <w:rPr>
          <w:spacing w:val="-90"/>
        </w:rPr>
        <w:t> </w:t>
      </w:r>
      <w:r>
        <w:rPr>
          <w:spacing w:val="-90"/>
        </w:rPr>
      </w:r>
      <w:r>
        <w:rPr>
          <w:spacing w:val="6"/>
        </w:rPr>
        <w:t>有者权益在最终控制方合并财务报表中的账面价值的份额作为长期股权投资的初始投资成</w:t>
      </w:r>
      <w:r>
        <w:rPr>
          <w:spacing w:val="-84"/>
        </w:rPr>
        <w:t> </w:t>
      </w:r>
      <w:r>
        <w:rPr>
          <w:spacing w:val="-84"/>
        </w:rPr>
      </w:r>
      <w:r>
        <w:rPr/>
        <w:t>本，长期股权投资初始投资成本与支付的现金、转让的非现金资产以及所承担债务账面价值</w:t>
      </w:r>
      <w:r>
        <w:rPr>
          <w:spacing w:val="-91"/>
        </w:rPr>
        <w:t> </w:t>
      </w:r>
      <w:r>
        <w:rPr>
          <w:spacing w:val="-91"/>
        </w:rPr>
      </w:r>
      <w:r>
        <w:rPr/>
        <w:t>之间的差额，调整资本公积；资本公积不足冲减的，调整留存收益；如以发行权益性证券作</w:t>
      </w:r>
      <w:r>
        <w:rPr>
          <w:spacing w:val="-91"/>
        </w:rPr>
        <w:t> </w:t>
      </w:r>
      <w:r>
        <w:rPr>
          <w:spacing w:val="-91"/>
        </w:rPr>
      </w:r>
      <w:r>
        <w:rPr/>
        <w:t>为合并对价的，在合并日按照被合并方所有者权益在最终控制方合并财务报表中的账面价值</w:t>
      </w:r>
      <w:r>
        <w:rPr>
          <w:spacing w:val="-91"/>
        </w:rPr>
        <w:t> </w:t>
      </w:r>
      <w:r>
        <w:rPr>
          <w:spacing w:val="-91"/>
        </w:rPr>
      </w:r>
      <w:r>
        <w:rPr/>
        <w:t>的份额作为长期股权投资的初始投资成本，按照发行股份的面值总额作为股本，长期股权投</w:t>
      </w:r>
      <w:r>
        <w:rPr>
          <w:spacing w:val="-91"/>
        </w:rPr>
        <w:t> </w:t>
      </w:r>
      <w:r>
        <w:rPr>
          <w:spacing w:val="-91"/>
        </w:rPr>
      </w:r>
      <w:r>
        <w:rPr/>
        <w:t>资初始投资成本与所发行股份面值总额之间的差额，调整资本公积，资本公积不足冲减的，</w:t>
      </w:r>
      <w:r>
        <w:rPr>
          <w:spacing w:val="-88"/>
        </w:rPr>
        <w:t> </w:t>
      </w:r>
      <w:r>
        <w:rPr>
          <w:spacing w:val="-88"/>
        </w:rPr>
      </w:r>
      <w:r>
        <w:rPr/>
        <w:t>调整留存收益。为进行企业合并发生的审计、法律服务、评估咨询等中介费用以及其他相关</w:t>
      </w:r>
      <w:r>
        <w:rPr>
          <w:spacing w:val="-91"/>
        </w:rPr>
        <w:t> </w:t>
      </w:r>
      <w:r>
        <w:rPr>
          <w:spacing w:val="-91"/>
        </w:rPr>
      </w:r>
      <w:r>
        <w:rPr/>
        <w:t>管理费用，于发生时计入当期损益。为企业合并发行的债券或承担其他债务支付的手续费、</w:t>
      </w:r>
      <w:r>
        <w:rPr>
          <w:spacing w:val="-91"/>
        </w:rPr>
        <w:t> </w:t>
      </w:r>
      <w:r>
        <w:rPr>
          <w:spacing w:val="-91"/>
        </w:rPr>
      </w:r>
      <w:r>
        <w:rPr/>
        <w:t>佣金等，应当计入所发行债券及其他债务的初始计量金额。企业合并中发行权益性证券发生</w:t>
      </w:r>
      <w:r>
        <w:rPr>
          <w:spacing w:val="-91"/>
        </w:rPr>
        <w:t> </w:t>
      </w:r>
      <w:r>
        <w:rPr>
          <w:spacing w:val="-91"/>
        </w:rPr>
      </w:r>
      <w:r>
        <w:rPr/>
        <w:t>的手续费、佣金等费用，应当抵减权益性证券溢价收入，溢价收入不足冲减的，冲减留存收</w:t>
      </w:r>
      <w:r>
        <w:rPr>
          <w:spacing w:val="-91"/>
        </w:rPr>
        <w:t> </w:t>
      </w:r>
      <w:r>
        <w:rPr>
          <w:spacing w:val="-91"/>
        </w:rPr>
      </w:r>
      <w:r>
        <w:rPr/>
        <w:t>益。</w:t>
      </w:r>
    </w:p>
    <w:p>
      <w:pPr>
        <w:pStyle w:val="BodyText"/>
        <w:spacing w:line="357" w:lineRule="auto"/>
        <w:ind w:right="1104" w:firstLine="480"/>
        <w:jc w:val="left"/>
      </w:pPr>
      <w:r>
        <w:rPr>
          <w:spacing w:val="-3"/>
        </w:rPr>
        <w:t>（</w:t>
      </w:r>
      <w:r>
        <w:rPr>
          <w:rFonts w:ascii="宋体" w:hAnsi="宋体" w:cs="宋体" w:eastAsia="宋体" w:hint="default"/>
          <w:spacing w:val="-3"/>
        </w:rPr>
        <w:t>2</w:t>
      </w:r>
      <w:r>
        <w:rPr>
          <w:spacing w:val="-3"/>
        </w:rPr>
        <w:t>）公司对外合并如属非同一控制下的企业合并，按下列情况确定长期股权投资的初始</w:t>
      </w:r>
      <w:r>
        <w:rPr/>
        <w:t> 投资成本：</w:t>
      </w:r>
    </w:p>
    <w:p>
      <w:pPr>
        <w:pStyle w:val="BodyText"/>
        <w:spacing w:line="357" w:lineRule="auto"/>
        <w:ind w:right="996" w:firstLine="480"/>
        <w:jc w:val="left"/>
      </w:pPr>
      <w:r>
        <w:rPr/>
        <w:t>①一次交换交易实现的企业合并，长期股权投资的初始投资成本为购买方在购买日为取 </w:t>
      </w:r>
      <w:r>
        <w:rPr>
          <w:spacing w:val="-2"/>
        </w:rPr>
        <w:t>得对被购买方的控制权而付出的资产、发生或承担的负债以及发行的权益性证券的公允价值；</w:t>
      </w:r>
    </w:p>
    <w:p>
      <w:pPr>
        <w:pStyle w:val="BodyText"/>
        <w:spacing w:line="357" w:lineRule="auto"/>
        <w:ind w:right="1104" w:firstLine="480"/>
        <w:jc w:val="left"/>
      </w:pPr>
      <w:r>
        <w:rPr/>
        <w:t>②通过多次交换交易分步实现的企业合并，长期股权投资的初始投资成本为每一单项交 易成本之和；</w:t>
      </w:r>
    </w:p>
    <w:p>
      <w:pPr>
        <w:pStyle w:val="BodyText"/>
        <w:spacing w:line="357" w:lineRule="auto"/>
        <w:ind w:right="986" w:firstLine="480"/>
        <w:jc w:val="left"/>
      </w:pPr>
      <w:r>
        <w:rPr>
          <w:spacing w:val="-3"/>
        </w:rPr>
        <w:t>③为进行企业合并发生的审计、法律服务、评估咨询等中介费用以及其他相关管理费用，</w:t>
      </w:r>
      <w:r>
        <w:rPr/>
        <w:t> 于发生时计入当期损益；作为合并对价发行的权益性证券或债务性证券的交易费用，计入权</w:t>
      </w:r>
      <w:r>
        <w:rPr>
          <w:spacing w:val="-91"/>
        </w:rPr>
        <w:t> </w:t>
      </w:r>
      <w:r>
        <w:rPr>
          <w:spacing w:val="-91"/>
        </w:rPr>
      </w:r>
      <w:r>
        <w:rPr/>
        <w:t>益性证券或债务性证券的初始确认金额；</w:t>
      </w:r>
    </w:p>
    <w:p>
      <w:pPr>
        <w:pStyle w:val="BodyText"/>
        <w:spacing w:line="357" w:lineRule="auto" w:before="37"/>
        <w:ind w:right="1135" w:firstLine="480"/>
        <w:jc w:val="both"/>
      </w:pPr>
      <w:r>
        <w:rPr/>
        <w:t>④在合并合同或协议中对可能影响合并成本的未来事项作出约定的，在购买日如果估计 未来事项很可能发生并且对合并成本的影响金额能够可靠计量的，将其计入长期股权投资的</w:t>
      </w:r>
      <w:r>
        <w:rPr>
          <w:spacing w:val="-87"/>
        </w:rPr>
        <w:t> </w:t>
      </w:r>
      <w:r>
        <w:rPr>
          <w:spacing w:val="-87"/>
        </w:rPr>
      </w:r>
      <w:r>
        <w:rPr/>
        <w:t>初始投资成本。</w:t>
      </w:r>
    </w:p>
    <w:p>
      <w:pPr>
        <w:pStyle w:val="BodyText"/>
        <w:spacing w:line="357" w:lineRule="auto"/>
        <w:ind w:right="1104" w:firstLine="480"/>
        <w:jc w:val="left"/>
      </w:pPr>
      <w:r>
        <w:rPr>
          <w:spacing w:val="-3"/>
        </w:rPr>
        <w:t>（</w:t>
      </w:r>
      <w:r>
        <w:rPr>
          <w:rFonts w:ascii="宋体" w:hAnsi="宋体" w:cs="宋体" w:eastAsia="宋体" w:hint="default"/>
          <w:spacing w:val="-3"/>
        </w:rPr>
        <w:t>3</w:t>
      </w:r>
      <w:r>
        <w:rPr>
          <w:spacing w:val="-3"/>
        </w:rPr>
        <w:t>）公司对外合并如属非同一控制下的企业合并，对长期股权投资的初始投资成本大于</w:t>
      </w:r>
      <w:r>
        <w:rPr/>
        <w:t> 合并中取得的被购买方可辨认净资产公允价值份额的差额，确认为商誉。</w:t>
      </w:r>
    </w:p>
    <w:p>
      <w:pPr>
        <w:pStyle w:val="BodyText"/>
        <w:spacing w:line="357" w:lineRule="auto"/>
        <w:ind w:right="1104" w:firstLine="480"/>
        <w:jc w:val="left"/>
      </w:pPr>
      <w:r>
        <w:rPr/>
        <w:t>对长期股权投资的初始投资成本小于合并中取得的被购买方可辨认净资产公允价值份额 的差额，按照下列方法处理：</w:t>
      </w:r>
    </w:p>
    <w:p>
      <w:pPr>
        <w:pStyle w:val="BodyText"/>
        <w:spacing w:line="240" w:lineRule="auto"/>
        <w:ind w:left="633" w:right="1104"/>
        <w:jc w:val="left"/>
      </w:pPr>
      <w:r>
        <w:rPr/>
        <w:t>①对取得的被购买方各项可辨认资产、负债及或有负债的公允价值以及合并成本的计量</w:t>
      </w:r>
    </w:p>
    <w:p>
      <w:pPr>
        <w:spacing w:after="0" w:line="240" w:lineRule="auto"/>
        <w:jc w:val="left"/>
        <w:sectPr>
          <w:footerReference w:type="default" r:id="rId19"/>
          <w:pgSz w:w="11910" w:h="16840"/>
          <w:pgMar w:footer="979" w:header="745" w:top="1060" w:bottom="1160" w:left="980" w:right="0"/>
          <w:pgNumType w:start="11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进行复核；</w:t>
      </w:r>
    </w:p>
    <w:p>
      <w:pPr>
        <w:pStyle w:val="BodyText"/>
        <w:spacing w:line="357" w:lineRule="auto" w:before="154"/>
        <w:ind w:right="1104" w:firstLine="480"/>
        <w:jc w:val="left"/>
      </w:pPr>
      <w:r>
        <w:rPr/>
        <w:t>②经复核后合并成本仍小于合并中取得的被购买方可辨认净资产公允价值份额的，其差 额应当计入当期损益。</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32" w:firstLine="480"/>
        <w:jc w:val="both"/>
      </w:pPr>
      <w:r>
        <w:rPr/>
        <w:t>合并财务报表的合并范围以控制为基础予以确定。控制，是指投资方拥有对被投资方的 </w:t>
      </w:r>
      <w:r>
        <w:rPr>
          <w:spacing w:val="-2"/>
        </w:rPr>
        <w:t>权力</w:t>
      </w:r>
      <w:r>
        <w:rPr>
          <w:rFonts w:ascii="宋体" w:hAnsi="宋体" w:cs="宋体" w:eastAsia="宋体" w:hint="default"/>
          <w:spacing w:val="-2"/>
        </w:rPr>
        <w:t>,</w:t>
      </w:r>
      <w:r>
        <w:rPr>
          <w:spacing w:val="-2"/>
        </w:rPr>
        <w:t>通过参与被投资方的相关活动而享有可变回报，并且有能力运用对被投资方的权力影响</w:t>
      </w:r>
      <w:r>
        <w:rPr/>
        <w:t> 其回报金额。</w:t>
      </w:r>
    </w:p>
    <w:p>
      <w:pPr>
        <w:pStyle w:val="BodyText"/>
        <w:spacing w:line="357" w:lineRule="auto"/>
        <w:ind w:right="1104" w:firstLine="480"/>
        <w:jc w:val="left"/>
      </w:pPr>
      <w:r>
        <w:rPr/>
        <w:t>母公司应当将其全部子公司纳入合并财务报表的合并范围。子公司，是指被公司控制的 主体</w:t>
      </w:r>
      <w:r>
        <w:rPr>
          <w:rFonts w:ascii="宋体" w:hAnsi="宋体" w:cs="宋体" w:eastAsia="宋体" w:hint="default"/>
        </w:rPr>
        <w:t>(</w:t>
      </w:r>
      <w:r>
        <w:rPr/>
        <w:t>含企业、被投资单位中可分割的部分，以及企业所控制的结构化主体等</w:t>
      </w:r>
      <w:r>
        <w:rPr>
          <w:rFonts w:ascii="宋体" w:hAnsi="宋体" w:cs="宋体" w:eastAsia="宋体" w:hint="default"/>
        </w:rPr>
        <w:t>)</w:t>
      </w:r>
      <w:r>
        <w:rPr/>
        <w:t>。</w:t>
      </w:r>
    </w:p>
    <w:p>
      <w:pPr>
        <w:pStyle w:val="BodyText"/>
        <w:spacing w:line="357" w:lineRule="auto"/>
        <w:ind w:right="986" w:firstLine="480"/>
        <w:jc w:val="left"/>
      </w:pPr>
      <w:r>
        <w:rPr>
          <w:spacing w:val="-3"/>
        </w:rPr>
        <w:t>如果母公司是投资性主体，则母公司应当仅将为其投资活动提供相关服务的子公司</w:t>
      </w:r>
      <w:r>
        <w:rPr>
          <w:rFonts w:ascii="宋体" w:hAnsi="宋体" w:cs="宋体" w:eastAsia="宋体" w:hint="default"/>
          <w:spacing w:val="-3"/>
        </w:rPr>
        <w:t>(</w:t>
      </w:r>
      <w:r>
        <w:rPr>
          <w:spacing w:val="-3"/>
        </w:rPr>
        <w:t>如有</w:t>
      </w:r>
      <w:r>
        <w:rPr>
          <w:rFonts w:ascii="宋体" w:hAnsi="宋体" w:cs="宋体" w:eastAsia="宋体" w:hint="default"/>
          <w:spacing w:val="-3"/>
        </w:rPr>
        <w:t>)</w:t>
      </w:r>
      <w:r>
        <w:rPr>
          <w:rFonts w:ascii="宋体" w:hAnsi="宋体" w:cs="宋体" w:eastAsia="宋体" w:hint="default"/>
        </w:rPr>
        <w:t> </w:t>
      </w:r>
      <w:r>
        <w:rPr/>
        <w:t>纳入合并范围并编制合并财务报表；其他子公司不应当予以合并，母公司对其他子公司的投</w:t>
      </w:r>
      <w:r>
        <w:rPr>
          <w:spacing w:val="-91"/>
        </w:rPr>
        <w:t> </w:t>
      </w:r>
      <w:r>
        <w:rPr>
          <w:spacing w:val="-91"/>
        </w:rPr>
      </w:r>
      <w:r>
        <w:rPr/>
        <w:t>资应当按照公允价值计量且其变动计入当期损益。当母公司同时满足下列条件时，该母公司</w:t>
      </w:r>
      <w:r>
        <w:rPr>
          <w:spacing w:val="-89"/>
        </w:rPr>
        <w:t> </w:t>
      </w:r>
      <w:r>
        <w:rPr>
          <w:spacing w:val="-89"/>
        </w:rPr>
      </w:r>
      <w:r>
        <w:rPr/>
        <w:t>属于投资性主体：</w:t>
      </w:r>
    </w:p>
    <w:p>
      <w:pPr>
        <w:pStyle w:val="BodyText"/>
        <w:spacing w:line="357" w:lineRule="auto"/>
        <w:ind w:left="633" w:right="986"/>
        <w:jc w:val="left"/>
      </w:pPr>
      <w:r>
        <w:rPr/>
        <w:t>该母公司是以向投资者提供投资管理服务为目的，从一个或多个投资者处获取资金； </w:t>
      </w:r>
      <w:r>
        <w:rPr>
          <w:spacing w:val="-3"/>
        </w:rPr>
        <w:t>该母公司的唯一经营目的，是通过资本增值、投资收益或两者兼有而让投资者获得回报；</w:t>
      </w:r>
      <w:r>
        <w:rPr>
          <w:spacing w:val="-85"/>
        </w:rPr>
        <w:t> </w:t>
      </w:r>
      <w:r>
        <w:rPr>
          <w:spacing w:val="-85"/>
        </w:rPr>
      </w:r>
      <w:r>
        <w:rPr/>
        <w:t>该母公司按照公允价值对几乎所有投资的业绩进行考量和评价。 编制合并报表时，公司与被合并子公司采用的统一的会计政策和期间。合并财务报表以</w:t>
      </w:r>
    </w:p>
    <w:p>
      <w:pPr>
        <w:pStyle w:val="BodyText"/>
        <w:spacing w:line="357" w:lineRule="auto"/>
        <w:ind w:right="1138"/>
        <w:jc w:val="both"/>
      </w:pPr>
      <w:r>
        <w:rPr/>
        <w:t>公司和子公司的财务报表为基础，在抵销公司与子公司、子公司相互之间发生的内部交易对</w:t>
      </w:r>
      <w:r>
        <w:rPr>
          <w:spacing w:val="-91"/>
        </w:rPr>
        <w:t> </w:t>
      </w:r>
      <w:r>
        <w:rPr>
          <w:spacing w:val="-91"/>
        </w:rPr>
      </w:r>
      <w:r>
        <w:rPr/>
        <w:t>合并财务报表的影响后，由公司合并编制。公司在报告期内因同一控制下企业合并增加的子</w:t>
      </w:r>
      <w:r>
        <w:rPr>
          <w:spacing w:val="-91"/>
        </w:rPr>
        <w:t> </w:t>
      </w:r>
      <w:r>
        <w:rPr>
          <w:spacing w:val="-91"/>
        </w:rPr>
      </w:r>
      <w:r>
        <w:rPr/>
        <w:t>公司，编制合并资产负债表时，调整合并资产负债表的年初数。因非同一控制下企业合并增</w:t>
      </w:r>
      <w:r>
        <w:rPr>
          <w:spacing w:val="-91"/>
        </w:rPr>
        <w:t> </w:t>
      </w:r>
      <w:r>
        <w:rPr>
          <w:spacing w:val="-91"/>
        </w:rPr>
      </w:r>
      <w:r>
        <w:rPr/>
        <w:t>加的子公司，编制合并资产负债表时，不调整合并资产负债表的年初数。公司在报告期内因</w:t>
      </w:r>
      <w:r>
        <w:rPr>
          <w:spacing w:val="-91"/>
        </w:rPr>
        <w:t> </w:t>
      </w:r>
      <w:r>
        <w:rPr>
          <w:spacing w:val="-91"/>
        </w:rPr>
      </w:r>
      <w:r>
        <w:rPr/>
        <w:t>同一控制下企业合并增加的子公司，将该子公司合并当期年初至报告期末的收入、费用、利</w:t>
      </w:r>
      <w:r>
        <w:rPr>
          <w:spacing w:val="-91"/>
        </w:rPr>
        <w:t> </w:t>
      </w:r>
      <w:r>
        <w:rPr>
          <w:spacing w:val="-91"/>
        </w:rPr>
      </w:r>
      <w:r>
        <w:rPr/>
        <w:t>润及现金流量纳入合并利润表及现金流量表。因非同一控制下企业合并增加的子公司，将该</w:t>
      </w:r>
      <w:r>
        <w:rPr>
          <w:spacing w:val="-91"/>
        </w:rPr>
        <w:t> </w:t>
      </w:r>
      <w:r>
        <w:rPr>
          <w:spacing w:val="-91"/>
        </w:rPr>
      </w:r>
      <w:r>
        <w:rPr/>
        <w:t>子公司购买日至报告期末的收入、费用、利润及现金流量纳入合并利润表及现金流量表。公</w:t>
      </w:r>
      <w:r>
        <w:rPr>
          <w:spacing w:val="-91"/>
        </w:rPr>
        <w:t> </w:t>
      </w:r>
      <w:r>
        <w:rPr>
          <w:spacing w:val="-91"/>
        </w:rPr>
      </w:r>
      <w:r>
        <w:rPr/>
        <w:t>司在报告期内处置子公司，将该子公司年初至处置日的收入、费用、利润及现金流量纳入合</w:t>
      </w:r>
      <w:r>
        <w:rPr>
          <w:spacing w:val="-91"/>
        </w:rPr>
        <w:t> </w:t>
      </w:r>
      <w:r>
        <w:rPr>
          <w:spacing w:val="-91"/>
        </w:rPr>
      </w:r>
      <w:r>
        <w:rPr/>
        <w:t>并利润表及现金流量表。</w:t>
      </w:r>
    </w:p>
    <w:p>
      <w:pPr>
        <w:pStyle w:val="BodyText"/>
        <w:spacing w:line="357" w:lineRule="auto"/>
        <w:ind w:right="1011" w:firstLine="480"/>
        <w:jc w:val="both"/>
      </w:pPr>
      <w:r>
        <w:rPr/>
        <w:t>母公司购买子公司少数股东拥有的子公司股权，在合并财务报表中，因购买少数股权新 取得的长期股权投资与按照新增持股比例计算应享有子公司自购买日或合并日开始持续计算</w:t>
      </w:r>
      <w:r>
        <w:rPr>
          <w:spacing w:val="-91"/>
        </w:rPr>
        <w:t> </w:t>
      </w:r>
      <w:r>
        <w:rPr>
          <w:spacing w:val="-91"/>
        </w:rPr>
      </w:r>
      <w:r>
        <w:rPr>
          <w:spacing w:val="-2"/>
        </w:rPr>
        <w:t>的净资产份额之间的差额，应当调整资本公积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，资本公积不足冲减的，</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986" w:hanging="481"/>
        <w:jc w:val="left"/>
      </w:pPr>
      <w:r>
        <w:rPr/>
        <w:t>调整留存收益。 </w:t>
      </w:r>
      <w:r>
        <w:rPr>
          <w:spacing w:val="-3"/>
        </w:rPr>
        <w:t>母公司在不丧失控制权的情况下部分处置对子公司的长期股权投资，在合并财务报表中，</w:t>
      </w:r>
    </w:p>
    <w:p>
      <w:pPr>
        <w:pStyle w:val="BodyText"/>
        <w:spacing w:line="357" w:lineRule="auto"/>
        <w:ind w:right="1133"/>
        <w:jc w:val="both"/>
      </w:pPr>
      <w:r>
        <w:rPr/>
        <w:t>处置价款与处置长期股权投资相对应享有子公司自购买日或合并日开始持续计算的净资产份</w:t>
      </w:r>
      <w:r>
        <w:rPr>
          <w:spacing w:val="-91"/>
        </w:rPr>
        <w:t> </w:t>
      </w:r>
      <w:r>
        <w:rPr>
          <w:spacing w:val="-91"/>
        </w:rPr>
      </w:r>
      <w:r>
        <w:rPr/>
        <w:t>额之间的差额，应当调整资本公积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w:t>
      </w:r>
      <w:r>
        <w:rPr>
          <w:spacing w:val="-86"/>
        </w:rPr>
        <w:t> </w:t>
      </w:r>
      <w:r>
        <w:rPr>
          <w:spacing w:val="-86"/>
        </w:rPr>
      </w:r>
      <w:r>
        <w:rPr/>
        <w:t>收益。</w:t>
      </w:r>
    </w:p>
    <w:p>
      <w:pPr>
        <w:pStyle w:val="BodyText"/>
        <w:spacing w:line="357" w:lineRule="auto"/>
        <w:ind w:right="986" w:firstLine="480"/>
        <w:jc w:val="left"/>
      </w:pPr>
      <w:r>
        <w:rPr>
          <w:spacing w:val="-3"/>
        </w:rPr>
        <w:t>企业因处置部分股权投资等原因丧失了对被投资方的控制权的，在编制合并财务报表时，</w:t>
      </w:r>
      <w:r>
        <w:rPr/>
        <w:t> 对于剩余股权，应当按照其在丧失控制权日的公允价值进行重新计量。处置股权取得的对价</w:t>
      </w:r>
      <w:r>
        <w:rPr>
          <w:spacing w:val="-91"/>
        </w:rPr>
        <w:t> </w:t>
      </w:r>
      <w:r>
        <w:rPr>
          <w:spacing w:val="-91"/>
        </w:rPr>
      </w:r>
      <w:r>
        <w:rPr/>
        <w:t>与剩余股权公允价值之和，减去按原持股比例计算应享有原有子公司自购买日或合并日开始</w:t>
      </w:r>
      <w:r>
        <w:rPr>
          <w:spacing w:val="-91"/>
        </w:rPr>
        <w:t> </w:t>
      </w:r>
      <w:r>
        <w:rPr>
          <w:spacing w:val="-91"/>
        </w:rPr>
      </w:r>
      <w:r>
        <w:rPr/>
        <w:t>持续计算的净资产的份额之间的差额，计入丧失控制权当期的投资收益，同时冲减商誉。与</w:t>
      </w:r>
      <w:r>
        <w:rPr>
          <w:spacing w:val="-91"/>
        </w:rPr>
        <w:t> </w:t>
      </w:r>
      <w:r>
        <w:rPr>
          <w:spacing w:val="-91"/>
        </w:rPr>
      </w:r>
      <w:r>
        <w:rPr/>
        <w:t>原有子公司股权投资相关的其他综合收益等，应当在丧失控制权时转为当期投资收益，由于</w:t>
      </w:r>
      <w:r>
        <w:rPr>
          <w:spacing w:val="-91"/>
        </w:rPr>
        <w:t> </w:t>
      </w:r>
      <w:r>
        <w:rPr>
          <w:spacing w:val="-91"/>
        </w:rPr>
      </w:r>
      <w:r>
        <w:rPr/>
        <w:t>被投资方重新计量设定受益计划净负债或净资产变动而产生的其他综合收益除外。</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986" w:firstLine="480"/>
        <w:jc w:val="left"/>
      </w:pPr>
      <w:r>
        <w:rPr>
          <w:spacing w:val="-3"/>
        </w:rPr>
        <w:t>现金是指库存现金以及可以随时用于支付的存款。现金等价物，是指公司持有的期限短、</w:t>
      </w:r>
      <w:r>
        <w:rPr/>
        <w:t> 流动性强、易于转换为已知金额现金、价值变动风险很小的投资。</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04" w:firstLine="480"/>
        <w:jc w:val="left"/>
      </w:pPr>
      <w:r>
        <w:rPr/>
        <w:t>外币交易在初始确认时，采用交易发生当日中国人民银行公布的人民币外汇牌价中间价 将外币金额折算为人民币金额。</w:t>
      </w:r>
    </w:p>
    <w:p>
      <w:pPr>
        <w:pStyle w:val="BodyText"/>
        <w:spacing w:line="240" w:lineRule="auto"/>
        <w:ind w:left="633" w:right="1104"/>
        <w:jc w:val="left"/>
      </w:pPr>
      <w:r>
        <w:rPr/>
        <w:t>于资产负债表日，按照下列方法对外币货币性项目和外币非货币性项目进行处理：</w:t>
      </w:r>
    </w:p>
    <w:p>
      <w:pPr>
        <w:pStyle w:val="BodyText"/>
        <w:spacing w:line="357" w:lineRule="auto" w:before="154"/>
        <w:ind w:right="986" w:firstLine="480"/>
        <w:jc w:val="left"/>
      </w:pPr>
      <w:r>
        <w:rPr>
          <w:spacing w:val="-3"/>
        </w:rPr>
        <w:t>①外币货币性项目，采用资产负债表日中国人民银行公布的人民币外汇牌价中间价折算。</w:t>
      </w:r>
      <w:r>
        <w:rPr/>
        <w:t> 因资产负债表日即期汇率与初始确认时或者前一资产负债表日即期汇率不同而产生的汇兑差</w:t>
      </w:r>
      <w:r>
        <w:rPr>
          <w:spacing w:val="-86"/>
        </w:rPr>
        <w:t> </w:t>
      </w:r>
      <w:r>
        <w:rPr>
          <w:spacing w:val="-86"/>
        </w:rPr>
      </w:r>
      <w:r>
        <w:rPr/>
        <w:t>额，计入当期损益。</w:t>
      </w:r>
    </w:p>
    <w:p>
      <w:pPr>
        <w:pStyle w:val="BodyText"/>
        <w:spacing w:line="357" w:lineRule="auto"/>
        <w:ind w:right="1133" w:firstLine="480"/>
        <w:jc w:val="both"/>
      </w:pPr>
      <w:r>
        <w:rPr/>
        <w:t>②以历史成本计量的外币非货币性项目，仍采用交易发生日的即期汇率折算，不改变其 记账本位币金额；以公允价值计量的外币非货币性项目，采用公允价值确定日的即期汇率折</w:t>
      </w:r>
      <w:r>
        <w:rPr>
          <w:spacing w:val="-91"/>
        </w:rPr>
        <w:t> </w:t>
      </w:r>
      <w:r>
        <w:rPr>
          <w:spacing w:val="-91"/>
        </w:rPr>
      </w:r>
      <w:r>
        <w:rPr/>
        <w:t>算，折算后的记账本位币金额与原记账本位币金额的差额，作为公允价值变动</w:t>
      </w:r>
      <w:r>
        <w:rPr>
          <w:rFonts w:ascii="宋体" w:hAnsi="宋体" w:cs="宋体" w:eastAsia="宋体" w:hint="default"/>
        </w:rPr>
        <w:t>(</w:t>
      </w:r>
      <w:r>
        <w:rPr/>
        <w:t>含汇率变动</w:t>
      </w:r>
      <w:r>
        <w:rPr>
          <w:rFonts w:ascii="宋体" w:hAnsi="宋体" w:cs="宋体" w:eastAsia="宋体" w:hint="default"/>
        </w:rPr>
        <w:t>)</w:t>
      </w:r>
      <w:r>
        <w:rPr>
          <w:rFonts w:ascii="宋体" w:hAnsi="宋体" w:cs="宋体" w:eastAsia="宋体" w:hint="default"/>
          <w:spacing w:val="-86"/>
        </w:rPr>
        <w:t> </w:t>
      </w:r>
      <w:r>
        <w:rPr/>
        <w:t>处理， 并根据非货币性项目的性质计入当期损益或其他综合收益。</w:t>
      </w:r>
    </w:p>
    <w:p>
      <w:pPr>
        <w:pStyle w:val="BodyText"/>
        <w:spacing w:line="240" w:lineRule="auto"/>
        <w:ind w:left="633" w:right="1104"/>
        <w:jc w:val="left"/>
      </w:pPr>
      <w:r>
        <w:rPr/>
        <w:t>货币性项目，是指公司持有的货币资金和将以固定或可确定的金额收取的资产或者偿付</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的负债。</w:t>
      </w:r>
    </w:p>
    <w:p>
      <w:pPr>
        <w:pStyle w:val="BodyText"/>
        <w:spacing w:line="240" w:lineRule="auto" w:before="154"/>
        <w:ind w:left="633" w:right="1104"/>
        <w:jc w:val="left"/>
      </w:pPr>
      <w:r>
        <w:rPr/>
        <w:t>非货币性项目，是指货币性项目以外的项目。</w:t>
      </w:r>
    </w:p>
    <w:p>
      <w:pPr>
        <w:spacing w:line="240" w:lineRule="auto" w:before="10"/>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1104"/>
        <w:jc w:val="left"/>
      </w:pPr>
      <w:r>
        <w:rPr/>
        <w:t>（自</w:t>
      </w:r>
      <w:r>
        <w:rPr>
          <w:rFonts w:ascii="宋体" w:hAnsi="宋体" w:cs="宋体" w:eastAsia="宋体" w:hint="default"/>
        </w:rPr>
        <w:t>2019 </w:t>
      </w:r>
      <w:r>
        <w:rPr/>
        <w:t>年</w:t>
      </w:r>
      <w:r>
        <w:rPr>
          <w:rFonts w:ascii="宋体" w:hAnsi="宋体" w:cs="宋体" w:eastAsia="宋体" w:hint="default"/>
        </w:rPr>
        <w:t>1 </w:t>
      </w:r>
      <w:r>
        <w:rPr/>
        <w:t>月</w:t>
      </w:r>
      <w:r>
        <w:rPr>
          <w:rFonts w:ascii="宋体" w:hAnsi="宋体" w:cs="宋体" w:eastAsia="宋体" w:hint="default"/>
        </w:rPr>
        <w:t>1</w:t>
      </w:r>
      <w:r>
        <w:rPr>
          <w:rFonts w:ascii="宋体" w:hAnsi="宋体" w:cs="宋体" w:eastAsia="宋体" w:hint="default"/>
          <w:spacing w:val="-1"/>
        </w:rPr>
        <w:t> </w:t>
      </w:r>
      <w:r>
        <w:rPr/>
        <w:t>日起适用） 金融工具，是指形成一方的金融资产并形成其他方的金融负债或权益工具的合同。当公</w:t>
      </w:r>
    </w:p>
    <w:p>
      <w:pPr>
        <w:pStyle w:val="BodyText"/>
        <w:spacing w:line="357" w:lineRule="auto"/>
        <w:ind w:left="633" w:right="3794" w:hanging="481"/>
        <w:jc w:val="left"/>
      </w:pPr>
      <w:r>
        <w:rPr/>
        <w:t>司成为金融工具合同的一方时，确认相关的金融资产或金融负债。 金融资产</w:t>
      </w:r>
    </w:p>
    <w:p>
      <w:pPr>
        <w:pStyle w:val="BodyText"/>
        <w:spacing w:line="357" w:lineRule="auto"/>
        <w:ind w:left="633" w:right="986"/>
        <w:jc w:val="left"/>
      </w:pPr>
      <w:r>
        <w:rPr/>
        <w:t>分类和初始计量 </w:t>
      </w:r>
      <w:r>
        <w:rPr>
          <w:spacing w:val="-3"/>
        </w:rPr>
        <w:t>公司根据管理金融资产的业务模式和金融资产的合同现金流量特征，将金融资产划分为：</w:t>
      </w:r>
      <w:r>
        <w:rPr>
          <w:spacing w:val="-85"/>
        </w:rPr>
        <w:t> </w:t>
      </w:r>
      <w:r>
        <w:rPr>
          <w:spacing w:val="-85"/>
        </w:rPr>
      </w:r>
      <w:r>
        <w:rPr/>
        <w:t>以摊余成本计量的金融资产；</w:t>
      </w:r>
    </w:p>
    <w:p>
      <w:pPr>
        <w:pStyle w:val="BodyText"/>
        <w:spacing w:line="357" w:lineRule="auto"/>
        <w:ind w:left="633" w:right="1104"/>
        <w:jc w:val="left"/>
      </w:pPr>
      <w:r>
        <w:rPr/>
        <w:t>以公允价值计量且其变动计入其他综合收益的金融资产； 以公允价值计量且其变动计入当期损益的金融资产。 金融资产在初始确认时以公允价值计量。对于以公允价值计量且其变动计入当期损益的</w:t>
      </w:r>
    </w:p>
    <w:p>
      <w:pPr>
        <w:pStyle w:val="BodyText"/>
        <w:spacing w:line="357" w:lineRule="auto"/>
        <w:ind w:right="1133"/>
        <w:jc w:val="both"/>
      </w:pPr>
      <w:r>
        <w:rPr/>
        <w:t>金融资产，相关交易费用直接计入当期损益；对于其他类别的金融资产，相关交易费用计入</w:t>
      </w:r>
      <w:r>
        <w:rPr>
          <w:spacing w:val="-86"/>
        </w:rPr>
        <w:t> </w:t>
      </w:r>
      <w:r>
        <w:rPr>
          <w:spacing w:val="-86"/>
        </w:rPr>
      </w:r>
      <w:r>
        <w:rPr/>
        <w:t>初始确认金额。因销售产品或提供劳务而产生的、未包含或不考虑重大融资成分的应收账款</w:t>
      </w:r>
      <w:r>
        <w:rPr>
          <w:spacing w:val="-91"/>
        </w:rPr>
        <w:t> </w:t>
      </w:r>
      <w:r>
        <w:rPr>
          <w:spacing w:val="-91"/>
        </w:rPr>
      </w:r>
      <w:r>
        <w:rPr/>
        <w:t>或应收票据，公司按照预期有权收取的对价金额作为初始确认金额。</w:t>
      </w:r>
    </w:p>
    <w:p>
      <w:pPr>
        <w:spacing w:line="240" w:lineRule="auto" w:before="0"/>
        <w:rPr>
          <w:rFonts w:ascii="宋体" w:hAnsi="宋体" w:cs="宋体" w:eastAsia="宋体" w:hint="default"/>
          <w:sz w:val="24"/>
          <w:szCs w:val="24"/>
        </w:rPr>
      </w:pPr>
    </w:p>
    <w:p>
      <w:pPr>
        <w:pStyle w:val="BodyText"/>
        <w:spacing w:line="357" w:lineRule="auto" w:before="188"/>
        <w:ind w:left="633" w:right="1104"/>
        <w:jc w:val="left"/>
      </w:pPr>
      <w:r>
        <w:rPr>
          <w:rFonts w:ascii="宋体" w:hAnsi="宋体" w:cs="宋体" w:eastAsia="宋体" w:hint="default"/>
        </w:rPr>
        <w:t>1</w:t>
      </w:r>
      <w:r>
        <w:rPr/>
        <w:t>）债务工具 公司持有的债务工具是指从发行方角度分析符合金融负债定义的工具，分别采用以下三</w:t>
      </w:r>
    </w:p>
    <w:p>
      <w:pPr>
        <w:pStyle w:val="BodyText"/>
        <w:spacing w:line="240" w:lineRule="auto"/>
        <w:ind w:right="0"/>
        <w:jc w:val="both"/>
      </w:pPr>
      <w:r>
        <w:rPr/>
        <w:t>种方式进行计量：</w:t>
      </w:r>
    </w:p>
    <w:p>
      <w:pPr>
        <w:pStyle w:val="BodyText"/>
        <w:spacing w:line="357" w:lineRule="auto" w:before="154"/>
        <w:ind w:left="633" w:right="1104"/>
        <w:jc w:val="left"/>
      </w:pPr>
      <w:r>
        <w:rPr>
          <w:rFonts w:ascii="宋体" w:hAnsi="宋体" w:cs="宋体" w:eastAsia="宋体" w:hint="default"/>
        </w:rPr>
        <w:t>&lt;1&gt;</w:t>
      </w:r>
      <w:r>
        <w:rPr/>
        <w:t>以摊余成本计量： 公司管理此类金融资产的业务模式为以收取合同现金流量为目标，且此类金融资产的合</w:t>
      </w:r>
    </w:p>
    <w:p>
      <w:pPr>
        <w:pStyle w:val="BodyText"/>
        <w:spacing w:line="357" w:lineRule="auto"/>
        <w:ind w:right="1133"/>
        <w:jc w:val="both"/>
      </w:pPr>
      <w:r>
        <w:rPr/>
        <w:t>同现金流量特征与基本借贷安排相一致，即在特定日期产生的现金流量，仅为对本金和以未</w:t>
      </w:r>
      <w:r>
        <w:rPr>
          <w:spacing w:val="-91"/>
        </w:rPr>
        <w:t> </w:t>
      </w:r>
      <w:r>
        <w:rPr>
          <w:spacing w:val="-91"/>
        </w:rPr>
      </w:r>
      <w:r>
        <w:rPr/>
        <w:t>偿付本金金额为基础的利息的支付。公司对于此类金融资产按照实际利率法确认利息收入。</w:t>
      </w:r>
      <w:r>
        <w:rPr>
          <w:spacing w:val="-86"/>
        </w:rPr>
        <w:t> </w:t>
      </w:r>
      <w:r>
        <w:rPr>
          <w:spacing w:val="-86"/>
        </w:rPr>
      </w:r>
      <w:r>
        <w:rPr/>
        <w:t>此类金融资产主要包括货币资金、应收票据及应收账款、其他应收款、债权投资和长期应收</w:t>
      </w:r>
      <w:r>
        <w:rPr>
          <w:spacing w:val="-91"/>
        </w:rPr>
        <w:t> </w:t>
      </w:r>
      <w:r>
        <w:rPr>
          <w:spacing w:val="-91"/>
        </w:rPr>
      </w:r>
      <w:r>
        <w:rPr/>
        <w:t>款等。公司将自资产负债表日起一年内</w:t>
      </w:r>
      <w:r>
        <w:rPr>
          <w:rFonts w:ascii="宋体" w:hAnsi="宋体" w:cs="宋体" w:eastAsia="宋体" w:hint="default"/>
        </w:rPr>
        <w:t>(</w:t>
      </w:r>
      <w:r>
        <w:rPr/>
        <w:t>含一年</w:t>
      </w:r>
      <w:r>
        <w:rPr>
          <w:rFonts w:ascii="宋体" w:hAnsi="宋体" w:cs="宋体" w:eastAsia="宋体" w:hint="default"/>
        </w:rPr>
        <w:t>)</w:t>
      </w:r>
      <w:r>
        <w:rPr/>
        <w:t>到期的债权投资和长期应收款，列示为一年</w:t>
      </w:r>
      <w:r>
        <w:rPr>
          <w:spacing w:val="-87"/>
        </w:rPr>
        <w:t> </w:t>
      </w:r>
      <w:r>
        <w:rPr>
          <w:spacing w:val="-87"/>
        </w:rPr>
      </w:r>
      <w:r>
        <w:rPr/>
        <w:t>内到期的非流动资产；取得时期限在一年内</w:t>
      </w:r>
      <w:r>
        <w:rPr>
          <w:rFonts w:ascii="宋体" w:hAnsi="宋体" w:cs="宋体" w:eastAsia="宋体" w:hint="default"/>
        </w:rPr>
        <w:t>(</w:t>
      </w:r>
      <w:r>
        <w:rPr/>
        <w:t>含一年</w:t>
      </w:r>
      <w:r>
        <w:rPr>
          <w:rFonts w:ascii="宋体" w:hAnsi="宋体" w:cs="宋体" w:eastAsia="宋体" w:hint="default"/>
        </w:rPr>
        <w:t>)</w:t>
      </w:r>
      <w:r>
        <w:rPr/>
        <w:t>的债权投资列示为其他流动资产。</w:t>
      </w:r>
    </w:p>
    <w:p>
      <w:pPr>
        <w:spacing w:line="240" w:lineRule="auto" w:before="0"/>
        <w:rPr>
          <w:rFonts w:ascii="宋体" w:hAnsi="宋体" w:cs="宋体" w:eastAsia="宋体" w:hint="default"/>
          <w:sz w:val="24"/>
          <w:szCs w:val="24"/>
        </w:rPr>
      </w:pPr>
    </w:p>
    <w:p>
      <w:pPr>
        <w:pStyle w:val="BodyText"/>
        <w:spacing w:line="240" w:lineRule="auto" w:before="190"/>
        <w:ind w:left="633" w:right="1104"/>
        <w:jc w:val="left"/>
      </w:pPr>
      <w:r>
        <w:rPr>
          <w:rFonts w:ascii="宋体" w:hAnsi="宋体" w:cs="宋体" w:eastAsia="宋体" w:hint="default"/>
        </w:rPr>
        <w:t>&lt;2&gt;</w:t>
      </w:r>
      <w:r>
        <w:rPr/>
        <w:t>以公允价值计量且其变动计入其他综合收益：</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3" w:firstLine="480"/>
        <w:jc w:val="both"/>
      </w:pPr>
      <w:r>
        <w:rPr/>
        <w:t>公司管理此类金融资产的业务模式为既以收取合同现金流量为目标又以出售为目标，且 此类金融资产的合同现金流量特征与基本借贷安排相一致。此类金融资产按照公允价值计量</w:t>
      </w:r>
      <w:r>
        <w:rPr>
          <w:spacing w:val="-91"/>
        </w:rPr>
        <w:t> </w:t>
      </w:r>
      <w:r>
        <w:rPr>
          <w:spacing w:val="-91"/>
        </w:rPr>
      </w:r>
      <w:r>
        <w:rPr/>
        <w:t>且其变动计入其他综合收益，但减值损失或利得、汇兑损益和按照实际利率法计算的利息收</w:t>
      </w:r>
      <w:r>
        <w:rPr>
          <w:spacing w:val="-87"/>
        </w:rPr>
        <w:t> </w:t>
      </w:r>
      <w:r>
        <w:rPr>
          <w:spacing w:val="-87"/>
        </w:rPr>
      </w:r>
      <w:r>
        <w:rPr/>
        <w:t>入计入当期损益。此类金融资产列示为其他债权投资，自资产负债表日起一年内</w:t>
      </w:r>
      <w:r>
        <w:rPr>
          <w:rFonts w:ascii="宋体" w:hAnsi="宋体" w:cs="宋体" w:eastAsia="宋体" w:hint="default"/>
        </w:rPr>
        <w:t>(</w:t>
      </w:r>
      <w:r>
        <w:rPr/>
        <w:t>含一年</w:t>
      </w:r>
      <w:r>
        <w:rPr>
          <w:rFonts w:ascii="宋体" w:hAnsi="宋体" w:cs="宋体" w:eastAsia="宋体" w:hint="default"/>
        </w:rPr>
        <w:t>)</w:t>
      </w:r>
      <w:r>
        <w:rPr/>
        <w:t>到</w:t>
      </w:r>
      <w:r>
        <w:rPr>
          <w:spacing w:val="-86"/>
        </w:rPr>
        <w:t> </w:t>
      </w:r>
      <w:r>
        <w:rPr/>
        <w:t>期的其他债权投资，列示为一年内到期的非流动资产；取得时期限在一年内</w:t>
      </w:r>
      <w:r>
        <w:rPr>
          <w:rFonts w:ascii="宋体" w:hAnsi="宋体" w:cs="宋体" w:eastAsia="宋体" w:hint="default"/>
        </w:rPr>
        <w:t>(</w:t>
      </w:r>
      <w:r>
        <w:rPr/>
        <w:t>含一年</w:t>
      </w:r>
      <w:r>
        <w:rPr>
          <w:rFonts w:ascii="宋体" w:hAnsi="宋体" w:cs="宋体" w:eastAsia="宋体" w:hint="default"/>
        </w:rPr>
        <w:t>)</w:t>
      </w:r>
      <w:r>
        <w:rPr/>
        <w:t>的其他</w:t>
      </w:r>
      <w:r>
        <w:rPr>
          <w:spacing w:val="-86"/>
        </w:rPr>
        <w:t> </w:t>
      </w:r>
      <w:r>
        <w:rPr/>
        <w:t>债权投资列示为其他流动资产。</w:t>
      </w:r>
    </w:p>
    <w:p>
      <w:pPr>
        <w:spacing w:line="240" w:lineRule="auto" w:before="0"/>
        <w:rPr>
          <w:rFonts w:ascii="宋体" w:hAnsi="宋体" w:cs="宋体" w:eastAsia="宋体" w:hint="default"/>
          <w:sz w:val="24"/>
          <w:szCs w:val="24"/>
        </w:rPr>
      </w:pPr>
    </w:p>
    <w:p>
      <w:pPr>
        <w:pStyle w:val="BodyText"/>
        <w:spacing w:line="357" w:lineRule="auto" w:before="191"/>
        <w:ind w:left="633" w:right="1104"/>
        <w:jc w:val="left"/>
      </w:pPr>
      <w:r>
        <w:rPr>
          <w:rFonts w:ascii="宋体" w:hAnsi="宋体" w:cs="宋体" w:eastAsia="宋体" w:hint="default"/>
        </w:rPr>
        <w:t>&lt;3&gt;</w:t>
      </w:r>
      <w:r>
        <w:rPr/>
        <w:t>以公允价值计量且其变动计入当期损益： 公司将持有的未划分为以摊余成本计量和以公允价值计量且其变动计入其他综合收益的</w:t>
      </w:r>
    </w:p>
    <w:p>
      <w:pPr>
        <w:pStyle w:val="BodyText"/>
        <w:spacing w:line="357" w:lineRule="auto"/>
        <w:ind w:right="996"/>
        <w:jc w:val="left"/>
      </w:pPr>
      <w:r>
        <w:rPr>
          <w:spacing w:val="-2"/>
        </w:rPr>
        <w:t>债务工具，以公允价值计量且其变动计入当期损益，列示为交易性金融资产。在初始确认时，</w:t>
      </w:r>
      <w:r>
        <w:rPr/>
        <w:t> 公司为了消除或显著减少会计错配，将部分金融资产指定为以公允价值计量且其变动计入当</w:t>
      </w:r>
      <w:r>
        <w:rPr>
          <w:spacing w:val="-91"/>
        </w:rPr>
        <w:t> </w:t>
      </w:r>
      <w:r>
        <w:rPr>
          <w:spacing w:val="-91"/>
        </w:rPr>
      </w:r>
      <w:r>
        <w:rPr/>
        <w:t>期损益的金融资产。自资产负债表日起超过一年到期且预期持有超过一年的，列示为其他非</w:t>
      </w:r>
      <w:r>
        <w:rPr>
          <w:spacing w:val="-90"/>
        </w:rPr>
        <w:t> </w:t>
      </w:r>
      <w:r>
        <w:rPr>
          <w:spacing w:val="-90"/>
        </w:rPr>
      </w:r>
      <w:r>
        <w:rPr/>
        <w:t>流动金融资产。</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rFonts w:ascii="宋体" w:hAnsi="宋体" w:cs="宋体" w:eastAsia="宋体" w:hint="default"/>
        </w:rPr>
        <w:t>2</w:t>
      </w:r>
      <w:r>
        <w:rPr/>
        <w:t>）权益工具 公司将对其没有控制、共同控制和重大影响的权益工具投资按照公允价值计量且其变动</w:t>
      </w:r>
    </w:p>
    <w:p>
      <w:pPr>
        <w:pStyle w:val="BodyText"/>
        <w:spacing w:line="357" w:lineRule="auto"/>
        <w:ind w:right="1104"/>
        <w:jc w:val="left"/>
      </w:pPr>
      <w:r>
        <w:rPr/>
        <w:t>计入当期损益，列示为交易性金融资产；自资产负债表日起预期持有超过一年的，列示为其</w:t>
      </w:r>
      <w:r>
        <w:rPr>
          <w:spacing w:val="-91"/>
        </w:rPr>
        <w:t> </w:t>
      </w:r>
      <w:r>
        <w:rPr>
          <w:spacing w:val="-91"/>
        </w:rPr>
      </w:r>
      <w:r>
        <w:rPr/>
        <w:t>他非流动金融资产。</w:t>
      </w:r>
    </w:p>
    <w:p>
      <w:pPr>
        <w:pStyle w:val="BodyText"/>
        <w:spacing w:line="357" w:lineRule="auto"/>
        <w:ind w:right="1139" w:firstLine="480"/>
        <w:jc w:val="both"/>
      </w:pPr>
      <w:r>
        <w:rPr/>
        <w:t>此外，公司将部分非交易性权益工具投资指定为以公允价值计量且其变动计入其他综合 收益的金融资产，列示为其他权益工具投资。该类金融资产的相关股利收入计入当期损益。</w:t>
      </w:r>
      <w:r>
        <w:rPr>
          <w:spacing w:val="-91"/>
        </w:rPr>
        <w:t> </w:t>
      </w:r>
      <w:r>
        <w:rPr>
          <w:spacing w:val="-91"/>
        </w:rPr>
      </w:r>
      <w:r>
        <w:rPr/>
        <w:t>该指定一经做出，不得撤销。本公司在非同一控制下的企业合并中确认的或有对价构成金融</w:t>
      </w:r>
      <w:r>
        <w:rPr>
          <w:spacing w:val="-91"/>
        </w:rPr>
        <w:t> </w:t>
      </w:r>
      <w:r>
        <w:rPr>
          <w:spacing w:val="-91"/>
        </w:rPr>
      </w:r>
      <w:r>
        <w:rPr/>
        <w:t>资产的，该金融资产分类为以公允价值计量且其变动计入当期损益的金融资产。</w:t>
      </w:r>
    </w:p>
    <w:p>
      <w:pPr>
        <w:pStyle w:val="BodyText"/>
        <w:spacing w:line="357" w:lineRule="auto"/>
        <w:ind w:right="1139" w:firstLine="480"/>
        <w:jc w:val="both"/>
      </w:pPr>
      <w:r>
        <w:rPr/>
        <w:t>对于非交易性权益工具投资，公司可在初始确认时将其不可撤销地指定为以公允价值计 量且其变动计入其他综合收益的金融资产。该指定在单项投资的基础上作出，且相关投资从</w:t>
      </w:r>
      <w:r>
        <w:rPr>
          <w:spacing w:val="-91"/>
        </w:rPr>
        <w:t> </w:t>
      </w:r>
      <w:r>
        <w:rPr>
          <w:spacing w:val="-91"/>
        </w:rPr>
      </w:r>
      <w:r>
        <w:rPr/>
        <w:t>发行者的角度符合权益工具的定义。</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②减值 公司对于以摊余成本计量的金融资产、以公允价值计量且其变动计入其他综合收益的债</w:t>
      </w:r>
    </w:p>
    <w:p>
      <w:pPr>
        <w:pStyle w:val="BodyText"/>
        <w:spacing w:line="240" w:lineRule="auto"/>
        <w:ind w:right="1104"/>
        <w:jc w:val="left"/>
      </w:pPr>
      <w:r>
        <w:rPr/>
        <w:t>务工具投资和财务担保合同等，以预期信用损失为基础确认损失准备。公司考虑有关过去事</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996"/>
        <w:jc w:val="left"/>
      </w:pPr>
      <w:r>
        <w:rPr>
          <w:spacing w:val="-2"/>
        </w:rPr>
        <w:t>项、当前状况以及对未来经济状况的预测等合理且有依据的信息，以发生违约的风险为权重，</w:t>
      </w:r>
      <w:r>
        <w:rPr/>
        <w:t> 计算合同应收的现金流量与预期能收到的现金流量之间差额的现值的概率加权金额，确认预</w:t>
      </w:r>
      <w:r>
        <w:rPr>
          <w:spacing w:val="-91"/>
        </w:rPr>
        <w:t> </w:t>
      </w:r>
      <w:r>
        <w:rPr>
          <w:spacing w:val="-91"/>
        </w:rPr>
      </w:r>
      <w:r>
        <w:rPr/>
        <w:t>期信用损失。</w:t>
      </w:r>
    </w:p>
    <w:p>
      <w:pPr>
        <w:spacing w:line="240" w:lineRule="auto" w:before="0"/>
        <w:rPr>
          <w:rFonts w:ascii="宋体" w:hAnsi="宋体" w:cs="宋体" w:eastAsia="宋体" w:hint="default"/>
          <w:sz w:val="24"/>
          <w:szCs w:val="24"/>
        </w:rPr>
      </w:pPr>
    </w:p>
    <w:p>
      <w:pPr>
        <w:pStyle w:val="BodyText"/>
        <w:spacing w:line="357" w:lineRule="auto" w:before="190"/>
        <w:ind w:right="986" w:firstLine="480"/>
        <w:jc w:val="left"/>
      </w:pPr>
      <w:r>
        <w:rPr>
          <w:spacing w:val="-3"/>
        </w:rPr>
        <w:t>于每个资产负债表日，公司对于处于不同阶段的金融工具的预期信用损失分别进行计量。</w:t>
      </w:r>
      <w:r>
        <w:rPr/>
        <w:t> </w:t>
      </w:r>
      <w:r>
        <w:rPr>
          <w:spacing w:val="-3"/>
        </w:rPr>
        <w:t>金融工具自初始确认后信用风险未显著增加的，处于第一阶段，公司按照未来</w:t>
      </w:r>
      <w:r>
        <w:rPr>
          <w:rFonts w:ascii="宋体" w:hAnsi="宋体" w:cs="宋体" w:eastAsia="宋体" w:hint="default"/>
          <w:spacing w:val="-3"/>
        </w:rPr>
        <w:t>12 </w:t>
      </w:r>
      <w:r>
        <w:rPr/>
        <w:t>个月内的预</w:t>
      </w:r>
      <w:r>
        <w:rPr>
          <w:spacing w:val="-89"/>
        </w:rPr>
        <w:t> </w:t>
      </w:r>
      <w:r>
        <w:rPr/>
        <w:t>期信用损失计量损失准备；金融工具自初始确认后信用风险已显著增加但尚未发生信用减值</w:t>
      </w:r>
      <w:r>
        <w:rPr>
          <w:spacing w:val="-91"/>
        </w:rPr>
        <w:t> </w:t>
      </w:r>
      <w:r>
        <w:rPr>
          <w:spacing w:val="-91"/>
        </w:rPr>
      </w:r>
      <w:r>
        <w:rPr/>
        <w:t>的，处于第二阶段，公司按照该工具整个存续期的预期信用损失计量损失准备；金融工具自</w:t>
      </w:r>
      <w:r>
        <w:rPr>
          <w:spacing w:val="-91"/>
        </w:rPr>
        <w:t> </w:t>
      </w:r>
      <w:r>
        <w:rPr>
          <w:spacing w:val="-91"/>
        </w:rPr>
      </w:r>
      <w:r>
        <w:rPr/>
        <w:t>初始确认后已经发生信用减值的，处于第三阶段，公司按照该工具整个存续期的预期信用损</w:t>
      </w:r>
      <w:r>
        <w:rPr>
          <w:spacing w:val="-91"/>
        </w:rPr>
        <w:t> </w:t>
      </w:r>
      <w:r>
        <w:rPr>
          <w:spacing w:val="-91"/>
        </w:rPr>
      </w:r>
      <w:r>
        <w:rPr/>
        <w:t>失计量损失准备。</w:t>
      </w:r>
    </w:p>
    <w:p>
      <w:pPr>
        <w:pStyle w:val="BodyText"/>
        <w:spacing w:line="357" w:lineRule="auto"/>
        <w:ind w:right="1104" w:firstLine="480"/>
        <w:jc w:val="left"/>
      </w:pPr>
      <w:r>
        <w:rPr/>
        <w:t>对于在资产负债表日具有较低信用风险的金融工具，公司假设其信用风险自初始确认后 并未显著增加，按照未来</w:t>
      </w:r>
      <w:r>
        <w:rPr>
          <w:rFonts w:ascii="宋体" w:hAnsi="宋体" w:cs="宋体" w:eastAsia="宋体" w:hint="default"/>
        </w:rPr>
        <w:t>12 </w:t>
      </w:r>
      <w:r>
        <w:rPr/>
        <w:t>个月内的预期信用损失计量损失准备。</w:t>
      </w:r>
    </w:p>
    <w:p>
      <w:pPr>
        <w:pStyle w:val="BodyText"/>
        <w:spacing w:line="357" w:lineRule="auto"/>
        <w:ind w:right="1139" w:firstLine="480"/>
        <w:jc w:val="both"/>
      </w:pPr>
      <w:r>
        <w:rPr/>
        <w:t>公司对于处于第一阶段和第二阶段、以及较低信用风险的金融工具，按照其未扣除减值 准备的账面余额和实际利率计算利息收入。对于处于第三阶段的金融工具，按照其账面余额</w:t>
      </w:r>
      <w:r>
        <w:rPr>
          <w:spacing w:val="-91"/>
        </w:rPr>
        <w:t> </w:t>
      </w:r>
      <w:r>
        <w:rPr>
          <w:spacing w:val="-91"/>
        </w:rPr>
      </w:r>
      <w:r>
        <w:rPr/>
        <w:t>减已计提减值准备后的摊余成本和实际利率计算利息收入。</w:t>
      </w:r>
    </w:p>
    <w:p>
      <w:pPr>
        <w:pStyle w:val="BodyText"/>
        <w:spacing w:line="357" w:lineRule="auto"/>
        <w:ind w:right="1104" w:firstLine="480"/>
        <w:jc w:val="left"/>
      </w:pPr>
      <w:r>
        <w:rPr/>
        <w:t>对于应收票据及应收账款和合同资产，无论是否存在重大融资成分，公司均可以按照整 个存续期的预期信用损失计量损失准备。</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rFonts w:ascii="宋体" w:hAnsi="宋体" w:cs="宋体" w:eastAsia="宋体" w:hint="default"/>
        </w:rPr>
        <w:t>1</w:t>
      </w:r>
      <w:r>
        <w:rPr/>
        <w:t>）信用风险显著增加判断标准 公司在每个资产负债表日评估相关金融工具的信用风险自初始确认后是否已显著增加。 在确定信用风险自初始确认后是否显著增加时，公司考虑在无须付出不必要的额外成本</w:t>
      </w:r>
    </w:p>
    <w:p>
      <w:pPr>
        <w:pStyle w:val="BodyText"/>
        <w:spacing w:line="357" w:lineRule="auto" w:before="37"/>
        <w:ind w:right="996"/>
        <w:jc w:val="left"/>
      </w:pPr>
      <w:r>
        <w:rPr/>
        <w:t>或努力即可获得合理且有依据的信息，包括基于公司历史数据的定性和定量分析、外部信用</w:t>
      </w:r>
      <w:r>
        <w:rPr>
          <w:spacing w:val="-91"/>
        </w:rPr>
        <w:t> </w:t>
      </w:r>
      <w:r>
        <w:rPr>
          <w:spacing w:val="-91"/>
        </w:rPr>
      </w:r>
      <w:r>
        <w:rPr/>
        <w:t>风险评级以及前瞻性信息。公司以单项金融工具或者具有相似信用风险特征的金融工具组合</w:t>
      </w:r>
      <w:r>
        <w:rPr>
          <w:spacing w:val="-91"/>
        </w:rPr>
        <w:t> </w:t>
      </w:r>
      <w:r>
        <w:rPr>
          <w:spacing w:val="-91"/>
        </w:rPr>
      </w:r>
      <w:r>
        <w:rPr>
          <w:spacing w:val="-2"/>
        </w:rPr>
        <w:t>为基础，通过比较金融工具在资产负债表日发生违约的风险与在初始确认日发生违约的风险，</w:t>
      </w:r>
      <w:r>
        <w:rPr/>
        <w:t> 以确定金融工具预计存续期内发生违约风险的变化情况。</w:t>
      </w:r>
    </w:p>
    <w:p>
      <w:pPr>
        <w:pStyle w:val="BodyText"/>
        <w:spacing w:line="357" w:lineRule="auto"/>
        <w:ind w:right="1104" w:firstLine="480"/>
        <w:jc w:val="left"/>
      </w:pPr>
      <w:r>
        <w:rPr/>
        <w:t>当触发以下一个或多个定量或定性标准时，公司认为金融工具的信用风险已发生显著增 加：</w:t>
      </w:r>
    </w:p>
    <w:p>
      <w:pPr>
        <w:pStyle w:val="BodyText"/>
        <w:spacing w:line="240" w:lineRule="auto"/>
        <w:ind w:left="633" w:right="1104"/>
        <w:jc w:val="left"/>
      </w:pPr>
      <w:r>
        <w:rPr>
          <w:rFonts w:ascii="宋体" w:hAnsi="宋体" w:cs="宋体" w:eastAsia="宋体" w:hint="default"/>
        </w:rPr>
        <w:t>&lt;1&gt;</w:t>
      </w:r>
      <w:r>
        <w:rPr>
          <w:rFonts w:ascii="宋体" w:hAnsi="宋体" w:cs="宋体" w:eastAsia="宋体" w:hint="default"/>
          <w:spacing w:val="-1"/>
        </w:rPr>
        <w:t> </w:t>
      </w:r>
      <w:r>
        <w:rPr/>
        <w:t>定量标准主要为报告日剩余存续期违约概率较初始确认时上升超过一定比例。</w:t>
      </w:r>
    </w:p>
    <w:p>
      <w:pPr>
        <w:pStyle w:val="BodyText"/>
        <w:spacing w:line="240" w:lineRule="auto" w:before="154"/>
        <w:ind w:left="633" w:right="1104"/>
        <w:jc w:val="left"/>
      </w:pPr>
      <w:r>
        <w:rPr>
          <w:rFonts w:ascii="宋体" w:hAnsi="宋体" w:cs="宋体" w:eastAsia="宋体" w:hint="default"/>
        </w:rPr>
        <w:t>&lt;2&gt;</w:t>
      </w:r>
      <w:r>
        <w:rPr/>
        <w:t>定性标准主要为债务人经营或财务情况出现重大不利变化、预警客户清单等。</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3" w:right="1104"/>
        <w:jc w:val="left"/>
        <w:rPr>
          <w:rFonts w:ascii="宋体" w:hAnsi="宋体" w:cs="宋体" w:eastAsia="宋体" w:hint="default"/>
        </w:rPr>
      </w:pPr>
      <w:r>
        <w:rPr>
          <w:rFonts w:ascii="宋体" w:hAnsi="宋体" w:cs="宋体" w:eastAsia="宋体" w:hint="default"/>
          <w:spacing w:val="3"/>
        </w:rPr>
        <w:t>&lt;3&gt;</w:t>
      </w:r>
      <w:r>
        <w:rPr>
          <w:spacing w:val="3"/>
        </w:rPr>
        <w:t>上限指标为债务人合同付款</w:t>
      </w:r>
      <w:r>
        <w:rPr>
          <w:rFonts w:ascii="宋体" w:hAnsi="宋体" w:cs="宋体" w:eastAsia="宋体" w:hint="default"/>
          <w:spacing w:val="3"/>
        </w:rPr>
        <w:t>(</w:t>
      </w:r>
      <w:r>
        <w:rPr>
          <w:spacing w:val="3"/>
        </w:rPr>
        <w:t>包括本金和利息）一般逾期超过</w:t>
      </w:r>
      <w:r>
        <w:rPr>
          <w:rFonts w:ascii="宋体" w:hAnsi="宋体" w:cs="宋体" w:eastAsia="宋体" w:hint="default"/>
          <w:spacing w:val="3"/>
        </w:rPr>
        <w:t>30</w:t>
      </w:r>
      <w:r>
        <w:rPr>
          <w:rFonts w:ascii="宋体" w:hAnsi="宋体" w:cs="宋体" w:eastAsia="宋体" w:hint="default"/>
          <w:spacing w:val="18"/>
        </w:rPr>
        <w:t> </w:t>
      </w:r>
      <w:r>
        <w:rPr>
          <w:spacing w:val="3"/>
        </w:rPr>
        <w:t>天，最长不超过</w:t>
      </w:r>
      <w:r>
        <w:rPr>
          <w:rFonts w:ascii="宋体" w:hAnsi="宋体" w:cs="宋体" w:eastAsia="宋体" w:hint="default"/>
          <w:spacing w:val="3"/>
        </w:rPr>
        <w:t>90</w:t>
      </w:r>
    </w:p>
    <w:p>
      <w:pPr>
        <w:pStyle w:val="BodyText"/>
        <w:spacing w:line="240" w:lineRule="auto" w:before="154"/>
        <w:ind w:right="1104"/>
        <w:jc w:val="left"/>
      </w:pPr>
      <w:r>
        <w:rPr/>
        <w:t>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357" w:lineRule="auto" w:before="26"/>
        <w:ind w:left="633" w:right="1104"/>
        <w:jc w:val="left"/>
      </w:pPr>
      <w:r>
        <w:rPr>
          <w:rFonts w:ascii="宋体" w:hAnsi="宋体" w:cs="宋体" w:eastAsia="宋体" w:hint="default"/>
        </w:rPr>
        <w:t>2</w:t>
      </w:r>
      <w:r>
        <w:rPr/>
        <w:t>）已发生信用减值资产的定义 为确定是否发生信用减值，公司所采用的界定标准，与内部针对相关金融工具的信用风</w:t>
      </w:r>
    </w:p>
    <w:p>
      <w:pPr>
        <w:pStyle w:val="BodyText"/>
        <w:spacing w:line="357" w:lineRule="auto"/>
        <w:ind w:right="1139"/>
        <w:jc w:val="both"/>
      </w:pPr>
      <w:r>
        <w:rPr/>
        <w:t>险管理目标保持一致，同时考虑定量、定性指标。公司评估债务人是否发生信用减值时，主</w:t>
      </w:r>
      <w:r>
        <w:rPr>
          <w:spacing w:val="-91"/>
        </w:rPr>
        <w:t> </w:t>
      </w:r>
      <w:r>
        <w:rPr>
          <w:spacing w:val="-91"/>
        </w:rPr>
      </w:r>
      <w:r>
        <w:rPr/>
        <w:t>要考虑以下因素：</w:t>
      </w:r>
    </w:p>
    <w:p>
      <w:pPr>
        <w:pStyle w:val="BodyText"/>
        <w:spacing w:line="240" w:lineRule="auto" w:before="37"/>
        <w:ind w:left="633" w:right="1104"/>
        <w:jc w:val="left"/>
      </w:pPr>
      <w:r>
        <w:rPr>
          <w:rFonts w:ascii="宋体" w:hAnsi="宋体" w:cs="宋体" w:eastAsia="宋体" w:hint="default"/>
        </w:rPr>
        <w:t>&lt;1&gt;</w:t>
      </w:r>
      <w:r>
        <w:rPr>
          <w:rFonts w:ascii="宋体" w:hAnsi="宋体" w:cs="宋体" w:eastAsia="宋体" w:hint="default"/>
          <w:spacing w:val="-1"/>
        </w:rPr>
        <w:t> </w:t>
      </w:r>
      <w:r>
        <w:rPr/>
        <w:t>发行方或债务人发生重大财务困难；</w:t>
      </w:r>
    </w:p>
    <w:p>
      <w:pPr>
        <w:pStyle w:val="BodyText"/>
        <w:spacing w:line="240" w:lineRule="auto" w:before="154"/>
        <w:ind w:left="633" w:right="1104"/>
        <w:jc w:val="left"/>
      </w:pPr>
      <w:r>
        <w:rPr>
          <w:rFonts w:ascii="宋体" w:hAnsi="宋体" w:cs="宋体" w:eastAsia="宋体" w:hint="default"/>
        </w:rPr>
        <w:t>&lt;2&gt;</w:t>
      </w:r>
      <w:r>
        <w:rPr>
          <w:rFonts w:ascii="宋体" w:hAnsi="宋体" w:cs="宋体" w:eastAsia="宋体" w:hint="default"/>
          <w:spacing w:val="-1"/>
        </w:rPr>
        <w:t> </w:t>
      </w:r>
      <w:r>
        <w:rPr/>
        <w:t>债务人违反合同，如偿付利息或本金违约或逾期等；</w:t>
      </w:r>
    </w:p>
    <w:p>
      <w:pPr>
        <w:pStyle w:val="BodyText"/>
        <w:spacing w:line="357" w:lineRule="auto" w:before="154"/>
        <w:ind w:right="1140" w:firstLine="480"/>
        <w:jc w:val="both"/>
      </w:pPr>
      <w:r>
        <w:rPr>
          <w:rFonts w:ascii="宋体" w:hAnsi="宋体" w:cs="宋体" w:eastAsia="宋体" w:hint="default"/>
        </w:rPr>
        <w:t>&lt;3&gt;</w:t>
      </w:r>
      <w:r>
        <w:rPr>
          <w:rFonts w:ascii="宋体" w:hAnsi="宋体" w:cs="宋体" w:eastAsia="宋体" w:hint="default"/>
          <w:spacing w:val="24"/>
        </w:rPr>
        <w:t> </w:t>
      </w:r>
      <w:r>
        <w:rPr/>
        <w:t>债权人出于与债务人财务困难有关的经济或合同考虑，给予债务人在任何其他情况 下都不会做出的让步；</w:t>
      </w:r>
    </w:p>
    <w:p>
      <w:pPr>
        <w:pStyle w:val="BodyText"/>
        <w:spacing w:line="240" w:lineRule="auto"/>
        <w:ind w:left="633" w:right="1104"/>
        <w:jc w:val="left"/>
      </w:pPr>
      <w:r>
        <w:rPr>
          <w:rFonts w:ascii="宋体" w:hAnsi="宋体" w:cs="宋体" w:eastAsia="宋体" w:hint="default"/>
        </w:rPr>
        <w:t>&lt;4&gt;</w:t>
      </w:r>
      <w:r>
        <w:rPr>
          <w:rFonts w:ascii="宋体" w:hAnsi="宋体" w:cs="宋体" w:eastAsia="宋体" w:hint="default"/>
          <w:spacing w:val="-1"/>
        </w:rPr>
        <w:t> </w:t>
      </w:r>
      <w:r>
        <w:rPr/>
        <w:t>债务人很可能破产或进行其他财务重组；</w:t>
      </w:r>
    </w:p>
    <w:p>
      <w:pPr>
        <w:pStyle w:val="BodyText"/>
        <w:spacing w:line="240" w:lineRule="auto" w:before="154"/>
        <w:ind w:left="633" w:right="1104"/>
        <w:jc w:val="left"/>
      </w:pPr>
      <w:r>
        <w:rPr>
          <w:rFonts w:ascii="宋体" w:hAnsi="宋体" w:cs="宋体" w:eastAsia="宋体" w:hint="default"/>
        </w:rPr>
        <w:t>&lt;5&gt;</w:t>
      </w:r>
      <w:r>
        <w:rPr>
          <w:rFonts w:ascii="宋体" w:hAnsi="宋体" w:cs="宋体" w:eastAsia="宋体" w:hint="default"/>
          <w:spacing w:val="-1"/>
        </w:rPr>
        <w:t> </w:t>
      </w:r>
      <w:r>
        <w:rPr/>
        <w:t>发行方或债务人财务困难导致该金融资产的活跃市场消失；</w:t>
      </w:r>
    </w:p>
    <w:p>
      <w:pPr>
        <w:pStyle w:val="BodyText"/>
        <w:spacing w:line="240" w:lineRule="auto" w:before="154"/>
        <w:ind w:left="633" w:right="1104"/>
        <w:jc w:val="left"/>
      </w:pPr>
      <w:r>
        <w:rPr>
          <w:rFonts w:ascii="宋体" w:hAnsi="宋体" w:cs="宋体" w:eastAsia="宋体" w:hint="default"/>
        </w:rPr>
        <w:t>&lt;6&gt;</w:t>
      </w:r>
      <w:r>
        <w:rPr>
          <w:rFonts w:ascii="宋体" w:hAnsi="宋体" w:cs="宋体" w:eastAsia="宋体" w:hint="default"/>
          <w:spacing w:val="-1"/>
        </w:rPr>
        <w:t> </w:t>
      </w:r>
      <w:r>
        <w:rPr/>
        <w:t>以大幅折扣购买或源生一项金融资产，该折扣反映了发生信用损失的事实；</w:t>
      </w:r>
    </w:p>
    <w:p>
      <w:pPr>
        <w:pStyle w:val="BodyText"/>
        <w:spacing w:line="357" w:lineRule="auto" w:before="154"/>
        <w:ind w:right="1132" w:firstLine="480"/>
        <w:jc w:val="both"/>
      </w:pPr>
      <w:r>
        <w:rPr>
          <w:rFonts w:ascii="宋体" w:hAnsi="宋体" w:cs="宋体" w:eastAsia="宋体" w:hint="default"/>
          <w:spacing w:val="-3"/>
        </w:rPr>
        <w:t>&lt;7&gt;</w:t>
      </w:r>
      <w:r>
        <w:rPr>
          <w:spacing w:val="-3"/>
        </w:rPr>
        <w:t>金融资产发生信用减值，有可能是多个事件的共同作用所致，未必是可单独识别的事</w:t>
      </w:r>
      <w:r>
        <w:rPr/>
        <w:t> 件所致。</w:t>
      </w:r>
    </w:p>
    <w:p>
      <w:pPr>
        <w:pStyle w:val="BodyText"/>
        <w:spacing w:line="357" w:lineRule="auto"/>
        <w:ind w:left="633" w:right="1104"/>
        <w:jc w:val="left"/>
        <w:rPr>
          <w:rFonts w:ascii="宋体" w:hAnsi="宋体" w:cs="宋体" w:eastAsia="宋体" w:hint="default"/>
        </w:rPr>
      </w:pPr>
      <w:r>
        <w:rPr>
          <w:rFonts w:ascii="宋体" w:hAnsi="宋体" w:cs="宋体" w:eastAsia="宋体" w:hint="default"/>
        </w:rPr>
        <w:t>3</w:t>
      </w:r>
      <w:r>
        <w:rPr/>
        <w:t>）预期信用损失计量的参数 根据信用风险是否发生显著增加以及是否已发生信用减值，公司对不同的资产分别以</w:t>
      </w:r>
      <w:r>
        <w:rPr>
          <w:rFonts w:ascii="宋体" w:hAnsi="宋体" w:cs="宋体" w:eastAsia="宋体" w:hint="default"/>
        </w:rPr>
        <w:t>12</w:t>
      </w:r>
    </w:p>
    <w:p>
      <w:pPr>
        <w:pStyle w:val="BodyText"/>
        <w:spacing w:line="357" w:lineRule="auto"/>
        <w:ind w:right="1139"/>
        <w:jc w:val="both"/>
      </w:pPr>
      <w:r>
        <w:rPr/>
        <w:t>个月或整个存续期的预期信用损失计量减值准备。预期信用损失计量的关键参数包括违约概</w:t>
      </w:r>
      <w:r>
        <w:rPr>
          <w:spacing w:val="-91"/>
        </w:rPr>
        <w:t> </w:t>
      </w:r>
      <w:r>
        <w:rPr>
          <w:spacing w:val="-91"/>
        </w:rPr>
      </w:r>
      <w:r>
        <w:rPr/>
        <w:t>率、违约损失率和违约风险敞口。公司考虑历史统计数据（如交易对手评级、担保方式及抵</w:t>
      </w:r>
      <w:r>
        <w:rPr>
          <w:spacing w:val="-91"/>
        </w:rPr>
        <w:t> </w:t>
      </w:r>
      <w:r>
        <w:rPr>
          <w:spacing w:val="-91"/>
        </w:rPr>
      </w:r>
      <w:r>
        <w:rPr/>
        <w:t>质押物类别、还款方式等）的定量分析及前瞻性信息，建立违约概率、违约损失率及违约风</w:t>
      </w:r>
      <w:r>
        <w:rPr>
          <w:spacing w:val="-91"/>
        </w:rPr>
        <w:t> </w:t>
      </w:r>
      <w:r>
        <w:rPr>
          <w:spacing w:val="-91"/>
        </w:rPr>
      </w:r>
      <w:r>
        <w:rPr/>
        <w:t>险敞口模型。</w:t>
      </w:r>
    </w:p>
    <w:p>
      <w:pPr>
        <w:pStyle w:val="BodyText"/>
        <w:spacing w:line="240" w:lineRule="auto"/>
        <w:ind w:left="633" w:right="1104"/>
        <w:jc w:val="left"/>
      </w:pPr>
      <w:r>
        <w:rPr/>
        <w:t>相关定义如下：</w:t>
      </w:r>
    </w:p>
    <w:p>
      <w:pPr>
        <w:pStyle w:val="BodyText"/>
        <w:spacing w:line="357" w:lineRule="auto" w:before="154"/>
        <w:ind w:right="1132" w:firstLine="480"/>
        <w:jc w:val="both"/>
      </w:pPr>
      <w:r>
        <w:rPr>
          <w:rFonts w:ascii="宋体" w:hAnsi="宋体" w:cs="宋体" w:eastAsia="宋体" w:hint="default"/>
        </w:rPr>
        <w:t>&lt;1&gt; </w:t>
      </w:r>
      <w:r>
        <w:rPr/>
        <w:t>违约概率是指债务人在未来</w:t>
      </w:r>
      <w:r>
        <w:rPr>
          <w:rFonts w:ascii="宋体" w:hAnsi="宋体" w:cs="宋体" w:eastAsia="宋体" w:hint="default"/>
        </w:rPr>
        <w:t>12</w:t>
      </w:r>
      <w:r>
        <w:rPr>
          <w:rFonts w:ascii="宋体" w:hAnsi="宋体" w:cs="宋体" w:eastAsia="宋体" w:hint="default"/>
          <w:spacing w:val="8"/>
        </w:rPr>
        <w:t> </w:t>
      </w:r>
      <w:r>
        <w:rPr>
          <w:spacing w:val="-4"/>
        </w:rPr>
        <w:t>个月或在整个剩余存续期，无法履行其偿付义务的可</w:t>
      </w:r>
      <w:r>
        <w:rPr/>
        <w:t> 能性。公司的违约概率以历史信用损失模型结果为基础进行调整，加入前瞻性信息，以反映</w:t>
      </w:r>
      <w:r>
        <w:rPr>
          <w:spacing w:val="-91"/>
        </w:rPr>
        <w:t> </w:t>
      </w:r>
      <w:r>
        <w:rPr>
          <w:spacing w:val="-91"/>
        </w:rPr>
      </w:r>
      <w:r>
        <w:rPr/>
        <w:t>当前宏观经济环境下债务人违约概率；</w:t>
      </w:r>
    </w:p>
    <w:p>
      <w:pPr>
        <w:pStyle w:val="BodyText"/>
        <w:spacing w:line="357" w:lineRule="auto"/>
        <w:ind w:right="1139" w:firstLine="480"/>
        <w:jc w:val="both"/>
      </w:pPr>
      <w:r>
        <w:rPr>
          <w:rFonts w:ascii="宋体" w:hAnsi="宋体" w:cs="宋体" w:eastAsia="宋体" w:hint="default"/>
        </w:rPr>
        <w:t>&lt;2&gt;</w:t>
      </w:r>
      <w:r>
        <w:rPr>
          <w:rFonts w:ascii="宋体" w:hAnsi="宋体" w:cs="宋体" w:eastAsia="宋体" w:hint="default"/>
          <w:spacing w:val="25"/>
        </w:rPr>
        <w:t> </w:t>
      </w:r>
      <w:r>
        <w:rPr/>
        <w:t>违约损失率是指公司对违约风险暴露发生损失程度作出的预期。根据交易对手的类 型、追索的方式和优先级，以及担保品的不同，违约损失率也有所不同。违约损失率为违约</w:t>
      </w:r>
      <w:r>
        <w:rPr>
          <w:spacing w:val="-91"/>
        </w:rPr>
        <w:t> </w:t>
      </w:r>
      <w:r>
        <w:rPr>
          <w:spacing w:val="-91"/>
        </w:rPr>
      </w:r>
      <w:r>
        <w:rPr/>
        <w:t>发生时风险敞口损失的百分比，以未来</w:t>
      </w:r>
      <w:r>
        <w:rPr>
          <w:rFonts w:ascii="宋体" w:hAnsi="宋体" w:cs="宋体" w:eastAsia="宋体" w:hint="default"/>
        </w:rPr>
        <w:t>12</w:t>
      </w:r>
      <w:r>
        <w:rPr>
          <w:rFonts w:ascii="宋体" w:hAnsi="宋体" w:cs="宋体" w:eastAsia="宋体" w:hint="default"/>
          <w:spacing w:val="1"/>
        </w:rPr>
        <w:t> </w:t>
      </w:r>
      <w:r>
        <w:rPr/>
        <w:t>个月内或整个存续期为基准进行计算；</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29" w:firstLine="480"/>
        <w:jc w:val="both"/>
      </w:pPr>
      <w:r>
        <w:rPr>
          <w:rFonts w:ascii="宋体" w:hAnsi="宋体" w:cs="宋体" w:eastAsia="宋体" w:hint="default"/>
        </w:rPr>
        <w:t>&lt;3&gt; </w:t>
      </w:r>
      <w:r>
        <w:rPr/>
        <w:t>违约风险敞口是指，在未来</w:t>
      </w:r>
      <w:r>
        <w:rPr>
          <w:rFonts w:ascii="宋体" w:hAnsi="宋体" w:cs="宋体" w:eastAsia="宋体" w:hint="default"/>
        </w:rPr>
        <w:t>12</w:t>
      </w:r>
      <w:r>
        <w:rPr>
          <w:rFonts w:ascii="宋体" w:hAnsi="宋体" w:cs="宋体" w:eastAsia="宋体" w:hint="default"/>
          <w:spacing w:val="-13"/>
        </w:rPr>
        <w:t> </w:t>
      </w:r>
      <w:r>
        <w:rPr>
          <w:spacing w:val="-3"/>
        </w:rPr>
        <w:t>个月或在整个剩余存续期中，在违约发生时，公司应</w:t>
      </w:r>
      <w:r>
        <w:rPr/>
        <w:t> 被偿付的金额。</w:t>
      </w:r>
    </w:p>
    <w:p>
      <w:pPr>
        <w:pStyle w:val="BodyText"/>
        <w:spacing w:line="357" w:lineRule="auto"/>
        <w:ind w:left="633" w:right="1104"/>
        <w:jc w:val="left"/>
      </w:pPr>
      <w:r>
        <w:rPr>
          <w:rFonts w:ascii="宋体" w:hAnsi="宋体" w:cs="宋体" w:eastAsia="宋体" w:hint="default"/>
        </w:rPr>
        <w:t>4</w:t>
      </w:r>
      <w:r>
        <w:rPr/>
        <w:t>）前瞻性信息 信用风险显著增加的评估及预期信用损失的计算均涉及前瞻性信息。公司通过进行历史</w:t>
      </w:r>
    </w:p>
    <w:p>
      <w:pPr>
        <w:pStyle w:val="BodyText"/>
        <w:spacing w:line="357" w:lineRule="auto"/>
        <w:ind w:left="633" w:right="1104" w:hanging="481"/>
        <w:jc w:val="left"/>
      </w:pPr>
      <w:r>
        <w:rPr/>
        <w:t>数据分析，识别出影响各业务类型信用风险及预期信用损失的关键经济指标。 当单项金融资产无法以合理成本评估预期信用损失的信息时，公司依据信用风险特征将</w:t>
      </w:r>
    </w:p>
    <w:p>
      <w:pPr>
        <w:pStyle w:val="BodyText"/>
        <w:spacing w:line="240" w:lineRule="auto"/>
        <w:ind w:right="1104"/>
        <w:jc w:val="left"/>
      </w:pPr>
      <w:r>
        <w:rPr/>
        <w:t>应收款项划分为若干组合，在组合基础上计算预期信用损失，确定组合的依据如下：</w:t>
      </w:r>
    </w:p>
    <w:p>
      <w:pPr>
        <w:spacing w:before="103"/>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&lt;1&gt;</w:t>
      </w:r>
      <w:r>
        <w:rPr>
          <w:rFonts w:ascii="宋体" w:hAnsi="宋体" w:cs="宋体" w:eastAsia="宋体" w:hint="default"/>
          <w:sz w:val="21"/>
          <w:szCs w:val="21"/>
        </w:rPr>
        <w:t>应收票据组合</w:t>
      </w:r>
    </w:p>
    <w:p>
      <w:pPr>
        <w:tabs>
          <w:tab w:pos="6043" w:val="left" w:leader="none"/>
        </w:tabs>
        <w:spacing w:before="21"/>
        <w:ind w:left="152" w:right="1104" w:firstLine="0"/>
        <w:jc w:val="left"/>
        <w:rPr>
          <w:rFonts w:ascii="宋体" w:hAnsi="宋体" w:cs="宋体" w:eastAsia="宋体" w:hint="default"/>
          <w:sz w:val="21"/>
          <w:szCs w:val="21"/>
        </w:rPr>
      </w:pPr>
      <w:r>
        <w:rPr>
          <w:rFonts w:ascii="宋体" w:hAnsi="宋体" w:cs="宋体" w:eastAsia="宋体" w:hint="default"/>
          <w:sz w:val="21"/>
          <w:szCs w:val="21"/>
        </w:rPr>
        <w:t>项目</w:t>
        <w:tab/>
        <w:t>确定组合的依据</w:t>
      </w:r>
    </w:p>
    <w:p>
      <w:pPr>
        <w:tabs>
          <w:tab w:pos="5176" w:val="left" w:leader="none"/>
        </w:tabs>
        <w:spacing w:before="37"/>
        <w:ind w:left="152" w:right="1104" w:firstLine="0"/>
        <w:jc w:val="left"/>
        <w:rPr>
          <w:rFonts w:ascii="宋体" w:hAnsi="宋体" w:cs="宋体" w:eastAsia="宋体" w:hint="default"/>
          <w:sz w:val="21"/>
          <w:szCs w:val="21"/>
        </w:rPr>
      </w:pPr>
      <w:r>
        <w:rPr>
          <w:rFonts w:ascii="宋体" w:hAnsi="宋体" w:cs="宋体" w:eastAsia="宋体" w:hint="default"/>
          <w:spacing w:val="-2"/>
          <w:sz w:val="21"/>
          <w:szCs w:val="21"/>
        </w:rPr>
        <w:t>应收票据组合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：商业承兑汇票组合</w:t>
        <w:tab/>
        <w:t>按票据性质为信用风险特征划分组合</w:t>
      </w:r>
    </w:p>
    <w:p>
      <w:pPr>
        <w:tabs>
          <w:tab w:pos="5176" w:val="left" w:leader="none"/>
        </w:tabs>
        <w:spacing w:line="264" w:lineRule="auto" w:before="21"/>
        <w:ind w:left="152" w:right="1119" w:firstLine="0"/>
        <w:jc w:val="left"/>
        <w:rPr>
          <w:rFonts w:ascii="宋体" w:hAnsi="宋体" w:cs="宋体" w:eastAsia="宋体" w:hint="default"/>
          <w:sz w:val="21"/>
          <w:szCs w:val="21"/>
        </w:rPr>
      </w:pPr>
      <w:r>
        <w:rPr>
          <w:rFonts w:ascii="宋体" w:hAnsi="宋体" w:cs="宋体" w:eastAsia="宋体" w:hint="default"/>
          <w:spacing w:val="-2"/>
          <w:sz w:val="21"/>
          <w:szCs w:val="21"/>
        </w:rPr>
        <w:t>应收票据组合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：银行承兑汇票组合</w:t>
        <w:tab/>
        <w:t>按票据性质为信用风险特征划分组合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对于划分为组合的应收票据，本公司参考历史信用损失经验，结合当前状况以及对未来经济状况的预测，</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通过违约风险敞口和整个存续期预期信用损失率，计算预期信用损失。</w:t>
      </w:r>
    </w:p>
    <w:p>
      <w:pPr>
        <w:spacing w:before="1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&lt;2&gt;</w:t>
      </w:r>
      <w:r>
        <w:rPr>
          <w:rFonts w:ascii="宋体" w:hAnsi="宋体" w:cs="宋体" w:eastAsia="宋体" w:hint="default"/>
          <w:sz w:val="21"/>
          <w:szCs w:val="21"/>
        </w:rPr>
        <w:t>应收账款组合</w:t>
      </w:r>
    </w:p>
    <w:p>
      <w:pPr>
        <w:tabs>
          <w:tab w:pos="6043" w:val="left" w:leader="none"/>
        </w:tabs>
        <w:spacing w:before="21"/>
        <w:ind w:left="152" w:right="1104" w:firstLine="0"/>
        <w:jc w:val="left"/>
        <w:rPr>
          <w:rFonts w:ascii="宋体" w:hAnsi="宋体" w:cs="宋体" w:eastAsia="宋体" w:hint="default"/>
          <w:sz w:val="21"/>
          <w:szCs w:val="21"/>
        </w:rPr>
      </w:pPr>
      <w:r>
        <w:rPr>
          <w:rFonts w:ascii="宋体" w:hAnsi="宋体" w:cs="宋体" w:eastAsia="宋体" w:hint="default"/>
          <w:sz w:val="21"/>
          <w:szCs w:val="21"/>
        </w:rPr>
        <w:t>项目</w:t>
        <w:tab/>
        <w:t>确定组合的依据</w:t>
      </w:r>
    </w:p>
    <w:p>
      <w:pPr>
        <w:tabs>
          <w:tab w:pos="5092" w:val="left" w:leader="none"/>
        </w:tabs>
        <w:spacing w:before="37"/>
        <w:ind w:left="152" w:right="1104" w:firstLine="0"/>
        <w:jc w:val="left"/>
        <w:rPr>
          <w:rFonts w:ascii="宋体" w:hAnsi="宋体" w:cs="宋体" w:eastAsia="宋体" w:hint="default"/>
          <w:sz w:val="21"/>
          <w:szCs w:val="21"/>
        </w:rPr>
      </w:pPr>
      <w:r>
        <w:rPr>
          <w:rFonts w:ascii="宋体" w:hAnsi="宋体" w:cs="宋体" w:eastAsia="宋体" w:hint="default"/>
          <w:spacing w:val="-2"/>
          <w:sz w:val="21"/>
          <w:szCs w:val="21"/>
        </w:rPr>
        <w:t>应收账款组合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：政府及运营商组合</w:t>
        <w:tab/>
        <w:t>按客户性质为信用风险特征划分组合</w:t>
      </w:r>
    </w:p>
    <w:p>
      <w:pPr>
        <w:tabs>
          <w:tab w:pos="4968" w:val="left" w:leader="none"/>
        </w:tabs>
        <w:spacing w:before="21"/>
        <w:ind w:left="152" w:right="1104" w:firstLine="0"/>
        <w:jc w:val="left"/>
        <w:rPr>
          <w:rFonts w:ascii="宋体" w:hAnsi="宋体" w:cs="宋体" w:eastAsia="宋体" w:hint="default"/>
          <w:sz w:val="21"/>
          <w:szCs w:val="21"/>
        </w:rPr>
      </w:pPr>
      <w:r>
        <w:rPr>
          <w:rFonts w:ascii="宋体" w:hAnsi="宋体" w:cs="宋体" w:eastAsia="宋体" w:hint="default"/>
          <w:spacing w:val="-2"/>
          <w:sz w:val="21"/>
          <w:szCs w:val="21"/>
        </w:rPr>
        <w:t>应收账款组合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：关联方组合</w:t>
        <w:tab/>
        <w:t>按客户性质为信用风险特征划分组合</w:t>
      </w:r>
    </w:p>
    <w:p>
      <w:pPr>
        <w:tabs>
          <w:tab w:pos="4924" w:val="left" w:leader="none"/>
        </w:tabs>
        <w:spacing w:line="266" w:lineRule="auto" w:before="21"/>
        <w:ind w:left="152" w:right="1119" w:firstLine="0"/>
        <w:jc w:val="left"/>
        <w:rPr>
          <w:rFonts w:ascii="宋体" w:hAnsi="宋体" w:cs="宋体" w:eastAsia="宋体" w:hint="default"/>
          <w:sz w:val="21"/>
          <w:szCs w:val="21"/>
        </w:rPr>
      </w:pPr>
      <w:r>
        <w:rPr>
          <w:rFonts w:ascii="宋体" w:hAnsi="宋体" w:cs="宋体" w:eastAsia="宋体" w:hint="default"/>
          <w:spacing w:val="-2"/>
          <w:sz w:val="21"/>
          <w:szCs w:val="21"/>
        </w:rPr>
        <w:t>应收账款组合</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：其他组合</w:t>
        <w:tab/>
        <w:t>按客户性质为信用风险特征划分组合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对于划分为组合的应收账款，本公司参考历史信用损失经验，结合当前状况以及对未来经济状况的预测，</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编制应收账款账龄与整个存续期预期信用损失率对照表，计算预期信用损失。</w:t>
      </w:r>
    </w:p>
    <w:p>
      <w:pPr>
        <w:spacing w:line="240" w:lineRule="auto" w:before="12"/>
        <w:rPr>
          <w:rFonts w:ascii="宋体" w:hAnsi="宋体" w:cs="宋体" w:eastAsia="宋体" w:hint="default"/>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&lt;3&gt;</w:t>
      </w:r>
      <w:r>
        <w:rPr>
          <w:rFonts w:ascii="宋体" w:hAnsi="宋体" w:cs="宋体" w:eastAsia="宋体" w:hint="default"/>
          <w:sz w:val="21"/>
          <w:szCs w:val="21"/>
        </w:rPr>
        <w:t>其他应收款组合</w:t>
      </w:r>
    </w:p>
    <w:p>
      <w:pPr>
        <w:tabs>
          <w:tab w:pos="6043" w:val="left" w:leader="none"/>
        </w:tabs>
        <w:spacing w:before="21"/>
        <w:ind w:left="152" w:right="1104" w:firstLine="0"/>
        <w:jc w:val="left"/>
        <w:rPr>
          <w:rFonts w:ascii="宋体" w:hAnsi="宋体" w:cs="宋体" w:eastAsia="宋体" w:hint="default"/>
          <w:sz w:val="21"/>
          <w:szCs w:val="21"/>
        </w:rPr>
      </w:pPr>
      <w:r>
        <w:rPr>
          <w:rFonts w:ascii="宋体" w:hAnsi="宋体" w:cs="宋体" w:eastAsia="宋体" w:hint="default"/>
          <w:sz w:val="21"/>
          <w:szCs w:val="21"/>
        </w:rPr>
        <w:t>项目</w:t>
        <w:tab/>
        <w:t>确定组合的依据</w:t>
      </w:r>
    </w:p>
    <w:p>
      <w:pPr>
        <w:tabs>
          <w:tab w:pos="6185" w:val="left" w:leader="none"/>
          <w:tab w:pos="6475" w:val="left" w:leader="none"/>
        </w:tabs>
        <w:spacing w:line="256" w:lineRule="auto" w:before="37"/>
        <w:ind w:left="152" w:right="2552" w:firstLine="0"/>
        <w:jc w:val="left"/>
        <w:rPr>
          <w:rFonts w:ascii="宋体" w:hAnsi="宋体" w:cs="宋体" w:eastAsia="宋体" w:hint="default"/>
          <w:sz w:val="21"/>
          <w:szCs w:val="21"/>
        </w:rPr>
      </w:pPr>
      <w:r>
        <w:rPr>
          <w:rFonts w:ascii="宋体" w:hAnsi="宋体" w:cs="宋体" w:eastAsia="宋体" w:hint="default"/>
          <w:spacing w:val="-2"/>
          <w:sz w:val="21"/>
          <w:szCs w:val="21"/>
        </w:rPr>
        <w:t>其他应收款组合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：押金、备用金、保证金组合</w:t>
        <w:tab/>
        <w:tab/>
      </w:r>
      <w:r>
        <w:rPr>
          <w:rFonts w:ascii="宋体" w:hAnsi="宋体" w:cs="宋体" w:eastAsia="宋体" w:hint="default"/>
          <w:spacing w:val="-1"/>
          <w:sz w:val="21"/>
          <w:szCs w:val="21"/>
        </w:rPr>
        <w:t>按款项性质划分组合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其他应收款组合</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：往来款组合</w:t>
        <w:tab/>
      </w:r>
      <w:r>
        <w:rPr>
          <w:rFonts w:ascii="宋体" w:hAnsi="宋体" w:cs="宋体" w:eastAsia="宋体" w:hint="default"/>
          <w:spacing w:val="-1"/>
          <w:sz w:val="21"/>
          <w:szCs w:val="21"/>
        </w:rPr>
        <w:t>按款项性质划分组合</w:t>
      </w:r>
    </w:p>
    <w:p>
      <w:pPr>
        <w:tabs>
          <w:tab w:pos="6144" w:val="left" w:leader="none"/>
        </w:tabs>
        <w:spacing w:line="264" w:lineRule="auto" w:before="5"/>
        <w:ind w:left="152" w:right="1119" w:firstLine="0"/>
        <w:jc w:val="left"/>
        <w:rPr>
          <w:rFonts w:ascii="宋体" w:hAnsi="宋体" w:cs="宋体" w:eastAsia="宋体" w:hint="default"/>
          <w:sz w:val="21"/>
          <w:szCs w:val="21"/>
        </w:rPr>
      </w:pPr>
      <w:r>
        <w:rPr>
          <w:rFonts w:ascii="宋体" w:hAnsi="宋体" w:cs="宋体" w:eastAsia="宋体" w:hint="default"/>
          <w:spacing w:val="-2"/>
          <w:sz w:val="21"/>
          <w:szCs w:val="21"/>
        </w:rPr>
        <w:t>其他应收款组合</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：其他组合</w:t>
        <w:tab/>
      </w:r>
      <w:r>
        <w:rPr>
          <w:rFonts w:ascii="宋体" w:hAnsi="宋体" w:cs="宋体" w:eastAsia="宋体" w:hint="default"/>
          <w:spacing w:val="-1"/>
          <w:sz w:val="21"/>
          <w:szCs w:val="21"/>
        </w:rPr>
        <w:t>按款项性质划分组合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对于划分为组合的其他应收款，公司参考历史信用损失经验，结合当前状况以及对未来经济状况的预测，</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通过违约风险敞口和未来</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个月内或整个存续期预期信用损失率，计算预期信用损失。</w:t>
      </w:r>
    </w:p>
    <w:p>
      <w:pPr>
        <w:spacing w:line="240" w:lineRule="auto" w:before="10"/>
        <w:rPr>
          <w:rFonts w:ascii="宋体" w:hAnsi="宋体" w:cs="宋体" w:eastAsia="宋体" w:hint="default"/>
          <w:sz w:val="23"/>
          <w:szCs w:val="23"/>
        </w:rPr>
      </w:pPr>
    </w:p>
    <w:p>
      <w:pPr>
        <w:spacing w:line="264" w:lineRule="auto"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&lt;4&gt;</w:t>
      </w:r>
      <w:r>
        <w:rPr>
          <w:rFonts w:ascii="宋体" w:hAnsi="宋体" w:cs="宋体" w:eastAsia="宋体" w:hint="default"/>
          <w:sz w:val="21"/>
          <w:szCs w:val="21"/>
        </w:rPr>
        <w:t>其他</w:t>
      </w:r>
      <w:r>
        <w:rPr>
          <w:rFonts w:ascii="宋体" w:hAnsi="宋体" w:cs="宋体" w:eastAsia="宋体" w:hint="default"/>
          <w:spacing w:val="-3"/>
          <w:w w:val="100"/>
          <w:sz w:val="21"/>
          <w:szCs w:val="21"/>
        </w:rPr>
        <w:t> </w:t>
      </w:r>
      <w:r>
        <w:rPr>
          <w:rFonts w:ascii="宋体" w:hAnsi="宋体" w:cs="宋体" w:eastAsia="宋体" w:hint="default"/>
          <w:spacing w:val="-2"/>
          <w:sz w:val="21"/>
          <w:szCs w:val="21"/>
        </w:rPr>
        <w:t>对于存在客观证据表明存在减值，以及其他适用于单项评估的预付款项、应收款项融资以及长期应收款等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单独进行减值测试，确认预期信用损失，计提单项减值准备。</w:t>
      </w:r>
    </w:p>
    <w:p>
      <w:pPr>
        <w:spacing w:line="240" w:lineRule="auto" w:before="0"/>
        <w:rPr>
          <w:rFonts w:ascii="宋体" w:hAnsi="宋体" w:cs="宋体" w:eastAsia="宋体" w:hint="default"/>
          <w:sz w:val="29"/>
          <w:szCs w:val="29"/>
        </w:rPr>
      </w:pPr>
    </w:p>
    <w:p>
      <w:pPr>
        <w:pStyle w:val="BodyText"/>
        <w:spacing w:line="357" w:lineRule="auto" w:before="0"/>
        <w:ind w:right="1139" w:firstLine="480"/>
        <w:jc w:val="both"/>
      </w:pPr>
      <w:r>
        <w:rPr/>
        <w:t>为反映金融工具的信用风险自初始确认后的变化，公司及其子公司在每个资产负债表日 重新计量预期信用损失，由此形成的损失准备的增加或转回金额，应当作为减值损失或利得</w:t>
      </w:r>
      <w:r>
        <w:rPr>
          <w:spacing w:val="-91"/>
        </w:rPr>
        <w:t> </w:t>
      </w:r>
      <w:r>
        <w:rPr>
          <w:spacing w:val="-91"/>
        </w:rPr>
      </w:r>
      <w:r>
        <w:rPr/>
        <w:t>计入当期损益。对于以摊余成本计量的金融资产，损失准备抵减该金融资产在资产负债表中</w:t>
      </w:r>
      <w:r>
        <w:rPr>
          <w:spacing w:val="-91"/>
        </w:rPr>
        <w:t> </w:t>
      </w:r>
      <w:r>
        <w:rPr>
          <w:spacing w:val="-91"/>
        </w:rPr>
      </w:r>
      <w:r>
        <w:rPr/>
        <w:t>列示的账面价值；对于以公允价值计量且其变动计入其他综合收益的债权投资，公司及其子</w:t>
      </w:r>
      <w:r>
        <w:rPr>
          <w:spacing w:val="-91"/>
        </w:rPr>
        <w:t> </w:t>
      </w:r>
      <w:r>
        <w:rPr>
          <w:spacing w:val="-91"/>
        </w:rPr>
      </w:r>
      <w:r>
        <w:rPr/>
        <w:t>公司在其他综合收益中确认其损失准备，不抵减该金融资产的账面价值。</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jc w:val="left"/>
      </w:pPr>
      <w:r>
        <w:rPr/>
        <w:t>③终止确认 </w:t>
      </w:r>
      <w:r>
        <w:rPr>
          <w:spacing w:val="-3"/>
        </w:rPr>
        <w:t>金融资产满足下列条件之一的，予以终止确认：</w:t>
      </w:r>
      <w:r>
        <w:rPr>
          <w:rFonts w:ascii="宋体" w:hAnsi="宋体" w:cs="宋体" w:eastAsia="宋体" w:hint="default"/>
          <w:spacing w:val="-3"/>
        </w:rPr>
        <w:t>(1)</w:t>
      </w:r>
      <w:r>
        <w:rPr>
          <w:spacing w:val="-3"/>
        </w:rPr>
        <w:t>收取该金融资产现金流量的合同权利</w:t>
      </w:r>
    </w:p>
    <w:p>
      <w:pPr>
        <w:pStyle w:val="BodyText"/>
        <w:spacing w:line="357" w:lineRule="auto"/>
        <w:ind w:right="1132"/>
        <w:jc w:val="both"/>
      </w:pPr>
      <w:r>
        <w:rPr>
          <w:spacing w:val="-2"/>
        </w:rPr>
        <w:t>终止；</w:t>
      </w:r>
      <w:r>
        <w:rPr>
          <w:rFonts w:ascii="宋体" w:hAnsi="宋体" w:cs="宋体" w:eastAsia="宋体" w:hint="default"/>
          <w:spacing w:val="-2"/>
        </w:rPr>
        <w:t>(2)</w:t>
      </w:r>
      <w:r>
        <w:rPr>
          <w:spacing w:val="-2"/>
        </w:rPr>
        <w:t>该金融资产已转移，且公司将金融资产所有权上几乎所有的风险和报酬转移给转入</w:t>
      </w:r>
      <w:r>
        <w:rPr/>
        <w:t> </w:t>
      </w:r>
      <w:r>
        <w:rPr>
          <w:spacing w:val="-2"/>
        </w:rPr>
        <w:t>方；</w:t>
      </w:r>
      <w:r>
        <w:rPr>
          <w:rFonts w:ascii="宋体" w:hAnsi="宋体" w:cs="宋体" w:eastAsia="宋体" w:hint="default"/>
          <w:spacing w:val="-2"/>
        </w:rPr>
        <w:t>(3)</w:t>
      </w:r>
      <w:r>
        <w:rPr>
          <w:spacing w:val="-2"/>
        </w:rPr>
        <w:t>该金融资产已转移，虽然公司既没有转移也没有保留金融资产所有权上几乎所有的风</w:t>
      </w:r>
      <w:r>
        <w:rPr>
          <w:spacing w:val="-118"/>
        </w:rPr>
        <w:t> </w:t>
      </w:r>
      <w:r>
        <w:rPr>
          <w:spacing w:val="-118"/>
        </w:rPr>
      </w:r>
      <w:r>
        <w:rPr/>
        <w:t>险和报酬，但是放弃了对该金融资产控制。</w:t>
      </w:r>
    </w:p>
    <w:p>
      <w:pPr>
        <w:pStyle w:val="BodyText"/>
        <w:spacing w:line="357" w:lineRule="auto"/>
        <w:ind w:right="1135" w:firstLine="480"/>
        <w:jc w:val="both"/>
      </w:pPr>
      <w:r>
        <w:rPr/>
        <w:t>其他权益工具投资终止确认时，其账面价值与收到的对价以及原直接计入其他综合收益 的公允价值变动累计额之和的差额，计入留存收益；其余金融资产终止确认时，其账面价值</w:t>
      </w:r>
      <w:r>
        <w:rPr>
          <w:spacing w:val="-91"/>
        </w:rPr>
        <w:t> </w:t>
      </w:r>
      <w:r>
        <w:rPr>
          <w:spacing w:val="-91"/>
        </w:rPr>
      </w:r>
      <w:r>
        <w:rPr/>
        <w:t>与收到的对价以及原直接计入其他综合收益的公允价值变动累计额之和的差额，计入当期损</w:t>
      </w:r>
      <w:r>
        <w:rPr>
          <w:spacing w:val="-88"/>
        </w:rPr>
        <w:t> </w:t>
      </w:r>
      <w:r>
        <w:rPr>
          <w:spacing w:val="-88"/>
        </w:rPr>
      </w:r>
      <w:r>
        <w:rPr/>
        <w:t>益。</w:t>
      </w:r>
    </w:p>
    <w:p>
      <w:pPr>
        <w:pStyle w:val="BodyText"/>
        <w:spacing w:line="357" w:lineRule="auto"/>
        <w:ind w:left="633" w:right="1104"/>
        <w:jc w:val="left"/>
      </w:pPr>
      <w:r>
        <w:rPr/>
        <w:t>④核销 如果公司及其子公司不再合理预期金融资产合同现金流量能够全部或部分收回，则直接</w:t>
      </w:r>
    </w:p>
    <w:p>
      <w:pPr>
        <w:pStyle w:val="BodyText"/>
        <w:spacing w:line="357" w:lineRule="auto"/>
        <w:ind w:right="1139"/>
        <w:jc w:val="both"/>
      </w:pPr>
      <w:r>
        <w:rPr/>
        <w:t>减记该金融资产的账面余额。这种减记构成相关金融资产的终止确认。这种情况通常发生在</w:t>
      </w:r>
      <w:r>
        <w:rPr>
          <w:spacing w:val="-91"/>
        </w:rPr>
        <w:t> </w:t>
      </w:r>
      <w:r>
        <w:rPr>
          <w:spacing w:val="-91"/>
        </w:rPr>
      </w:r>
      <w:r>
        <w:rPr/>
        <w:t>公司及其子公司确定债务人没有资产或收入来源可产生足够的现金流量以偿还将被减记的金</w:t>
      </w:r>
      <w:r>
        <w:rPr>
          <w:spacing w:val="-91"/>
        </w:rPr>
        <w:t> </w:t>
      </w:r>
      <w:r>
        <w:rPr>
          <w:spacing w:val="-91"/>
        </w:rPr>
      </w:r>
      <w:r>
        <w:rPr/>
        <w:t>额。但是，按照公司及其子公司收回到期款项的程序，被减记的金融资产仍可能受到执行活</w:t>
      </w:r>
      <w:r>
        <w:rPr>
          <w:spacing w:val="-91"/>
        </w:rPr>
        <w:t> </w:t>
      </w:r>
      <w:r>
        <w:rPr>
          <w:spacing w:val="-91"/>
        </w:rPr>
      </w:r>
      <w:r>
        <w:rPr/>
        <w:t>动的影响。</w:t>
      </w:r>
    </w:p>
    <w:p>
      <w:pPr>
        <w:pStyle w:val="BodyText"/>
        <w:spacing w:line="357" w:lineRule="auto"/>
        <w:ind w:left="633" w:right="2113"/>
        <w:jc w:val="left"/>
      </w:pPr>
      <w:r>
        <w:rPr/>
        <w:t>已减记的金融资产以后又收回的，作为减值损失的转回计入收回当期的损益。 </w:t>
      </w:r>
      <w:r>
        <w:rPr>
          <w:rFonts w:ascii="宋体" w:hAnsi="宋体" w:cs="宋体" w:eastAsia="宋体" w:hint="default"/>
        </w:rPr>
        <w:t>(2)</w:t>
      </w:r>
      <w:r>
        <w:rPr>
          <w:rFonts w:ascii="宋体" w:hAnsi="宋体" w:cs="宋体" w:eastAsia="宋体" w:hint="default"/>
          <w:spacing w:val="-1"/>
        </w:rPr>
        <w:t> </w:t>
      </w:r>
      <w:r>
        <w:rPr/>
        <w:t>金融负债</w:t>
      </w:r>
    </w:p>
    <w:p>
      <w:pPr>
        <w:pStyle w:val="BodyText"/>
        <w:spacing w:line="357" w:lineRule="auto"/>
        <w:ind w:right="1137" w:firstLine="480"/>
        <w:jc w:val="both"/>
      </w:pPr>
      <w:r>
        <w:rPr/>
        <w:t>金融负债于初始确认时分类为以摊余成本计量的金融负债和以公允价值计量且其变动计 入当期损益的金融负债。</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除下列各项外，公司将金融负债分类为以摊余成本计量的金融负债： </w:t>
      </w:r>
      <w:r>
        <w:rPr>
          <w:rFonts w:ascii="宋体" w:hAnsi="宋体" w:cs="宋体" w:eastAsia="宋体" w:hint="default"/>
          <w:spacing w:val="-3"/>
        </w:rPr>
        <w:t>1</w:t>
      </w:r>
      <w:r>
        <w:rPr>
          <w:spacing w:val="-3"/>
        </w:rPr>
        <w:t>）以公允价值计量且其变动计入当期损益的金融负债，包括交易性金融负债（含属于金</w:t>
      </w:r>
    </w:p>
    <w:p>
      <w:pPr>
        <w:pStyle w:val="BodyText"/>
        <w:spacing w:line="357" w:lineRule="auto"/>
        <w:ind w:left="633" w:right="1273" w:hanging="481"/>
        <w:jc w:val="left"/>
      </w:pPr>
      <w:r>
        <w:rPr/>
        <w:t>融负债的衍生工具）和指定为以公允价值计量且其变动计入当期损益的金融负债。 </w:t>
      </w:r>
      <w:r>
        <w:rPr>
          <w:rFonts w:ascii="宋体" w:hAnsi="宋体" w:cs="宋体" w:eastAsia="宋体" w:hint="default"/>
        </w:rPr>
        <w:t>2</w:t>
      </w:r>
      <w:r>
        <w:rPr/>
        <w:t>）金融资产转移不符合终止确认条件或继续涉入被转移金融资产所形成的金融负债。</w:t>
      </w:r>
    </w:p>
    <w:p>
      <w:pPr>
        <w:pStyle w:val="BodyText"/>
        <w:spacing w:line="357" w:lineRule="auto"/>
        <w:ind w:right="1133" w:firstLine="480"/>
        <w:jc w:val="both"/>
      </w:pPr>
      <w:r>
        <w:rPr>
          <w:rFonts w:ascii="宋体" w:hAnsi="宋体" w:cs="宋体" w:eastAsia="宋体" w:hint="default"/>
        </w:rPr>
        <w:t>3</w:t>
      </w:r>
      <w:r>
        <w:rPr/>
        <w:t>）不属于本条第</w:t>
      </w:r>
      <w:r>
        <w:rPr>
          <w:rFonts w:ascii="宋体" w:hAnsi="宋体" w:cs="宋体" w:eastAsia="宋体" w:hint="default"/>
        </w:rPr>
        <w:t>1</w:t>
      </w:r>
      <w:r>
        <w:rPr/>
        <w:t>）项或第</w:t>
      </w:r>
      <w:r>
        <w:rPr>
          <w:rFonts w:ascii="宋体" w:hAnsi="宋体" w:cs="宋体" w:eastAsia="宋体" w:hint="default"/>
        </w:rPr>
        <w:t>2</w:t>
      </w:r>
      <w:r>
        <w:rPr/>
        <w:t>）项情形的财务担保合同，以及不属于本条第</w:t>
      </w:r>
      <w:r>
        <w:rPr>
          <w:rFonts w:ascii="宋体" w:hAnsi="宋体" w:cs="宋体" w:eastAsia="宋体" w:hint="default"/>
        </w:rPr>
        <w:t>1</w:t>
      </w:r>
      <w:r>
        <w:rPr/>
        <w:t>）项情形的 以低于市场利率贷款的贷款承诺。在非同一控制下的企业合并中，公司作为购买方确认的或</w:t>
      </w:r>
      <w:r>
        <w:rPr>
          <w:spacing w:val="-91"/>
        </w:rPr>
        <w:t> </w:t>
      </w:r>
      <w:r>
        <w:rPr>
          <w:spacing w:val="-91"/>
        </w:rPr>
      </w:r>
      <w:r>
        <w:rPr/>
        <w:t>有对价形成金融负债的，该金融负债按照以公允价值计量且其变动计入当期损益进行会计处</w:t>
      </w:r>
      <w:r>
        <w:rPr>
          <w:spacing w:val="-91"/>
        </w:rPr>
        <w:t> </w:t>
      </w:r>
      <w:r>
        <w:rPr>
          <w:spacing w:val="-91"/>
        </w:rPr>
      </w:r>
      <w:r>
        <w:rPr/>
        <w:t>理。</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04" w:firstLine="480"/>
        <w:jc w:val="left"/>
      </w:pPr>
      <w:r>
        <w:rPr/>
        <w:t>在初始确认时，为了提供更相关的会计信息，公司可以将金融负债指定为以公允价值计 量且其变动计入当期损益的金融负债，该指定满足下列条件之一：</w:t>
      </w:r>
    </w:p>
    <w:p>
      <w:pPr>
        <w:pStyle w:val="BodyText"/>
        <w:spacing w:line="240" w:lineRule="auto"/>
        <w:ind w:left="633" w:right="1104"/>
        <w:jc w:val="left"/>
      </w:pPr>
      <w:r>
        <w:rPr>
          <w:rFonts w:ascii="宋体" w:hAnsi="宋体" w:cs="宋体" w:eastAsia="宋体" w:hint="default"/>
        </w:rPr>
        <w:t>1</w:t>
      </w:r>
      <w:r>
        <w:rPr/>
        <w:t>）能够消除或显著减少会计错配。</w:t>
      </w:r>
    </w:p>
    <w:p>
      <w:pPr>
        <w:pStyle w:val="BodyText"/>
        <w:spacing w:line="357" w:lineRule="auto" w:before="154"/>
        <w:ind w:right="1132" w:firstLine="480"/>
        <w:jc w:val="both"/>
      </w:pPr>
      <w:r>
        <w:rPr>
          <w:rFonts w:ascii="宋体" w:hAnsi="宋体" w:cs="宋体" w:eastAsia="宋体" w:hint="default"/>
          <w:spacing w:val="-3"/>
        </w:rPr>
        <w:t>2</w:t>
      </w:r>
      <w:r>
        <w:rPr>
          <w:spacing w:val="-3"/>
        </w:rPr>
        <w:t>）根据正式书面文件载明的企业风险管理或投资策略，以公允价值为基础对金融负债组</w:t>
      </w:r>
      <w:r>
        <w:rPr/>
        <w:t> 合或金融资产和金融负债组合进行管理和业绩评价，并在公司内部以此为基础向关键管理人</w:t>
      </w:r>
      <w:r>
        <w:rPr>
          <w:spacing w:val="-91"/>
        </w:rPr>
        <w:t> </w:t>
      </w:r>
      <w:r>
        <w:rPr>
          <w:spacing w:val="-91"/>
        </w:rPr>
      </w:r>
      <w:r>
        <w:rPr/>
        <w:t>员报告。该指定一经做出，不得撤销。</w:t>
      </w:r>
    </w:p>
    <w:p>
      <w:pPr>
        <w:pStyle w:val="BodyText"/>
        <w:spacing w:line="357" w:lineRule="auto"/>
        <w:ind w:right="996" w:firstLine="480"/>
        <w:jc w:val="left"/>
      </w:pPr>
      <w:r>
        <w:rPr/>
        <w:t>公司的金融负债主要为以摊余成本计量的金融负债，包括应付票据及应付账款、其他应 </w:t>
      </w:r>
      <w:r>
        <w:rPr>
          <w:spacing w:val="-2"/>
        </w:rPr>
        <w:t>付款、借款及应付债券等。该类金融负债按其公允价值扣除交易费用后的金额进行初始计量，</w:t>
      </w:r>
      <w:r>
        <w:rPr/>
        <w:t> 并采用实际利率法进行后续计量。期限在一年以下</w:t>
      </w:r>
      <w:r>
        <w:rPr>
          <w:rFonts w:ascii="宋体" w:hAnsi="宋体" w:cs="宋体" w:eastAsia="宋体" w:hint="default"/>
        </w:rPr>
        <w:t>(</w:t>
      </w:r>
      <w:r>
        <w:rPr/>
        <w:t>含一年</w:t>
      </w:r>
      <w:r>
        <w:rPr>
          <w:rFonts w:ascii="宋体" w:hAnsi="宋体" w:cs="宋体" w:eastAsia="宋体" w:hint="default"/>
        </w:rPr>
        <w:t>)</w:t>
      </w:r>
      <w:r>
        <w:rPr/>
        <w:t>的，列示为流动负债；期限在一</w:t>
      </w:r>
      <w:r>
        <w:rPr>
          <w:spacing w:val="-88"/>
        </w:rPr>
        <w:t> </w:t>
      </w:r>
      <w:r>
        <w:rPr>
          <w:spacing w:val="-88"/>
        </w:rPr>
      </w:r>
      <w:r>
        <w:rPr/>
        <w:t>年以上但自资产负债表日起一年内</w:t>
      </w:r>
      <w:r>
        <w:rPr>
          <w:rFonts w:ascii="宋体" w:hAnsi="宋体" w:cs="宋体" w:eastAsia="宋体" w:hint="default"/>
        </w:rPr>
        <w:t>(</w:t>
      </w:r>
      <w:r>
        <w:rPr/>
        <w:t>含一年</w:t>
      </w:r>
      <w:r>
        <w:rPr>
          <w:rFonts w:ascii="宋体" w:hAnsi="宋体" w:cs="宋体" w:eastAsia="宋体" w:hint="default"/>
        </w:rPr>
        <w:t>)</w:t>
      </w:r>
      <w:r>
        <w:rPr/>
        <w:t>到期的，列示为一年内到期的非流动负债；其余</w:t>
      </w:r>
      <w:r>
        <w:rPr>
          <w:spacing w:val="-89"/>
        </w:rPr>
        <w:t> </w:t>
      </w:r>
      <w:r>
        <w:rPr>
          <w:spacing w:val="-89"/>
        </w:rPr>
      </w:r>
      <w:r>
        <w:rPr/>
        <w:t>列示为非流动负债。</w:t>
      </w:r>
    </w:p>
    <w:p>
      <w:pPr>
        <w:pStyle w:val="BodyText"/>
        <w:spacing w:line="357" w:lineRule="auto"/>
        <w:ind w:right="1104" w:firstLine="480"/>
        <w:jc w:val="left"/>
      </w:pPr>
      <w:r>
        <w:rPr/>
        <w:t>当金融负债的现时义务全部或部分已经解除时，公司终止确认该金融负债或义务已解除 的部分。终止确认部分的账面价值与支付的对价之间的差额，计入当期损益。</w:t>
      </w:r>
    </w:p>
    <w:p>
      <w:pPr>
        <w:pStyle w:val="BodyText"/>
        <w:spacing w:line="357" w:lineRule="auto"/>
        <w:ind w:right="1104" w:firstLine="480"/>
        <w:jc w:val="left"/>
      </w:pPr>
      <w:r>
        <w:rPr/>
        <w:t>金融负债（或其一部分）的现时义务已经解除的，公司终止确认该金融负债（或该部分 金融负债）。</w:t>
      </w:r>
    </w:p>
    <w:p>
      <w:pPr>
        <w:pStyle w:val="BodyText"/>
        <w:spacing w:line="357" w:lineRule="auto"/>
        <w:ind w:left="633" w:right="1104"/>
        <w:jc w:val="left"/>
      </w:pPr>
      <w:r>
        <w:rPr>
          <w:rFonts w:ascii="宋体" w:hAnsi="宋体" w:cs="宋体" w:eastAsia="宋体" w:hint="default"/>
        </w:rPr>
        <w:t>(3)</w:t>
      </w:r>
      <w:r>
        <w:rPr/>
        <w:t>金融工具的公允价值确定 存在活跃市场的金融工具，以活跃市场中的报价确定其公允价值。不存在活跃市场的金</w:t>
      </w:r>
    </w:p>
    <w:p>
      <w:pPr>
        <w:pStyle w:val="BodyText"/>
        <w:spacing w:line="357" w:lineRule="auto"/>
        <w:ind w:right="1139"/>
        <w:jc w:val="both"/>
      </w:pPr>
      <w:r>
        <w:rPr/>
        <w:t>融工具，采用估值技术确定其公允价值。在估值时，公司采用在当前情况下适用并且有足够</w:t>
      </w:r>
      <w:r>
        <w:rPr>
          <w:spacing w:val="-91"/>
        </w:rPr>
        <w:t> </w:t>
      </w:r>
      <w:r>
        <w:rPr>
          <w:spacing w:val="-91"/>
        </w:rPr>
      </w:r>
      <w:r>
        <w:rPr/>
        <w:t>可利用数据和其他信息支持的估值技术，选择与市场参与者在相关资产或负债的交易中所考</w:t>
      </w:r>
      <w:r>
        <w:rPr>
          <w:spacing w:val="-91"/>
        </w:rPr>
        <w:t> </w:t>
      </w:r>
      <w:r>
        <w:rPr>
          <w:spacing w:val="-91"/>
        </w:rPr>
      </w:r>
      <w:r>
        <w:rPr/>
        <w:t>虑的资产或负债特征相一致的输入值，并尽可能优先使用相关可观察输入值。在相关可观察</w:t>
      </w:r>
      <w:r>
        <w:rPr>
          <w:spacing w:val="-91"/>
        </w:rPr>
        <w:t> </w:t>
      </w:r>
      <w:r>
        <w:rPr>
          <w:spacing w:val="-91"/>
        </w:rPr>
      </w:r>
      <w:r>
        <w:rPr/>
        <w:t>输入值无法取得或取得不切实可行的情况下，使用不可观察输入值。</w:t>
      </w:r>
    </w:p>
    <w:p>
      <w:pPr>
        <w:pStyle w:val="BodyText"/>
        <w:spacing w:line="357" w:lineRule="auto" w:before="37"/>
        <w:ind w:left="633" w:right="1104"/>
        <w:jc w:val="left"/>
      </w:pPr>
      <w:r>
        <w:rPr>
          <w:rFonts w:ascii="宋体" w:hAnsi="宋体" w:cs="宋体" w:eastAsia="宋体" w:hint="default"/>
        </w:rPr>
        <w:t>(4)</w:t>
      </w:r>
      <w:r>
        <w:rPr/>
        <w:t>后续计量 初始确认后，公司对不同类别的金融资产，分别以摊余成本、以公允价值计量且其变动</w:t>
      </w:r>
    </w:p>
    <w:p>
      <w:pPr>
        <w:pStyle w:val="BodyText"/>
        <w:spacing w:line="357" w:lineRule="auto"/>
        <w:ind w:left="633" w:right="1104" w:hanging="481"/>
        <w:jc w:val="left"/>
      </w:pPr>
      <w:r>
        <w:rPr/>
        <w:t>计入其他综合收益或以公允价值计量且其变动计入当期损益进行后续计量。 初始确认后，公司对不同类别的金融负债，分别以摊余成本、以公允价值计量且其变动</w:t>
      </w:r>
    </w:p>
    <w:p>
      <w:pPr>
        <w:pStyle w:val="BodyText"/>
        <w:spacing w:line="357" w:lineRule="auto"/>
        <w:ind w:left="633" w:right="1104" w:hanging="481"/>
        <w:jc w:val="left"/>
      </w:pPr>
      <w:r>
        <w:rPr/>
        <w:t>计入当期损益或以其他适当方法进行后续计量。 金融资产或金融负债的摊余成本，以该金融资产或金融负债的初始确认金额经下列调整</w:t>
      </w:r>
    </w:p>
    <w:p>
      <w:pPr>
        <w:pStyle w:val="BodyText"/>
        <w:spacing w:line="357" w:lineRule="auto"/>
        <w:ind w:left="633" w:right="7753" w:hanging="481"/>
        <w:jc w:val="left"/>
      </w:pPr>
      <w:r>
        <w:rPr/>
        <w:t>后的结果确定： </w:t>
      </w:r>
      <w:r>
        <w:rPr>
          <w:rFonts w:ascii="宋体" w:hAnsi="宋体" w:cs="宋体" w:eastAsia="宋体" w:hint="default"/>
        </w:rPr>
        <w:t>1</w:t>
      </w:r>
      <w:r>
        <w:rPr/>
        <w:t>）扣除已偿还的本金。</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04" w:firstLine="480"/>
        <w:jc w:val="left"/>
      </w:pPr>
      <w:r>
        <w:rPr>
          <w:rFonts w:ascii="宋体" w:hAnsi="宋体" w:cs="宋体" w:eastAsia="宋体" w:hint="default"/>
          <w:spacing w:val="-3"/>
        </w:rPr>
        <w:t>2</w:t>
      </w:r>
      <w:r>
        <w:rPr>
          <w:spacing w:val="-3"/>
        </w:rPr>
        <w:t>）加上或减去采用实际利率法将该初始确认金额与到期日金额之间的差额进行摊销形成</w:t>
      </w:r>
      <w:r>
        <w:rPr/>
        <w:t> 的累计摊销额。</w:t>
      </w:r>
    </w:p>
    <w:p>
      <w:pPr>
        <w:pStyle w:val="BodyText"/>
        <w:spacing w:line="357" w:lineRule="auto"/>
        <w:ind w:left="633" w:right="1104"/>
        <w:jc w:val="left"/>
      </w:pPr>
      <w:r>
        <w:rPr>
          <w:rFonts w:ascii="宋体" w:hAnsi="宋体" w:cs="宋体" w:eastAsia="宋体" w:hint="default"/>
        </w:rPr>
        <w:t>3</w:t>
      </w:r>
      <w:r>
        <w:rPr/>
        <w:t>）扣除累计计提的损失准备（仅适用于金融资产）。 公司按照实际利率法确认利息收入。利息收入根据金融资产账面余额乘以实际利率计算</w:t>
      </w:r>
    </w:p>
    <w:p>
      <w:pPr>
        <w:pStyle w:val="BodyText"/>
        <w:spacing w:line="357" w:lineRule="auto"/>
        <w:ind w:left="633" w:right="1104" w:hanging="481"/>
        <w:jc w:val="left"/>
      </w:pPr>
      <w:r>
        <w:rPr/>
        <w:t>确定，但下列情况除外： </w:t>
      </w:r>
      <w:r>
        <w:rPr>
          <w:rFonts w:ascii="宋体" w:hAnsi="宋体" w:cs="宋体" w:eastAsia="宋体" w:hint="default"/>
          <w:spacing w:val="-3"/>
        </w:rPr>
        <w:t>1</w:t>
      </w:r>
      <w:r>
        <w:rPr>
          <w:spacing w:val="-3"/>
        </w:rPr>
        <w:t>）对于购入或源生的已发生信用减值的金融资产，公司自初始确认起，按照该金融资产</w:t>
      </w:r>
    </w:p>
    <w:p>
      <w:pPr>
        <w:pStyle w:val="BodyText"/>
        <w:spacing w:line="357" w:lineRule="auto"/>
        <w:ind w:left="633" w:right="1033" w:hanging="481"/>
        <w:jc w:val="left"/>
      </w:pPr>
      <w:r>
        <w:rPr/>
        <w:t>的摊余成本和经信用调整的实际利率计算确定其利息收入。 </w:t>
      </w:r>
      <w:r>
        <w:rPr>
          <w:rFonts w:ascii="宋体" w:hAnsi="宋体" w:cs="宋体" w:eastAsia="宋体" w:hint="default"/>
        </w:rPr>
        <w:t>2</w:t>
      </w:r>
      <w:r>
        <w:rPr/>
        <w:t>）对于购入或源生的未发生信用减值、但在后续期间成为已发生信用减值的金融资产，</w:t>
      </w:r>
    </w:p>
    <w:p>
      <w:pPr>
        <w:pStyle w:val="BodyText"/>
        <w:spacing w:line="357" w:lineRule="auto"/>
        <w:ind w:right="1136"/>
        <w:jc w:val="both"/>
      </w:pPr>
      <w:r>
        <w:rPr/>
        <w:t>公司在后续期间，按照该金融资产的摊余成本和实际利率计算确定其利息收入。公司按照上</w:t>
      </w:r>
      <w:r>
        <w:rPr>
          <w:spacing w:val="-91"/>
        </w:rPr>
        <w:t> </w:t>
      </w:r>
      <w:r>
        <w:rPr>
          <w:spacing w:val="-91"/>
        </w:rPr>
      </w:r>
      <w:r>
        <w:rPr/>
        <w:t>述政策对金融资产的摊余成本运用实际利率法计算利息收入的，若该金融工具在后续期间因</w:t>
      </w:r>
      <w:r>
        <w:rPr>
          <w:spacing w:val="-91"/>
        </w:rPr>
        <w:t> </w:t>
      </w:r>
      <w:r>
        <w:rPr>
          <w:spacing w:val="-91"/>
        </w:rPr>
      </w:r>
      <w:r>
        <w:rPr/>
        <w:t>其信用风险有所改善而不再存在信用减值，并且这一改善在客观上可与应用上述政策之后发</w:t>
      </w:r>
      <w:r>
        <w:rPr>
          <w:spacing w:val="-91"/>
        </w:rPr>
        <w:t> </w:t>
      </w:r>
      <w:r>
        <w:rPr>
          <w:spacing w:val="-91"/>
        </w:rPr>
      </w:r>
      <w:r>
        <w:rPr/>
        <w:t>生的某一事件相联系（如债务人的信用评级被上调），公司转按实际利率乘以该金融资产账</w:t>
      </w:r>
      <w:r>
        <w:rPr>
          <w:spacing w:val="-89"/>
        </w:rPr>
        <w:t> </w:t>
      </w:r>
      <w:r>
        <w:rPr>
          <w:spacing w:val="-89"/>
        </w:rPr>
      </w:r>
      <w:r>
        <w:rPr/>
        <w:t>面余额来计算确定利息收入。</w:t>
      </w:r>
    </w:p>
    <w:p>
      <w:pPr>
        <w:spacing w:line="240" w:lineRule="auto" w:before="9"/>
        <w:rPr>
          <w:rFonts w:ascii="宋体" w:hAnsi="宋体" w:cs="宋体" w:eastAsia="宋体" w:hint="default"/>
          <w:sz w:val="26"/>
          <w:szCs w:val="26"/>
        </w:rPr>
      </w:pPr>
    </w:p>
    <w:p>
      <w:pPr>
        <w:pStyle w:val="BodyText"/>
        <w:spacing w:line="357" w:lineRule="auto" w:before="0"/>
        <w:ind w:left="633" w:right="6193"/>
        <w:jc w:val="left"/>
      </w:pPr>
      <w:r>
        <w:rPr/>
        <w:t>（适用于</w:t>
      </w:r>
      <w:r>
        <w:rPr>
          <w:rFonts w:ascii="宋体" w:hAnsi="宋体" w:cs="宋体" w:eastAsia="宋体" w:hint="default"/>
        </w:rPr>
        <w:t>2018</w:t>
      </w:r>
      <w:r>
        <w:rPr/>
        <w:t>年度及</w:t>
      </w:r>
      <w:r>
        <w:rPr>
          <w:rFonts w:ascii="宋体" w:hAnsi="宋体" w:cs="宋体" w:eastAsia="宋体" w:hint="default"/>
        </w:rPr>
        <w:t>2018</w:t>
      </w:r>
      <w:r>
        <w:rPr/>
        <w:t>之前年度</w:t>
      </w:r>
      <w:r>
        <w:rPr>
          <w:spacing w:val="-1"/>
        </w:rPr>
        <w:t> </w:t>
      </w:r>
      <w:r>
        <w:rPr/>
        <w:t>） 金融工具的分类、确认依据和计量方法</w:t>
      </w:r>
    </w:p>
    <w:p>
      <w:pPr>
        <w:pStyle w:val="BodyText"/>
        <w:spacing w:line="240" w:lineRule="auto"/>
        <w:ind w:left="633" w:right="1104"/>
        <w:jc w:val="left"/>
      </w:pPr>
      <w:r>
        <w:rPr/>
        <w:t>（</w:t>
      </w:r>
      <w:r>
        <w:rPr>
          <w:rFonts w:ascii="宋体" w:hAnsi="宋体" w:cs="宋体" w:eastAsia="宋体" w:hint="default"/>
        </w:rPr>
        <w:t>1</w:t>
      </w:r>
      <w:r>
        <w:rPr/>
        <w:t>）金融资产在初始确认时划分为下列四类：</w:t>
      </w:r>
    </w:p>
    <w:p>
      <w:pPr>
        <w:pStyle w:val="BodyText"/>
        <w:spacing w:line="357" w:lineRule="auto" w:before="154"/>
        <w:ind w:right="1104" w:firstLine="480"/>
        <w:jc w:val="left"/>
      </w:pPr>
      <w:r>
        <w:rPr/>
        <w:t>①以公允价值计量且其变动计入当期损益的金融资产，包括交易性金融资产和指定为以 公允价值计量且其变动计入当期损益的金融资产；</w:t>
      </w:r>
    </w:p>
    <w:p>
      <w:pPr>
        <w:pStyle w:val="BodyText"/>
        <w:spacing w:line="240" w:lineRule="auto"/>
        <w:ind w:left="633" w:right="1104"/>
        <w:jc w:val="left"/>
      </w:pPr>
      <w:r>
        <w:rPr/>
        <w:t>②持有至到期投资；</w:t>
      </w:r>
    </w:p>
    <w:p>
      <w:pPr>
        <w:pStyle w:val="BodyText"/>
        <w:spacing w:line="240" w:lineRule="auto" w:before="154"/>
        <w:ind w:left="633" w:right="1104"/>
        <w:jc w:val="left"/>
      </w:pPr>
      <w:r>
        <w:rPr/>
        <w:t>③应收款项；</w:t>
      </w:r>
    </w:p>
    <w:p>
      <w:pPr>
        <w:pStyle w:val="BodyText"/>
        <w:spacing w:line="240" w:lineRule="auto" w:before="154"/>
        <w:ind w:left="633" w:right="1104"/>
        <w:jc w:val="left"/>
      </w:pPr>
      <w:r>
        <w:rPr/>
        <w:t>④可供出售金融资产。</w:t>
      </w:r>
    </w:p>
    <w:p>
      <w:pPr>
        <w:pStyle w:val="BodyText"/>
        <w:spacing w:line="240" w:lineRule="auto" w:before="154"/>
        <w:ind w:left="633" w:right="1104"/>
        <w:jc w:val="left"/>
      </w:pPr>
      <w:r>
        <w:rPr/>
        <w:t>（</w:t>
      </w:r>
      <w:r>
        <w:rPr>
          <w:rFonts w:ascii="宋体" w:hAnsi="宋体" w:cs="宋体" w:eastAsia="宋体" w:hint="default"/>
        </w:rPr>
        <w:t>2</w:t>
      </w:r>
      <w:r>
        <w:rPr/>
        <w:t>）金融负债在初始确认时划分为下列两类：</w:t>
      </w:r>
    </w:p>
    <w:p>
      <w:pPr>
        <w:pStyle w:val="BodyText"/>
        <w:spacing w:line="357" w:lineRule="auto" w:before="154"/>
        <w:ind w:right="1104" w:firstLine="480"/>
        <w:jc w:val="left"/>
      </w:pPr>
      <w:r>
        <w:rPr/>
        <w:t>①以公允价值计量且其变动计入当期损益的金融负债，包括交易性金融负债和指定为以 公允价值计量且其变动计入当期损益的金融负债；</w:t>
      </w:r>
    </w:p>
    <w:p>
      <w:pPr>
        <w:pStyle w:val="BodyText"/>
        <w:spacing w:line="240" w:lineRule="auto"/>
        <w:ind w:left="633" w:right="1104"/>
        <w:jc w:val="left"/>
      </w:pPr>
      <w:r>
        <w:rPr/>
        <w:t>②其他金融负债。</w:t>
      </w:r>
    </w:p>
    <w:p>
      <w:pPr>
        <w:pStyle w:val="BodyText"/>
        <w:spacing w:line="357" w:lineRule="auto" w:before="154"/>
        <w:ind w:left="633" w:right="1104"/>
        <w:jc w:val="left"/>
      </w:pPr>
      <w:r>
        <w:rPr/>
        <w:t>（</w:t>
      </w:r>
      <w:r>
        <w:rPr>
          <w:rFonts w:ascii="宋体" w:hAnsi="宋体" w:cs="宋体" w:eastAsia="宋体" w:hint="default"/>
        </w:rPr>
        <w:t>3</w:t>
      </w:r>
      <w:r>
        <w:rPr/>
        <w:t>）以公允价值计量且其变动计入当期损益的金融资产或金融负债 此类金融资产或金融负债进一步分为交易性金融资产或金融负债和直接指定为以公允价</w:t>
      </w:r>
    </w:p>
    <w:p>
      <w:pPr>
        <w:pStyle w:val="BodyText"/>
        <w:spacing w:line="357" w:lineRule="auto"/>
        <w:ind w:left="633" w:right="1104" w:hanging="481"/>
        <w:jc w:val="left"/>
      </w:pPr>
      <w:r>
        <w:rPr/>
        <w:t>值计量且其变动计入当期损益的金融资产或金融负债。 交易性金融资产或金融负债，主要是指公司为了近期内出售而持有的金融资产或近期内</w:t>
      </w:r>
    </w:p>
    <w:p>
      <w:pPr>
        <w:spacing w:after="0" w:line="357" w:lineRule="auto"/>
        <w:jc w:val="left"/>
        <w:sectPr>
          <w:footerReference w:type="default" r:id="rId20"/>
          <w:pgSz w:w="11910" w:h="16840"/>
          <w:pgMar w:footer="979" w:header="745" w:top="1060" w:bottom="1160" w:left="980" w:right="0"/>
          <w:pgNumType w:start="120"/>
        </w:sectPr>
      </w:pPr>
    </w:p>
    <w:p>
      <w:pPr>
        <w:spacing w:line="240" w:lineRule="auto" w:before="7"/>
        <w:rPr>
          <w:rFonts w:ascii="宋体" w:hAnsi="宋体" w:cs="宋体" w:eastAsia="宋体" w:hint="default"/>
          <w:sz w:val="29"/>
          <w:szCs w:val="29"/>
        </w:rPr>
      </w:pPr>
    </w:p>
    <w:p>
      <w:pPr>
        <w:pStyle w:val="BodyText"/>
        <w:spacing w:line="357" w:lineRule="auto" w:before="26"/>
        <w:ind w:left="633" w:right="1104" w:hanging="481"/>
        <w:jc w:val="left"/>
      </w:pPr>
      <w:r>
        <w:rPr/>
        <w:t>回购而承担的金融负债。 直接指定为以公允价值计量且其变动计入当期损益的金融资产或金融负债，主要是指公</w:t>
      </w:r>
    </w:p>
    <w:p>
      <w:pPr>
        <w:pStyle w:val="BodyText"/>
        <w:spacing w:line="357" w:lineRule="auto"/>
        <w:ind w:left="633" w:right="1104" w:hanging="481"/>
        <w:jc w:val="left"/>
      </w:pPr>
      <w:r>
        <w:rPr/>
        <w:t>司基于风险管理、战略投资需要等所作的指定。 以公允价值计量且其变动计入当期损益的金融资产按照取得时的公允价值作为初始确认</w:t>
      </w:r>
    </w:p>
    <w:p>
      <w:pPr>
        <w:pStyle w:val="BodyText"/>
        <w:spacing w:line="357" w:lineRule="auto"/>
        <w:ind w:right="1139"/>
        <w:jc w:val="both"/>
      </w:pPr>
      <w:r>
        <w:rPr/>
        <w:t>金额，相关的交易费用在发生时计入当期损益。支付的价款中包含已宣告但尚未发放的现金</w:t>
      </w:r>
      <w:r>
        <w:rPr>
          <w:spacing w:val="-91"/>
        </w:rPr>
        <w:t> </w:t>
      </w:r>
      <w:r>
        <w:rPr>
          <w:spacing w:val="-91"/>
        </w:rPr>
      </w:r>
      <w:r>
        <w:rPr/>
        <w:t>股利或已到付息期但尚未领取的债券利息，单独确认为应收项目。</w:t>
      </w:r>
    </w:p>
    <w:p>
      <w:pPr>
        <w:pStyle w:val="BodyText"/>
        <w:spacing w:line="357" w:lineRule="auto"/>
        <w:ind w:right="1139" w:firstLine="480"/>
        <w:jc w:val="both"/>
      </w:pPr>
      <w:r>
        <w:rPr/>
        <w:t>在持有以公允价值计量且其变动计入当期损益的金融资产期间取得的利息或现金股利， 确认为投资收益。资产负债表日，将以公允价值计量且其变动计入当期损益的金融资产或金</w:t>
      </w:r>
      <w:r>
        <w:rPr>
          <w:spacing w:val="-91"/>
        </w:rPr>
        <w:t> </w:t>
      </w:r>
      <w:r>
        <w:rPr>
          <w:spacing w:val="-91"/>
        </w:rPr>
      </w:r>
      <w:r>
        <w:rPr/>
        <w:t>融负债的公允价值变动计入当期损益。</w:t>
      </w:r>
    </w:p>
    <w:p>
      <w:pPr>
        <w:pStyle w:val="BodyText"/>
        <w:spacing w:line="357" w:lineRule="auto"/>
        <w:ind w:right="1140" w:firstLine="480"/>
        <w:jc w:val="both"/>
      </w:pPr>
      <w:r>
        <w:rPr/>
        <w:t>处置以公允价值计量且其变动计入当期损益的金融资产或金融负债时，其公允价值与初 始入账金额之间的差额确认为投资收益，同时调整公允价值变动损益。</w:t>
      </w:r>
    </w:p>
    <w:p>
      <w:pPr>
        <w:pStyle w:val="BodyText"/>
        <w:spacing w:line="357" w:lineRule="auto"/>
        <w:ind w:left="633" w:right="1104"/>
        <w:jc w:val="left"/>
      </w:pPr>
      <w:r>
        <w:rPr/>
        <w:t>（</w:t>
      </w:r>
      <w:r>
        <w:rPr>
          <w:rFonts w:ascii="宋体" w:hAnsi="宋体" w:cs="宋体" w:eastAsia="宋体" w:hint="default"/>
        </w:rPr>
        <w:t>4</w:t>
      </w:r>
      <w:r>
        <w:rPr/>
        <w:t>）持有至到期投资 此类金融资产是指到期日固定、回收金额固定或可确定，且公司有明确意图和能力持有</w:t>
      </w:r>
    </w:p>
    <w:p>
      <w:pPr>
        <w:pStyle w:val="BodyText"/>
        <w:spacing w:line="357" w:lineRule="auto"/>
        <w:ind w:left="633" w:right="1104" w:hanging="481"/>
        <w:jc w:val="left"/>
      </w:pPr>
      <w:r>
        <w:rPr/>
        <w:t>至到期的非衍生金融资产 持有至到期投资按取得时的公允价值和相关交易费用之和作为初始确认金额。支付的价</w:t>
      </w:r>
    </w:p>
    <w:p>
      <w:pPr>
        <w:pStyle w:val="BodyText"/>
        <w:spacing w:line="357" w:lineRule="auto"/>
        <w:ind w:left="633" w:right="986" w:hanging="481"/>
        <w:jc w:val="left"/>
      </w:pPr>
      <w:r>
        <w:rPr/>
        <w:t>款中包含的已到付息期但尚未领取的债券利息，应单独确认为应收项目。 </w:t>
      </w:r>
      <w:r>
        <w:rPr>
          <w:spacing w:val="-3"/>
        </w:rPr>
        <w:t>持有至到期投资在持有期间按照摊余成本和实际利率计算确认利息收入，计入投资收益。</w:t>
      </w:r>
    </w:p>
    <w:p>
      <w:pPr>
        <w:pStyle w:val="BodyText"/>
        <w:spacing w:line="357" w:lineRule="auto"/>
        <w:ind w:right="1130"/>
        <w:jc w:val="both"/>
        <w:rPr>
          <w:rFonts w:ascii="宋体" w:hAnsi="宋体" w:cs="宋体" w:eastAsia="宋体" w:hint="default"/>
        </w:rPr>
      </w:pPr>
      <w:r>
        <w:rPr/>
        <w:t>实际利率应当在取得持有至到期投资时确定，在该持有至到期投资预期存续期间或适用的更</w:t>
      </w:r>
      <w:r>
        <w:rPr>
          <w:spacing w:val="-91"/>
        </w:rPr>
        <w:t> </w:t>
      </w:r>
      <w:r>
        <w:rPr>
          <w:spacing w:val="-91"/>
        </w:rPr>
      </w:r>
      <w:r>
        <w:rPr>
          <w:spacing w:val="-2"/>
        </w:rPr>
        <w:t>短期间内保持不变。</w:t>
      </w:r>
      <w:r>
        <w:rPr>
          <w:rFonts w:ascii="宋体" w:hAnsi="宋体" w:cs="宋体" w:eastAsia="宋体" w:hint="default"/>
          <w:spacing w:val="-2"/>
        </w:rPr>
        <w:t>(</w:t>
      </w:r>
      <w:r>
        <w:rPr>
          <w:spacing w:val="-2"/>
        </w:rPr>
        <w:t>实际利率与票面利率差别较小的，也可按票面利率计算利息收入，计入</w:t>
      </w:r>
      <w:r>
        <w:rPr>
          <w:spacing w:val="-118"/>
        </w:rPr>
        <w:t> </w:t>
      </w:r>
      <w:r>
        <w:rPr>
          <w:spacing w:val="-118"/>
        </w:rPr>
      </w:r>
      <w:r>
        <w:rPr/>
        <w:t>投资收益。</w:t>
      </w:r>
      <w:r>
        <w:rPr>
          <w:rFonts w:ascii="宋体" w:hAnsi="宋体" w:cs="宋体" w:eastAsia="宋体" w:hint="default"/>
        </w:rPr>
        <w:t>)</w:t>
      </w:r>
    </w:p>
    <w:p>
      <w:pPr>
        <w:pStyle w:val="BodyText"/>
        <w:spacing w:line="240" w:lineRule="auto"/>
        <w:ind w:left="633" w:right="1104"/>
        <w:jc w:val="left"/>
      </w:pPr>
      <w:r>
        <w:rPr/>
        <w:t>处置持有至到期投资时，应将所取得价款与该投资账面价值之间的差额计入投资收益。</w:t>
      </w:r>
    </w:p>
    <w:p>
      <w:pPr>
        <w:pStyle w:val="BodyText"/>
        <w:spacing w:line="357" w:lineRule="auto" w:before="154"/>
        <w:ind w:left="633" w:right="1104"/>
        <w:jc w:val="left"/>
      </w:pPr>
      <w:r>
        <w:rPr/>
        <w:t>（</w:t>
      </w:r>
      <w:r>
        <w:rPr>
          <w:rFonts w:ascii="宋体" w:hAnsi="宋体" w:cs="宋体" w:eastAsia="宋体" w:hint="default"/>
        </w:rPr>
        <w:t>5</w:t>
      </w:r>
      <w:r>
        <w:rPr/>
        <w:t>）贷款和应收款项 贷款主要是指金融企业发放的贷款，金融企业按当前市场条件发放的贷款，按发放贷款</w:t>
      </w:r>
    </w:p>
    <w:p>
      <w:pPr>
        <w:pStyle w:val="BodyText"/>
        <w:spacing w:line="357" w:lineRule="auto"/>
        <w:ind w:right="1139"/>
        <w:jc w:val="both"/>
      </w:pPr>
      <w:r>
        <w:rPr/>
        <w:t>的本金和相关交易费用之和作为初始确认金额。贷款持有期间所确认的利息收入，应当根据</w:t>
      </w:r>
      <w:r>
        <w:rPr>
          <w:spacing w:val="-91"/>
        </w:rPr>
        <w:t> </w:t>
      </w:r>
      <w:r>
        <w:rPr>
          <w:spacing w:val="-91"/>
        </w:rPr>
      </w:r>
      <w:r>
        <w:rPr/>
        <w:t>实际利率计算。实际利率应在取得贷款时确定，在该贷款预期存续期间或适用的更短期间内</w:t>
      </w:r>
      <w:r>
        <w:rPr>
          <w:spacing w:val="-91"/>
        </w:rPr>
        <w:t> </w:t>
      </w:r>
      <w:r>
        <w:rPr>
          <w:spacing w:val="-91"/>
        </w:rPr>
      </w:r>
      <w:r>
        <w:rPr/>
        <w:t>保持不变。实际利率与合同利率差别较小的，也可按合同利率计算利息收入。</w:t>
      </w:r>
    </w:p>
    <w:p>
      <w:pPr>
        <w:pStyle w:val="BodyText"/>
        <w:spacing w:line="357" w:lineRule="auto"/>
        <w:ind w:right="1135" w:firstLine="480"/>
        <w:jc w:val="both"/>
      </w:pPr>
      <w:r>
        <w:rPr/>
        <w:t>应收款项主要是指公司销售商品或提供劳务形成的应收款项等债权，通常应按从购货方 应收的合同或协议价款作为初始确认金额。收回或处置贷款和应收款项时，应将取得的价款</w:t>
      </w:r>
      <w:r>
        <w:rPr>
          <w:spacing w:val="-88"/>
        </w:rPr>
        <w:t> </w:t>
      </w:r>
      <w:r>
        <w:rPr>
          <w:spacing w:val="-88"/>
        </w:rPr>
      </w:r>
      <w:r>
        <w:rPr/>
        <w:t>与该贷款和应收款项账面价值之间的差额计入当期损益。</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jc w:val="left"/>
      </w:pPr>
      <w:r>
        <w:rPr/>
        <w:t>（</w:t>
      </w:r>
      <w:r>
        <w:rPr>
          <w:rFonts w:ascii="宋体" w:hAnsi="宋体" w:cs="宋体" w:eastAsia="宋体" w:hint="default"/>
        </w:rPr>
        <w:t>6</w:t>
      </w:r>
      <w:r>
        <w:rPr/>
        <w:t>）可供出售金融资产 可供出售金融资产通常是指企业没有划分为以公允价值计量且其变动计入当期损益的金</w:t>
      </w:r>
    </w:p>
    <w:p>
      <w:pPr>
        <w:pStyle w:val="BodyText"/>
        <w:spacing w:line="357" w:lineRule="auto"/>
        <w:ind w:left="633" w:right="1104" w:hanging="481"/>
        <w:jc w:val="left"/>
      </w:pPr>
      <w:r>
        <w:rPr/>
        <w:t>融资产、持有至到期投资、贷款和应收款项的金融资产。 </w:t>
      </w:r>
      <w:r>
        <w:rPr>
          <w:spacing w:val="6"/>
        </w:rPr>
        <w:t>可供出售金融资产按取得该金融资产的公允价值和相关交易费用之和作为初始确认金</w:t>
      </w:r>
    </w:p>
    <w:p>
      <w:pPr>
        <w:pStyle w:val="BodyText"/>
        <w:spacing w:line="357" w:lineRule="auto"/>
        <w:ind w:right="996"/>
        <w:jc w:val="left"/>
      </w:pPr>
      <w:r>
        <w:rPr>
          <w:spacing w:val="-2"/>
        </w:rPr>
        <w:t>额。支付的价款中包含的已到付息期但尚未领取的债券利息或已宣告但尚未发放的现金股利，</w:t>
      </w:r>
      <w:r>
        <w:rPr/>
        <w:t> 应单独确认为应收项目。</w:t>
      </w:r>
    </w:p>
    <w:p>
      <w:pPr>
        <w:pStyle w:val="BodyText"/>
        <w:spacing w:line="357" w:lineRule="auto"/>
        <w:ind w:right="986" w:firstLine="480"/>
        <w:jc w:val="left"/>
      </w:pPr>
      <w:r>
        <w:rPr>
          <w:spacing w:val="-3"/>
        </w:rPr>
        <w:t>可供出售金融资产持有期间取得的利息或现金股利，应当计入投资收益。资产负债表日，</w:t>
      </w:r>
      <w:r>
        <w:rPr/>
        <w:t> 可供出售金融资产应当以公允价值计量，且公允价值变动计入其他综合收益。</w:t>
      </w:r>
    </w:p>
    <w:p>
      <w:pPr>
        <w:pStyle w:val="BodyText"/>
        <w:spacing w:line="357" w:lineRule="auto"/>
        <w:ind w:right="1139" w:firstLine="480"/>
        <w:jc w:val="both"/>
      </w:pPr>
      <w:r>
        <w:rPr/>
        <w:t>处置可供出售金融资产时，应将取得的价款与该金融资产账面价值之间的差额，计入投 资损益；同时，将原直接计入所有者权益的公允价值变动累计额对应处置部分的金额转出，</w:t>
      </w:r>
      <w:r>
        <w:rPr>
          <w:spacing w:val="-91"/>
        </w:rPr>
        <w:t> </w:t>
      </w:r>
      <w:r>
        <w:rPr>
          <w:spacing w:val="-91"/>
        </w:rPr>
      </w:r>
      <w:r>
        <w:rPr/>
        <w:t>计入投资损益。</w:t>
      </w:r>
    </w:p>
    <w:p>
      <w:pPr>
        <w:pStyle w:val="BodyText"/>
        <w:spacing w:line="357" w:lineRule="auto"/>
        <w:ind w:left="633" w:right="1104"/>
        <w:jc w:val="left"/>
      </w:pPr>
      <w:r>
        <w:rPr/>
        <w:t>（</w:t>
      </w:r>
      <w:r>
        <w:rPr>
          <w:rFonts w:ascii="宋体" w:hAnsi="宋体" w:cs="宋体" w:eastAsia="宋体" w:hint="default"/>
        </w:rPr>
        <w:t>7</w:t>
      </w:r>
      <w:r>
        <w:rPr/>
        <w:t>）其他金融负债 </w:t>
      </w:r>
      <w:r>
        <w:rPr>
          <w:spacing w:val="6"/>
        </w:rPr>
        <w:t>其他金融负债是指除以公允价值计量且其变动计入当期损益的金融负债以外的金融负</w:t>
      </w:r>
    </w:p>
    <w:p>
      <w:pPr>
        <w:pStyle w:val="BodyText"/>
        <w:spacing w:line="357" w:lineRule="auto"/>
        <w:ind w:right="1104"/>
        <w:jc w:val="left"/>
      </w:pPr>
      <w:r>
        <w:rPr/>
        <w:t>债。通常情况下，公司发行的债券、因购买商品产生的应付账款、长期应付款等，应当划分</w:t>
      </w:r>
      <w:r>
        <w:rPr>
          <w:spacing w:val="-91"/>
        </w:rPr>
        <w:t> </w:t>
      </w:r>
      <w:r>
        <w:rPr>
          <w:spacing w:val="-91"/>
        </w:rPr>
      </w:r>
      <w:r>
        <w:rPr/>
        <w:t>为其他金融负债。</w:t>
      </w:r>
    </w:p>
    <w:p>
      <w:pPr>
        <w:pStyle w:val="BodyText"/>
        <w:spacing w:line="357" w:lineRule="auto"/>
        <w:ind w:right="1140" w:firstLine="480"/>
        <w:jc w:val="both"/>
      </w:pPr>
      <w:r>
        <w:rPr/>
        <w:t>其他金融负债应当按其公允价值和相关交易费用之和作为初始确认金额。其他金融负债 通常采用摊余成本进行后续计量。</w:t>
      </w:r>
    </w:p>
    <w:p>
      <w:pPr>
        <w:pStyle w:val="BodyText"/>
        <w:spacing w:line="357" w:lineRule="auto"/>
        <w:ind w:left="633" w:right="1104"/>
        <w:jc w:val="left"/>
      </w:pPr>
      <w:r>
        <w:rPr/>
        <w:t>金融资产转移的确认依据和计量方法 公司已将金融资产所有权上几乎所有的风险和报酬转移给转入方的，终止确认该金融资</w:t>
      </w:r>
    </w:p>
    <w:p>
      <w:pPr>
        <w:pStyle w:val="BodyText"/>
        <w:spacing w:line="357" w:lineRule="auto"/>
        <w:ind w:right="998"/>
        <w:jc w:val="left"/>
      </w:pPr>
      <w:r>
        <w:rPr>
          <w:spacing w:val="-4"/>
        </w:rPr>
        <w:t>产；保留了金融资产所有权上几乎所有的风险和报酬的，不终止确认该金融资产。</w:t>
      </w:r>
      <w:r>
        <w:rPr>
          <w:spacing w:val="-60"/>
        </w:rPr>
        <w:t> </w:t>
      </w:r>
      <w:r>
        <w:rPr/>
        <w:t>终止确认，</w:t>
      </w:r>
      <w:r>
        <w:rPr/>
        <w:t> 是指将金融资产或金融负债从公司的账户和资产负债表内予以转销。金融资产整体转移满足</w:t>
      </w:r>
      <w:r>
        <w:rPr>
          <w:spacing w:val="-91"/>
        </w:rPr>
        <w:t> </w:t>
      </w:r>
      <w:r>
        <w:rPr>
          <w:spacing w:val="-91"/>
        </w:rPr>
      </w:r>
      <w:r>
        <w:rPr/>
        <w:t>终止确认条件的，应当将下列两项金额的差额计入当期损益：</w:t>
      </w:r>
    </w:p>
    <w:p>
      <w:pPr>
        <w:pStyle w:val="BodyText"/>
        <w:spacing w:line="240" w:lineRule="auto"/>
        <w:ind w:left="633" w:right="1104"/>
        <w:jc w:val="left"/>
      </w:pPr>
      <w:r>
        <w:rPr/>
        <w:t>（</w:t>
      </w:r>
      <w:r>
        <w:rPr>
          <w:rFonts w:ascii="宋体" w:hAnsi="宋体" w:cs="宋体" w:eastAsia="宋体" w:hint="default"/>
        </w:rPr>
        <w:t>1</w:t>
      </w:r>
      <w:r>
        <w:rPr/>
        <w:t>）所转移金融资产的账面价值；</w:t>
      </w:r>
    </w:p>
    <w:p>
      <w:pPr>
        <w:pStyle w:val="BodyText"/>
        <w:spacing w:line="357" w:lineRule="auto" w:before="154"/>
        <w:ind w:right="1136" w:firstLine="480"/>
        <w:jc w:val="both"/>
      </w:pPr>
      <w:r>
        <w:rPr/>
        <w:t>（</w:t>
      </w:r>
      <w:r>
        <w:rPr>
          <w:rFonts w:ascii="宋体" w:hAnsi="宋体" w:cs="宋体" w:eastAsia="宋体" w:hint="default"/>
        </w:rPr>
        <w:t>2</w:t>
      </w:r>
      <w:r>
        <w:rPr/>
        <w:t>）因转移而收到的对价，与原直接计入所有者权益的公允价值变动累计额</w:t>
      </w:r>
      <w:r>
        <w:rPr>
          <w:rFonts w:ascii="宋体" w:hAnsi="宋体" w:cs="宋体" w:eastAsia="宋体" w:hint="default"/>
        </w:rPr>
        <w:t>(</w:t>
      </w:r>
      <w:r>
        <w:rPr/>
        <w:t>涉及转移 的金融资产为可供出售金融资产的情形</w:t>
      </w:r>
      <w:r>
        <w:rPr>
          <w:rFonts w:ascii="宋体" w:hAnsi="宋体" w:cs="宋体" w:eastAsia="宋体" w:hint="default"/>
        </w:rPr>
        <w:t>)</w:t>
      </w:r>
      <w:r>
        <w:rPr/>
        <w:t>之和。</w:t>
      </w:r>
    </w:p>
    <w:p>
      <w:pPr>
        <w:pStyle w:val="BodyText"/>
        <w:spacing w:line="357" w:lineRule="auto"/>
        <w:ind w:right="1051" w:firstLine="480"/>
        <w:jc w:val="both"/>
      </w:pPr>
      <w:r>
        <w:rPr/>
        <w:t>金融资产部分转移满足终止确认条件的，将所转移金融资产整体的账面价值，在终止确 </w:t>
      </w:r>
      <w:r>
        <w:rPr>
          <w:spacing w:val="-2"/>
        </w:rPr>
        <w:t>认部分和未终止确认部分</w:t>
      </w:r>
      <w:r>
        <w:rPr>
          <w:rFonts w:ascii="宋体" w:hAnsi="宋体" w:cs="宋体" w:eastAsia="宋体" w:hint="default"/>
          <w:spacing w:val="-2"/>
        </w:rPr>
        <w:t>(</w:t>
      </w:r>
      <w:r>
        <w:rPr>
          <w:spacing w:val="-2"/>
        </w:rPr>
        <w:t>在此种情况下，所保留的服务资产应当视同未终止确认金融资产的</w:t>
      </w:r>
      <w:r>
        <w:rPr/>
        <w:t> 一部分</w:t>
      </w:r>
      <w:r>
        <w:rPr>
          <w:rFonts w:ascii="宋体" w:hAnsi="宋体" w:cs="宋体" w:eastAsia="宋体" w:hint="default"/>
        </w:rPr>
        <w:t>)</w:t>
      </w:r>
      <w:r>
        <w:rPr/>
        <w:t>之间，按照各自的相对公允价值进行分摊，并将下列两项金额的差额计入当期损益：</w:t>
      </w:r>
    </w:p>
    <w:p>
      <w:pPr>
        <w:pStyle w:val="BodyText"/>
        <w:spacing w:line="240" w:lineRule="auto"/>
        <w:ind w:left="633" w:right="1104"/>
        <w:jc w:val="left"/>
      </w:pPr>
      <w:r>
        <w:rPr/>
        <w:t>（</w:t>
      </w:r>
      <w:r>
        <w:rPr>
          <w:rFonts w:ascii="宋体" w:hAnsi="宋体" w:cs="宋体" w:eastAsia="宋体" w:hint="default"/>
        </w:rPr>
        <w:t>1</w:t>
      </w:r>
      <w:r>
        <w:rPr/>
        <w:t>）终止确认部分的账面价值；</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2" w:firstLine="480"/>
        <w:jc w:val="both"/>
      </w:pPr>
      <w:r>
        <w:rPr>
          <w:spacing w:val="-3"/>
        </w:rPr>
        <w:t>（</w:t>
      </w:r>
      <w:r>
        <w:rPr>
          <w:rFonts w:ascii="宋体" w:hAnsi="宋体" w:cs="宋体" w:eastAsia="宋体" w:hint="default"/>
          <w:spacing w:val="-3"/>
        </w:rPr>
        <w:t>2</w:t>
      </w:r>
      <w:r>
        <w:rPr>
          <w:spacing w:val="-3"/>
        </w:rPr>
        <w:t>）终止确认部分的对价，与原直接计入所有者权益的公允价值变动累计额中对应终止</w:t>
      </w:r>
      <w:r>
        <w:rPr/>
        <w:t> 确认部分的金额</w:t>
      </w:r>
      <w:r>
        <w:rPr>
          <w:rFonts w:ascii="宋体" w:hAnsi="宋体" w:cs="宋体" w:eastAsia="宋体" w:hint="default"/>
        </w:rPr>
        <w:t>(</w:t>
      </w:r>
      <w:r>
        <w:rPr/>
        <w:t>涉及转移的金融资产为可供出售金融资产的情形</w:t>
      </w:r>
      <w:r>
        <w:rPr>
          <w:rFonts w:ascii="宋体" w:hAnsi="宋体" w:cs="宋体" w:eastAsia="宋体" w:hint="default"/>
        </w:rPr>
        <w:t>)</w:t>
      </w:r>
      <w:r>
        <w:rPr/>
        <w:t>之和。</w:t>
      </w:r>
    </w:p>
    <w:p>
      <w:pPr>
        <w:pStyle w:val="BodyText"/>
        <w:spacing w:line="357" w:lineRule="auto"/>
        <w:ind w:right="1140" w:firstLine="480"/>
        <w:jc w:val="both"/>
      </w:pPr>
      <w:r>
        <w:rPr/>
        <w:t>公司仍保留与所转移金融资产所有权上几乎所有的风险和报酬的，则继续确认所转移金 融资产整体，并将收到的对价确认为一项金融负债。</w:t>
      </w:r>
    </w:p>
    <w:p>
      <w:pPr>
        <w:pStyle w:val="BodyText"/>
        <w:spacing w:line="357" w:lineRule="auto"/>
        <w:ind w:left="633" w:right="1104"/>
        <w:jc w:val="left"/>
      </w:pPr>
      <w:r>
        <w:rPr/>
        <w:t>金融负债终止确认条件 金融负债的现时义务全部或部分已经解除的，则应终止确认该金融负债或其一部分。 金融资产和金融负债的公允价值确定方法 公允价值，是指市场参与者在计量日发生的有序交易中，出售一项资产所能收到或者转</w:t>
      </w:r>
    </w:p>
    <w:p>
      <w:pPr>
        <w:pStyle w:val="BodyText"/>
        <w:spacing w:line="357" w:lineRule="auto"/>
        <w:ind w:right="1104"/>
        <w:jc w:val="left"/>
      </w:pPr>
      <w:r>
        <w:rPr/>
        <w:t>移一项负债所需支付的价格。公司将公允价值计量所使用的输入值划分为三个层次，并首先</w:t>
      </w:r>
      <w:r>
        <w:rPr>
          <w:spacing w:val="-91"/>
        </w:rPr>
        <w:t> </w:t>
      </w:r>
      <w:r>
        <w:rPr>
          <w:spacing w:val="-91"/>
        </w:rPr>
      </w:r>
      <w:r>
        <w:rPr/>
        <w:t>使用第一层次输入值，其次使用第二层次输入值，最后使用第三层次输入值。</w:t>
      </w:r>
    </w:p>
    <w:p>
      <w:pPr>
        <w:pStyle w:val="BodyText"/>
        <w:spacing w:line="357" w:lineRule="auto"/>
        <w:ind w:right="1140" w:firstLine="480"/>
        <w:jc w:val="both"/>
      </w:pPr>
      <w:r>
        <w:rPr/>
        <w:t>第一层次输入值是在计量日能够取得的相同资产或负债在活跃市场上未经调整的报价。 活跃市场，是指相关资产或负债的交易量和交易频率足以持续提供定价信息的市场。</w:t>
      </w:r>
    </w:p>
    <w:p>
      <w:pPr>
        <w:pStyle w:val="BodyText"/>
        <w:spacing w:line="357" w:lineRule="auto"/>
        <w:ind w:left="633" w:right="1393"/>
        <w:jc w:val="left"/>
      </w:pPr>
      <w:r>
        <w:rPr/>
        <w:t>第二层次输入值是除第一层次输入值外相关资产或负债直接或间接可观察的输入值。 第三层次输入值是相关资产或负债的不可观察输入值。 金融资产</w:t>
      </w:r>
      <w:r>
        <w:rPr>
          <w:rFonts w:ascii="宋体" w:hAnsi="宋体" w:cs="宋体" w:eastAsia="宋体" w:hint="default"/>
        </w:rPr>
        <w:t>(</w:t>
      </w:r>
      <w:r>
        <w:rPr/>
        <w:t>此处不含应收款项</w:t>
      </w:r>
      <w:r>
        <w:rPr>
          <w:rFonts w:ascii="宋体" w:hAnsi="宋体" w:cs="宋体" w:eastAsia="宋体" w:hint="default"/>
        </w:rPr>
        <w:t>)</w:t>
      </w:r>
      <w:r>
        <w:rPr/>
        <w:t>减值测试方法、减值准备计提方法</w:t>
      </w:r>
    </w:p>
    <w:p>
      <w:pPr>
        <w:pStyle w:val="BodyText"/>
        <w:spacing w:line="357" w:lineRule="auto"/>
        <w:ind w:right="1130" w:firstLine="480"/>
        <w:jc w:val="both"/>
      </w:pPr>
      <w:r>
        <w:rPr>
          <w:spacing w:val="-3"/>
        </w:rPr>
        <w:t>（</w:t>
      </w:r>
      <w:r>
        <w:rPr>
          <w:rFonts w:ascii="宋体" w:hAnsi="宋体" w:cs="宋体" w:eastAsia="宋体" w:hint="default"/>
          <w:spacing w:val="-3"/>
        </w:rPr>
        <w:t>1</w:t>
      </w:r>
      <w:r>
        <w:rPr>
          <w:spacing w:val="-3"/>
        </w:rPr>
        <w:t>）对于持有至到期投资和贷款，有客观证据表明其发生了减值的，应当根据其账面价</w:t>
      </w:r>
      <w:r>
        <w:rPr/>
        <w:t> 值与预计未来现金流量现值之间的差额计算确认减值损失。</w:t>
      </w:r>
    </w:p>
    <w:p>
      <w:pPr>
        <w:pStyle w:val="BodyText"/>
        <w:spacing w:line="357" w:lineRule="auto"/>
        <w:ind w:right="1132" w:firstLine="480"/>
        <w:jc w:val="both"/>
      </w:pPr>
      <w:r>
        <w:rPr>
          <w:spacing w:val="-3"/>
        </w:rPr>
        <w:t>（</w:t>
      </w:r>
      <w:r>
        <w:rPr>
          <w:rFonts w:ascii="宋体" w:hAnsi="宋体" w:cs="宋体" w:eastAsia="宋体" w:hint="default"/>
          <w:spacing w:val="-3"/>
        </w:rPr>
        <w:t>2</w:t>
      </w:r>
      <w:r>
        <w:rPr>
          <w:spacing w:val="-3"/>
        </w:rPr>
        <w:t>）通常情况下，如果可供出售金融资产的公允价值发生较大幅度下降，或在综合考虑</w:t>
      </w:r>
      <w:r>
        <w:rPr/>
        <w:t> 各种相关因素后，预期这种下降趋势属于非暂时性的，可以认定该可供出售金融资产已发生</w:t>
      </w:r>
      <w:r>
        <w:rPr>
          <w:spacing w:val="-91"/>
        </w:rPr>
        <w:t> </w:t>
      </w:r>
      <w:r>
        <w:rPr>
          <w:spacing w:val="-91"/>
        </w:rPr>
      </w:r>
      <w:r>
        <w:rPr/>
        <w:t>减值，应当确认减值损失。可供出售金融资产发生减值的，在确认减值损失时，将原直接计</w:t>
      </w:r>
      <w:r>
        <w:rPr>
          <w:spacing w:val="-90"/>
        </w:rPr>
        <w:t> </w:t>
      </w:r>
      <w:r>
        <w:rPr>
          <w:spacing w:val="-90"/>
        </w:rPr>
      </w:r>
      <w:r>
        <w:rPr/>
        <w:t>入所有者权益的公允价值下降形成的累计损失一并转出，计入减值损失。</w:t>
      </w:r>
    </w:p>
    <w:p>
      <w:pPr>
        <w:spacing w:line="240" w:lineRule="auto" w:before="11"/>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633" w:right="2353"/>
        <w:jc w:val="left"/>
      </w:pPr>
      <w:r>
        <w:rPr/>
        <w:t>（公司</w:t>
      </w:r>
      <w:r>
        <w:rPr>
          <w:rFonts w:ascii="宋体" w:hAnsi="宋体" w:cs="宋体" w:eastAsia="宋体" w:hint="default"/>
        </w:rPr>
        <w:t>2018</w:t>
      </w:r>
      <w:r>
        <w:rPr/>
        <w:t>年度应收款项坏账准备的确认标准和计提方法如下：） 应收款项包括应收票据、应收账款、应收利息、应收股利、其他应收款等。</w:t>
      </w:r>
    </w:p>
    <w:p>
      <w:pPr>
        <w:spacing w:line="240" w:lineRule="auto" w:before="0"/>
        <w:rPr>
          <w:rFonts w:ascii="宋体" w:hAnsi="宋体" w:cs="宋体" w:eastAsia="宋体" w:hint="default"/>
          <w:sz w:val="24"/>
          <w:szCs w:val="24"/>
        </w:rPr>
      </w:pPr>
    </w:p>
    <w:p>
      <w:pPr>
        <w:pStyle w:val="BodyText"/>
        <w:spacing w:line="357" w:lineRule="auto" w:before="190"/>
        <w:ind w:left="633" w:right="986"/>
        <w:jc w:val="left"/>
      </w:pPr>
      <w:r>
        <w:rPr>
          <w:rFonts w:ascii="宋体" w:hAnsi="宋体" w:cs="宋体" w:eastAsia="宋体" w:hint="default"/>
        </w:rPr>
        <w:t>1.</w:t>
      </w:r>
      <w:r>
        <w:rPr/>
        <w:t>单项金额重大并单项计提坏账准备的应收款项 本公司将金额为人民币</w:t>
      </w:r>
      <w:r>
        <w:rPr>
          <w:rFonts w:ascii="宋体" w:hAnsi="宋体" w:cs="宋体" w:eastAsia="宋体" w:hint="default"/>
        </w:rPr>
        <w:t>50</w:t>
      </w:r>
      <w:r>
        <w:rPr/>
        <w:t>万元以上的应收款项确认为单项金额重大的应收款项。 </w:t>
      </w:r>
      <w:r>
        <w:rPr>
          <w:spacing w:val="-3"/>
        </w:rPr>
        <w:t>本公司对单项金额重大的应收款项单独进行减值测试，单独测试未发生减值的金融资产，</w:t>
      </w:r>
    </w:p>
    <w:p>
      <w:pPr>
        <w:pStyle w:val="BodyText"/>
        <w:spacing w:line="240" w:lineRule="auto"/>
        <w:ind w:right="1104"/>
        <w:jc w:val="left"/>
      </w:pPr>
      <w:r>
        <w:rPr/>
        <w:t>包括在具有类似信用风险特征的金融资产组合中进行减值测试。单项测试已确认减值损失的</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应收款项，不再包括在具有类似信用风险特征的应收款项组合中进行减值测试。</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rFonts w:ascii="宋体" w:hAnsi="宋体" w:cs="宋体" w:eastAsia="宋体" w:hint="default"/>
        </w:rPr>
        <w:t>2.</w:t>
      </w:r>
      <w:r>
        <w:rPr/>
        <w:t>按组合计提坏账准备应收款项 确定组合的依据：本公司对单项金额不重大以及金额重大但单项测试未发生减值的应收</w:t>
      </w:r>
    </w:p>
    <w:p>
      <w:pPr>
        <w:pStyle w:val="BodyText"/>
        <w:spacing w:line="357" w:lineRule="auto"/>
        <w:ind w:right="1139"/>
        <w:jc w:val="both"/>
      </w:pPr>
      <w:r>
        <w:rPr/>
        <w:t>款项，按信用风险特征的相似性和相关性对金融资产进行分组。这些信用风险通常反映债务</w:t>
      </w:r>
      <w:r>
        <w:rPr>
          <w:spacing w:val="-91"/>
        </w:rPr>
        <w:t> </w:t>
      </w:r>
      <w:r>
        <w:rPr>
          <w:spacing w:val="-91"/>
        </w:rPr>
      </w:r>
      <w:r>
        <w:rPr/>
        <w:t>人按照该等资产的合同条款偿还所有到期金额的能力，并且与被检查资产的未来现金流量测</w:t>
      </w:r>
      <w:r>
        <w:rPr>
          <w:spacing w:val="-91"/>
        </w:rPr>
        <w:t> </w:t>
      </w:r>
      <w:r>
        <w:rPr>
          <w:spacing w:val="-91"/>
        </w:rPr>
      </w:r>
      <w:r>
        <w:rPr/>
        <w:t>算相关。</w:t>
      </w:r>
    </w:p>
    <w:p>
      <w:pPr>
        <w:pStyle w:val="BodyText"/>
        <w:spacing w:line="374" w:lineRule="auto" w:before="46"/>
        <w:ind w:left="645" w:right="1981"/>
        <w:jc w:val="left"/>
      </w:pPr>
      <w:r>
        <w:rPr/>
        <w:t>组合</w:t>
      </w:r>
      <w:r>
        <w:rPr>
          <w:rFonts w:ascii="宋体" w:hAnsi="宋体" w:cs="宋体" w:eastAsia="宋体" w:hint="default"/>
        </w:rPr>
        <w:t>1</w:t>
      </w:r>
      <w:r>
        <w:rPr/>
        <w:t>：账龄组合，本组合为与本公司无关联关系的国内客户的应收款项。 组合</w:t>
      </w:r>
      <w:r>
        <w:rPr>
          <w:rFonts w:ascii="宋体" w:hAnsi="宋体" w:cs="宋体" w:eastAsia="宋体" w:hint="default"/>
        </w:rPr>
        <w:t>2</w:t>
      </w:r>
      <w:r>
        <w:rPr/>
        <w:t>：关联方组合，本组合为与本公司存在关联关系的应收款项。 组合</w:t>
      </w:r>
      <w:r>
        <w:rPr>
          <w:rFonts w:ascii="宋体" w:hAnsi="宋体" w:cs="宋体" w:eastAsia="宋体" w:hint="default"/>
        </w:rPr>
        <w:t>3</w:t>
      </w:r>
      <w:r>
        <w:rPr/>
        <w:t>：备用金、押金及保证金组合，本组合为款项性质为备用金、押金及保证</w:t>
      </w:r>
    </w:p>
    <w:p>
      <w:pPr>
        <w:pStyle w:val="BodyText"/>
        <w:spacing w:line="240" w:lineRule="auto" w:before="19"/>
        <w:ind w:left="164" w:right="0"/>
        <w:jc w:val="both"/>
      </w:pPr>
      <w:r>
        <w:rPr/>
        <w:t>金等的应收款项。</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4"/>
          <w:szCs w:val="24"/>
        </w:rPr>
      </w:pPr>
    </w:p>
    <w:p>
      <w:pPr>
        <w:pStyle w:val="BodyText"/>
        <w:spacing w:line="364" w:lineRule="auto" w:before="0"/>
        <w:ind w:left="645" w:right="6673" w:hanging="12"/>
        <w:jc w:val="left"/>
      </w:pPr>
      <w:r>
        <w:rPr/>
        <w:t>按组合计提坏账准备的计提方法： 组合</w:t>
      </w:r>
      <w:r>
        <w:rPr>
          <w:rFonts w:ascii="宋体" w:hAnsi="宋体" w:cs="宋体" w:eastAsia="宋体" w:hint="default"/>
        </w:rPr>
        <w:t>1</w:t>
      </w:r>
      <w:r>
        <w:rPr/>
        <w:t>：账龄分析法。</w:t>
      </w:r>
    </w:p>
    <w:p>
      <w:pPr>
        <w:pStyle w:val="BodyText"/>
        <w:spacing w:line="374" w:lineRule="auto" w:before="48"/>
        <w:ind w:left="645" w:right="4381"/>
        <w:jc w:val="left"/>
      </w:pPr>
      <w:r>
        <w:rPr/>
        <w:t>组合</w:t>
      </w:r>
      <w:r>
        <w:rPr>
          <w:rFonts w:ascii="宋体" w:hAnsi="宋体" w:cs="宋体" w:eastAsia="宋体" w:hint="default"/>
        </w:rPr>
        <w:t>2</w:t>
      </w:r>
      <w:r>
        <w:rPr/>
        <w:t>：应收关联方款项如无减值迹象不计提坏账准备。 组合</w:t>
      </w:r>
      <w:r>
        <w:rPr>
          <w:rFonts w:ascii="宋体" w:hAnsi="宋体" w:cs="宋体" w:eastAsia="宋体" w:hint="default"/>
        </w:rPr>
        <w:t>3</w:t>
      </w:r>
      <w:r>
        <w:rPr/>
        <w:t>：不计提坏账准备。</w:t>
      </w:r>
    </w:p>
    <w:p>
      <w:pPr>
        <w:spacing w:line="240" w:lineRule="auto" w:before="5"/>
        <w:rPr>
          <w:rFonts w:ascii="宋体" w:hAnsi="宋体" w:cs="宋体" w:eastAsia="宋体" w:hint="default"/>
          <w:sz w:val="19"/>
          <w:szCs w:val="19"/>
        </w:rPr>
      </w:pPr>
    </w:p>
    <w:tbl>
      <w:tblPr>
        <w:tblW w:w="0" w:type="auto"/>
        <w:jc w:val="left"/>
        <w:tblInd w:w="117" w:type="dxa"/>
        <w:tblLayout w:type="fixed"/>
        <w:tblCellMar>
          <w:top w:w="0" w:type="dxa"/>
          <w:left w:w="0" w:type="dxa"/>
          <w:bottom w:w="0" w:type="dxa"/>
          <w:right w:w="0" w:type="dxa"/>
        </w:tblCellMar>
        <w:tblLook w:val="01E0"/>
      </w:tblPr>
      <w:tblGrid>
        <w:gridCol w:w="4178"/>
        <w:gridCol w:w="2294"/>
        <w:gridCol w:w="2392"/>
      </w:tblGrid>
      <w:tr>
        <w:trPr>
          <w:trHeight w:val="693"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80" w:lineRule="auto" w:before="36"/>
              <w:ind w:left="47" w:right="148" w:hanging="12"/>
              <w:jc w:val="left"/>
              <w:rPr>
                <w:rFonts w:ascii="宋体" w:hAnsi="宋体" w:cs="宋体" w:eastAsia="宋体" w:hint="default"/>
                <w:sz w:val="21"/>
                <w:szCs w:val="21"/>
              </w:rPr>
            </w:pPr>
            <w:r>
              <w:rPr>
                <w:rFonts w:ascii="宋体" w:hAnsi="宋体" w:cs="宋体" w:eastAsia="宋体" w:hint="default"/>
                <w:spacing w:val="-2"/>
                <w:sz w:val="21"/>
                <w:szCs w:val="21"/>
              </w:rPr>
              <w:t>组合中，采用账龄分析法计提坏账准备的：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u w:val="single" w:color="000000"/>
              </w:rPr>
              <w:t>账龄</w:t>
            </w:r>
            <w:r>
              <w:rPr>
                <w:rFonts w:ascii="宋体" w:hAnsi="宋体" w:cs="宋体" w:eastAsia="宋体" w:hint="default"/>
                <w:sz w:val="21"/>
                <w:szCs w:val="21"/>
              </w:rPr>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460"/>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2"/>
                <w:sz w:val="21"/>
                <w:szCs w:val="21"/>
                <w:u w:val="single" w:color="000000"/>
              </w:rPr>
              <w:t>应收账款计提比例</w:t>
            </w:r>
            <w:r>
              <w:rPr>
                <w:rFonts w:ascii="宋体" w:hAnsi="宋体" w:cs="宋体" w:eastAsia="宋体" w:hint="default"/>
                <w:spacing w:val="-2"/>
                <w:sz w:val="21"/>
                <w:szCs w:val="21"/>
              </w:rPr>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34"/>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其他应收款计提比例</w:t>
            </w:r>
            <w:r>
              <w:rPr>
                <w:rFonts w:ascii="宋体" w:hAnsi="宋体" w:cs="宋体" w:eastAsia="宋体" w:hint="default"/>
                <w:spacing w:val="-1"/>
                <w:sz w:val="21"/>
                <w:szCs w:val="21"/>
              </w:rPr>
            </w:r>
          </w:p>
        </w:tc>
      </w:tr>
      <w:tr>
        <w:trPr>
          <w:trHeight w:val="338"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87" w:lineRule="exact"/>
              <w:ind w:left="4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62"/>
              <w:jc w:val="right"/>
              <w:rPr>
                <w:rFonts w:ascii="Times New Roman" w:hAnsi="Times New Roman" w:cs="Times New Roman" w:eastAsia="Times New Roman" w:hint="default"/>
                <w:sz w:val="21"/>
                <w:szCs w:val="21"/>
              </w:rPr>
            </w:pPr>
            <w:r>
              <w:rPr>
                <w:rFonts w:ascii="Times New Roman"/>
                <w:sz w:val="21"/>
              </w:rPr>
              <w:t>5%</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
              <w:jc w:val="right"/>
              <w:rPr>
                <w:rFonts w:ascii="Times New Roman" w:hAnsi="Times New Roman" w:cs="Times New Roman" w:eastAsia="Times New Roman" w:hint="default"/>
                <w:sz w:val="21"/>
                <w:szCs w:val="21"/>
              </w:rPr>
            </w:pPr>
            <w:r>
              <w:rPr>
                <w:rFonts w:ascii="Times New Roman"/>
                <w:sz w:val="21"/>
              </w:rPr>
              <w:t>5%</w:t>
            </w:r>
          </w:p>
        </w:tc>
      </w:tr>
      <w:tr>
        <w:trPr>
          <w:trHeight w:val="332"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82" w:lineRule="exact"/>
              <w:ind w:left="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21"/>
                <w:szCs w:val="21"/>
              </w:rPr>
            </w:pPr>
            <w:r>
              <w:rPr>
                <w:rFonts w:ascii="Times New Roman"/>
                <w:sz w:val="21"/>
              </w:rPr>
              <w:t>10%</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21"/>
                <w:szCs w:val="21"/>
              </w:rPr>
            </w:pPr>
            <w:r>
              <w:rPr>
                <w:rFonts w:ascii="Times New Roman"/>
                <w:sz w:val="21"/>
              </w:rPr>
              <w:t>10%</w:t>
            </w:r>
          </w:p>
        </w:tc>
      </w:tr>
      <w:tr>
        <w:trPr>
          <w:trHeight w:val="331"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81" w:lineRule="exact"/>
              <w:ind w:left="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59"/>
              <w:jc w:val="right"/>
              <w:rPr>
                <w:rFonts w:ascii="Times New Roman" w:hAnsi="Times New Roman" w:cs="Times New Roman" w:eastAsia="Times New Roman" w:hint="default"/>
                <w:sz w:val="21"/>
                <w:szCs w:val="21"/>
              </w:rPr>
            </w:pPr>
            <w:r>
              <w:rPr>
                <w:rFonts w:ascii="Times New Roman"/>
                <w:sz w:val="21"/>
              </w:rPr>
              <w:t>30%</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Times New Roman" w:hAnsi="Times New Roman" w:cs="Times New Roman" w:eastAsia="Times New Roman" w:hint="default"/>
                <w:sz w:val="21"/>
                <w:szCs w:val="21"/>
              </w:rPr>
            </w:pPr>
            <w:r>
              <w:rPr>
                <w:rFonts w:ascii="Times New Roman"/>
                <w:sz w:val="21"/>
              </w:rPr>
              <w:t>30%</w:t>
            </w:r>
          </w:p>
        </w:tc>
      </w:tr>
      <w:tr>
        <w:trPr>
          <w:trHeight w:val="333"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81" w:lineRule="exact"/>
              <w:ind w:left="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59"/>
              <w:jc w:val="right"/>
              <w:rPr>
                <w:rFonts w:ascii="Times New Roman" w:hAnsi="Times New Roman" w:cs="Times New Roman" w:eastAsia="Times New Roman" w:hint="default"/>
                <w:sz w:val="21"/>
                <w:szCs w:val="21"/>
              </w:rPr>
            </w:pPr>
            <w:r>
              <w:rPr>
                <w:rFonts w:ascii="Times New Roman"/>
                <w:sz w:val="21"/>
              </w:rPr>
              <w:t>50%</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Times New Roman" w:hAnsi="Times New Roman" w:cs="Times New Roman" w:eastAsia="Times New Roman" w:hint="default"/>
                <w:sz w:val="21"/>
                <w:szCs w:val="21"/>
              </w:rPr>
            </w:pPr>
            <w:r>
              <w:rPr>
                <w:rFonts w:ascii="Times New Roman"/>
                <w:sz w:val="21"/>
              </w:rPr>
              <w:t>50%</w:t>
            </w:r>
          </w:p>
        </w:tc>
      </w:tr>
      <w:tr>
        <w:trPr>
          <w:trHeight w:val="333"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83" w:lineRule="exact"/>
              <w:ind w:left="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9"/>
              <w:jc w:val="right"/>
              <w:rPr>
                <w:rFonts w:ascii="Times New Roman" w:hAnsi="Times New Roman" w:cs="Times New Roman" w:eastAsia="Times New Roman" w:hint="default"/>
                <w:sz w:val="21"/>
                <w:szCs w:val="21"/>
              </w:rPr>
            </w:pPr>
            <w:r>
              <w:rPr>
                <w:rFonts w:ascii="Times New Roman"/>
                <w:sz w:val="21"/>
              </w:rPr>
              <w:t>80%</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21"/>
                <w:szCs w:val="21"/>
              </w:rPr>
            </w:pPr>
            <w:r>
              <w:rPr>
                <w:rFonts w:ascii="Times New Roman"/>
                <w:sz w:val="21"/>
              </w:rPr>
              <w:t>80%</w:t>
            </w:r>
          </w:p>
        </w:tc>
      </w:tr>
      <w:tr>
        <w:trPr>
          <w:trHeight w:val="377"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81" w:lineRule="exact"/>
              <w:ind w:left="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59"/>
              <w:jc w:val="right"/>
              <w:rPr>
                <w:rFonts w:ascii="Times New Roman" w:hAnsi="Times New Roman" w:cs="Times New Roman" w:eastAsia="Times New Roman" w:hint="default"/>
                <w:sz w:val="21"/>
                <w:szCs w:val="21"/>
              </w:rPr>
            </w:pPr>
            <w:r>
              <w:rPr>
                <w:rFonts w:ascii="Times New Roman"/>
                <w:sz w:val="21"/>
              </w:rPr>
              <w:t>100%</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1"/>
        <w:rPr>
          <w:rFonts w:ascii="宋体" w:hAnsi="宋体" w:cs="宋体" w:eastAsia="宋体" w:hint="default"/>
          <w:sz w:val="16"/>
          <w:szCs w:val="16"/>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单项金额虽不重大但单项计提坏账准备的应收款项</w:t>
      </w:r>
    </w:p>
    <w:p>
      <w:pPr>
        <w:tabs>
          <w:tab w:pos="3252" w:val="left" w:leader="none"/>
          <w:tab w:pos="6415" w:val="left" w:leader="none"/>
        </w:tabs>
        <w:spacing w:line="290" w:lineRule="auto" w:before="31"/>
        <w:ind w:left="152" w:right="1983" w:firstLine="12"/>
        <w:jc w:val="left"/>
        <w:rPr>
          <w:rFonts w:ascii="宋体" w:hAnsi="宋体" w:cs="宋体" w:eastAsia="宋体" w:hint="default"/>
          <w:sz w:val="21"/>
          <w:szCs w:val="21"/>
        </w:rPr>
      </w:pPr>
      <w:r>
        <w:rPr>
          <w:rFonts w:ascii="宋体" w:hAnsi="宋体" w:cs="宋体" w:eastAsia="宋体" w:hint="default"/>
          <w:spacing w:val="-2"/>
          <w:sz w:val="21"/>
          <w:szCs w:val="21"/>
        </w:rPr>
        <w:t>单项计提坏账准备的理由：</w:t>
        <w:tab/>
        <w:tab/>
        <w:t>有客观证据表明发生了减值</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坏账准备的计提方法：</w:t>
        <w:tab/>
        <w:t>根据其未来现金流量现值低于其账面价值的差额计提坏账准备</w:t>
      </w:r>
    </w:p>
    <w:p>
      <w:pPr>
        <w:spacing w:line="240" w:lineRule="auto" w:before="1"/>
        <w:rPr>
          <w:rFonts w:ascii="宋体" w:hAnsi="宋体" w:cs="宋体" w:eastAsia="宋体" w:hint="default"/>
          <w:sz w:val="24"/>
          <w:szCs w:val="24"/>
        </w:rPr>
      </w:pPr>
    </w:p>
    <w:p>
      <w:pPr>
        <w:spacing w:line="264" w:lineRule="auto" w:before="0"/>
        <w:ind w:left="152" w:right="98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对于其他应收款项的坏账准备计提方法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对于应收票据、预付款项、应收利息、应收股利、长期应收款应当按个别认定法进行减值测试。有客观证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据表明其发生了减值的，根据其未来现金流量现值低于其账面价值的差额，确认减值损失，计提坏账准备。</w:t>
      </w:r>
    </w:p>
    <w:p>
      <w:pPr>
        <w:spacing w:after="0" w:line="264"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4513"/>
        <w:jc w:val="left"/>
      </w:pPr>
      <w:r>
        <w:rPr/>
        <w:t>存货的分类 存货包括原材料、项目成本、库存商品以及周转材料。 发出存货的计价方法</w:t>
      </w:r>
    </w:p>
    <w:p>
      <w:pPr>
        <w:pStyle w:val="BodyText"/>
        <w:spacing w:line="357" w:lineRule="auto"/>
        <w:ind w:left="633" w:right="4513"/>
        <w:jc w:val="left"/>
      </w:pPr>
      <w:r>
        <w:rPr/>
        <w:t>发出存货时按个别计价法计价。 存货可变现净值的确定依据及存货跌价准备的计提方法</w:t>
      </w:r>
    </w:p>
    <w:p>
      <w:pPr>
        <w:pStyle w:val="BodyText"/>
        <w:spacing w:line="357" w:lineRule="auto"/>
        <w:ind w:right="986" w:firstLine="480"/>
        <w:jc w:val="left"/>
      </w:pPr>
      <w:r>
        <w:rPr>
          <w:spacing w:val="-3"/>
        </w:rPr>
        <w:t>于资产负债表日，存货按照成本与可变现净值孰低计量，存货成本高于其可变现净值的，</w:t>
      </w:r>
      <w:r>
        <w:rPr/>
        <w:t> 应当计提存货跌价准备，计入当期损益。可变现净值，是指在日常活动中，存货的估计售价</w:t>
      </w:r>
      <w:r>
        <w:rPr>
          <w:spacing w:val="-91"/>
        </w:rPr>
        <w:t> </w:t>
      </w:r>
      <w:r>
        <w:rPr>
          <w:spacing w:val="-91"/>
        </w:rPr>
      </w:r>
      <w:r>
        <w:rPr/>
        <w:t>减去至完工时估计将要发生的成本、估计的销售费用以及相关税费后的金额。</w:t>
      </w:r>
    </w:p>
    <w:p>
      <w:pPr>
        <w:pStyle w:val="BodyText"/>
        <w:spacing w:line="240" w:lineRule="auto"/>
        <w:ind w:left="633" w:right="1104"/>
        <w:jc w:val="left"/>
      </w:pPr>
      <w:r>
        <w:rPr/>
        <w:t>各类存货可变现净值的确定依据如下：</w:t>
      </w:r>
    </w:p>
    <w:p>
      <w:pPr>
        <w:pStyle w:val="BodyText"/>
        <w:spacing w:line="357" w:lineRule="auto" w:before="154"/>
        <w:ind w:right="986" w:firstLine="480"/>
        <w:jc w:val="left"/>
      </w:pPr>
      <w:r>
        <w:rPr>
          <w:spacing w:val="-3"/>
        </w:rPr>
        <w:t>①产成品、商品和用于出售的材料等直接用于出售的商品存货，在正常生产经营过程中，</w:t>
      </w:r>
      <w:r>
        <w:rPr/>
        <w:t> 以该存货的估计售价减去估计的销售费用和相关税费后的金额，确定其可变现净值。</w:t>
      </w:r>
    </w:p>
    <w:p>
      <w:pPr>
        <w:pStyle w:val="BodyText"/>
        <w:spacing w:line="357" w:lineRule="auto"/>
        <w:ind w:right="996" w:firstLine="480"/>
        <w:jc w:val="left"/>
      </w:pPr>
      <w:r>
        <w:rPr/>
        <w:t>②需要经过加工的材料存货，在正常生产经营过程中，以所生产的产成品的估计售价减 </w:t>
      </w:r>
      <w:r>
        <w:rPr>
          <w:spacing w:val="-2"/>
        </w:rPr>
        <w:t>去至完工时估计将要发生的成本、估计的销售费用和相关税费后的金额，确定其可变现净值。</w:t>
      </w:r>
    </w:p>
    <w:p>
      <w:pPr>
        <w:pStyle w:val="BodyText"/>
        <w:spacing w:line="357" w:lineRule="auto"/>
        <w:ind w:right="1139" w:firstLine="480"/>
        <w:jc w:val="both"/>
      </w:pPr>
      <w:r>
        <w:rPr/>
        <w:t>③资产负债表日，同一项存货中一部分有合同价格约定、其他部分不存在合同价格的， 应当分别确定其可变现净值，并与其相对应的成本进行比较，分别确定存货跌价准备的计提</w:t>
      </w:r>
      <w:r>
        <w:rPr>
          <w:spacing w:val="-91"/>
        </w:rPr>
        <w:t> </w:t>
      </w:r>
      <w:r>
        <w:rPr>
          <w:spacing w:val="-91"/>
        </w:rPr>
      </w:r>
      <w:r>
        <w:rPr/>
        <w:t>或转回的金额。</w:t>
      </w:r>
    </w:p>
    <w:p>
      <w:pPr>
        <w:pStyle w:val="BodyText"/>
        <w:spacing w:line="357" w:lineRule="auto"/>
        <w:ind w:right="1136" w:firstLine="480"/>
        <w:jc w:val="both"/>
      </w:pPr>
      <w:r>
        <w:rPr/>
        <w:t>存货跌价准备按单个存货项目</w:t>
      </w:r>
      <w:r>
        <w:rPr>
          <w:rFonts w:ascii="宋体" w:hAnsi="宋体" w:cs="宋体" w:eastAsia="宋体" w:hint="default"/>
        </w:rPr>
        <w:t>(</w:t>
      </w:r>
      <w:r>
        <w:rPr/>
        <w:t>或存货类别</w:t>
      </w:r>
      <w:r>
        <w:rPr>
          <w:rFonts w:ascii="宋体" w:hAnsi="宋体" w:cs="宋体" w:eastAsia="宋体" w:hint="default"/>
        </w:rPr>
        <w:t>)</w:t>
      </w:r>
      <w:r>
        <w:rPr/>
        <w:t>计提，与在同一地区生产和销售的产品系列 相关、具有相同或类似最终用途或目的，且难以与其他项目分开计量的存货，合并计提存货</w:t>
      </w:r>
      <w:r>
        <w:rPr>
          <w:spacing w:val="-91"/>
        </w:rPr>
        <w:t> </w:t>
      </w:r>
      <w:r>
        <w:rPr>
          <w:spacing w:val="-91"/>
        </w:rPr>
      </w:r>
      <w:r>
        <w:rPr/>
        <w:t>跌价准备。</w:t>
      </w:r>
    </w:p>
    <w:p>
      <w:pPr>
        <w:spacing w:line="240" w:lineRule="auto" w:before="0"/>
        <w:rPr>
          <w:rFonts w:ascii="宋体" w:hAnsi="宋体" w:cs="宋体" w:eastAsia="宋体" w:hint="default"/>
          <w:sz w:val="24"/>
          <w:szCs w:val="24"/>
        </w:rPr>
      </w:pPr>
    </w:p>
    <w:p>
      <w:pPr>
        <w:pStyle w:val="BodyText"/>
        <w:spacing w:line="357" w:lineRule="auto" w:before="191"/>
        <w:ind w:left="633" w:right="6673"/>
        <w:jc w:val="left"/>
      </w:pPr>
      <w:r>
        <w:rPr/>
        <w:t>存货的盘存制度 存货的盘存制度采用永续盘存制。 低值易耗品和包装物的摊销方法 对低值易耗品采用一次转销法。 对包装物采用一次转销法。</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633" w:right="1104"/>
        <w:jc w:val="left"/>
      </w:pPr>
      <w:r>
        <w:rPr/>
        <w:t>长期股权投资是指公司对被投资单位实施控制、重大影响的权益性投资，以及对其合营</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1104"/>
        <w:jc w:val="left"/>
      </w:pPr>
      <w:r>
        <w:rPr/>
        <w:t>企业的投资。</w:t>
      </w:r>
    </w:p>
    <w:p>
      <w:pPr>
        <w:pStyle w:val="BodyText"/>
        <w:spacing w:line="357" w:lineRule="auto" w:before="154"/>
        <w:ind w:left="633" w:right="1104"/>
        <w:jc w:val="left"/>
      </w:pPr>
      <w:r>
        <w:rPr/>
        <w:t>投资成本确定 除对外合并形成的长期股权投资以外，其他方式取得的长期股权投资，按照下列规定确</w:t>
      </w:r>
    </w:p>
    <w:p>
      <w:pPr>
        <w:pStyle w:val="BodyText"/>
        <w:spacing w:line="240" w:lineRule="auto"/>
        <w:ind w:right="1104"/>
        <w:jc w:val="left"/>
      </w:pPr>
      <w:r>
        <w:rPr/>
        <w:t>定其初始投资成本：</w:t>
      </w:r>
    </w:p>
    <w:p>
      <w:pPr>
        <w:pStyle w:val="BodyText"/>
        <w:spacing w:line="357" w:lineRule="auto" w:before="154"/>
        <w:ind w:right="1130" w:firstLine="480"/>
        <w:jc w:val="both"/>
      </w:pPr>
      <w:r>
        <w:rPr>
          <w:spacing w:val="-3"/>
        </w:rPr>
        <w:t>（</w:t>
      </w:r>
      <w:r>
        <w:rPr>
          <w:rFonts w:ascii="宋体" w:hAnsi="宋体" w:cs="宋体" w:eastAsia="宋体" w:hint="default"/>
          <w:spacing w:val="-3"/>
        </w:rPr>
        <w:t>1</w:t>
      </w:r>
      <w:r>
        <w:rPr>
          <w:spacing w:val="-3"/>
        </w:rPr>
        <w:t>）以支付现金取得的长期股权投资，按照实际支付的购买价款作为初始投资成本。初</w:t>
      </w:r>
      <w:r>
        <w:rPr/>
        <w:t> 始投资成本包括与取得长期股权投资直接相关的费用、税金及其他必要支出；</w:t>
      </w:r>
    </w:p>
    <w:p>
      <w:pPr>
        <w:pStyle w:val="BodyText"/>
        <w:spacing w:line="357" w:lineRule="auto"/>
        <w:ind w:right="1132" w:firstLine="480"/>
        <w:jc w:val="both"/>
      </w:pPr>
      <w:r>
        <w:rPr>
          <w:spacing w:val="-3"/>
        </w:rPr>
        <w:t>（</w:t>
      </w:r>
      <w:r>
        <w:rPr>
          <w:rFonts w:ascii="宋体" w:hAnsi="宋体" w:cs="宋体" w:eastAsia="宋体" w:hint="default"/>
          <w:spacing w:val="-3"/>
        </w:rPr>
        <w:t>2</w:t>
      </w:r>
      <w:r>
        <w:rPr>
          <w:spacing w:val="-3"/>
        </w:rPr>
        <w:t>）以发行权益性证券取得的长期股权投资，按照发行权益性证券的公允价值作为初始</w:t>
      </w:r>
      <w:r>
        <w:rPr/>
        <w:t> 投资成本；</w:t>
      </w:r>
    </w:p>
    <w:p>
      <w:pPr>
        <w:pStyle w:val="BodyText"/>
        <w:spacing w:line="357" w:lineRule="auto"/>
        <w:ind w:right="1130" w:firstLine="480"/>
        <w:jc w:val="both"/>
      </w:pPr>
      <w:r>
        <w:rPr>
          <w:spacing w:val="-3"/>
        </w:rPr>
        <w:t>（</w:t>
      </w:r>
      <w:r>
        <w:rPr>
          <w:rFonts w:ascii="宋体" w:hAnsi="宋体" w:cs="宋体" w:eastAsia="宋体" w:hint="default"/>
          <w:spacing w:val="-3"/>
        </w:rPr>
        <w:t>3</w:t>
      </w:r>
      <w:r>
        <w:rPr>
          <w:spacing w:val="-3"/>
        </w:rPr>
        <w:t>）通过非货币性资产交换取得的长期股权投资，其初始投资成本应当按照《企业会计</w:t>
      </w:r>
      <w:r>
        <w:rPr/>
        <w:t> 准则第</w:t>
      </w:r>
      <w:r>
        <w:rPr>
          <w:rFonts w:ascii="宋体" w:hAnsi="宋体" w:cs="宋体" w:eastAsia="宋体" w:hint="default"/>
        </w:rPr>
        <w:t>7</w:t>
      </w:r>
      <w:r>
        <w:rPr/>
        <w:t>号—非货币性资产交换》确定；</w:t>
      </w:r>
    </w:p>
    <w:p>
      <w:pPr>
        <w:pStyle w:val="BodyText"/>
        <w:spacing w:line="357" w:lineRule="auto"/>
        <w:ind w:right="1128" w:firstLine="480"/>
        <w:jc w:val="both"/>
      </w:pPr>
      <w:r>
        <w:rPr>
          <w:spacing w:val="-2"/>
        </w:rPr>
        <w:t>（</w:t>
      </w:r>
      <w:r>
        <w:rPr>
          <w:rFonts w:ascii="宋体" w:hAnsi="宋体" w:cs="宋体" w:eastAsia="宋体" w:hint="default"/>
          <w:spacing w:val="-2"/>
        </w:rPr>
        <w:t>4</w:t>
      </w:r>
      <w:r>
        <w:rPr>
          <w:spacing w:val="-2"/>
        </w:rPr>
        <w:t>）通过债务重组取得的长期股权投资，其初始投资成本应当按照《企业会计准则第</w:t>
      </w:r>
      <w:r>
        <w:rPr>
          <w:rFonts w:ascii="宋体" w:hAnsi="宋体" w:cs="宋体" w:eastAsia="宋体" w:hint="default"/>
          <w:spacing w:val="-2"/>
        </w:rPr>
        <w:t>12</w:t>
      </w:r>
      <w:r>
        <w:rPr>
          <w:rFonts w:ascii="宋体" w:hAnsi="宋体" w:cs="宋体" w:eastAsia="宋体" w:hint="default"/>
        </w:rPr>
        <w:t> </w:t>
      </w:r>
      <w:r>
        <w:rPr/>
        <w:t>号—债务重组》确定。</w:t>
      </w:r>
    </w:p>
    <w:p>
      <w:pPr>
        <w:spacing w:line="240" w:lineRule="auto" w:before="0"/>
        <w:rPr>
          <w:rFonts w:ascii="宋体" w:hAnsi="宋体" w:cs="宋体" w:eastAsia="宋体" w:hint="default"/>
          <w:sz w:val="24"/>
          <w:szCs w:val="24"/>
        </w:rPr>
      </w:pPr>
    </w:p>
    <w:p>
      <w:pPr>
        <w:pStyle w:val="BodyText"/>
        <w:spacing w:line="240" w:lineRule="auto" w:before="190"/>
        <w:ind w:left="633" w:right="1104"/>
        <w:jc w:val="left"/>
      </w:pPr>
      <w:r>
        <w:rPr/>
        <w:t>后续计量及损益确认方法</w:t>
      </w:r>
    </w:p>
    <w:p>
      <w:pPr>
        <w:pStyle w:val="BodyText"/>
        <w:spacing w:line="357" w:lineRule="auto" w:before="154"/>
        <w:ind w:left="633" w:right="1104"/>
        <w:jc w:val="left"/>
      </w:pPr>
      <w:r>
        <w:rPr/>
        <w:t>（</w:t>
      </w:r>
      <w:r>
        <w:rPr>
          <w:rFonts w:ascii="宋体" w:hAnsi="宋体" w:cs="宋体" w:eastAsia="宋体" w:hint="default"/>
        </w:rPr>
        <w:t>1</w:t>
      </w:r>
      <w:r>
        <w:rPr/>
        <w:t>）下列长期股权投资采用成本法核算： 公司能够对被投资单位实施控制的长期股权投资。 采用成本法核算的长期股权投资按照初始投资成本计价。追加或收回投资应当调整长期</w:t>
      </w:r>
    </w:p>
    <w:p>
      <w:pPr>
        <w:pStyle w:val="BodyText"/>
        <w:spacing w:line="240" w:lineRule="auto"/>
        <w:ind w:right="1104"/>
        <w:jc w:val="left"/>
      </w:pPr>
      <w:r>
        <w:rPr/>
        <w:t>股权投资的成本。被投资单位宣告分派的现金股利或利润，确认为当期投资收益。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1131" w:firstLine="480"/>
        <w:jc w:val="both"/>
      </w:pPr>
      <w:r>
        <w:rPr>
          <w:spacing w:val="-3"/>
        </w:rPr>
        <w:t>（</w:t>
      </w:r>
      <w:r>
        <w:rPr>
          <w:rFonts w:ascii="宋体" w:hAnsi="宋体" w:cs="宋体" w:eastAsia="宋体" w:hint="default"/>
          <w:spacing w:val="-3"/>
        </w:rPr>
        <w:t>2</w:t>
      </w:r>
      <w:r>
        <w:rPr>
          <w:spacing w:val="-3"/>
        </w:rPr>
        <w:t>）对被投资单位具有共同控制</w:t>
      </w:r>
      <w:r>
        <w:rPr>
          <w:rFonts w:ascii="宋体" w:hAnsi="宋体" w:cs="宋体" w:eastAsia="宋体" w:hint="default"/>
          <w:spacing w:val="-3"/>
        </w:rPr>
        <w:t>(</w:t>
      </w:r>
      <w:r>
        <w:rPr>
          <w:spacing w:val="-3"/>
        </w:rPr>
        <w:t>指合营企业</w:t>
      </w:r>
      <w:r>
        <w:rPr>
          <w:rFonts w:ascii="宋体" w:hAnsi="宋体" w:cs="宋体" w:eastAsia="宋体" w:hint="default"/>
          <w:spacing w:val="-3"/>
        </w:rPr>
        <w:t>)</w:t>
      </w:r>
      <w:r>
        <w:rPr>
          <w:spacing w:val="-3"/>
        </w:rPr>
        <w:t>或重大影响的长期股权投资，按照采用权</w:t>
      </w:r>
      <w:r>
        <w:rPr/>
        <w:t> 益法核算。</w:t>
      </w:r>
    </w:p>
    <w:p>
      <w:pPr>
        <w:pStyle w:val="BodyText"/>
        <w:spacing w:line="357" w:lineRule="auto" w:before="37"/>
        <w:ind w:right="1139" w:firstLine="480"/>
        <w:jc w:val="both"/>
      </w:pPr>
      <w:r>
        <w:rPr/>
        <w:t>长期股权投资采用权益法核算时，对长期股权投资的投资成本大于投资时应享有被投资 单位可辨认净资产公允价值份额的，不调整长期股权投资的投资成本；对长期股权投资的投</w:t>
      </w:r>
      <w:r>
        <w:rPr>
          <w:spacing w:val="-91"/>
        </w:rPr>
        <w:t> </w:t>
      </w:r>
      <w:r>
        <w:rPr>
          <w:spacing w:val="-91"/>
        </w:rPr>
      </w:r>
      <w:r>
        <w:rPr/>
        <w:t>资成本小于投资时应享有被投资单位可辨认净资产公允价值份额的，对长期股权投资的账面</w:t>
      </w:r>
      <w:r>
        <w:rPr>
          <w:spacing w:val="-91"/>
        </w:rPr>
        <w:t> </w:t>
      </w:r>
      <w:r>
        <w:rPr>
          <w:spacing w:val="-91"/>
        </w:rPr>
      </w:r>
      <w:r>
        <w:rPr/>
        <w:t>价值进行调整，差额计入投资当期的损益。</w:t>
      </w:r>
    </w:p>
    <w:p>
      <w:pPr>
        <w:pStyle w:val="BodyText"/>
        <w:spacing w:line="357" w:lineRule="auto"/>
        <w:ind w:right="1136" w:firstLine="480"/>
        <w:jc w:val="both"/>
      </w:pPr>
      <w:r>
        <w:rPr/>
        <w:t>在权益法核算时，当取得长期股权投资后，按照应享有或应分担的被投资单位实现的净 损益和其他综合收益的份额，分别确认投资损益和其他综合收益，并调整长期股权投资的账</w:t>
      </w:r>
      <w:r>
        <w:rPr>
          <w:spacing w:val="-89"/>
        </w:rPr>
        <w:t> </w:t>
      </w:r>
      <w:r>
        <w:rPr>
          <w:spacing w:val="-89"/>
        </w:rPr>
      </w:r>
      <w:r>
        <w:rPr/>
        <w:t>面价值。投资企业按照被投资单位宣告分派的利润或现金股利计算应分得的部分，相应减少</w:t>
      </w:r>
      <w:r>
        <w:rPr>
          <w:spacing w:val="-91"/>
        </w:rPr>
        <w:t> </w:t>
      </w:r>
      <w:r>
        <w:rPr>
          <w:spacing w:val="-91"/>
        </w:rPr>
      </w:r>
      <w:r>
        <w:rPr/>
        <w:t>长期股权投资的账面价值。投资方对于被投资单位除净损益、其他综合收益和利润分配以外</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hanging="481"/>
        <w:jc w:val="left"/>
      </w:pPr>
      <w:r>
        <w:rPr/>
        <w:t>所有者权益的其他变动，应当调整长期股权投资的账面价值并计入所有者权益。 确认被投资单位发生的净亏损，以长期股权投资的账面价值以及其他实质上构成对被投</w:t>
      </w:r>
    </w:p>
    <w:p>
      <w:pPr>
        <w:pStyle w:val="BodyText"/>
        <w:spacing w:line="357" w:lineRule="auto"/>
        <w:ind w:right="1139"/>
        <w:jc w:val="both"/>
      </w:pPr>
      <w:r>
        <w:rPr/>
        <w:t>资单位净投资的长期权益减记至零为限，公司对被投资企业负有承担额外损失义务的除外。</w:t>
      </w:r>
      <w:r>
        <w:rPr>
          <w:spacing w:val="-91"/>
        </w:rPr>
        <w:t> </w:t>
      </w:r>
      <w:r>
        <w:rPr>
          <w:spacing w:val="-91"/>
        </w:rPr>
      </w:r>
      <w:r>
        <w:rPr/>
        <w:t>被投资单位以后实现净利润的，投资企业在其收益分享额弥补未确认的亏损分担额后，恢复</w:t>
      </w:r>
      <w:r>
        <w:rPr>
          <w:spacing w:val="-91"/>
        </w:rPr>
        <w:t> </w:t>
      </w:r>
      <w:r>
        <w:rPr>
          <w:spacing w:val="-91"/>
        </w:rPr>
      </w:r>
      <w:r>
        <w:rPr/>
        <w:t>确认收益分享额。</w:t>
      </w:r>
    </w:p>
    <w:p>
      <w:pPr>
        <w:pStyle w:val="BodyText"/>
        <w:spacing w:line="357" w:lineRule="auto"/>
        <w:ind w:right="1140" w:firstLine="480"/>
        <w:jc w:val="both"/>
      </w:pPr>
      <w:r>
        <w:rPr/>
        <w:t>对于被投资单位除净损益、其他综合收益和利润分配以外所有者权益的其他变动，调整 长期股权投资的账面价值并计入所有者权益。</w:t>
      </w:r>
    </w:p>
    <w:p>
      <w:pPr>
        <w:pStyle w:val="BodyText"/>
        <w:spacing w:line="357" w:lineRule="auto" w:before="37"/>
        <w:ind w:right="1139" w:firstLine="480"/>
        <w:jc w:val="both"/>
      </w:pPr>
      <w:r>
        <w:rPr/>
        <w:t>长期股权投资按照权益法核算在确认投资损益时，先对被投资单位的净利润进行取得投 资时被投资单位各项可辨认资产等的公允价值、会计政策和会计期间方面的调整，再按应享</w:t>
      </w:r>
      <w:r>
        <w:rPr>
          <w:spacing w:val="-91"/>
        </w:rPr>
        <w:t> </w:t>
      </w:r>
      <w:r>
        <w:rPr>
          <w:spacing w:val="-91"/>
        </w:rPr>
      </w:r>
      <w:r>
        <w:rPr/>
        <w:t>有或应分担的被投资单位的净损益份额确认当期投资损益。</w:t>
      </w:r>
    </w:p>
    <w:p>
      <w:pPr>
        <w:pStyle w:val="BodyText"/>
        <w:spacing w:line="357" w:lineRule="auto"/>
        <w:ind w:right="1140" w:firstLine="480"/>
        <w:jc w:val="both"/>
      </w:pPr>
      <w:r>
        <w:rPr/>
        <w:t>与联营企业及合营企业之间发生的未实现内部交易损益按照持股比例计算归属于公司的 部分，在抵销基础上确认投资损益。</w:t>
      </w:r>
    </w:p>
    <w:p>
      <w:pPr>
        <w:pStyle w:val="BodyText"/>
        <w:spacing w:line="357" w:lineRule="auto"/>
        <w:ind w:left="633" w:right="1104"/>
        <w:jc w:val="left"/>
      </w:pPr>
      <w:r>
        <w:rPr/>
        <w:t>确定对被投资单位具有共同控制、重大影响的依据 共同控制，是指按照相关约定对某项安排所共有的控制，并且该安排的相关活动必须经</w:t>
      </w:r>
    </w:p>
    <w:p>
      <w:pPr>
        <w:pStyle w:val="BodyText"/>
        <w:spacing w:line="357" w:lineRule="auto"/>
        <w:ind w:right="996"/>
        <w:jc w:val="left"/>
      </w:pPr>
      <w:r>
        <w:rPr/>
        <w:t>过分享控制权的参与方一致同意后才能决策。在判断是否存在共同控制时，首先判断所有参</w:t>
      </w:r>
      <w:r>
        <w:rPr>
          <w:spacing w:val="-91"/>
        </w:rPr>
        <w:t> </w:t>
      </w:r>
      <w:r>
        <w:rPr>
          <w:spacing w:val="-91"/>
        </w:rPr>
      </w:r>
      <w:r>
        <w:rPr/>
        <w:t>与方或参与方组合是否集体控制该安排，如果所有参与方或一组参与方必须一致行动才能决</w:t>
      </w:r>
      <w:r>
        <w:rPr>
          <w:spacing w:val="-91"/>
        </w:rPr>
        <w:t> </w:t>
      </w:r>
      <w:r>
        <w:rPr>
          <w:spacing w:val="-91"/>
        </w:rPr>
      </w:r>
      <w:r>
        <w:rPr/>
        <w:t>定某项安排的相关活动，则认为所有参与方或一组参与方集体控制该安排。其次再判断该安</w:t>
      </w:r>
      <w:r>
        <w:rPr>
          <w:spacing w:val="-91"/>
        </w:rPr>
        <w:t> </w:t>
      </w:r>
      <w:r>
        <w:rPr>
          <w:spacing w:val="-91"/>
        </w:rPr>
      </w:r>
      <w:r>
        <w:rPr/>
        <w:t>排相关活动的决策是否必须经过这些集体控制该安排的参与方一致同意。如果存在两个或两</w:t>
      </w:r>
      <w:r>
        <w:rPr>
          <w:spacing w:val="-91"/>
        </w:rPr>
        <w:t> </w:t>
      </w:r>
      <w:r>
        <w:rPr>
          <w:spacing w:val="-91"/>
        </w:rPr>
      </w:r>
      <w:r>
        <w:rPr>
          <w:spacing w:val="-2"/>
        </w:rPr>
        <w:t>个以上的参与方组合能够集体控制某项安排的，不构成共同控制。判断是否存在共同控制时，</w:t>
      </w:r>
      <w:r>
        <w:rPr/>
        <w:t> 不考虑享有的保护性权利。</w:t>
      </w:r>
    </w:p>
    <w:p>
      <w:pPr>
        <w:pStyle w:val="BodyText"/>
        <w:spacing w:line="357" w:lineRule="auto"/>
        <w:ind w:right="1139" w:firstLine="480"/>
        <w:jc w:val="both"/>
      </w:pPr>
      <w:r>
        <w:rPr/>
        <w:t>重大影响，是指对一个企业的财务和经营政策有参与决策的权力，但并不能够控制或者 与其他方一起共同控制这些政策的制定。在确定能否对被投资单位施加重大影响时，考虑投</w:t>
      </w:r>
      <w:r>
        <w:rPr>
          <w:spacing w:val="-91"/>
        </w:rPr>
        <w:t> </w:t>
      </w:r>
      <w:r>
        <w:rPr>
          <w:spacing w:val="-91"/>
        </w:rPr>
      </w:r>
      <w:r>
        <w:rPr/>
        <w:t>资方直接或间接持有被投资单位的表决权股份以及投资方及其他方持有的当期可执行潜在表</w:t>
      </w:r>
      <w:r>
        <w:rPr>
          <w:spacing w:val="-91"/>
        </w:rPr>
        <w:t> </w:t>
      </w:r>
      <w:r>
        <w:rPr>
          <w:spacing w:val="-91"/>
        </w:rPr>
      </w:r>
      <w:r>
        <w:rPr/>
        <w:t>决权在假定转换为对被投资方单位的股权后产生的影响，包括被投资单位发行的当期可转换</w:t>
      </w:r>
      <w:r>
        <w:rPr>
          <w:spacing w:val="-91"/>
        </w:rPr>
        <w:t> </w:t>
      </w:r>
      <w:r>
        <w:rPr>
          <w:spacing w:val="-91"/>
        </w:rPr>
      </w:r>
      <w:r>
        <w:rPr/>
        <w:t>的认股权证、股份期权及可转换公司债券等的影响。</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60"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spacing w:after="0" w:line="36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7" w:firstLine="480"/>
        <w:jc w:val="both"/>
      </w:pPr>
      <w:r>
        <w:rPr/>
        <w:t>是指为赚取租金或资本增值，或两者兼有而持有的房地产，包括已出租的土地使用权、 持有并准备增值后转让的土地使用权、已出租的建筑物。投资性房地产应当按照成本进行初</w:t>
      </w:r>
      <w:r>
        <w:rPr>
          <w:spacing w:val="-90"/>
        </w:rPr>
        <w:t> </w:t>
      </w:r>
      <w:r>
        <w:rPr>
          <w:spacing w:val="-90"/>
        </w:rPr>
      </w:r>
      <w:r>
        <w:rPr/>
        <w:t>始计量，在资产负债表日采用成本模式对投资性房地产或公允价值模式进行后续计量。</w:t>
      </w:r>
    </w:p>
    <w:p>
      <w:pPr>
        <w:pStyle w:val="BodyText"/>
        <w:spacing w:line="357" w:lineRule="auto"/>
        <w:ind w:right="1140" w:firstLine="480"/>
        <w:jc w:val="both"/>
      </w:pPr>
      <w:r>
        <w:rPr/>
        <w:t>本公司采用成本模式对投资性房地产进行后续计量，并按照与房屋建筑物或土地使用权 一致的政策进行折旧或摊销。</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131" w:firstLine="480"/>
        <w:jc w:val="both"/>
      </w:pPr>
      <w:r>
        <w:rPr/>
        <w:t>固定资产指为生产商品、提供劳务、出租或经营管理而持有，并且使用寿命超过一个会 </w:t>
      </w:r>
      <w:r>
        <w:rPr>
          <w:spacing w:val="-3"/>
        </w:rPr>
        <w:t>计年度的有形资产。固定资产同时满足下列条件的，才能予以确认：①</w:t>
      </w:r>
      <w:r>
        <w:rPr>
          <w:spacing w:val="10"/>
        </w:rPr>
        <w:t> </w:t>
      </w:r>
      <w:r>
        <w:rPr/>
        <w:t>与该固定资产有关的</w:t>
      </w:r>
      <w:r>
        <w:rPr/>
        <w:t> 经济利益很可能流入企业；②</w:t>
      </w:r>
      <w:r>
        <w:rPr>
          <w:spacing w:val="1"/>
        </w:rPr>
        <w:t> </w:t>
      </w:r>
      <w:r>
        <w:rPr/>
        <w:t>该固定资产的成本能够可靠地计量。</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1.90%-3.88%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9.50%-32.33%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19.00%-32.33%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19.00%-32.33%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13.57%-32.33%</w:t>
            </w:r>
          </w:p>
        </w:tc>
      </w:tr>
    </w:tbl>
    <w:p>
      <w:pPr>
        <w:spacing w:line="240" w:lineRule="auto" w:before="3"/>
        <w:rPr>
          <w:rFonts w:ascii="宋体" w:hAnsi="宋体" w:cs="宋体" w:eastAsia="宋体" w:hint="default"/>
          <w:b/>
          <w:bCs/>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033" w:firstLine="480"/>
        <w:jc w:val="left"/>
      </w:pPr>
      <w:r>
        <w:rPr/>
        <w:t>融资租入固定资产的认定依据：实质上转移了与资产所有权有关的全部风险和报酬的租 </w:t>
      </w:r>
      <w:r>
        <w:rPr>
          <w:spacing w:val="-3"/>
        </w:rPr>
        <w:t>赁。具体认定依据为符合下列一项或数项条件的：①</w:t>
      </w:r>
      <w:r>
        <w:rPr>
          <w:spacing w:val="-6"/>
        </w:rPr>
        <w:t> </w:t>
      </w:r>
      <w:r>
        <w:rPr/>
        <w:t>在租赁期届满时，租赁资产的所有权转</w:t>
      </w:r>
      <w:r>
        <w:rPr/>
        <w:t> </w:t>
      </w:r>
      <w:r>
        <w:rPr>
          <w:spacing w:val="-6"/>
        </w:rPr>
        <w:t>移给承租人；②</w:t>
      </w:r>
      <w:r>
        <w:rPr>
          <w:spacing w:val="-23"/>
        </w:rPr>
        <w:t> </w:t>
      </w:r>
      <w:r>
        <w:rPr/>
        <w:t>承租人有购买租赁资产的选择权，所订立的购买价款预计将远低于行使选择</w:t>
      </w:r>
      <w:r>
        <w:rPr/>
        <w:t> 权时租赁资产的公允价值，因而在租赁开始日就可以合理确定承租人会行使这种选择权；③</w:t>
      </w:r>
      <w:r>
        <w:rPr>
          <w:spacing w:val="-91"/>
        </w:rPr>
        <w:t> </w:t>
      </w:r>
      <w:r>
        <w:rPr>
          <w:spacing w:val="-91"/>
        </w:rPr>
      </w:r>
      <w:r>
        <w:rPr>
          <w:spacing w:val="-3"/>
        </w:rPr>
        <w:t>即使资产的所有权不转移，但租赁期占租赁资产使用寿命的大部分；④ </w:t>
      </w:r>
      <w:r>
        <w:rPr/>
        <w:t>承租人在租赁开始日</w:t>
      </w:r>
      <w:r>
        <w:rPr>
          <w:spacing w:val="-105"/>
        </w:rPr>
        <w:t> </w:t>
      </w:r>
      <w:r>
        <w:rPr>
          <w:spacing w:val="-105"/>
        </w:rPr>
      </w:r>
      <w:r>
        <w:rPr/>
        <w:t>的最低租赁付款额现值，几乎相当于租赁开始日租赁资产公允价值；⑤</w:t>
      </w:r>
      <w:r>
        <w:rPr>
          <w:spacing w:val="1"/>
        </w:rPr>
        <w:t> </w:t>
      </w:r>
      <w:r>
        <w:rPr/>
        <w:t>租赁资产性质特殊，</w:t>
      </w:r>
      <w:r>
        <w:rPr/>
        <w:t> 如不作较大改造只有承租人才能使用。融资租入固定资产的计价方法：融资租入固定资产初</w:t>
      </w:r>
      <w:r>
        <w:rPr>
          <w:spacing w:val="-87"/>
        </w:rPr>
        <w:t> </w:t>
      </w:r>
      <w:r>
        <w:rPr>
          <w:spacing w:val="-87"/>
        </w:rPr>
      </w:r>
      <w:r>
        <w:rPr/>
        <w:t>始计价为租赁期开始日租赁资产公允价值与最低租赁付款额现值较低者作为入账价值。融资</w:t>
      </w:r>
      <w:r>
        <w:rPr>
          <w:spacing w:val="-91"/>
        </w:rPr>
        <w:t> </w:t>
      </w:r>
      <w:r>
        <w:rPr>
          <w:spacing w:val="-91"/>
        </w:rPr>
      </w:r>
      <w:r>
        <w:rPr/>
        <w:t>租入固定资产后续计价采用与自有固定资产相一致的折旧政策计提折旧及减值准备。</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3313"/>
        <w:jc w:val="left"/>
      </w:pPr>
      <w:r>
        <w:rPr/>
        <w:t>包括公司基建、更新改造等发生的支出，该项支出包含工程物资； 在建工程达到预定可使用状态时转入固定资产。</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013" w:firstLine="480"/>
        <w:jc w:val="both"/>
      </w:pPr>
      <w:r>
        <w:rPr/>
        <w:t>公司发生的借款费用，可直接归属于符合资本化条件的资产的购建或者生产的，予以资 本化，计入相关资产成本。符合资本化条件的资产，是指需要经过相当长的时间的</w:t>
      </w:r>
      <w:r>
        <w:rPr>
          <w:rFonts w:ascii="宋体" w:hAnsi="宋体" w:cs="宋体" w:eastAsia="宋体" w:hint="default"/>
        </w:rPr>
        <w:t>(</w:t>
      </w:r>
      <w:r>
        <w:rPr/>
        <w:t>通常是指 </w:t>
      </w:r>
      <w:r>
        <w:rPr>
          <w:rFonts w:ascii="宋体" w:hAnsi="宋体" w:cs="宋体" w:eastAsia="宋体" w:hint="default"/>
        </w:rPr>
        <w:t>1</w:t>
      </w:r>
      <w:r>
        <w:rPr/>
        <w:t>年及</w:t>
      </w:r>
      <w:r>
        <w:rPr>
          <w:rFonts w:ascii="宋体" w:hAnsi="宋体" w:cs="宋体" w:eastAsia="宋体" w:hint="default"/>
        </w:rPr>
        <w:t>1</w:t>
      </w:r>
      <w:r>
        <w:rPr/>
        <w:t>年以上</w:t>
      </w:r>
      <w:r>
        <w:rPr>
          <w:rFonts w:ascii="宋体" w:hAnsi="宋体" w:cs="宋体" w:eastAsia="宋体" w:hint="default"/>
        </w:rPr>
        <w:t>)</w:t>
      </w:r>
      <w:r>
        <w:rPr/>
        <w:t>购建或者生产活动才能达到预定可使用可销售状态的固定资产、投资性房地产 和存货等资产。其他借款费用，应当在发生时根据其发生额确认为费用，计入当期损益。借</w:t>
      </w:r>
      <w:r>
        <w:rPr>
          <w:spacing w:val="-91"/>
        </w:rPr>
        <w:t> </w:t>
      </w:r>
      <w:r>
        <w:rPr>
          <w:spacing w:val="-91"/>
        </w:rPr>
      </w:r>
      <w:r>
        <w:rPr>
          <w:spacing w:val="-2"/>
        </w:rPr>
        <w:t>款费用包括借款利息、折价或者溢价的摊销、辅助费用以及因外币借款而发生的汇况差额等。</w:t>
      </w:r>
    </w:p>
    <w:p>
      <w:pPr>
        <w:pStyle w:val="BodyText"/>
        <w:spacing w:line="240" w:lineRule="auto"/>
        <w:ind w:left="633" w:right="1104"/>
        <w:jc w:val="left"/>
      </w:pPr>
      <w:r>
        <w:rPr/>
        <w:t>借款费用同时满足下列条件的，开始资本化：</w:t>
      </w:r>
    </w:p>
    <w:p>
      <w:pPr>
        <w:pStyle w:val="BodyText"/>
        <w:spacing w:line="357" w:lineRule="auto" w:before="154"/>
        <w:ind w:right="1132" w:firstLine="480"/>
        <w:jc w:val="both"/>
      </w:pPr>
      <w:r>
        <w:rPr>
          <w:spacing w:val="-3"/>
        </w:rPr>
        <w:t>（</w:t>
      </w:r>
      <w:r>
        <w:rPr>
          <w:rFonts w:ascii="宋体" w:hAnsi="宋体" w:cs="宋体" w:eastAsia="宋体" w:hint="default"/>
          <w:spacing w:val="-3"/>
        </w:rPr>
        <w:t>1</w:t>
      </w:r>
      <w:r>
        <w:rPr>
          <w:spacing w:val="-3"/>
        </w:rPr>
        <w:t>）资产支出已发生，资产支出包括为购建或者生产符合资本化条件的资产而支付的现</w:t>
      </w:r>
      <w:r>
        <w:rPr/>
        <w:t> 金、转移非现金资产或者承担带息债务形式发生的支出；</w:t>
      </w:r>
    </w:p>
    <w:p>
      <w:pPr>
        <w:pStyle w:val="BodyText"/>
        <w:spacing w:line="240" w:lineRule="auto"/>
        <w:ind w:left="633" w:right="1104"/>
        <w:jc w:val="left"/>
      </w:pPr>
      <w:r>
        <w:rPr/>
        <w:t>（</w:t>
      </w:r>
      <w:r>
        <w:rPr>
          <w:rFonts w:ascii="宋体" w:hAnsi="宋体" w:cs="宋体" w:eastAsia="宋体" w:hint="default"/>
        </w:rPr>
        <w:t>2</w:t>
      </w:r>
      <w:r>
        <w:rPr/>
        <w:t>）借款费用已经发生；</w:t>
      </w:r>
    </w:p>
    <w:p>
      <w:pPr>
        <w:pStyle w:val="BodyText"/>
        <w:spacing w:line="357" w:lineRule="auto" w:before="154"/>
        <w:ind w:left="633" w:right="1104"/>
        <w:jc w:val="left"/>
      </w:pPr>
      <w:r>
        <w:rPr/>
        <w:t>（</w:t>
      </w:r>
      <w:r>
        <w:rPr>
          <w:rFonts w:ascii="宋体" w:hAnsi="宋体" w:cs="宋体" w:eastAsia="宋体" w:hint="default"/>
        </w:rPr>
        <w:t>3</w:t>
      </w:r>
      <w:r>
        <w:rPr/>
        <w:t>）为使资产达到预定可使用或者可销售状态所必要的购建或者生产活动已经开始。 购建或者生产符合资本化条件的资产达到预定可使用或者可销售状态时，借款费用停止</w:t>
      </w:r>
    </w:p>
    <w:p>
      <w:pPr>
        <w:pStyle w:val="BodyText"/>
        <w:spacing w:line="240" w:lineRule="auto"/>
        <w:ind w:right="1104"/>
        <w:jc w:val="left"/>
      </w:pPr>
      <w:r>
        <w:rPr/>
        <w:t>资本化。</w:t>
      </w:r>
    </w:p>
    <w:p>
      <w:pPr>
        <w:pStyle w:val="BodyText"/>
        <w:spacing w:line="357" w:lineRule="auto" w:before="154"/>
        <w:ind w:right="1126" w:firstLine="480"/>
        <w:jc w:val="both"/>
      </w:pPr>
      <w:r>
        <w:rPr>
          <w:spacing w:val="3"/>
        </w:rPr>
        <w:t>符合资本化条件的资产在购建或者生产过程中发生非正常中断，且中断时间连续超过</w:t>
      </w:r>
      <w:r>
        <w:rPr>
          <w:rFonts w:ascii="宋体" w:hAnsi="宋体" w:cs="宋体" w:eastAsia="宋体" w:hint="default"/>
          <w:spacing w:val="3"/>
        </w:rPr>
        <w:t>3</w:t>
      </w:r>
      <w:r>
        <w:rPr>
          <w:rFonts w:ascii="宋体" w:hAnsi="宋体" w:cs="宋体" w:eastAsia="宋体" w:hint="default"/>
        </w:rPr>
        <w:t> </w:t>
      </w:r>
      <w:r>
        <w:rPr/>
        <w:t>个月的，暂停借款费用的资本化。在中断期间发生的借款费用确认为费用，计入当期损益，</w:t>
      </w:r>
      <w:r>
        <w:rPr>
          <w:spacing w:val="-91"/>
        </w:rPr>
        <w:t> </w:t>
      </w:r>
      <w:r>
        <w:rPr>
          <w:spacing w:val="-91"/>
        </w:rPr>
      </w:r>
      <w:r>
        <w:rPr/>
        <w:t>直至资产的购建或者生产活动重新开始。如果中断是所购建或者生产的符合资本化条件的资</w:t>
      </w:r>
      <w:r>
        <w:rPr>
          <w:spacing w:val="-91"/>
        </w:rPr>
        <w:t> </w:t>
      </w:r>
      <w:r>
        <w:rPr>
          <w:spacing w:val="-91"/>
        </w:rPr>
      </w:r>
      <w:r>
        <w:rPr/>
        <w:t>产达到预定可使用或可销售状态必要的程序，借款费用的资本化则继续进行。</w:t>
      </w:r>
    </w:p>
    <w:p>
      <w:pPr>
        <w:pStyle w:val="BodyText"/>
        <w:spacing w:line="357" w:lineRule="auto"/>
        <w:ind w:right="1137" w:firstLine="480"/>
        <w:jc w:val="both"/>
      </w:pPr>
      <w:r>
        <w:rPr/>
        <w:t>在资本化期间内，每一会计期间的利息</w:t>
      </w:r>
      <w:r>
        <w:rPr>
          <w:rFonts w:ascii="宋体" w:hAnsi="宋体" w:cs="宋体" w:eastAsia="宋体" w:hint="default"/>
        </w:rPr>
        <w:t>(</w:t>
      </w:r>
      <w:r>
        <w:rPr/>
        <w:t>包括折价或溢价的摊销</w:t>
      </w:r>
      <w:r>
        <w:rPr>
          <w:rFonts w:ascii="宋体" w:hAnsi="宋体" w:cs="宋体" w:eastAsia="宋体" w:hint="default"/>
        </w:rPr>
        <w:t>)</w:t>
      </w:r>
      <w:r>
        <w:rPr/>
        <w:t>资本化金额，按照下列 规定确定：</w:t>
      </w:r>
    </w:p>
    <w:p>
      <w:pPr>
        <w:pStyle w:val="BodyText"/>
        <w:spacing w:line="357" w:lineRule="auto"/>
        <w:ind w:right="1131" w:firstLine="480"/>
        <w:jc w:val="both"/>
      </w:pPr>
      <w:r>
        <w:rPr>
          <w:spacing w:val="-3"/>
        </w:rPr>
        <w:t>（</w:t>
      </w:r>
      <w:r>
        <w:rPr>
          <w:rFonts w:ascii="宋体" w:hAnsi="宋体" w:cs="宋体" w:eastAsia="宋体" w:hint="default"/>
          <w:spacing w:val="-3"/>
        </w:rPr>
        <w:t>1</w:t>
      </w:r>
      <w:r>
        <w:rPr>
          <w:spacing w:val="-3"/>
        </w:rPr>
        <w:t>）为购建或者生产符合资本化条件的资产而借入专门借款的，以专门借款当期实际发</w:t>
      </w:r>
      <w:r>
        <w:rPr/>
        <w:t> 生的利息费用，减去尚未动用的借款资金存入银行取得的利息收入或进行暂时性投资取得的</w:t>
      </w:r>
      <w:r>
        <w:rPr>
          <w:spacing w:val="-91"/>
        </w:rPr>
        <w:t> </w:t>
      </w:r>
      <w:r>
        <w:rPr>
          <w:spacing w:val="-91"/>
        </w:rPr>
      </w:r>
      <w:r>
        <w:rPr/>
        <w:t>投资收益后的金额确定。</w:t>
      </w:r>
    </w:p>
    <w:p>
      <w:pPr>
        <w:pStyle w:val="BodyText"/>
        <w:spacing w:line="357" w:lineRule="auto"/>
        <w:ind w:right="1132" w:firstLine="480"/>
        <w:jc w:val="both"/>
      </w:pPr>
      <w:r>
        <w:rPr>
          <w:spacing w:val="-3"/>
        </w:rPr>
        <w:t>（</w:t>
      </w:r>
      <w:r>
        <w:rPr>
          <w:rFonts w:ascii="宋体" w:hAnsi="宋体" w:cs="宋体" w:eastAsia="宋体" w:hint="default"/>
          <w:spacing w:val="-3"/>
        </w:rPr>
        <w:t>2</w:t>
      </w:r>
      <w:r>
        <w:rPr>
          <w:spacing w:val="-3"/>
        </w:rPr>
        <w:t>）为购建或者生产符合资本化条件的资产而占用了一般借款的，根据累计资产支出超</w:t>
      </w:r>
      <w:r>
        <w:rPr/>
        <w:t> 过专门借款部分的资产支出加权平均数乘以所占用的一般借款的资本化率，计算确定一般借</w:t>
      </w:r>
      <w:r>
        <w:rPr>
          <w:spacing w:val="-91"/>
        </w:rPr>
        <w:t> </w:t>
      </w:r>
      <w:r>
        <w:rPr>
          <w:spacing w:val="-91"/>
        </w:rPr>
      </w:r>
      <w:r>
        <w:rPr/>
        <w:t>款应予资本化的利息金额。资本化率根据一般借款加权平均利率确定。</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40" w:firstLine="480"/>
        <w:jc w:val="both"/>
      </w:pPr>
      <w:r>
        <w:rPr/>
        <w:t>借款存在折价或溢价的，按照实际利率法确定每一会计期间相应摊销的折价或者溢价的 金额，调整每期利息金额。</w:t>
      </w:r>
    </w:p>
    <w:p>
      <w:pPr>
        <w:pStyle w:val="BodyText"/>
        <w:spacing w:line="357" w:lineRule="auto"/>
        <w:ind w:right="1136" w:firstLine="480"/>
        <w:jc w:val="both"/>
      </w:pPr>
      <w:r>
        <w:rPr/>
        <w:t>在资本化期间内，每一会计期间的利息资本化金额，不超过当期相关借款实际发生的利 息金额。</w:t>
      </w:r>
    </w:p>
    <w:p>
      <w:pPr>
        <w:pStyle w:val="BodyText"/>
        <w:spacing w:line="357" w:lineRule="auto"/>
        <w:ind w:right="1139" w:firstLine="480"/>
        <w:jc w:val="both"/>
      </w:pPr>
      <w:r>
        <w:rPr/>
        <w:t>专门借款发生的辅助费用，在所购建或者生产的符合资本化条件的资产达到预定可使用 或者可销售状态之前发生的，在发生时根据其发生额予以资本化，计入符合资本化条件的资</w:t>
      </w:r>
      <w:r>
        <w:rPr>
          <w:spacing w:val="-91"/>
        </w:rPr>
        <w:t> </w:t>
      </w:r>
      <w:r>
        <w:rPr>
          <w:spacing w:val="-91"/>
        </w:rPr>
      </w:r>
      <w:r>
        <w:rPr/>
        <w:t>产的成本；在所购建或者生产的符合资本化条件的资产达到预定可使用或者可销售状态之后</w:t>
      </w:r>
      <w:r>
        <w:rPr>
          <w:spacing w:val="-91"/>
        </w:rPr>
        <w:t> </w:t>
      </w:r>
      <w:r>
        <w:rPr>
          <w:spacing w:val="-91"/>
        </w:rPr>
      </w:r>
      <w:r>
        <w:rPr/>
        <w:t>发生的，在发生时根据其发生额确认为费用，计入当期损益。一般借款发生的辅助费用，在</w:t>
      </w:r>
      <w:r>
        <w:rPr>
          <w:spacing w:val="-91"/>
        </w:rPr>
        <w:t> </w:t>
      </w:r>
      <w:r>
        <w:rPr>
          <w:spacing w:val="-91"/>
        </w:rPr>
      </w:r>
      <w:r>
        <w:rPr/>
        <w:t>发生时根据其发生额确认为费用，计入当期损益。</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140" w:firstLine="480"/>
        <w:jc w:val="both"/>
      </w:pPr>
      <w:r>
        <w:rPr/>
        <w:t>无形资产，是指企业拥有或者控制的没有实物形态的可辨认非货币性资产。无形资产按 照成本进行初始计量。于取得无形资产时分析判断其使用寿命。</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26"/>
        <w:ind w:left="633" w:right="1104"/>
        <w:jc w:val="left"/>
      </w:pPr>
      <w:r>
        <w:rPr/>
        <w:t>公司确定无形资产使用寿命通常考虑的因素：</w:t>
      </w:r>
    </w:p>
    <w:p>
      <w:pPr>
        <w:pStyle w:val="BodyText"/>
        <w:spacing w:line="240" w:lineRule="auto" w:before="154"/>
        <w:ind w:left="633" w:right="1104"/>
        <w:jc w:val="left"/>
      </w:pPr>
      <w:r>
        <w:rPr/>
        <w:t>（</w:t>
      </w:r>
      <w:r>
        <w:rPr>
          <w:rFonts w:ascii="宋体" w:hAnsi="宋体" w:cs="宋体" w:eastAsia="宋体" w:hint="default"/>
        </w:rPr>
        <w:t>1</w:t>
      </w:r>
      <w:r>
        <w:rPr/>
        <w:t>）运用该资产生产的产品通常的寿命周期、可获得的类似资产使用寿命的信息；</w:t>
      </w:r>
    </w:p>
    <w:p>
      <w:pPr>
        <w:pStyle w:val="BodyText"/>
        <w:spacing w:line="240" w:lineRule="auto" w:before="154"/>
        <w:ind w:left="633" w:right="1104"/>
        <w:jc w:val="left"/>
      </w:pPr>
      <w:r>
        <w:rPr/>
        <w:t>（</w:t>
      </w:r>
      <w:r>
        <w:rPr>
          <w:rFonts w:ascii="宋体" w:hAnsi="宋体" w:cs="宋体" w:eastAsia="宋体" w:hint="default"/>
        </w:rPr>
        <w:t>2</w:t>
      </w:r>
      <w:r>
        <w:rPr/>
        <w:t>）技术、工艺等方面的现阶段情况及对未来发展趋势的估计；</w:t>
      </w:r>
    </w:p>
    <w:p>
      <w:pPr>
        <w:pStyle w:val="BodyText"/>
        <w:spacing w:line="240" w:lineRule="auto" w:before="154"/>
        <w:ind w:left="633" w:right="1104"/>
        <w:jc w:val="left"/>
      </w:pPr>
      <w:r>
        <w:rPr/>
        <w:t>（</w:t>
      </w:r>
      <w:r>
        <w:rPr>
          <w:rFonts w:ascii="宋体" w:hAnsi="宋体" w:cs="宋体" w:eastAsia="宋体" w:hint="default"/>
        </w:rPr>
        <w:t>3</w:t>
      </w:r>
      <w:r>
        <w:rPr/>
        <w:t>）以该资产生产的产品或提供服务的市场需求情况；</w:t>
      </w:r>
    </w:p>
    <w:p>
      <w:pPr>
        <w:pStyle w:val="BodyText"/>
        <w:spacing w:line="240" w:lineRule="auto" w:before="154"/>
        <w:ind w:left="633" w:right="1104"/>
        <w:jc w:val="left"/>
      </w:pPr>
      <w:r>
        <w:rPr/>
        <w:t>（</w:t>
      </w:r>
      <w:r>
        <w:rPr>
          <w:rFonts w:ascii="宋体" w:hAnsi="宋体" w:cs="宋体" w:eastAsia="宋体" w:hint="default"/>
        </w:rPr>
        <w:t>4</w:t>
      </w:r>
      <w:r>
        <w:rPr/>
        <w:t>）现在或潜在的竞争者预期采取的行动；</w:t>
      </w:r>
    </w:p>
    <w:p>
      <w:pPr>
        <w:pStyle w:val="BodyText"/>
        <w:spacing w:line="240" w:lineRule="auto" w:before="154"/>
        <w:ind w:left="633" w:right="1104"/>
        <w:jc w:val="left"/>
      </w:pPr>
      <w:r>
        <w:rPr>
          <w:spacing w:val="-3"/>
        </w:rPr>
        <w:t>（</w:t>
      </w:r>
      <w:r>
        <w:rPr>
          <w:rFonts w:ascii="宋体" w:hAnsi="宋体" w:cs="宋体" w:eastAsia="宋体" w:hint="default"/>
          <w:spacing w:val="-3"/>
        </w:rPr>
        <w:t>5</w:t>
      </w:r>
      <w:r>
        <w:rPr>
          <w:spacing w:val="-3"/>
        </w:rPr>
        <w:t>）为维持该资产带来经济利益能力的预期维护支出，以及公司预计支付有关支出的能</w:t>
      </w:r>
    </w:p>
    <w:p>
      <w:pPr>
        <w:pStyle w:val="BodyText"/>
        <w:spacing w:line="240" w:lineRule="auto" w:before="154"/>
        <w:ind w:right="1104"/>
        <w:jc w:val="left"/>
      </w:pPr>
      <w:r>
        <w:rPr/>
        <w:t>力；</w:t>
      </w:r>
    </w:p>
    <w:p>
      <w:pPr>
        <w:pStyle w:val="BodyText"/>
        <w:spacing w:line="240" w:lineRule="auto" w:before="154"/>
        <w:ind w:left="633" w:right="1104"/>
        <w:jc w:val="left"/>
      </w:pPr>
      <w:r>
        <w:rPr/>
        <w:t>（</w:t>
      </w:r>
      <w:r>
        <w:rPr>
          <w:rFonts w:ascii="宋体" w:hAnsi="宋体" w:cs="宋体" w:eastAsia="宋体" w:hint="default"/>
        </w:rPr>
        <w:t>6</w:t>
      </w:r>
      <w:r>
        <w:rPr/>
        <w:t>）对该资产控制期限的相关法律规定或类似限制，如特许使用期、租赁期等；</w:t>
      </w:r>
    </w:p>
    <w:p>
      <w:pPr>
        <w:pStyle w:val="BodyText"/>
        <w:spacing w:line="357" w:lineRule="auto" w:before="154"/>
        <w:ind w:left="633" w:right="1633"/>
        <w:jc w:val="left"/>
      </w:pPr>
      <w:r>
        <w:rPr/>
        <w:t>（</w:t>
      </w:r>
      <w:r>
        <w:rPr>
          <w:rFonts w:ascii="宋体" w:hAnsi="宋体" w:cs="宋体" w:eastAsia="宋体" w:hint="default"/>
        </w:rPr>
        <w:t>7</w:t>
      </w:r>
      <w:r>
        <w:rPr/>
        <w:t>）与企业持有其他资产使用寿命的关联性等。 无法预见无形资产为公司带来经济利益期限的，视为使用寿命不确定的无形资产。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57" w:lineRule="auto" w:before="26"/>
        <w:ind w:right="1134" w:firstLine="480"/>
        <w:jc w:val="both"/>
      </w:pPr>
      <w:r>
        <w:rPr/>
        <w:t>对于使用寿命有限的无形资产，在使用寿命内系统合理</w:t>
      </w:r>
      <w:r>
        <w:rPr>
          <w:rFonts w:ascii="宋体" w:hAnsi="宋体" w:cs="宋体" w:eastAsia="宋体" w:hint="default"/>
        </w:rPr>
        <w:t>(</w:t>
      </w:r>
      <w:r>
        <w:rPr/>
        <w:t>或者直线法</w:t>
      </w:r>
      <w:r>
        <w:rPr>
          <w:rFonts w:ascii="宋体" w:hAnsi="宋体" w:cs="宋体" w:eastAsia="宋体" w:hint="default"/>
        </w:rPr>
        <w:t>)</w:t>
      </w:r>
      <w:r>
        <w:rPr/>
        <w:t>摊销。公司于每年 年度终了，对使用寿命有限的无形资产的使用寿命及摊销方法进行复核。无形资产的使用寿</w:t>
      </w:r>
      <w:r>
        <w:rPr>
          <w:spacing w:val="-91"/>
        </w:rPr>
        <w:t> </w:t>
      </w:r>
      <w:r>
        <w:rPr>
          <w:spacing w:val="-91"/>
        </w:rPr>
      </w:r>
      <w:r>
        <w:rPr/>
        <w:t>命及摊销方法与以前估计不同的，将改变摊销期限和摊销方法。</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firstLine="480"/>
        <w:jc w:val="both"/>
      </w:pPr>
      <w:r>
        <w:rPr/>
        <w:t>本公司使用寿命有限的无形资产自可供使用时起，对其原值减去预计净残值和已计提的 减值准备累计金额在其预计使用寿命内采用直线法分期平均摊销。使用寿命不确定的无形资</w:t>
      </w:r>
      <w:r>
        <w:rPr>
          <w:spacing w:val="-91"/>
        </w:rPr>
        <w:t> </w:t>
      </w:r>
      <w:r>
        <w:rPr>
          <w:spacing w:val="-91"/>
        </w:rPr>
      </w:r>
      <w:r>
        <w:rPr/>
        <w:t>产不予摊销。</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1104"/>
        <w:jc w:val="left"/>
      </w:pPr>
      <w:r>
        <w:rPr/>
        <w:t>内部研究开发项目的支出，包括研究阶段支出与开发阶段支出，其中： 研究是指为获取并理解新的科学或技术知识而进行的独创性的有计划调查。 开发是指在进行商业性生产或使用前，将研究成果或其他知识应用于某项计划或设计，</w:t>
      </w:r>
    </w:p>
    <w:p>
      <w:pPr>
        <w:pStyle w:val="BodyText"/>
        <w:spacing w:line="240" w:lineRule="auto"/>
        <w:ind w:right="1104"/>
        <w:jc w:val="left"/>
      </w:pPr>
      <w:r>
        <w:rPr/>
        <w:t>以生产出新的或具有实质性改进的材料、装置、产品等。</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1140" w:firstLine="480"/>
        <w:jc w:val="both"/>
      </w:pPr>
      <w:r>
        <w:rPr/>
        <w:t>内部研究开发项目在研究阶段的支出于发生时计入当期损益；开发阶段的支出，同时满 足下列条件的，确认为无形资产：</w:t>
      </w:r>
    </w:p>
    <w:p>
      <w:pPr>
        <w:pStyle w:val="BodyText"/>
        <w:spacing w:line="357" w:lineRule="auto"/>
        <w:ind w:left="633" w:right="1104"/>
        <w:jc w:val="left"/>
      </w:pPr>
      <w:r>
        <w:rPr/>
        <w:t>完成该无形资产以使其能够使用或出售在技术上具有可行性； 具有完成该无形资产并使用或出售的意图； 无形资产产生经济利益的方式，包括能够证明运用该无形资产生产的产品存在市场或无</w:t>
      </w:r>
    </w:p>
    <w:p>
      <w:pPr>
        <w:pStyle w:val="BodyText"/>
        <w:spacing w:line="355" w:lineRule="auto"/>
        <w:ind w:left="633" w:right="1104" w:hanging="481"/>
        <w:jc w:val="left"/>
      </w:pPr>
      <w:r>
        <w:rPr/>
        <w:t>形资产自身存在市场，无形资产将在内部使用的，应当证明其有用性； 有足够的技术、财务资源和其他资源支持，以完成该无形资产的开发，并有能力使用或</w:t>
      </w:r>
    </w:p>
    <w:p>
      <w:pPr>
        <w:pStyle w:val="BodyText"/>
        <w:spacing w:line="357" w:lineRule="auto" w:before="38"/>
        <w:ind w:left="633" w:right="4753" w:hanging="481"/>
        <w:jc w:val="left"/>
      </w:pPr>
      <w:r>
        <w:rPr/>
        <w:t>出售该无形资产； 归属于该无形资产开发阶段的支出能够可靠地计量。</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96" w:firstLine="480"/>
        <w:jc w:val="left"/>
      </w:pPr>
      <w:r>
        <w:rPr/>
        <w:t>对于固定资产、在建工程、使用寿命有限的无形资产、以成本模式计量的投资性房地产 及对子公司、合营企业、联营企业的长期股权投资等非流动非金融资产，公司于资产负债表</w:t>
      </w:r>
      <w:r>
        <w:rPr>
          <w:spacing w:val="-91"/>
        </w:rPr>
        <w:t> </w:t>
      </w:r>
      <w:r>
        <w:rPr>
          <w:spacing w:val="-91"/>
        </w:rPr>
      </w:r>
      <w:r>
        <w:rPr>
          <w:spacing w:val="-2"/>
        </w:rPr>
        <w:t>日判断是否存在减值迹象。如存在减值迹象的，则估计其可收回金额，进行减值测试。商誉、</w:t>
      </w:r>
      <w:r>
        <w:rPr/>
        <w:t> 使用寿命不确定的无形资产和尚未达到可使用状态的无形资产，无论是否存在减值迹象，每</w:t>
      </w:r>
      <w:r>
        <w:rPr>
          <w:spacing w:val="-91"/>
        </w:rPr>
        <w:t> </w:t>
      </w:r>
      <w:r>
        <w:rPr>
          <w:spacing w:val="-91"/>
        </w:rPr>
      </w:r>
      <w:r>
        <w:rPr/>
        <w:t>年均进行减值测试。</w:t>
      </w:r>
    </w:p>
    <w:p>
      <w:pPr>
        <w:pStyle w:val="BodyText"/>
        <w:spacing w:line="357" w:lineRule="auto"/>
        <w:ind w:right="1139"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91"/>
        </w:rPr>
        <w:t> </w:t>
      </w:r>
      <w:r>
        <w:rPr>
          <w:spacing w:val="-91"/>
        </w:rPr>
      </w:r>
      <w:r>
        <w:rPr/>
        <w:t>现值两者之间的较高者。资产的公允价值根据公平交易中销售协议价格确定；不存在销售协</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8"/>
        <w:jc w:val="both"/>
      </w:pPr>
      <w:r>
        <w:rPr/>
        <w:t>议但存在资产活跃市场的，公允价值按照该资产的买方出价确定；不存在销售协议和资产活</w:t>
      </w:r>
      <w:r>
        <w:rPr>
          <w:spacing w:val="-91"/>
        </w:rPr>
        <w:t> </w:t>
      </w:r>
      <w:r>
        <w:rPr>
          <w:spacing w:val="-91"/>
        </w:rPr>
      </w:r>
      <w:r>
        <w:rPr/>
        <w:t>跃市场的，则以可获取的最佳信息为基础估计资产的公允价值。处置费用包括与资产处置有</w:t>
      </w:r>
      <w:r>
        <w:rPr>
          <w:spacing w:val="-91"/>
        </w:rPr>
        <w:t> </w:t>
      </w:r>
      <w:r>
        <w:rPr>
          <w:spacing w:val="-91"/>
        </w:rPr>
      </w:r>
      <w:r>
        <w:rPr/>
        <w:t>关的法律费用、相关税费、搬运费以及为使资产达到可销售状态所发生的直接费用。资产预</w:t>
      </w:r>
      <w:r>
        <w:rPr>
          <w:spacing w:val="-89"/>
        </w:rPr>
        <w:t> </w:t>
      </w:r>
      <w:r>
        <w:rPr>
          <w:spacing w:val="-89"/>
        </w:rPr>
      </w:r>
      <w:r>
        <w:rPr/>
        <w:t>计未来现金流量的现值，按照资产在持续使用过程中和最终处置时所产生的预计未来现金流</w:t>
      </w:r>
      <w:r>
        <w:rPr>
          <w:spacing w:val="-91"/>
        </w:rPr>
        <w:t> </w:t>
      </w:r>
      <w:r>
        <w:rPr>
          <w:spacing w:val="-91"/>
        </w:rPr>
      </w:r>
      <w:r>
        <w:rPr/>
        <w:t>量，选择恰当的折现率对其进行折现后的金额加以确定。资产减值准备按单项资产为基础计</w:t>
      </w:r>
      <w:r>
        <w:rPr>
          <w:spacing w:val="-91"/>
        </w:rPr>
        <w:t> </w:t>
      </w:r>
      <w:r>
        <w:rPr>
          <w:spacing w:val="-91"/>
        </w:rPr>
      </w:r>
      <w:r>
        <w:rPr/>
        <w:t>算并确认，如果难以对单项资产的可收回金额进行估计的，以该资产所属的资产组确定资产</w:t>
      </w:r>
      <w:r>
        <w:rPr>
          <w:spacing w:val="-91"/>
        </w:rPr>
        <w:t> </w:t>
      </w:r>
      <w:r>
        <w:rPr>
          <w:spacing w:val="-91"/>
        </w:rPr>
      </w:r>
      <w:r>
        <w:rPr/>
        <w:t>组的可收回金额。资产组是能够独立产生现金流入的最小资产组合。</w:t>
      </w:r>
    </w:p>
    <w:p>
      <w:pPr>
        <w:pStyle w:val="BodyText"/>
        <w:spacing w:line="357" w:lineRule="auto" w:before="37"/>
        <w:ind w:right="996" w:firstLine="480"/>
        <w:jc w:val="left"/>
      </w:pPr>
      <w:r>
        <w:rPr/>
        <w:t>就商誉的减值测试而言，对于因企业合并形成的商誉的账面价值，自购买日起按照合理 的方法分摊至相关的资产组；难以分摊至相关的资产组的，将其分摊至相关的资产组组合。</w:t>
      </w:r>
      <w:r>
        <w:rPr>
          <w:spacing w:val="-91"/>
        </w:rPr>
        <w:t> </w:t>
      </w:r>
      <w:r>
        <w:rPr>
          <w:spacing w:val="-91"/>
        </w:rPr>
      </w:r>
      <w:r>
        <w:rPr>
          <w:spacing w:val="-2"/>
        </w:rPr>
        <w:t>相关的资产组或资产组组合，是能够从企业合并的协同效应中受益的资产组或者资产组组合，</w:t>
      </w:r>
      <w:r>
        <w:rPr/>
        <w:t> 且不大于本公司确定的报告分部。</w:t>
      </w:r>
    </w:p>
    <w:p>
      <w:pPr>
        <w:pStyle w:val="BodyText"/>
        <w:spacing w:line="357" w:lineRule="auto"/>
        <w:ind w:right="1138" w:firstLine="480"/>
        <w:jc w:val="both"/>
      </w:pPr>
      <w:r>
        <w:rPr/>
        <w:t>对包含商誉的相关资产组或者资产组组合进行减值测试时，如与商誉相关的资产组或者 资产组组合存在减值迹象的，首先对不包含商誉的资产组或者资产组组合进行减值测试，计</w:t>
      </w:r>
      <w:r>
        <w:rPr>
          <w:spacing w:val="-91"/>
        </w:rPr>
        <w:t> </w:t>
      </w:r>
      <w:r>
        <w:rPr>
          <w:spacing w:val="-91"/>
        </w:rPr>
      </w:r>
      <w:r>
        <w:rPr/>
        <w:t>算可收回金额，确认相应的减值损失。然后对包含商誉的资产组或者资产组组合进行减值测</w:t>
      </w:r>
      <w:r>
        <w:rPr>
          <w:spacing w:val="-91"/>
        </w:rPr>
        <w:t> </w:t>
      </w:r>
      <w:r>
        <w:rPr>
          <w:spacing w:val="-91"/>
        </w:rPr>
      </w:r>
      <w:r>
        <w:rPr/>
        <w:t>试，比较其账面价值与可收回金额，如可收回金额低于账面价值的，减值损失金额首先抵减</w:t>
      </w:r>
      <w:r>
        <w:rPr>
          <w:spacing w:val="-91"/>
        </w:rPr>
        <w:t> </w:t>
      </w:r>
      <w:r>
        <w:rPr>
          <w:spacing w:val="-91"/>
        </w:rPr>
      </w:r>
      <w:r>
        <w:rPr/>
        <w:t>分摊至资产组或资产组组合中商誉的账面价值，再根据资产组或资产组组合中除商誉之外的</w:t>
      </w:r>
      <w:r>
        <w:rPr>
          <w:spacing w:val="-91"/>
        </w:rPr>
        <w:t> </w:t>
      </w:r>
      <w:r>
        <w:rPr>
          <w:spacing w:val="-91"/>
        </w:rPr>
      </w:r>
      <w:r>
        <w:rPr/>
        <w:t>其他各项资产的账面价值所占比重，按比例抵减其他各项资产的账面价值，但抵减后的各资</w:t>
      </w:r>
      <w:r>
        <w:rPr>
          <w:spacing w:val="-91"/>
        </w:rPr>
        <w:t> </w:t>
      </w:r>
      <w:r>
        <w:rPr>
          <w:spacing w:val="-91"/>
        </w:rPr>
      </w:r>
      <w:r>
        <w:rPr/>
        <w:t>产的账面价值不得低于该资产的公允价值减去处置费用后的净额（如可确定的）和该资产预</w:t>
      </w:r>
      <w:r>
        <w:rPr>
          <w:spacing w:val="-91"/>
        </w:rPr>
        <w:t> </w:t>
      </w:r>
      <w:r>
        <w:rPr>
          <w:spacing w:val="-91"/>
        </w:rPr>
      </w:r>
      <w:r>
        <w:rPr/>
        <w:t>计未来现金流量的现值（如可确定的）两者之间较高者，同时也不低于零。</w:t>
      </w:r>
    </w:p>
    <w:p>
      <w:pPr>
        <w:pStyle w:val="BodyText"/>
        <w:spacing w:line="240" w:lineRule="auto"/>
        <w:ind w:left="633" w:right="1104"/>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1131" w:firstLine="480"/>
        <w:jc w:val="both"/>
      </w:pPr>
      <w:r>
        <w:rPr>
          <w:spacing w:val="3"/>
        </w:rPr>
        <w:t>长期待摊费用是公司已经发生但应由本期和以后各期负担的分摊期限在</w:t>
      </w:r>
      <w:r>
        <w:rPr>
          <w:rFonts w:ascii="宋体" w:hAnsi="宋体" w:cs="宋体" w:eastAsia="宋体" w:hint="default"/>
          <w:spacing w:val="3"/>
        </w:rPr>
        <w:t>1</w:t>
      </w:r>
      <w:r>
        <w:rPr>
          <w:spacing w:val="3"/>
        </w:rPr>
        <w:t>年以上</w:t>
      </w:r>
      <w:r>
        <w:rPr>
          <w:rFonts w:ascii="宋体" w:hAnsi="宋体" w:cs="宋体" w:eastAsia="宋体" w:hint="default"/>
          <w:spacing w:val="3"/>
        </w:rPr>
        <w:t>(</w:t>
      </w:r>
      <w:r>
        <w:rPr>
          <w:spacing w:val="3"/>
        </w:rPr>
        <w:t>不含</w:t>
      </w:r>
      <w:r>
        <w:rPr>
          <w:rFonts w:ascii="宋体" w:hAnsi="宋体" w:cs="宋体" w:eastAsia="宋体" w:hint="default"/>
          <w:spacing w:val="3"/>
        </w:rPr>
        <w:t>1</w:t>
      </w:r>
      <w:r>
        <w:rPr>
          <w:rFonts w:ascii="宋体" w:hAnsi="宋体" w:cs="宋体" w:eastAsia="宋体" w:hint="default"/>
        </w:rPr>
        <w:t> </w:t>
      </w:r>
      <w:r>
        <w:rPr>
          <w:spacing w:val="-2"/>
        </w:rPr>
        <w:t>年</w:t>
      </w:r>
      <w:r>
        <w:rPr>
          <w:rFonts w:ascii="宋体" w:hAnsi="宋体" w:cs="宋体" w:eastAsia="宋体" w:hint="default"/>
          <w:spacing w:val="-2"/>
        </w:rPr>
        <w:t>)</w:t>
      </w:r>
      <w:r>
        <w:rPr>
          <w:spacing w:val="-2"/>
        </w:rPr>
        <w:t>的各项费用。长期待摊费用在受益期内平均摊销，如果长期待摊费用项目不能使以后会计</w:t>
      </w:r>
      <w:r>
        <w:rPr/>
        <w:t> 期间受益的，则将其尚未摊销的摊余价值全部转入当期损益。</w:t>
      </w:r>
    </w:p>
    <w:p>
      <w:pPr>
        <w:spacing w:after="0" w:line="357"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left="633" w:right="1104"/>
        <w:jc w:val="left"/>
      </w:pPr>
      <w:r>
        <w:rPr/>
        <w:t>职工薪酬的范围 职工薪酬，是指公司为获得职工提供的服务或解除劳动关系而给予的各种形式的报酬或</w:t>
      </w:r>
    </w:p>
    <w:p>
      <w:pPr>
        <w:pStyle w:val="BodyText"/>
        <w:spacing w:line="357" w:lineRule="auto"/>
        <w:ind w:right="1104"/>
        <w:jc w:val="left"/>
      </w:pPr>
      <w:r>
        <w:rPr/>
        <w:t>补偿。职工薪酬包括短期薪酬、离职后福利、辞退福利和其他长期职工福利。公司提供给职</w:t>
      </w:r>
      <w:r>
        <w:rPr>
          <w:spacing w:val="-91"/>
        </w:rPr>
        <w:t> </w:t>
      </w:r>
      <w:r>
        <w:rPr>
          <w:spacing w:val="-91"/>
        </w:rPr>
      </w:r>
      <w:r>
        <w:rPr/>
        <w:t>工配偶、子女、受赡养人、已故员工遗属及其他受益人等的福利，也属于职工薪酬。</w:t>
      </w:r>
    </w:p>
    <w:p>
      <w:pPr>
        <w:pStyle w:val="BodyText"/>
        <w:spacing w:line="357" w:lineRule="auto"/>
        <w:ind w:right="1140" w:firstLine="480"/>
        <w:jc w:val="both"/>
      </w:pPr>
      <w:r>
        <w:rPr/>
        <w:t>短期薪酬是指公司在职工提供相关服务的年度报告期间结束后十二个月内需要全部予以 支付的职工薪酬。</w:t>
      </w:r>
    </w:p>
    <w:p>
      <w:pPr>
        <w:pStyle w:val="BodyText"/>
        <w:spacing w:line="357" w:lineRule="auto"/>
        <w:ind w:right="1136" w:firstLine="480"/>
        <w:jc w:val="both"/>
      </w:pPr>
      <w:r>
        <w:rPr/>
        <w:t>短期薪酬包括职工工资、奖金、津贴和补贴，职工福利费、医疗保险费、工伤保险费和 生育保险费等社会保险费，住房公积金、工会经费和职工教育经费，短期带薪缺勤、短期利</w:t>
      </w:r>
      <w:r>
        <w:rPr>
          <w:spacing w:val="-89"/>
        </w:rPr>
        <w:t> </w:t>
      </w:r>
      <w:r>
        <w:rPr>
          <w:spacing w:val="-89"/>
        </w:rPr>
      </w:r>
      <w:r>
        <w:rPr/>
        <w:t>润分享计划，非货币性福利以及其他短期薪酬。</w:t>
      </w:r>
    </w:p>
    <w:p>
      <w:pPr>
        <w:pStyle w:val="BodyText"/>
        <w:spacing w:line="357" w:lineRule="auto"/>
        <w:ind w:right="1140" w:firstLine="480"/>
        <w:jc w:val="both"/>
      </w:pPr>
      <w:r>
        <w:rPr/>
        <w:t>短期薪酬在职工为公司提供服务的会计期间，将实际发生的短期薪酬确认为负债，并计 入当期损益或相关资产成本。</w:t>
      </w:r>
    </w:p>
    <w:p>
      <w:pPr>
        <w:spacing w:line="240" w:lineRule="auto" w:before="11"/>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40" w:firstLine="480"/>
        <w:jc w:val="both"/>
      </w:pPr>
      <w:r>
        <w:rPr/>
        <w:t>离职后福利是指公司为获得员工提供的服务而在职工退休或与公司解除劳动关系后，提 供的各种形式的报酬和福利，短期薪酬和辞退福利除外。</w:t>
      </w:r>
    </w:p>
    <w:p>
      <w:pPr>
        <w:pStyle w:val="BodyText"/>
        <w:spacing w:line="357" w:lineRule="auto"/>
        <w:ind w:right="1139" w:firstLine="480"/>
        <w:jc w:val="both"/>
      </w:pPr>
      <w:r>
        <w:rPr/>
        <w:t>离职后福利计划包括设定提存计划和设定受益计划。其中，设定提存计划，是指向独立 的基金缴存固定费用后，公司不再承担进一步支付义务的离职后福利计划；设定受益计划，</w:t>
      </w:r>
      <w:r>
        <w:rPr>
          <w:spacing w:val="-91"/>
        </w:rPr>
        <w:t> </w:t>
      </w:r>
      <w:r>
        <w:rPr>
          <w:spacing w:val="-91"/>
        </w:rPr>
      </w:r>
      <w:r>
        <w:rPr/>
        <w:t>是指除设定提存计划以外的离职后福利计划。</w:t>
      </w:r>
    </w:p>
    <w:p>
      <w:pPr>
        <w:pStyle w:val="BodyText"/>
        <w:spacing w:line="357" w:lineRule="auto"/>
        <w:ind w:right="1140" w:firstLine="480"/>
        <w:jc w:val="both"/>
      </w:pPr>
      <w:r>
        <w:rPr/>
        <w:t>设定提存计划包括基本养老保险、失业保险等。在职工提供服务的会计期间，根据设定 提存计划计算的应缴存金额确认为负债，并计入当期损益或相关资产成本。</w:t>
      </w:r>
    </w:p>
    <w:p>
      <w:pPr>
        <w:pStyle w:val="BodyText"/>
        <w:spacing w:line="240" w:lineRule="auto"/>
        <w:ind w:left="633" w:right="1104"/>
        <w:jc w:val="left"/>
      </w:pPr>
      <w:r>
        <w:rPr/>
        <w:t>于报告期末，将设定受益计划产生的职工薪酬成本确认为下列组成部分：</w:t>
      </w:r>
    </w:p>
    <w:p>
      <w:pPr>
        <w:pStyle w:val="BodyText"/>
        <w:spacing w:line="240" w:lineRule="auto" w:before="154"/>
        <w:ind w:left="633" w:right="1104"/>
        <w:jc w:val="left"/>
      </w:pPr>
      <w:r>
        <w:rPr/>
        <w:t>①服务成本，包括当期服务成本、过去服务成本和结算利得或损失。</w:t>
      </w:r>
    </w:p>
    <w:p>
      <w:pPr>
        <w:pStyle w:val="BodyText"/>
        <w:spacing w:line="357" w:lineRule="auto" w:before="154"/>
        <w:ind w:right="1140" w:firstLine="480"/>
        <w:jc w:val="both"/>
      </w:pPr>
      <w:r>
        <w:rPr/>
        <w:t>②设定受益计划净负债或净资产的利息净额，包括计划资产的利息收益、设定受益计划 义务的利息费用以及资产上限影响的利息。</w:t>
      </w:r>
    </w:p>
    <w:p>
      <w:pPr>
        <w:pStyle w:val="BodyText"/>
        <w:spacing w:line="357" w:lineRule="auto"/>
        <w:ind w:left="633" w:right="1104"/>
        <w:jc w:val="left"/>
      </w:pPr>
      <w:r>
        <w:rPr/>
        <w:t>③重新计量设定受益计划净负债或净资产所产生的变动。 除非其他会计准则要求或允许职工福利成本计入资产成本，上述第①项和第②项应计入</w:t>
      </w:r>
    </w:p>
    <w:p>
      <w:pPr>
        <w:pStyle w:val="BodyText"/>
        <w:spacing w:line="240" w:lineRule="auto"/>
        <w:ind w:right="1104"/>
        <w:jc w:val="left"/>
      </w:pPr>
      <w:r>
        <w:rPr/>
        <w:t>当期损益；第③项应计入其他综合收益，并且在后续会计期间不允许转回至损益，但可以在</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2593" w:hanging="481"/>
        <w:jc w:val="left"/>
      </w:pPr>
      <w:r>
        <w:rPr/>
        <w:t>权益范围内转移这些在其他综合收益中确认的金额。 在设定受益计划下，在下列日期孰早日将过去服务成本确认为当期费用：</w:t>
      </w:r>
    </w:p>
    <w:p>
      <w:pPr>
        <w:pStyle w:val="BodyText"/>
        <w:spacing w:line="240" w:lineRule="auto"/>
        <w:ind w:left="633" w:right="1104"/>
        <w:jc w:val="left"/>
      </w:pPr>
      <w:r>
        <w:rPr/>
        <w:t>①修改设定受益计划时。</w:t>
      </w:r>
    </w:p>
    <w:p>
      <w:pPr>
        <w:pStyle w:val="BodyText"/>
        <w:spacing w:line="357" w:lineRule="auto" w:before="154"/>
        <w:ind w:left="633" w:right="4753"/>
        <w:jc w:val="left"/>
      </w:pPr>
      <w:r>
        <w:rPr/>
        <w:t>②企业确认相关重组费用或辞退福利时。 在设定受益计划结算时，确认一项结算利得或损失。</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40" w:firstLine="480"/>
        <w:jc w:val="both"/>
      </w:pPr>
      <w:r>
        <w:rPr/>
        <w:t>是指公司在职工劳动合同到期之前解除与职工的劳动关系，或者为鼓励职工自愿接受裁 减而给予职工的补偿。</w:t>
      </w:r>
    </w:p>
    <w:p>
      <w:pPr>
        <w:pStyle w:val="BodyText"/>
        <w:spacing w:line="357" w:lineRule="auto"/>
        <w:ind w:right="1138" w:firstLine="480"/>
        <w:jc w:val="both"/>
      </w:pPr>
      <w:r>
        <w:rPr/>
        <w:t>公司向职工提供辞退福利的，在下列两者孰早日确认辞退福利产生的职工薪酬负债，并 计入当期损益：公司不能单方面撤回因解除劳动关系计划或裁减建议所提供的辞退福利时；</w:t>
      </w:r>
      <w:r>
        <w:rPr>
          <w:spacing w:val="-91"/>
        </w:rPr>
        <w:t> </w:t>
      </w:r>
      <w:r>
        <w:rPr>
          <w:spacing w:val="-91"/>
        </w:rPr>
      </w:r>
      <w:r>
        <w:rPr/>
        <w:t>公司确认与涉及支付辞退福利的重组相关的成本或费用时。</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before="0"/>
        <w:ind w:right="1140" w:firstLine="480"/>
        <w:jc w:val="both"/>
      </w:pPr>
      <w:r>
        <w:rPr/>
        <w:t>是指除短期薪酬、离职后福利、辞退福利之外所有的职工薪酬，包括长期带薪缺勤、长 期残疾福利、长期利润分享计划等。</w:t>
      </w:r>
    </w:p>
    <w:p>
      <w:pPr>
        <w:pStyle w:val="BodyText"/>
        <w:spacing w:line="357" w:lineRule="auto"/>
        <w:ind w:right="1140" w:firstLine="480"/>
        <w:jc w:val="both"/>
      </w:pPr>
      <w:r>
        <w:rPr/>
        <w:t>企业向职工提供的其他长期职工福利，符合设定提存计划条件的，适用于上述设定提存 计划的有关规定进行处理。</w:t>
      </w:r>
    </w:p>
    <w:p>
      <w:pPr>
        <w:pStyle w:val="BodyText"/>
        <w:spacing w:line="357" w:lineRule="auto"/>
        <w:ind w:right="1138" w:firstLine="480"/>
        <w:jc w:val="both"/>
      </w:pPr>
      <w:r>
        <w:rPr/>
        <w:t>除符合设定提存计划条件的情形外，按照设定受益计划的有关规定，确认和计量其他长 期职工福利净负债或净资产。在报告期末，企业应当将其他长期职工福利产生的职工薪酬成</w:t>
      </w:r>
      <w:r>
        <w:rPr>
          <w:spacing w:val="-91"/>
        </w:rPr>
        <w:t> </w:t>
      </w:r>
      <w:r>
        <w:rPr>
          <w:spacing w:val="-91"/>
        </w:rPr>
      </w:r>
      <w:r>
        <w:rPr/>
        <w:t>本确认为下列组成部分：</w:t>
      </w:r>
    </w:p>
    <w:p>
      <w:pPr>
        <w:pStyle w:val="BodyText"/>
        <w:spacing w:line="357" w:lineRule="auto" w:before="37"/>
        <w:ind w:left="633" w:right="5233"/>
        <w:jc w:val="left"/>
      </w:pPr>
      <w:r>
        <w:rPr/>
        <w:t>服务成本。 其他长期职工福利净负债或净资产的利息净额。</w:t>
      </w:r>
    </w:p>
    <w:p>
      <w:pPr>
        <w:pStyle w:val="BodyText"/>
        <w:spacing w:line="357" w:lineRule="auto"/>
        <w:ind w:left="633" w:right="2593"/>
        <w:jc w:val="left"/>
      </w:pPr>
      <w:r>
        <w:rPr/>
        <w:t>重新计量其他长期职工福利净负债或净资产所产生的变动。 为简化相关会计处理，上述项目的总净额计入当期损益或相关资产成本。</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3553"/>
        <w:jc w:val="left"/>
      </w:pPr>
      <w:r>
        <w:rPr/>
        <w:t>与或有事项相关的义务同时满足下列条件的，确认为预计负债： 该义务是企业承担的现时义务； 履行该义务很可能导致经济利益流出企业；</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633"/>
        <w:jc w:val="left"/>
      </w:pPr>
      <w:r>
        <w:rPr/>
        <w:t>该义务的金额能够可靠地计量。 预计负债应当按照履行相关现时义务所需支出的最佳估计数进行初始计量。 本公司跟据已完工合同金额的</w:t>
      </w:r>
      <w:r>
        <w:rPr>
          <w:rFonts w:ascii="宋体" w:hAnsi="宋体" w:cs="宋体" w:eastAsia="宋体" w:hint="default"/>
        </w:rPr>
        <w:t>1%</w:t>
      </w:r>
      <w:r>
        <w:rPr/>
        <w:t>提取作为完工项目后期维的保费用提取预计负债。</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left="633" w:right="3553"/>
        <w:jc w:val="left"/>
      </w:pPr>
      <w:r>
        <w:rPr/>
        <w:t>股份支付的种类 股份支付分为以权益结算的股份支付和以现金结算的股份支付。</w:t>
      </w:r>
    </w:p>
    <w:p>
      <w:pPr>
        <w:pStyle w:val="BodyText"/>
        <w:spacing w:line="357" w:lineRule="auto" w:before="37"/>
        <w:ind w:right="1140" w:firstLine="480"/>
        <w:jc w:val="both"/>
      </w:pPr>
      <w:r>
        <w:rPr/>
        <w:t>以权益结算的股份支付，是指企业为获取服务以股份或其他权益工具作为对价进行结算 的交易，这里所指的权益工具是企业自身权益工具。</w:t>
      </w:r>
    </w:p>
    <w:p>
      <w:pPr>
        <w:pStyle w:val="BodyText"/>
        <w:spacing w:line="357" w:lineRule="auto"/>
        <w:ind w:right="1140" w:firstLine="480"/>
        <w:jc w:val="both"/>
      </w:pPr>
      <w:r>
        <w:rPr/>
        <w:t>以现金结算的股份支付，是指企业为获取服务承担以股份或其他权益工具为基础计算确 定的交付现金或其他资产义务的交易。</w:t>
      </w:r>
    </w:p>
    <w:p>
      <w:pPr>
        <w:spacing w:line="240" w:lineRule="auto" w:before="0"/>
        <w:rPr>
          <w:rFonts w:ascii="宋体" w:hAnsi="宋体" w:cs="宋体" w:eastAsia="宋体" w:hint="default"/>
          <w:sz w:val="24"/>
          <w:szCs w:val="24"/>
        </w:rPr>
      </w:pPr>
    </w:p>
    <w:p>
      <w:pPr>
        <w:pStyle w:val="BodyText"/>
        <w:spacing w:line="357" w:lineRule="auto" w:before="190"/>
        <w:ind w:right="1131" w:firstLine="480"/>
        <w:jc w:val="both"/>
      </w:pPr>
      <w:r>
        <w:rPr/>
        <w:t>授予后立即可行权的换取职工服务的以权益结算的股份支付，在授予日按照权益工具的 </w:t>
      </w:r>
      <w:r>
        <w:rPr>
          <w:spacing w:val="-2"/>
        </w:rPr>
        <w:t>公允价值计入相关成本或费用，相应增加资本公积。权益工具的公允价值采用布莱克</w:t>
      </w:r>
      <w:r>
        <w:rPr>
          <w:rFonts w:ascii="宋体" w:hAnsi="宋体" w:cs="宋体" w:eastAsia="宋体" w:hint="default"/>
          <w:spacing w:val="-2"/>
        </w:rPr>
        <w:t>-</w:t>
      </w:r>
      <w:r>
        <w:rPr>
          <w:spacing w:val="-2"/>
        </w:rPr>
        <w:t>斯克尔</w:t>
      </w:r>
      <w:r>
        <w:rPr>
          <w:spacing w:val="-118"/>
        </w:rPr>
        <w:t> </w:t>
      </w:r>
      <w:r>
        <w:rPr/>
        <w:t>期权定价模型确定。</w:t>
      </w:r>
    </w:p>
    <w:p>
      <w:pPr>
        <w:pStyle w:val="BodyText"/>
        <w:spacing w:line="357" w:lineRule="auto"/>
        <w:ind w:right="1139" w:firstLine="480"/>
        <w:jc w:val="both"/>
      </w:pPr>
      <w:r>
        <w:rPr/>
        <w:t>完成等待期内的服务或达到规定业绩条件才可行权的换取职工服务的以权益结算的股份 支付，在等待期内的每个资产负债表日，以对可行权权益工具数量的最佳估计为基础，按照</w:t>
      </w:r>
      <w:r>
        <w:rPr>
          <w:spacing w:val="-91"/>
        </w:rPr>
        <w:t> </w:t>
      </w:r>
      <w:r>
        <w:rPr>
          <w:spacing w:val="-91"/>
        </w:rPr>
      </w:r>
      <w:r>
        <w:rPr/>
        <w:t>权益工具授予日的公允价值，将当期取得的服务计入相关成本或费用和资本公积。</w:t>
      </w:r>
    </w:p>
    <w:p>
      <w:pPr>
        <w:pStyle w:val="BodyText"/>
        <w:spacing w:line="357" w:lineRule="auto"/>
        <w:ind w:right="1140" w:firstLine="480"/>
        <w:jc w:val="both"/>
      </w:pPr>
      <w:r>
        <w:rPr/>
        <w:t>在资产负债表日，后续信息表明可行权权益工具的数量与以前估计不同的，进行调整， 并在可行权日调整至实际可行权的权益工具数量。</w:t>
      </w:r>
    </w:p>
    <w:p>
      <w:pPr>
        <w:pStyle w:val="BodyText"/>
        <w:spacing w:line="357" w:lineRule="auto" w:before="37"/>
        <w:ind w:right="1138" w:firstLine="480"/>
        <w:jc w:val="both"/>
      </w:pPr>
      <w:r>
        <w:rPr/>
        <w:t>对于权益结算的股份支付，在可行权日之后不再对已确认的成本费用和所有者权益总额 进行调整。在行权日根据行权情况，确认股本和股本溢价，同时结转等待期内确认的资本公</w:t>
      </w:r>
      <w:r>
        <w:rPr>
          <w:spacing w:val="-90"/>
        </w:rPr>
        <w:t> </w:t>
      </w:r>
      <w:r>
        <w:rPr>
          <w:spacing w:val="-90"/>
        </w:rPr>
      </w:r>
      <w:r>
        <w:rPr/>
        <w:t>积</w:t>
      </w:r>
      <w:r>
        <w:rPr>
          <w:rFonts w:ascii="宋体" w:hAnsi="宋体" w:cs="宋体" w:eastAsia="宋体" w:hint="default"/>
        </w:rPr>
        <w:t>(</w:t>
      </w:r>
      <w:r>
        <w:rPr/>
        <w:t>其他资本公积</w:t>
      </w:r>
      <w:r>
        <w:rPr>
          <w:rFonts w:ascii="宋体" w:hAnsi="宋体" w:cs="宋体" w:eastAsia="宋体" w:hint="default"/>
        </w:rPr>
        <w:t>)</w:t>
      </w:r>
      <w:r>
        <w:rPr/>
        <w:t>。</w:t>
      </w:r>
    </w:p>
    <w:p>
      <w:pPr>
        <w:pStyle w:val="BodyText"/>
        <w:spacing w:line="357" w:lineRule="auto"/>
        <w:ind w:right="1139" w:firstLine="480"/>
        <w:jc w:val="both"/>
      </w:pPr>
      <w:r>
        <w:rPr/>
        <w:t>对于最终未能达到可行权条件的股份支付，不确认成本费用，除非可行权条件是市场条 件或非可行权条件，此时无论是否满足市场条件或非可行权条件，只要满足所有可行权条件</w:t>
      </w:r>
      <w:r>
        <w:rPr>
          <w:spacing w:val="-91"/>
        </w:rPr>
        <w:t> </w:t>
      </w:r>
      <w:r>
        <w:rPr>
          <w:spacing w:val="-91"/>
        </w:rPr>
      </w:r>
      <w:r>
        <w:rPr/>
        <w:t>中的非市场条件，即视为可行权。</w:t>
      </w:r>
    </w:p>
    <w:p>
      <w:pPr>
        <w:pStyle w:val="BodyText"/>
        <w:spacing w:line="357" w:lineRule="auto"/>
        <w:ind w:right="986" w:firstLine="480"/>
        <w:jc w:val="left"/>
      </w:pPr>
      <w:r>
        <w:rPr>
          <w:spacing w:val="-3"/>
        </w:rPr>
        <w:t>公司若以不利于职工的方式修改条款和条件，公司仍应继续对取得的服务进行会计处理，</w:t>
      </w:r>
      <w:r>
        <w:rPr/>
        <w:t> 如同该变更从未发生，除非公司取消了部分或全部已授予的权益工具。此外，任何增加所授</w:t>
      </w:r>
      <w:r>
        <w:rPr>
          <w:spacing w:val="-91"/>
        </w:rPr>
        <w:t> </w:t>
      </w:r>
      <w:r>
        <w:rPr>
          <w:spacing w:val="-91"/>
        </w:rPr>
      </w:r>
      <w:r>
        <w:rPr/>
        <w:t>予权益工具公允价值的修改，或在修改日对职工有利的变更，均确认取得服务的增加。</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firstLine="480"/>
        <w:jc w:val="both"/>
      </w:pPr>
      <w:r>
        <w:rPr/>
        <w:t>如果取消了以权益结算的股份支付，则于取消日作为加速行权处理，立即确认尚未确认 的金额。职工或其他方能够选择满足非可行权条件但在等待期内未满足的，作为取消以权益</w:t>
      </w:r>
      <w:r>
        <w:rPr>
          <w:spacing w:val="-91"/>
        </w:rPr>
        <w:t> </w:t>
      </w:r>
      <w:r>
        <w:rPr>
          <w:spacing w:val="-91"/>
        </w:rPr>
      </w:r>
      <w:r>
        <w:rPr/>
        <w:t>结算的股份支付处理。但是如果授予新的权益工具，并在新权益工具授予日认定所授予的新</w:t>
      </w:r>
      <w:r>
        <w:rPr>
          <w:spacing w:val="-91"/>
        </w:rPr>
        <w:t> </w:t>
      </w:r>
      <w:r>
        <w:rPr>
          <w:spacing w:val="-91"/>
        </w:rPr>
      </w:r>
      <w:r>
        <w:rPr/>
        <w:t>权益工具是用于替代被取消的权益工具的，则以与处理原权益工具条款和条件修改相同的方</w:t>
      </w:r>
      <w:r>
        <w:rPr>
          <w:spacing w:val="-91"/>
        </w:rPr>
        <w:t> </w:t>
      </w:r>
      <w:r>
        <w:rPr>
          <w:spacing w:val="-91"/>
        </w:rPr>
      </w:r>
      <w:r>
        <w:rPr/>
        <w:t>式，对所授予的替代权益工具进行处理。</w:t>
      </w:r>
    </w:p>
    <w:p>
      <w:pPr>
        <w:spacing w:line="240" w:lineRule="auto" w:before="0"/>
        <w:rPr>
          <w:rFonts w:ascii="宋体" w:hAnsi="宋体" w:cs="宋体" w:eastAsia="宋体" w:hint="default"/>
          <w:sz w:val="24"/>
          <w:szCs w:val="24"/>
        </w:rPr>
      </w:pPr>
    </w:p>
    <w:p>
      <w:pPr>
        <w:pStyle w:val="BodyText"/>
        <w:spacing w:line="357" w:lineRule="auto" w:before="190"/>
        <w:ind w:right="1104" w:firstLine="600"/>
        <w:jc w:val="left"/>
      </w:pPr>
      <w:r>
        <w:rPr>
          <w:rFonts w:ascii="宋体" w:hAnsi="宋体" w:cs="宋体" w:eastAsia="宋体" w:hint="default"/>
          <w:spacing w:val="-3"/>
        </w:rPr>
        <w:t>3.</w:t>
      </w:r>
      <w:r>
        <w:rPr>
          <w:spacing w:val="-3"/>
        </w:rPr>
        <w:t>授予后立即可行权的以现金结算的股份支付，应当在授予日以企业承担负债的公允价</w:t>
      </w:r>
      <w:r>
        <w:rPr/>
        <w:t> 值计入相关成本或费用，相应增加负债。</w:t>
      </w:r>
    </w:p>
    <w:p>
      <w:pPr>
        <w:pStyle w:val="BodyText"/>
        <w:spacing w:line="357" w:lineRule="auto"/>
        <w:ind w:right="1138" w:firstLine="480"/>
        <w:jc w:val="both"/>
      </w:pPr>
      <w:r>
        <w:rPr/>
        <w:t>完成等待期内的服务或达到规定业绩条件以后才可行权的以现金结算的股份支付，在等 待期内的每个资产负债表日，对可行权情况的最佳估计为基础，按照企业承担负债的公允价</w:t>
      </w:r>
      <w:r>
        <w:rPr>
          <w:spacing w:val="-91"/>
        </w:rPr>
        <w:t> </w:t>
      </w:r>
      <w:r>
        <w:rPr>
          <w:spacing w:val="-91"/>
        </w:rPr>
      </w:r>
      <w:r>
        <w:rPr/>
        <w:t>值金额，将当期取得的服务计入成本或费用和相应的负债。</w:t>
      </w:r>
    </w:p>
    <w:p>
      <w:pPr>
        <w:pStyle w:val="BodyText"/>
        <w:spacing w:line="357" w:lineRule="auto"/>
        <w:ind w:right="1140" w:firstLine="480"/>
        <w:jc w:val="both"/>
      </w:pPr>
      <w:r>
        <w:rPr/>
        <w:t>在相关负债结算前的每个资产负债表日以及结算日，对负债的公允价值重新计量，其变 动计入当期损益。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pStyle w:val="BodyText"/>
        <w:spacing w:line="240" w:lineRule="auto" w:before="132"/>
        <w:ind w:left="633" w:right="1104"/>
        <w:jc w:val="left"/>
      </w:pPr>
      <w:r>
        <w:rPr/>
        <w:t>营业收入包括销售商品收入、提供劳务收入、建造合同收入以及让渡资产使用权收入。</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5233"/>
        <w:jc w:val="left"/>
      </w:pPr>
      <w:r>
        <w:rPr/>
        <w:t>销售商品收入的确认 销售商品收入同时满足下列条件的，予以确认：</w:t>
      </w:r>
    </w:p>
    <w:p>
      <w:pPr>
        <w:pStyle w:val="BodyText"/>
        <w:spacing w:line="240" w:lineRule="auto"/>
        <w:ind w:left="633" w:right="1104"/>
        <w:jc w:val="left"/>
      </w:pPr>
      <w:r>
        <w:rPr/>
        <w:t>（</w:t>
      </w:r>
      <w:r>
        <w:rPr>
          <w:rFonts w:ascii="宋体" w:hAnsi="宋体" w:cs="宋体" w:eastAsia="宋体" w:hint="default"/>
        </w:rPr>
        <w:t>1</w:t>
      </w:r>
      <w:r>
        <w:rPr/>
        <w:t>）企业已将商品所有权上的主要风险和报酬转移给购货方；</w:t>
      </w:r>
    </w:p>
    <w:p>
      <w:pPr>
        <w:pStyle w:val="BodyText"/>
        <w:spacing w:line="357" w:lineRule="auto" w:before="154"/>
        <w:ind w:right="1132" w:firstLine="480"/>
        <w:jc w:val="both"/>
      </w:pPr>
      <w:r>
        <w:rPr>
          <w:spacing w:val="-3"/>
        </w:rPr>
        <w:t>（</w:t>
      </w:r>
      <w:r>
        <w:rPr>
          <w:rFonts w:ascii="宋体" w:hAnsi="宋体" w:cs="宋体" w:eastAsia="宋体" w:hint="default"/>
          <w:spacing w:val="-3"/>
        </w:rPr>
        <w:t>2</w:t>
      </w:r>
      <w:r>
        <w:rPr>
          <w:spacing w:val="-3"/>
        </w:rPr>
        <w:t>）企业既没有保留通常与所有权相联系的继续管理权，也没有对已售出的商品实施有</w:t>
      </w:r>
      <w:r>
        <w:rPr/>
        <w:t> 效控制；</w:t>
      </w:r>
    </w:p>
    <w:p>
      <w:pPr>
        <w:pStyle w:val="BodyText"/>
        <w:spacing w:line="240" w:lineRule="auto"/>
        <w:ind w:left="633" w:right="1104"/>
        <w:jc w:val="left"/>
      </w:pPr>
      <w:r>
        <w:rPr/>
        <w:t>（</w:t>
      </w:r>
      <w:r>
        <w:rPr>
          <w:rFonts w:ascii="宋体" w:hAnsi="宋体" w:cs="宋体" w:eastAsia="宋体" w:hint="default"/>
        </w:rPr>
        <w:t>3</w:t>
      </w:r>
      <w:r>
        <w:rPr/>
        <w:t>）收入的金额能够可靠地计量；</w:t>
      </w:r>
    </w:p>
    <w:p>
      <w:pPr>
        <w:pStyle w:val="BodyText"/>
        <w:spacing w:line="240" w:lineRule="auto" w:before="154"/>
        <w:ind w:left="633" w:right="1104"/>
        <w:jc w:val="left"/>
      </w:pPr>
      <w:r>
        <w:rPr/>
        <w:t>（</w:t>
      </w:r>
      <w:r>
        <w:rPr>
          <w:rFonts w:ascii="宋体" w:hAnsi="宋体" w:cs="宋体" w:eastAsia="宋体" w:hint="default"/>
        </w:rPr>
        <w:t>4</w:t>
      </w:r>
      <w:r>
        <w:rPr/>
        <w:t>）相关的经济利益很可能流入企业；</w:t>
      </w:r>
    </w:p>
    <w:p>
      <w:pPr>
        <w:pStyle w:val="BodyText"/>
        <w:spacing w:line="240" w:lineRule="auto" w:before="154"/>
        <w:ind w:left="633" w:right="1104"/>
        <w:jc w:val="left"/>
      </w:pPr>
      <w:r>
        <w:rPr/>
        <w:t>（</w:t>
      </w:r>
      <w:r>
        <w:rPr>
          <w:rFonts w:ascii="宋体" w:hAnsi="宋体" w:cs="宋体" w:eastAsia="宋体" w:hint="default"/>
        </w:rPr>
        <w:t>5</w:t>
      </w:r>
      <w:r>
        <w:rPr/>
        <w:t>）相关的已发生或将发生的成本能够可靠地计量。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t>提供劳务收入的确认 在资产负债表日提供劳务交易的结果能够可靠估计的，采用完工百分比法确认提供劳务</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1104"/>
        <w:jc w:val="left"/>
      </w:pPr>
      <w:r>
        <w:rPr/>
        <w:t>收入。</w:t>
      </w:r>
    </w:p>
    <w:p>
      <w:pPr>
        <w:pStyle w:val="BodyText"/>
        <w:spacing w:line="240" w:lineRule="auto" w:before="154"/>
        <w:ind w:left="633" w:right="1104"/>
        <w:jc w:val="left"/>
      </w:pPr>
      <w:r>
        <w:rPr/>
        <w:t>提供劳务交易的结果能够可靠估计，是指同时满足下列条件：</w:t>
      </w:r>
    </w:p>
    <w:p>
      <w:pPr>
        <w:pStyle w:val="BodyText"/>
        <w:spacing w:line="240" w:lineRule="auto" w:before="154"/>
        <w:ind w:left="633" w:right="1104"/>
        <w:jc w:val="left"/>
      </w:pPr>
      <w:r>
        <w:rPr/>
        <w:t>（</w:t>
      </w:r>
      <w:r>
        <w:rPr>
          <w:rFonts w:ascii="宋体" w:hAnsi="宋体" w:cs="宋体" w:eastAsia="宋体" w:hint="default"/>
        </w:rPr>
        <w:t>1</w:t>
      </w:r>
      <w:r>
        <w:rPr/>
        <w:t>）收入的金额能够可靠地计量；</w:t>
      </w:r>
    </w:p>
    <w:p>
      <w:pPr>
        <w:pStyle w:val="BodyText"/>
        <w:spacing w:line="240" w:lineRule="auto" w:before="154"/>
        <w:ind w:left="633" w:right="1104"/>
        <w:jc w:val="left"/>
      </w:pPr>
      <w:r>
        <w:rPr/>
        <w:t>（</w:t>
      </w:r>
      <w:r>
        <w:rPr>
          <w:rFonts w:ascii="宋体" w:hAnsi="宋体" w:cs="宋体" w:eastAsia="宋体" w:hint="default"/>
        </w:rPr>
        <w:t>2</w:t>
      </w:r>
      <w:r>
        <w:rPr/>
        <w:t>）相关的经济利益很可能流入企业；</w:t>
      </w:r>
    </w:p>
    <w:p>
      <w:pPr>
        <w:pStyle w:val="BodyText"/>
        <w:spacing w:line="240" w:lineRule="auto" w:before="154"/>
        <w:ind w:left="633" w:right="1104"/>
        <w:jc w:val="left"/>
      </w:pPr>
      <w:r>
        <w:rPr/>
        <w:t>（</w:t>
      </w:r>
      <w:r>
        <w:rPr>
          <w:rFonts w:ascii="宋体" w:hAnsi="宋体" w:cs="宋体" w:eastAsia="宋体" w:hint="default"/>
        </w:rPr>
        <w:t>3</w:t>
      </w:r>
      <w:r>
        <w:rPr/>
        <w:t>）交易的完工进度能够可靠地确定；</w:t>
      </w:r>
    </w:p>
    <w:p>
      <w:pPr>
        <w:pStyle w:val="BodyText"/>
        <w:spacing w:line="240" w:lineRule="auto" w:before="154"/>
        <w:ind w:left="633" w:right="1104"/>
        <w:jc w:val="left"/>
      </w:pPr>
      <w:r>
        <w:rPr/>
        <w:t>（</w:t>
      </w:r>
      <w:r>
        <w:rPr>
          <w:rFonts w:ascii="宋体" w:hAnsi="宋体" w:cs="宋体" w:eastAsia="宋体" w:hint="default"/>
        </w:rPr>
        <w:t>4</w:t>
      </w:r>
      <w:r>
        <w:rPr/>
        <w:t>）交易中已发生和将发生的成本能够可靠地计量。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t>建造合同收入的确认 资产负债表日按照完工百分比法确认合同收入和合同费用，合同完工进度按累计实际发</w:t>
      </w:r>
    </w:p>
    <w:p>
      <w:pPr>
        <w:pStyle w:val="BodyText"/>
        <w:spacing w:line="357" w:lineRule="auto"/>
        <w:ind w:right="1104"/>
        <w:jc w:val="left"/>
      </w:pPr>
      <w:r>
        <w:rPr/>
        <w:t>生的合同成本占合同预计总成本的比例确定。完工百分比法是指根据合同完工进度确认合同</w:t>
      </w:r>
      <w:r>
        <w:rPr>
          <w:spacing w:val="-91"/>
        </w:rPr>
        <w:t> </w:t>
      </w:r>
      <w:r>
        <w:rPr>
          <w:spacing w:val="-91"/>
        </w:rPr>
      </w:r>
      <w:r>
        <w:rPr/>
        <w:t>收入和合同费用的方法。</w:t>
      </w:r>
    </w:p>
    <w:p>
      <w:pPr>
        <w:pStyle w:val="BodyText"/>
        <w:spacing w:line="240" w:lineRule="auto"/>
        <w:ind w:left="633" w:right="1104"/>
        <w:jc w:val="left"/>
      </w:pPr>
      <w:r>
        <w:rPr/>
        <w:t>建造合同收入同时满足下列条件的才能予以确认：</w:t>
      </w:r>
    </w:p>
    <w:p>
      <w:pPr>
        <w:pStyle w:val="BodyText"/>
        <w:spacing w:line="240" w:lineRule="auto" w:before="154"/>
        <w:ind w:left="633" w:right="1104"/>
        <w:jc w:val="left"/>
      </w:pPr>
      <w:r>
        <w:rPr/>
        <w:t>①相关的经济利益很可能流入企业；</w:t>
      </w:r>
    </w:p>
    <w:p>
      <w:pPr>
        <w:pStyle w:val="BodyText"/>
        <w:spacing w:line="240" w:lineRule="auto" w:before="154"/>
        <w:ind w:left="633" w:right="1104"/>
        <w:jc w:val="left"/>
      </w:pPr>
      <w:r>
        <w:rPr/>
        <w:t>②实际发生的合同成本能够可靠地计量。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t>让渡资产使用权收入的确认 让渡资产使用权收入包括利息收入、使用费收入等。让渡资产使用权收入同时满足下列</w:t>
      </w:r>
    </w:p>
    <w:p>
      <w:pPr>
        <w:pStyle w:val="BodyText"/>
        <w:spacing w:line="240" w:lineRule="auto"/>
        <w:ind w:right="1104"/>
        <w:jc w:val="left"/>
      </w:pPr>
      <w:r>
        <w:rPr/>
        <w:t>条件的，才能予以确认：</w:t>
      </w:r>
    </w:p>
    <w:p>
      <w:pPr>
        <w:pStyle w:val="BodyText"/>
        <w:spacing w:line="240" w:lineRule="auto" w:before="154"/>
        <w:ind w:left="633" w:right="1104"/>
        <w:jc w:val="left"/>
      </w:pPr>
      <w:r>
        <w:rPr/>
        <w:t>（</w:t>
      </w:r>
      <w:r>
        <w:rPr>
          <w:rFonts w:ascii="宋体" w:hAnsi="宋体" w:cs="宋体" w:eastAsia="宋体" w:hint="default"/>
        </w:rPr>
        <w:t>1</w:t>
      </w:r>
      <w:r>
        <w:rPr/>
        <w:t>）相关的经济利益很可能流入企业；</w:t>
      </w:r>
    </w:p>
    <w:p>
      <w:pPr>
        <w:pStyle w:val="BodyText"/>
        <w:spacing w:line="240" w:lineRule="auto" w:before="154"/>
        <w:ind w:left="633" w:right="1104"/>
        <w:jc w:val="left"/>
      </w:pPr>
      <w:r>
        <w:rPr/>
        <w:t>（</w:t>
      </w:r>
      <w:r>
        <w:rPr>
          <w:rFonts w:ascii="宋体" w:hAnsi="宋体" w:cs="宋体" w:eastAsia="宋体" w:hint="default"/>
        </w:rPr>
        <w:t>2</w:t>
      </w:r>
      <w:r>
        <w:rPr/>
        <w:t>）收入的金额能够可靠地计量。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33" w:right="1104"/>
        <w:jc w:val="left"/>
      </w:pPr>
      <w:r>
        <w:rPr/>
        <w:t>根据上述原则，根据公司不同的业务类型确认收入的具体标准如下：</w:t>
      </w:r>
    </w:p>
    <w:p>
      <w:pPr>
        <w:pStyle w:val="BodyText"/>
        <w:spacing w:line="357" w:lineRule="auto" w:before="154"/>
        <w:ind w:left="633" w:right="1104"/>
        <w:jc w:val="left"/>
      </w:pPr>
      <w:r>
        <w:rPr/>
        <w:t>（</w:t>
      </w:r>
      <w:r>
        <w:rPr>
          <w:rFonts w:ascii="宋体" w:hAnsi="宋体" w:cs="宋体" w:eastAsia="宋体" w:hint="default"/>
        </w:rPr>
        <w:t>1</w:t>
      </w:r>
      <w:r>
        <w:rPr/>
        <w:t>）数字城管项目在取得项目进度确认单时按照完工进度确认收入： 其中：</w:t>
      </w:r>
      <w:r>
        <w:rPr>
          <w:rFonts w:ascii="宋体" w:hAnsi="宋体" w:cs="宋体" w:eastAsia="宋体" w:hint="default"/>
        </w:rPr>
        <w:t>A.</w:t>
      </w:r>
      <w:r>
        <w:rPr/>
        <w:t>如软件部分和硬件部分不能够区分，或虽能区分但不能够单独计量的，整个项</w:t>
      </w:r>
    </w:p>
    <w:p>
      <w:pPr>
        <w:pStyle w:val="BodyText"/>
        <w:spacing w:line="357" w:lineRule="auto"/>
        <w:ind w:right="1104"/>
        <w:jc w:val="left"/>
      </w:pPr>
      <w:r>
        <w:rPr/>
        <w:t>目按照完工进度确认收入；</w:t>
      </w:r>
      <w:r>
        <w:rPr>
          <w:rFonts w:ascii="宋体" w:hAnsi="宋体" w:cs="宋体" w:eastAsia="宋体" w:hint="default"/>
        </w:rPr>
        <w:t>B.</w:t>
      </w:r>
      <w:r>
        <w:rPr/>
        <w:t>软件部分和硬件部分能够区分并单独计量的，软件部分按照完</w:t>
      </w:r>
      <w:r>
        <w:rPr>
          <w:spacing w:val="-90"/>
        </w:rPr>
        <w:t> </w:t>
      </w:r>
      <w:r>
        <w:rPr>
          <w:spacing w:val="-90"/>
        </w:rPr>
      </w:r>
      <w:r>
        <w:rPr/>
        <w:t>工进度确认收入，硬件部分按照实际发生成本计算确认收入。</w:t>
      </w:r>
    </w:p>
    <w:p>
      <w:pPr>
        <w:pStyle w:val="BodyText"/>
        <w:spacing w:line="240" w:lineRule="auto"/>
        <w:ind w:left="633" w:right="1104"/>
        <w:jc w:val="left"/>
      </w:pPr>
      <w:r>
        <w:rPr/>
        <w:t>（</w:t>
      </w:r>
      <w:r>
        <w:rPr>
          <w:rFonts w:ascii="宋体" w:hAnsi="宋体" w:cs="宋体" w:eastAsia="宋体" w:hint="default"/>
        </w:rPr>
        <w:t>2</w:t>
      </w:r>
      <w:r>
        <w:rPr/>
        <w:t>）采集项目在约定的服务期内按直线法分期确认收入。</w:t>
      </w:r>
    </w:p>
    <w:p>
      <w:pPr>
        <w:pStyle w:val="BodyText"/>
        <w:spacing w:line="240" w:lineRule="auto" w:before="154"/>
        <w:ind w:left="633" w:right="1104"/>
        <w:jc w:val="left"/>
      </w:pPr>
      <w:r>
        <w:rPr/>
        <w:t>（</w:t>
      </w:r>
      <w:r>
        <w:rPr>
          <w:rFonts w:ascii="宋体" w:hAnsi="宋体" w:cs="宋体" w:eastAsia="宋体" w:hint="default"/>
        </w:rPr>
        <w:t>3</w:t>
      </w:r>
      <w:r>
        <w:rPr/>
        <w:t>）安防项目、管道探测项目、管网检测项目在取得项目验收单时确认收入。</w:t>
      </w:r>
    </w:p>
    <w:p>
      <w:pPr>
        <w:pStyle w:val="BodyText"/>
        <w:spacing w:line="240" w:lineRule="auto" w:before="154"/>
        <w:ind w:left="633" w:right="1104"/>
        <w:jc w:val="left"/>
      </w:pPr>
      <w:r>
        <w:rPr/>
        <w:t>（</w:t>
      </w:r>
      <w:r>
        <w:rPr>
          <w:rFonts w:ascii="宋体" w:hAnsi="宋体" w:cs="宋体" w:eastAsia="宋体" w:hint="default"/>
        </w:rPr>
        <w:t>4</w:t>
      </w:r>
      <w:r>
        <w:rPr/>
        <w:t>）</w:t>
      </w:r>
      <w:r>
        <w:rPr>
          <w:rFonts w:ascii="宋体" w:hAnsi="宋体" w:cs="宋体" w:eastAsia="宋体" w:hint="default"/>
        </w:rPr>
        <w:t>PPP</w:t>
      </w:r>
      <w:r>
        <w:rPr/>
        <w:t>项目参照附注四、</w:t>
      </w:r>
      <w:r>
        <w:rPr>
          <w:rFonts w:ascii="宋体" w:hAnsi="宋体" w:cs="宋体" w:eastAsia="宋体" w:hint="default"/>
        </w:rPr>
        <w:t>25</w:t>
      </w:r>
      <w:r>
        <w:rPr/>
        <w:t>（</w:t>
      </w:r>
      <w:r>
        <w:rPr>
          <w:rFonts w:ascii="宋体" w:hAnsi="宋体" w:cs="宋体" w:eastAsia="宋体" w:hint="default"/>
        </w:rPr>
        <w:t>4</w:t>
      </w:r>
      <w:r>
        <w:rPr/>
        <w:t>）建造合同收入确认</w:t>
      </w:r>
      <w:r>
        <w:rPr>
          <w:spacing w:val="-1"/>
        </w:rPr>
        <w:t> </w:t>
      </w:r>
      <w:r>
        <w:rPr/>
        <w:t>。</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3673"/>
        <w:jc w:val="left"/>
      </w:pPr>
      <w:r>
        <w:rPr/>
        <w:t>说明：上述项目在收入分类明细中按照以下分类归集披露 软件开发：数字城管业务中的软件收入； 系统集成：数字城管业务中的硬件部分、安防项目、</w:t>
      </w:r>
      <w:r>
        <w:rPr>
          <w:rFonts w:ascii="宋体" w:hAnsi="宋体" w:cs="宋体" w:eastAsia="宋体" w:hint="default"/>
        </w:rPr>
        <w:t>PPP</w:t>
      </w:r>
      <w:r>
        <w:rPr/>
        <w:t>项目； 运营服务：采集项目、管道探测项目、管网检测项目。</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40" w:firstLine="480"/>
        <w:jc w:val="both"/>
      </w:pPr>
      <w:r>
        <w:rPr/>
        <w:t>政府补助，是公司从政府无偿取得的货币性资产与非货币性资产。分为与资产相关的政 府补助和与收益相关的政府补助。</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与资产相关的政府补助判断依据及会计处理方法 与资产相关的政府补助，是指企业取得的、用于购建或以其他方式形成长期资产的政府</w:t>
      </w:r>
    </w:p>
    <w:p>
      <w:pPr>
        <w:pStyle w:val="BodyText"/>
        <w:spacing w:line="240" w:lineRule="auto"/>
        <w:ind w:right="1104"/>
        <w:jc w:val="left"/>
      </w:pPr>
      <w:r>
        <w:rPr/>
        <w:t>补助。</w:t>
      </w:r>
    </w:p>
    <w:p>
      <w:pPr>
        <w:pStyle w:val="BodyText"/>
        <w:spacing w:line="357" w:lineRule="auto" w:before="154"/>
        <w:ind w:right="1139" w:firstLine="480"/>
        <w:jc w:val="both"/>
      </w:pPr>
      <w:r>
        <w:rPr/>
        <w:t>与资产相关的政府补助，确认为递延收益。与资产相关的政府补助确认为递延收益的， 应当在相关资产使用寿命内按照合理、系统的方法分期计入损益。按照名义金额计量的政府</w:t>
      </w:r>
      <w:r>
        <w:rPr>
          <w:spacing w:val="-91"/>
        </w:rPr>
        <w:t> </w:t>
      </w:r>
      <w:r>
        <w:rPr>
          <w:spacing w:val="-91"/>
        </w:rPr>
      </w:r>
      <w:r>
        <w:rPr/>
        <w:t>补助，直接计入当期损益。</w:t>
      </w:r>
    </w:p>
    <w:p>
      <w:pPr>
        <w:pStyle w:val="BodyText"/>
        <w:spacing w:line="357" w:lineRule="auto"/>
        <w:ind w:right="1140" w:firstLine="480"/>
        <w:jc w:val="both"/>
      </w:pPr>
      <w:r>
        <w:rPr/>
        <w:t>相关资产在使用寿命结束前被出售、转让、报废或发生毁损的，应当将尚未分配的相关 递延收益余额转入资产处置当期的损益。</w:t>
      </w:r>
    </w:p>
    <w:p>
      <w:pPr>
        <w:pStyle w:val="BodyText"/>
        <w:spacing w:line="357" w:lineRule="auto" w:before="34"/>
        <w:ind w:right="1140" w:firstLine="480"/>
        <w:jc w:val="both"/>
      </w:pPr>
      <w:r>
        <w:rPr/>
        <w:t>与公司日常活动相关的政府补助，应当按照经济业务实质，计入其他收益。与公司日常 活动无关的政府补助，应当计入营业外收支。</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与收益相关的政府补助判断依据及会计处理方法 与收益相关的政府补助，是指除与资产相关的政府补助之外的政府补助。 企业对于综合性项目的政府补助，需要将其分解为与资产相关的部分和与收益相关的部</w:t>
      </w:r>
    </w:p>
    <w:p>
      <w:pPr>
        <w:pStyle w:val="BodyText"/>
        <w:spacing w:line="357" w:lineRule="auto"/>
        <w:ind w:left="633" w:right="1104" w:hanging="481"/>
        <w:jc w:val="left"/>
      </w:pPr>
      <w:r>
        <w:rPr/>
        <w:t>分，分别进行会计处理；难以区分的，应当整体归类为与收益相关的政府补助。 与收益相关的政府补助，用于补偿企业以后期间的相关费用或损失的，取得时确认为递</w:t>
      </w:r>
    </w:p>
    <w:p>
      <w:pPr>
        <w:pStyle w:val="BodyText"/>
        <w:spacing w:line="357" w:lineRule="auto"/>
        <w:ind w:right="1104"/>
        <w:jc w:val="left"/>
      </w:pPr>
      <w:r>
        <w:rPr/>
        <w:t>延收益，并在确认相关成本费用或损失的期间，计入当期损益；用于补偿企业已发生的相关</w:t>
      </w:r>
      <w:r>
        <w:rPr>
          <w:spacing w:val="-91"/>
        </w:rPr>
        <w:t> </w:t>
      </w:r>
      <w:r>
        <w:rPr>
          <w:spacing w:val="-91"/>
        </w:rPr>
      </w:r>
      <w:r>
        <w:rPr/>
        <w:t>费用或损失的，直接计入当期损益。</w:t>
      </w:r>
    </w:p>
    <w:p>
      <w:pPr>
        <w:pStyle w:val="BodyText"/>
        <w:spacing w:line="357" w:lineRule="auto"/>
        <w:ind w:right="1140" w:firstLine="480"/>
        <w:jc w:val="both"/>
      </w:pPr>
      <w:r>
        <w:rPr/>
        <w:t>与公司日常活动相关的政府补助，应当按照经济业务实质，计入其他收益。与公司日常 活动无关的政府补助，应当计入营业外收支。</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jc w:val="left"/>
      </w:pPr>
      <w:r>
        <w:rPr/>
        <w:t>政府补助的确认时点 政府补助为货币性资产的，应当按照收到的金额计量。按照应收金额计量的政府补助，</w:t>
      </w:r>
    </w:p>
    <w:p>
      <w:pPr>
        <w:pStyle w:val="BodyText"/>
        <w:spacing w:line="357" w:lineRule="auto"/>
        <w:ind w:right="1139"/>
        <w:jc w:val="both"/>
      </w:pPr>
      <w:r>
        <w:rPr/>
        <w:t>在期末有确凿证据表明能够符合财政扶持政策规定的相关条件且预计能够收到财政扶持资金</w:t>
      </w:r>
      <w:r>
        <w:rPr>
          <w:spacing w:val="-91"/>
        </w:rPr>
        <w:t> </w:t>
      </w:r>
      <w:r>
        <w:rPr>
          <w:spacing w:val="-91"/>
        </w:rPr>
      </w:r>
      <w:r>
        <w:rPr/>
        <w:t>时予以确认；政府补助为非货币性资产的，应当按照取得非货币性资产所有权风险和报酬转</w:t>
      </w:r>
      <w:r>
        <w:rPr>
          <w:spacing w:val="-91"/>
        </w:rPr>
        <w:t> </w:t>
      </w:r>
      <w:r>
        <w:rPr>
          <w:spacing w:val="-91"/>
        </w:rPr>
      </w:r>
      <w:r>
        <w:rPr/>
        <w:t>移时确认政府补助实现。其中非货币性资产按公允价值计量；公允价值不能可靠取得的，按</w:t>
      </w:r>
      <w:r>
        <w:rPr>
          <w:spacing w:val="-91"/>
        </w:rPr>
        <w:t> </w:t>
      </w:r>
      <w:r>
        <w:rPr>
          <w:spacing w:val="-91"/>
        </w:rPr>
      </w:r>
      <w:r>
        <w:rPr/>
        <w:t>照名义金额计量。</w:t>
      </w:r>
    </w:p>
    <w:p>
      <w:pPr>
        <w:pStyle w:val="BodyText"/>
        <w:spacing w:line="357" w:lineRule="auto"/>
        <w:ind w:right="986"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32" w:firstLine="480"/>
        <w:jc w:val="both"/>
      </w:pPr>
      <w:r>
        <w:rPr/>
        <w:t>所得税采用资产负债表债务法进行核算。于资产负债表日，分析比较资产、负债的账面 价值与其计税基础，两者之间存在差异的，确认递延所得税资产、递延所得税负债及相应的</w:t>
      </w:r>
      <w:r>
        <w:rPr>
          <w:spacing w:val="-91"/>
        </w:rPr>
        <w:t> </w:t>
      </w:r>
      <w:r>
        <w:rPr>
          <w:spacing w:val="-91"/>
        </w:rPr>
      </w:r>
      <w:r>
        <w:rPr/>
        <w:t>递延所得税费用</w:t>
      </w:r>
      <w:r>
        <w:rPr>
          <w:rFonts w:ascii="宋体" w:hAnsi="宋体" w:cs="宋体" w:eastAsia="宋体" w:hint="default"/>
        </w:rPr>
        <w:t>(</w:t>
      </w:r>
      <w:r>
        <w:rPr/>
        <w:t>或收益</w:t>
      </w:r>
      <w:r>
        <w:rPr>
          <w:rFonts w:ascii="宋体" w:hAnsi="宋体" w:cs="宋体" w:eastAsia="宋体" w:hint="default"/>
        </w:rPr>
        <w:t>)</w:t>
      </w:r>
      <w:r>
        <w:rPr/>
        <w:t>。在计算确定当期所得税</w:t>
      </w:r>
      <w:r>
        <w:rPr>
          <w:rFonts w:ascii="宋体" w:hAnsi="宋体" w:cs="宋体" w:eastAsia="宋体" w:hint="default"/>
        </w:rPr>
        <w:t>(</w:t>
      </w:r>
      <w:r>
        <w:rPr/>
        <w:t>即当期应交所得税</w:t>
      </w:r>
      <w:r>
        <w:rPr>
          <w:rFonts w:ascii="宋体" w:hAnsi="宋体" w:cs="宋体" w:eastAsia="宋体" w:hint="default"/>
        </w:rPr>
        <w:t>)</w:t>
      </w:r>
      <w:r>
        <w:rPr/>
        <w:t>以及递延所得税费用</w:t>
      </w:r>
      <w:r>
        <w:rPr>
          <w:spacing w:val="-87"/>
        </w:rPr>
        <w:t> </w:t>
      </w:r>
      <w:r>
        <w:rPr>
          <w:spacing w:val="-87"/>
        </w:rPr>
      </w:r>
      <w:r>
        <w:rPr>
          <w:rFonts w:ascii="宋体" w:hAnsi="宋体" w:cs="宋体" w:eastAsia="宋体" w:hint="default"/>
        </w:rPr>
        <w:t>(</w:t>
      </w:r>
      <w:r>
        <w:rPr/>
        <w:t>或收益</w:t>
      </w:r>
      <w:r>
        <w:rPr>
          <w:rFonts w:ascii="宋体" w:hAnsi="宋体" w:cs="宋体" w:eastAsia="宋体" w:hint="default"/>
        </w:rPr>
        <w:t>)</w:t>
      </w:r>
      <w:r>
        <w:rPr/>
        <w:t>的基础上，将两者之和确认为利润表中的所得税费用</w:t>
      </w:r>
      <w:r>
        <w:rPr>
          <w:rFonts w:ascii="宋体" w:hAnsi="宋体" w:cs="宋体" w:eastAsia="宋体" w:hint="default"/>
        </w:rPr>
        <w:t>(</w:t>
      </w:r>
      <w:r>
        <w:rPr/>
        <w:t>或收益</w:t>
      </w:r>
      <w:r>
        <w:rPr>
          <w:rFonts w:ascii="宋体" w:hAnsi="宋体" w:cs="宋体" w:eastAsia="宋体" w:hint="default"/>
        </w:rPr>
        <w:t>)</w:t>
      </w:r>
      <w:r>
        <w:rPr/>
        <w:t>，但不包括直接计入</w:t>
      </w:r>
      <w:r>
        <w:rPr>
          <w:spacing w:val="-87"/>
        </w:rPr>
        <w:t> </w:t>
      </w:r>
      <w:r>
        <w:rPr>
          <w:spacing w:val="-87"/>
        </w:rPr>
      </w:r>
      <w:r>
        <w:rPr/>
        <w:t>所有者权益的交易或事项的所得税影响。</w:t>
      </w:r>
    </w:p>
    <w:p>
      <w:pPr>
        <w:pStyle w:val="BodyText"/>
        <w:spacing w:line="355" w:lineRule="auto"/>
        <w:ind w:right="996" w:firstLine="480"/>
        <w:jc w:val="left"/>
      </w:pPr>
      <w:r>
        <w:rPr/>
        <w:t>资产负债表日，对递延所得税资产的账面价值进行复核。如果未来期间很可能无法获得 </w:t>
      </w:r>
      <w:r>
        <w:rPr>
          <w:spacing w:val="-2"/>
        </w:rPr>
        <w:t>足够的应纳税所得额用以抵扣递延所得税资产的利益，应当减记递延所得税资产的账面价值。</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240" w:lineRule="auto" w:before="0"/>
        <w:ind w:left="633" w:right="1104"/>
        <w:jc w:val="left"/>
      </w:pPr>
      <w:r>
        <w:rPr/>
        <w:t>公司作为承租人对经营租赁的处理</w:t>
      </w:r>
    </w:p>
    <w:p>
      <w:pPr>
        <w:pStyle w:val="BodyText"/>
        <w:spacing w:line="357" w:lineRule="auto" w:before="154"/>
        <w:ind w:left="633" w:right="3073"/>
        <w:jc w:val="left"/>
      </w:pPr>
      <w:r>
        <w:rPr/>
        <w:t>（</w:t>
      </w:r>
      <w:r>
        <w:rPr>
          <w:rFonts w:ascii="宋体" w:hAnsi="宋体" w:cs="宋体" w:eastAsia="宋体" w:hint="default"/>
        </w:rPr>
        <w:t>1</w:t>
      </w:r>
      <w:r>
        <w:rPr/>
        <w:t>）租金的处理 在经营租赁下需将支付或应付的租金计入相关资产成本或当期损益。</w:t>
      </w:r>
    </w:p>
    <w:p>
      <w:pPr>
        <w:spacing w:line="240" w:lineRule="auto" w:before="0"/>
        <w:rPr>
          <w:rFonts w:ascii="宋体" w:hAnsi="宋体" w:cs="宋体" w:eastAsia="宋体" w:hint="default"/>
          <w:sz w:val="24"/>
          <w:szCs w:val="24"/>
        </w:rPr>
      </w:pPr>
    </w:p>
    <w:p>
      <w:pPr>
        <w:pStyle w:val="BodyText"/>
        <w:spacing w:line="357" w:lineRule="auto" w:before="190"/>
        <w:ind w:left="633" w:right="3553"/>
        <w:jc w:val="left"/>
      </w:pPr>
      <w:r>
        <w:rPr/>
        <w:t>（</w:t>
      </w:r>
      <w:r>
        <w:rPr>
          <w:rFonts w:ascii="宋体" w:hAnsi="宋体" w:cs="宋体" w:eastAsia="宋体" w:hint="default"/>
        </w:rPr>
        <w:t>2</w:t>
      </w:r>
      <w:r>
        <w:rPr/>
        <w:t>）初始直接费用的处理 对于承租人在经营租赁中发生的初始直接费用，计入当期损益。</w:t>
      </w:r>
    </w:p>
    <w:p>
      <w:pPr>
        <w:spacing w:line="240" w:lineRule="auto" w:before="0"/>
        <w:rPr>
          <w:rFonts w:ascii="宋体" w:hAnsi="宋体" w:cs="宋体" w:eastAsia="宋体" w:hint="default"/>
          <w:sz w:val="24"/>
          <w:szCs w:val="24"/>
        </w:rPr>
      </w:pPr>
    </w:p>
    <w:p>
      <w:pPr>
        <w:pStyle w:val="BodyText"/>
        <w:spacing w:line="240" w:lineRule="auto" w:before="190"/>
        <w:ind w:left="633" w:right="1104"/>
        <w:jc w:val="left"/>
      </w:pPr>
      <w:r>
        <w:rPr/>
        <w:t>（</w:t>
      </w:r>
      <w:r>
        <w:rPr>
          <w:rFonts w:ascii="宋体" w:hAnsi="宋体" w:cs="宋体" w:eastAsia="宋体" w:hint="default"/>
        </w:rPr>
        <w:t>3</w:t>
      </w:r>
      <w:r>
        <w:rPr/>
        <w:t>）或有租金的处理</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left="633" w:right="1104"/>
        <w:jc w:val="left"/>
      </w:pPr>
      <w:r>
        <w:rPr/>
        <w:t>在经营租赁下，承租人对或有租金在实际发生时计入当期损益。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t>（</w:t>
      </w:r>
      <w:r>
        <w:rPr>
          <w:rFonts w:ascii="宋体" w:hAnsi="宋体" w:cs="宋体" w:eastAsia="宋体" w:hint="default"/>
        </w:rPr>
        <w:t>4</w:t>
      </w:r>
      <w:r>
        <w:rPr/>
        <w:t>）出租人提供激励措施的处理 出租人提供免租期的，承租人应将租金总额在不扣除免租期的整个租赁期内，按直线法</w:t>
      </w:r>
    </w:p>
    <w:p>
      <w:pPr>
        <w:pStyle w:val="BodyText"/>
        <w:spacing w:line="357" w:lineRule="auto"/>
        <w:ind w:right="1138"/>
        <w:jc w:val="both"/>
      </w:pPr>
      <w:r>
        <w:rPr/>
        <w:t>或其他合理的方法进行分摊，免租期内应当确认租金费用及相应的负债。出租人承担了承租</w:t>
      </w:r>
      <w:r>
        <w:rPr>
          <w:spacing w:val="-89"/>
        </w:rPr>
        <w:t> </w:t>
      </w:r>
      <w:r>
        <w:rPr>
          <w:spacing w:val="-89"/>
        </w:rPr>
      </w:r>
      <w:r>
        <w:rPr/>
        <w:t>人某些费用的，承租人将该费用从租金费用总额中扣除，按扣除后的租金费用余额在租赁期</w:t>
      </w:r>
      <w:r>
        <w:rPr>
          <w:spacing w:val="-91"/>
        </w:rPr>
        <w:t> </w:t>
      </w:r>
      <w:r>
        <w:rPr>
          <w:spacing w:val="-91"/>
        </w:rPr>
      </w:r>
      <w:r>
        <w:rPr/>
        <w:t>内进行分摊。</w:t>
      </w:r>
    </w:p>
    <w:p>
      <w:pPr>
        <w:spacing w:line="240" w:lineRule="auto" w:before="0"/>
        <w:rPr>
          <w:rFonts w:ascii="宋体" w:hAnsi="宋体" w:cs="宋体" w:eastAsia="宋体" w:hint="default"/>
          <w:sz w:val="24"/>
          <w:szCs w:val="24"/>
        </w:rPr>
      </w:pPr>
    </w:p>
    <w:p>
      <w:pPr>
        <w:pStyle w:val="BodyText"/>
        <w:spacing w:line="240" w:lineRule="auto" w:before="191"/>
        <w:ind w:left="633" w:right="1104"/>
        <w:jc w:val="left"/>
      </w:pPr>
      <w:r>
        <w:rPr/>
        <w:t>公司作为出租人对经营租赁的处理</w:t>
      </w:r>
    </w:p>
    <w:p>
      <w:pPr>
        <w:pStyle w:val="BodyText"/>
        <w:spacing w:line="357" w:lineRule="auto" w:before="154"/>
        <w:ind w:left="633" w:right="4033"/>
        <w:jc w:val="left"/>
      </w:pPr>
      <w:r>
        <w:rPr/>
        <w:t>（</w:t>
      </w:r>
      <w:r>
        <w:rPr>
          <w:rFonts w:ascii="宋体" w:hAnsi="宋体" w:cs="宋体" w:eastAsia="宋体" w:hint="default"/>
        </w:rPr>
        <w:t>1</w:t>
      </w:r>
      <w:r>
        <w:rPr/>
        <w:t>）租金的处理 出租人应采用直线法将收到的租金在租赁期内确认为收益。</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w:t>
      </w:r>
      <w:r>
        <w:rPr>
          <w:rFonts w:ascii="宋体" w:hAnsi="宋体" w:cs="宋体" w:eastAsia="宋体" w:hint="default"/>
        </w:rPr>
        <w:t>2</w:t>
      </w:r>
      <w:r>
        <w:rPr/>
        <w:t>）初始直接费用的处理 经营租赁中出租人发生的初始直接费用，是指在租赁谈判和签订租赁合同的过程中发生</w:t>
      </w:r>
    </w:p>
    <w:p>
      <w:pPr>
        <w:pStyle w:val="BodyText"/>
        <w:spacing w:line="357" w:lineRule="auto"/>
        <w:ind w:right="1139"/>
        <w:jc w:val="both"/>
      </w:pPr>
      <w:r>
        <w:rPr/>
        <w:t>的可归属于租赁项目的手续费、律师费、差旅费、印花税等，计入当期损益。金额较大的应</w:t>
      </w:r>
      <w:r>
        <w:rPr>
          <w:spacing w:val="-91"/>
        </w:rPr>
        <w:t> </w:t>
      </w:r>
      <w:r>
        <w:rPr>
          <w:spacing w:val="-91"/>
        </w:rPr>
      </w:r>
      <w:r>
        <w:rPr/>
        <w:t>当资本化，在整个经营租赁期内按照与确认租金收入相同的基础分期计入当期损益。</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w:t>
      </w:r>
      <w:r>
        <w:rPr>
          <w:rFonts w:ascii="宋体" w:hAnsi="宋体" w:cs="宋体" w:eastAsia="宋体" w:hint="default"/>
        </w:rPr>
        <w:t>3</w:t>
      </w:r>
      <w:r>
        <w:rPr/>
        <w:t>）租赁资产折旧的计提 对于经营租赁资产中的固定资产，采用出租人对类似应折旧资产通常所采用的折旧政策</w:t>
      </w:r>
    </w:p>
    <w:p>
      <w:pPr>
        <w:pStyle w:val="BodyText"/>
        <w:spacing w:line="240" w:lineRule="auto"/>
        <w:ind w:right="0"/>
        <w:jc w:val="both"/>
      </w:pPr>
      <w:r>
        <w:rPr/>
        <w:t>计提折旧。</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7153"/>
        <w:jc w:val="left"/>
      </w:pPr>
      <w:r>
        <w:rPr/>
        <w:t>（</w:t>
      </w:r>
      <w:r>
        <w:rPr>
          <w:rFonts w:ascii="宋体" w:hAnsi="宋体" w:cs="宋体" w:eastAsia="宋体" w:hint="default"/>
        </w:rPr>
        <w:t>4</w:t>
      </w:r>
      <w:r>
        <w:rPr/>
        <w:t>）或有租金的处理 在实际发生时计入当期收益。</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w:t>
      </w:r>
      <w:r>
        <w:rPr>
          <w:rFonts w:ascii="宋体" w:hAnsi="宋体" w:cs="宋体" w:eastAsia="宋体" w:hint="default"/>
        </w:rPr>
        <w:t>5</w:t>
      </w:r>
      <w:r>
        <w:rPr/>
        <w:t>）出租人对经营租赁提供激励措施的处理 出租人提供免租期的，出租人将租金总额在不扣除免租期的整个租赁期内，按直线法或</w:t>
      </w:r>
    </w:p>
    <w:p>
      <w:pPr>
        <w:pStyle w:val="BodyText"/>
        <w:spacing w:line="357" w:lineRule="auto"/>
        <w:ind w:right="996"/>
        <w:jc w:val="left"/>
      </w:pPr>
      <w:r>
        <w:rPr>
          <w:spacing w:val="-2"/>
        </w:rPr>
        <w:t>其他合理的方法进行分配，免租期内出租人确认租金收入。出租人承担了承租人某些费用的，</w:t>
      </w:r>
      <w:r>
        <w:rPr/>
        <w:t> 出租人将该费用自租金收入总额中扣除，按扣除后的租金收入余额在租赁期内进行分配。</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1113" w:right="1104" w:hanging="480"/>
        <w:jc w:val="left"/>
      </w:pPr>
      <w:r>
        <w:rPr/>
        <w:t>（</w:t>
      </w:r>
      <w:r>
        <w:rPr>
          <w:rFonts w:ascii="宋体" w:hAnsi="宋体" w:cs="宋体" w:eastAsia="宋体" w:hint="default"/>
        </w:rPr>
        <w:t>6</w:t>
      </w:r>
      <w:r>
        <w:rPr/>
        <w:t>）经营租赁资产在财务报表中的处理 在经营租赁下，与资产所有权有关的主要风险和报酬仍然留在出租人一方，因此出</w:t>
      </w:r>
    </w:p>
    <w:p>
      <w:pPr>
        <w:pStyle w:val="BodyText"/>
        <w:spacing w:line="357" w:lineRule="auto"/>
        <w:ind w:right="1139"/>
        <w:jc w:val="both"/>
      </w:pPr>
      <w:r>
        <w:rPr/>
        <w:t>租人将出租资产作为自身拥有的资产在资产负债表中列示，如果出租资产属于固定资产，则</w:t>
      </w:r>
      <w:r>
        <w:rPr>
          <w:spacing w:val="-91"/>
        </w:rPr>
        <w:t> </w:t>
      </w:r>
      <w:r>
        <w:rPr>
          <w:spacing w:val="-91"/>
        </w:rPr>
      </w:r>
      <w:r>
        <w:rPr/>
        <w:t>列在资产负债表固定资产项下，如果出租资产属于流动资产，则列在资产负债表有关流动资</w:t>
      </w:r>
      <w:r>
        <w:rPr>
          <w:spacing w:val="-91"/>
        </w:rPr>
        <w:t> </w:t>
      </w:r>
      <w:r>
        <w:rPr>
          <w:spacing w:val="-91"/>
        </w:rPr>
      </w:r>
      <w:r>
        <w:rPr/>
        <w:t>产项下。</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86" w:firstLine="480"/>
        <w:jc w:val="left"/>
      </w:pPr>
      <w:r>
        <w:rPr/>
        <w:t>公司在运用会计政策过程中，由于经营活动内在的不确定性，公司需要对无法准确计量 的报表项目的账面价值进行判断、估计和假设。这些判断、估计和假设是基于公司管理层过</w:t>
      </w:r>
      <w:r>
        <w:rPr>
          <w:spacing w:val="-91"/>
        </w:rPr>
        <w:t> </w:t>
      </w:r>
      <w:r>
        <w:rPr>
          <w:spacing w:val="-91"/>
        </w:rPr>
      </w:r>
      <w:r>
        <w:rPr>
          <w:spacing w:val="-3"/>
        </w:rPr>
        <w:t>去的历史经验，并在考虑其他相关因素的基础上做出的。这些判断、估计和假设会影响收入、</w:t>
      </w:r>
      <w:r>
        <w:rPr>
          <w:spacing w:val="-80"/>
        </w:rPr>
        <w:t> </w:t>
      </w:r>
      <w:r>
        <w:rPr>
          <w:spacing w:val="-80"/>
        </w:rPr>
      </w:r>
      <w:r>
        <w:rPr/>
        <w:t>费用、资产和负债的报告金额以及资产负债表日或有负债的披露。然而，这些估计的不确定</w:t>
      </w:r>
      <w:r>
        <w:rPr>
          <w:spacing w:val="-91"/>
        </w:rPr>
        <w:t> </w:t>
      </w:r>
      <w:r>
        <w:rPr>
          <w:spacing w:val="-91"/>
        </w:rPr>
      </w:r>
      <w:r>
        <w:rPr/>
        <w:t>性所导致的实际结果可能与公司管理层当前的估计存在差异，进而造成对未来受影响的资产</w:t>
      </w:r>
      <w:r>
        <w:rPr>
          <w:spacing w:val="-91"/>
        </w:rPr>
        <w:t> </w:t>
      </w:r>
      <w:r>
        <w:rPr>
          <w:spacing w:val="-91"/>
        </w:rPr>
      </w:r>
      <w:r>
        <w:rPr/>
        <w:t>或负债的账面金额进行重大调整。</w:t>
      </w:r>
    </w:p>
    <w:p>
      <w:pPr>
        <w:pStyle w:val="BodyText"/>
        <w:spacing w:line="357" w:lineRule="auto"/>
        <w:ind w:right="1139" w:firstLine="480"/>
        <w:jc w:val="both"/>
      </w:pPr>
      <w:r>
        <w:rPr/>
        <w:t>公司对前述判断、估计和假设在持续经营的基础上进行定期复核，会计估计的变更仅影 响变更当期的，其影响数在变更当期予以确认；既影响变更当期又影响未来期间的，其影响</w:t>
      </w:r>
      <w:r>
        <w:rPr>
          <w:spacing w:val="-91"/>
        </w:rPr>
        <w:t> </w:t>
      </w:r>
      <w:r>
        <w:rPr>
          <w:spacing w:val="-91"/>
        </w:rPr>
      </w:r>
      <w:r>
        <w:rPr/>
        <w:t>数在变更当期和未来期间予以确认。</w:t>
      </w:r>
    </w:p>
    <w:p>
      <w:pPr>
        <w:pStyle w:val="BodyText"/>
        <w:spacing w:line="240" w:lineRule="auto" w:before="34"/>
        <w:ind w:left="633" w:right="1104"/>
        <w:jc w:val="left"/>
      </w:pPr>
      <w:r>
        <w:rPr/>
        <w:t>于资产负债表日，公司需对财务报表项目金额进行判断、估计和假设的重要领域如下：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t>金融工具减值 公司采用预期信用损失模型对金融工具的减值进行评估，应用预期信用损失模型需要做</w:t>
      </w:r>
    </w:p>
    <w:p>
      <w:pPr>
        <w:pStyle w:val="BodyText"/>
        <w:spacing w:line="357" w:lineRule="auto" w:before="37"/>
        <w:ind w:right="1139"/>
        <w:jc w:val="both"/>
      </w:pPr>
      <w:r>
        <w:rPr/>
        <w:t>出重大判断和估计，需考虑所有合理且有依据的信息，包括前瞻性信息。在做出该等判断和</w:t>
      </w:r>
      <w:r>
        <w:rPr>
          <w:spacing w:val="-91"/>
        </w:rPr>
        <w:t> </w:t>
      </w:r>
      <w:r>
        <w:rPr>
          <w:spacing w:val="-91"/>
        </w:rPr>
      </w:r>
      <w:r>
        <w:rPr/>
        <w:t>估计时，公司根据历史还款数据结合经济政策、宏观经济指标、行业风险等因素推断债务人</w:t>
      </w:r>
      <w:r>
        <w:rPr>
          <w:spacing w:val="-91"/>
        </w:rPr>
        <w:t> </w:t>
      </w:r>
      <w:r>
        <w:rPr>
          <w:spacing w:val="-91"/>
        </w:rPr>
      </w:r>
      <w:r>
        <w:rPr/>
        <w:t>信用风险的预期变动。</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存货跌价准备 公司根据存货会计政策，按照成本与可变现净值孰低计量，对成本高于可变现净值及陈</w:t>
      </w:r>
    </w:p>
    <w:p>
      <w:pPr>
        <w:pStyle w:val="BodyText"/>
        <w:spacing w:line="357" w:lineRule="auto"/>
        <w:ind w:right="1135"/>
        <w:jc w:val="both"/>
      </w:pPr>
      <w:r>
        <w:rPr/>
        <w:t>旧和滞销的存货，计提存货跌价准备。存货减值至可变现净值是基于评估存货的可售性及其</w:t>
      </w:r>
      <w:r>
        <w:rPr>
          <w:spacing w:val="-91"/>
        </w:rPr>
        <w:t> </w:t>
      </w:r>
      <w:r>
        <w:rPr>
          <w:spacing w:val="-91"/>
        </w:rPr>
      </w:r>
      <w:r>
        <w:rPr/>
        <w:t>可变现净值。鉴定存货减值要求管理层在取得确凿证据，并且考虑持有存货的目的、资产负</w:t>
      </w:r>
      <w:r>
        <w:rPr>
          <w:spacing w:val="-91"/>
        </w:rPr>
        <w:t> </w:t>
      </w:r>
      <w:r>
        <w:rPr>
          <w:spacing w:val="-91"/>
        </w:rPr>
      </w:r>
      <w:r>
        <w:rPr/>
        <w:t>债表日后事项的影响等因素的基础上作出判断和估计。实际的结果与原先估计的差异将在估</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计被改变的期间影响存货的账面价值及存货跌价准备的计提或转回。</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t>金融工具公允价值 对不存在活跃交易市场的金融工具，公司通过各种估值方法确定其公允价值。这些估值</w:t>
      </w:r>
    </w:p>
    <w:p>
      <w:pPr>
        <w:pStyle w:val="BodyText"/>
        <w:spacing w:line="357" w:lineRule="auto"/>
        <w:ind w:right="1139"/>
        <w:jc w:val="both"/>
      </w:pPr>
      <w:r>
        <w:rPr/>
        <w:t>方法包括贴现现金流模型分析等。估值时公司需对未来现金流量、信用风险、市场波动率和</w:t>
      </w:r>
      <w:r>
        <w:rPr>
          <w:spacing w:val="-91"/>
        </w:rPr>
        <w:t> </w:t>
      </w:r>
      <w:r>
        <w:rPr>
          <w:spacing w:val="-91"/>
        </w:rPr>
      </w:r>
      <w:r>
        <w:rPr/>
        <w:t>相关性等方面进行估计，并选择适当的折现率。这些相关假设具有不确定性，其变化会对金</w:t>
      </w:r>
      <w:r>
        <w:rPr>
          <w:spacing w:val="-91"/>
        </w:rPr>
        <w:t> </w:t>
      </w:r>
      <w:r>
        <w:rPr>
          <w:spacing w:val="-91"/>
        </w:rPr>
      </w:r>
      <w:r>
        <w:rPr/>
        <w:t>融工具的公允价值产生影响。</w:t>
      </w:r>
    </w:p>
    <w:p>
      <w:pPr>
        <w:spacing w:line="240" w:lineRule="auto" w:before="0"/>
        <w:rPr>
          <w:rFonts w:ascii="宋体" w:hAnsi="宋体" w:cs="宋体" w:eastAsia="宋体" w:hint="default"/>
          <w:sz w:val="24"/>
          <w:szCs w:val="24"/>
        </w:rPr>
      </w:pPr>
    </w:p>
    <w:p>
      <w:pPr>
        <w:pStyle w:val="BodyText"/>
        <w:spacing w:line="357" w:lineRule="auto" w:before="191"/>
        <w:ind w:left="633" w:right="1104"/>
        <w:jc w:val="left"/>
      </w:pPr>
      <w:r>
        <w:rPr/>
        <w:t>商誉减值准备 在对商誉进行减值测试时，需计算包含商誉的相关资产组或者资产组组合的预计未来现</w:t>
      </w:r>
    </w:p>
    <w:p>
      <w:pPr>
        <w:pStyle w:val="BodyText"/>
        <w:spacing w:line="357" w:lineRule="auto"/>
        <w:ind w:right="1136"/>
        <w:jc w:val="both"/>
      </w:pPr>
      <w:r>
        <w:rPr/>
        <w:t>金流量现值，并需要对该资产组或资产组组合的未来现金流量进行预计，同时确定一个适当</w:t>
      </w:r>
      <w:r>
        <w:rPr>
          <w:spacing w:val="-89"/>
        </w:rPr>
        <w:t> </w:t>
      </w:r>
      <w:r>
        <w:rPr>
          <w:spacing w:val="-89"/>
        </w:rPr>
      </w:r>
      <w:r>
        <w:rPr/>
        <w:t>地反映当前市场货币时间价值和资产特定风险的税前利率。</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折旧和摊销 公司对投资性房地产、固定资产和无形资产在考虑其残值后，在使用寿命内按直线法计</w:t>
      </w:r>
    </w:p>
    <w:p>
      <w:pPr>
        <w:pStyle w:val="BodyText"/>
        <w:spacing w:line="357" w:lineRule="auto"/>
        <w:ind w:right="1139"/>
        <w:jc w:val="both"/>
      </w:pPr>
      <w:r>
        <w:rPr/>
        <w:t>提折旧和摊销。公司定期复核使用寿命，以决定将计入每个报告期的折旧和摊销费用数额。</w:t>
      </w:r>
      <w:r>
        <w:rPr>
          <w:spacing w:val="-91"/>
        </w:rPr>
        <w:t> </w:t>
      </w:r>
      <w:r>
        <w:rPr>
          <w:spacing w:val="-91"/>
        </w:rPr>
      </w:r>
      <w:r>
        <w:rPr/>
        <w:t>使用寿命是公司根据对同类资产的以往经验并结合预期的技术更新而确定的。如果以前的估</w:t>
      </w:r>
      <w:r>
        <w:rPr>
          <w:spacing w:val="-91"/>
        </w:rPr>
        <w:t> </w:t>
      </w:r>
      <w:r>
        <w:rPr>
          <w:spacing w:val="-91"/>
        </w:rPr>
      </w:r>
      <w:r>
        <w:rPr/>
        <w:t>计发生重大变化，则会在未来期间对折旧和摊销费用进行调整。</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所得税 公司在正常的经营活动中，有部分交易其最终的税务处理和计算存在一定的不确定性。</w:t>
      </w:r>
    </w:p>
    <w:p>
      <w:pPr>
        <w:pStyle w:val="BodyText"/>
        <w:spacing w:line="357" w:lineRule="auto" w:before="37"/>
        <w:ind w:right="1137"/>
        <w:jc w:val="both"/>
      </w:pPr>
      <w:r>
        <w:rPr/>
        <w:t>部分项目是否能够在税前列支需要税收主管机关的审批。如果这些税务事项的最终认定结果</w:t>
      </w:r>
      <w:r>
        <w:rPr>
          <w:spacing w:val="-90"/>
        </w:rPr>
        <w:t> </w:t>
      </w:r>
      <w:r>
        <w:rPr>
          <w:spacing w:val="-90"/>
        </w:rPr>
      </w:r>
      <w:r>
        <w:rPr/>
        <w:t>同最初估计的金额存在差异，则该差异将对其最终认定期间的当期所得税和递延所得税产生</w:t>
      </w:r>
      <w:r>
        <w:rPr>
          <w:spacing w:val="-91"/>
        </w:rPr>
        <w:t> </w:t>
      </w:r>
      <w:r>
        <w:rPr>
          <w:spacing w:val="-91"/>
        </w:rPr>
      </w:r>
      <w:r>
        <w:rPr/>
        <w:t>影响。</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预计负债 公司根据合约条款、现有知识及历史经验，对产品质量保证、预计合同亏损、延迟交货</w:t>
      </w:r>
    </w:p>
    <w:p>
      <w:pPr>
        <w:pStyle w:val="BodyText"/>
        <w:spacing w:line="357" w:lineRule="auto"/>
        <w:ind w:right="1139"/>
        <w:jc w:val="both"/>
      </w:pPr>
      <w:r>
        <w:rPr/>
        <w:t>违约金等估计并计提相应准备。在该等或有事项已经形成一项现时义务，且履行该等现时义</w:t>
      </w:r>
      <w:r>
        <w:rPr>
          <w:spacing w:val="-91"/>
        </w:rPr>
        <w:t> </w:t>
      </w:r>
      <w:r>
        <w:rPr>
          <w:spacing w:val="-91"/>
        </w:rPr>
      </w:r>
      <w:r>
        <w:rPr/>
        <w:t>务很可能导致经济利益流出公司的情况下，公司对或有事项按履行相关现时义务所需支出的</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04"/>
        <w:jc w:val="left"/>
      </w:pPr>
      <w:r>
        <w:rPr/>
        <w:t>最佳估计数确认为预计负债。预计负债的确认和计量在很大程度上依赖于管理层的判断。在</w:t>
      </w:r>
      <w:r>
        <w:rPr>
          <w:spacing w:val="-91"/>
        </w:rPr>
        <w:t> </w:t>
      </w:r>
      <w:r>
        <w:rPr>
          <w:spacing w:val="-91"/>
        </w:rPr>
      </w:r>
      <w:r>
        <w:rPr/>
        <w:t>进行判断过程中公司需评估该等或有事项相关的风险、不确定性及货币时间价值等因素。</w:t>
      </w:r>
    </w:p>
    <w:p>
      <w:pPr>
        <w:pStyle w:val="BodyText"/>
        <w:spacing w:line="357" w:lineRule="auto"/>
        <w:ind w:right="1139" w:firstLine="480"/>
        <w:jc w:val="both"/>
      </w:pPr>
      <w:r>
        <w:rPr/>
        <w:t>其中，公司会就出售、维修及改造所售商品向客户提供的售后质量维修承诺预计负债。 预计负债时已考虑公司近期的维修经验数据，但近期的维修经验可能无法反映将来的维修情</w:t>
      </w:r>
      <w:r>
        <w:rPr>
          <w:spacing w:val="-91"/>
        </w:rPr>
        <w:t> </w:t>
      </w:r>
      <w:r>
        <w:rPr>
          <w:spacing w:val="-91"/>
        </w:rPr>
      </w:r>
      <w:r>
        <w:rPr/>
        <w:t>况。这项准备的任何增加或减少，均可能影响未来年度的损益。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131" w:firstLine="480"/>
        <w:jc w:val="both"/>
      </w:pPr>
      <w:r>
        <w:rPr>
          <w:spacing w:val="-5"/>
        </w:rPr>
        <w:t>本公司根据财政部《关于修订印发</w:t>
      </w:r>
      <w:r>
        <w:rPr>
          <w:rFonts w:ascii="宋体" w:hAnsi="宋体" w:cs="宋体" w:eastAsia="宋体" w:hint="default"/>
          <w:spacing w:val="-5"/>
        </w:rPr>
        <w:t>2019</w:t>
      </w:r>
      <w:r>
        <w:rPr>
          <w:spacing w:val="-5"/>
        </w:rPr>
        <w:t>年度一般企业财务报表格式的通知》（财会</w:t>
      </w:r>
      <w:r>
        <w:rPr>
          <w:rFonts w:ascii="宋体" w:hAnsi="宋体" w:cs="宋体" w:eastAsia="宋体" w:hint="default"/>
          <w:spacing w:val="-5"/>
        </w:rPr>
        <w:t>[2019]</w:t>
      </w:r>
      <w:r>
        <w:rPr>
          <w:rFonts w:ascii="宋体" w:hAnsi="宋体" w:cs="宋体" w:eastAsia="宋体" w:hint="default"/>
        </w:rPr>
        <w:t> 6</w:t>
      </w:r>
      <w:r>
        <w:rPr/>
        <w:t>号），公司对财务报表格式进行了以下修订：</w:t>
      </w:r>
    </w:p>
    <w:p>
      <w:pPr>
        <w:pStyle w:val="BodyText"/>
        <w:spacing w:line="357" w:lineRule="auto"/>
        <w:ind w:left="633" w:right="1104"/>
        <w:jc w:val="left"/>
      </w:pPr>
      <w:r>
        <w:rPr/>
        <w:t>①资产负债表 将原“应收票据及应收账款”项目分拆为“应收票据”及“应收账款”两个项目； 将原“应付票据及应付账款”项目分拆为“应付票据”及“应付账款”两个项目； 新增“其他权益工具投资”项目，反应资产负债表日企业指定为以公允价值计量且其变</w:t>
      </w:r>
    </w:p>
    <w:p>
      <w:pPr>
        <w:pStyle w:val="BodyText"/>
        <w:spacing w:line="240" w:lineRule="auto"/>
        <w:ind w:right="1104"/>
        <w:jc w:val="left"/>
      </w:pPr>
      <w:r>
        <w:rPr/>
        <w:t>动计入其他综合收益的非交易性权益工具投资的期末账面价值。</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t>②利润表 新增“信用减值损失”项目，反映企业按照《企业会计准则第</w:t>
      </w:r>
      <w:r>
        <w:rPr>
          <w:rFonts w:ascii="宋体" w:hAnsi="宋体" w:cs="宋体" w:eastAsia="宋体" w:hint="default"/>
        </w:rPr>
        <w:t>22</w:t>
      </w:r>
      <w:r>
        <w:rPr/>
        <w:t>号—金融工具确认和计</w:t>
      </w:r>
    </w:p>
    <w:p>
      <w:pPr>
        <w:pStyle w:val="BodyText"/>
        <w:spacing w:line="357" w:lineRule="auto"/>
        <w:ind w:left="633" w:right="1139" w:hanging="481"/>
        <w:jc w:val="left"/>
      </w:pPr>
      <w:r>
        <w:rPr/>
        <w:t>量》（财会</w:t>
      </w:r>
      <w:r>
        <w:rPr>
          <w:rFonts w:ascii="宋体" w:hAnsi="宋体" w:cs="宋体" w:eastAsia="宋体" w:hint="default"/>
        </w:rPr>
        <w:t>[2017] 7</w:t>
      </w:r>
      <w:r>
        <w:rPr/>
        <w:t>号）要求计提的各项金融工具信用减值准备所确认的信用损失； 将原“减：资产减值损失”调整为“加：资产减值损失（损失以“</w:t>
      </w:r>
      <w:r>
        <w:rPr>
          <w:rFonts w:ascii="宋体" w:hAnsi="宋体" w:cs="宋体" w:eastAsia="宋体" w:hint="default"/>
        </w:rPr>
        <w:t>-</w:t>
      </w:r>
      <w:r>
        <w:rPr/>
        <w:t>”列示）”； 将原利润表中，“研发费用”项目除反映进行研究与开发过程中发生的费用化支出外，</w:t>
      </w:r>
    </w:p>
    <w:p>
      <w:pPr>
        <w:pStyle w:val="BodyText"/>
        <w:spacing w:line="357" w:lineRule="auto"/>
        <w:ind w:left="633" w:right="1153" w:hanging="481"/>
        <w:jc w:val="left"/>
      </w:pPr>
      <w:r>
        <w:rPr/>
        <w:t>还包括了原在“管理费用”项目中列示的自行开发无形资产的摊销； 财务报表格式的修订对公司的资产总额、负债总额、净利润、其他综合收益等无影响。 </w:t>
      </w:r>
      <w:r>
        <w:rPr>
          <w:rFonts w:ascii="宋体" w:hAnsi="宋体" w:cs="宋体" w:eastAsia="宋体" w:hint="default"/>
        </w:rPr>
        <w:t>2018</w:t>
      </w:r>
      <w:r>
        <w:rPr/>
        <w:t>年度财务报表受重要影响的报表项目和金额如下：</w:t>
      </w:r>
    </w:p>
    <w:tbl>
      <w:tblPr>
        <w:tblW w:w="0" w:type="auto"/>
        <w:jc w:val="left"/>
        <w:tblInd w:w="145" w:type="dxa"/>
        <w:tblLayout w:type="fixed"/>
        <w:tblCellMar>
          <w:top w:w="0" w:type="dxa"/>
          <w:left w:w="0" w:type="dxa"/>
          <w:bottom w:w="0" w:type="dxa"/>
          <w:right w:w="0" w:type="dxa"/>
        </w:tblCellMar>
        <w:tblLook w:val="01E0"/>
      </w:tblPr>
      <w:tblGrid>
        <w:gridCol w:w="2261"/>
        <w:gridCol w:w="2261"/>
        <w:gridCol w:w="2120"/>
        <w:gridCol w:w="2120"/>
      </w:tblGrid>
      <w:tr>
        <w:trPr>
          <w:trHeight w:val="346" w:hRule="exact"/>
        </w:trPr>
        <w:tc>
          <w:tcPr>
            <w:tcW w:w="4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54"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2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12"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8" w:hRule="exact"/>
        </w:trPr>
        <w:tc>
          <w:tcPr>
            <w:tcW w:w="2261" w:type="dxa"/>
            <w:vMerge w:val="restart"/>
            <w:tcBorders>
              <w:top w:val="single" w:sz="6" w:space="0" w:color="000000"/>
              <w:left w:val="single" w:sz="6" w:space="0" w:color="000000"/>
              <w:right w:val="single" w:sz="6"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61" w:type="dxa"/>
            <w:vMerge w:val="restart"/>
            <w:tcBorders>
              <w:top w:val="single" w:sz="6" w:space="0" w:color="000000"/>
              <w:left w:val="single" w:sz="6" w:space="0" w:color="000000"/>
              <w:right w:val="single" w:sz="6" w:space="0" w:color="000000"/>
            </w:tcBorders>
          </w:tcPr>
          <w:p>
            <w:pPr>
              <w:pStyle w:val="TableParagraph"/>
              <w:spacing w:line="240" w:lineRule="auto" w:before="60"/>
              <w:ind w:left="984" w:right="0"/>
              <w:jc w:val="left"/>
              <w:rPr>
                <w:rFonts w:ascii="Times New Roman" w:hAnsi="Times New Roman" w:cs="Times New Roman" w:eastAsia="Times New Roman" w:hint="default"/>
                <w:sz w:val="18"/>
                <w:szCs w:val="18"/>
              </w:rPr>
            </w:pPr>
            <w:r>
              <w:rPr>
                <w:rFonts w:ascii="Times New Roman"/>
                <w:sz w:val="18"/>
              </w:rPr>
              <w:t>1,072,899,995.97</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w w:val="95"/>
                <w:sz w:val="18"/>
              </w:rPr>
              <w:t>5,623,758.55-</w:t>
            </w:r>
          </w:p>
        </w:tc>
      </w:tr>
      <w:tr>
        <w:trPr>
          <w:trHeight w:val="346" w:hRule="exact"/>
        </w:trPr>
        <w:tc>
          <w:tcPr>
            <w:tcW w:w="2261" w:type="dxa"/>
            <w:vMerge/>
            <w:tcBorders>
              <w:left w:val="single" w:sz="6" w:space="0" w:color="000000"/>
              <w:bottom w:val="single" w:sz="6" w:space="0" w:color="000000"/>
              <w:right w:val="single" w:sz="6" w:space="0" w:color="000000"/>
            </w:tcBorders>
          </w:tcPr>
          <w:p>
            <w:pPr/>
          </w:p>
        </w:tc>
        <w:tc>
          <w:tcPr>
            <w:tcW w:w="2261" w:type="dxa"/>
            <w:vMerge/>
            <w:tcBorders>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1,067,276,237.42</w:t>
            </w:r>
          </w:p>
        </w:tc>
      </w:tr>
      <w:tr>
        <w:trPr>
          <w:trHeight w:val="348" w:hRule="exact"/>
        </w:trPr>
        <w:tc>
          <w:tcPr>
            <w:tcW w:w="2261" w:type="dxa"/>
            <w:vMerge w:val="restart"/>
            <w:tcBorders>
              <w:top w:val="single" w:sz="6" w:space="0" w:color="000000"/>
              <w:left w:val="single" w:sz="6" w:space="0" w:color="000000"/>
              <w:right w:val="single" w:sz="6" w:space="0" w:color="000000"/>
            </w:tcBorders>
          </w:tcPr>
          <w:p>
            <w:pPr>
              <w:pStyle w:val="TableParagraph"/>
              <w:spacing w:line="240" w:lineRule="auto" w:before="18"/>
              <w:ind w:left="31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61" w:type="dxa"/>
            <w:vMerge w:val="restart"/>
            <w:tcBorders>
              <w:top w:val="single" w:sz="6" w:space="0" w:color="000000"/>
              <w:left w:val="single" w:sz="6" w:space="0" w:color="000000"/>
              <w:right w:val="single" w:sz="6" w:space="0" w:color="000000"/>
            </w:tcBorders>
          </w:tcPr>
          <w:p>
            <w:pPr>
              <w:pStyle w:val="TableParagraph"/>
              <w:spacing w:line="240" w:lineRule="auto" w:before="60"/>
              <w:ind w:left="1118" w:right="0"/>
              <w:jc w:val="left"/>
              <w:rPr>
                <w:rFonts w:ascii="Times New Roman" w:hAnsi="Times New Roman" w:cs="Times New Roman" w:eastAsia="Times New Roman" w:hint="default"/>
                <w:sz w:val="18"/>
                <w:szCs w:val="18"/>
              </w:rPr>
            </w:pPr>
            <w:r>
              <w:rPr>
                <w:rFonts w:ascii="Times New Roman"/>
                <w:sz w:val="18"/>
              </w:rPr>
              <w:t>292,282,879.71</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61" w:type="dxa"/>
            <w:vMerge/>
            <w:tcBorders>
              <w:left w:val="single" w:sz="6" w:space="0" w:color="000000"/>
              <w:bottom w:val="single" w:sz="6" w:space="0" w:color="000000"/>
              <w:right w:val="single" w:sz="6" w:space="0" w:color="000000"/>
            </w:tcBorders>
          </w:tcPr>
          <w:p>
            <w:pPr/>
          </w:p>
        </w:tc>
        <w:tc>
          <w:tcPr>
            <w:tcW w:w="2261" w:type="dxa"/>
            <w:vMerge/>
            <w:tcBorders>
              <w:left w:val="single" w:sz="6" w:space="0" w:color="000000"/>
              <w:bottom w:val="single" w:sz="6" w:space="0" w:color="000000"/>
              <w:right w:val="single" w:sz="6" w:space="0" w:color="000000"/>
            </w:tcBorders>
          </w:tcPr>
          <w:p>
            <w:pP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292,282,879.71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807,143,248.11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807,143,248.11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5,623,758.55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-5,623,758.55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1,067,276,237.42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1,101,345,782.52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34,069,545.10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5,623,758.55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5,623,758.55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5,227,140.16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5,227,140.16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122,597,106.66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116,737,326.88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-5,859,779.78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133,586,072.16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133,586,072.16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39,953,581.43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39,953,581.43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7,685,973.93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7,685,973.93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2,189,093,118.42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2,217,302,883.74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28,209,765.32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43,020,000.00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-43,020,000.00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84,544,047.85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84,544,047.85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7,908,743.79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7,908,743.79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71,805,792.58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71,805,792.58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58,513,363.22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58,513,363.22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119,874,488.20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119,874,488.20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30,904,913.59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30,904,913.59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440,779,441.04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440,779,441.04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60,811.20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60,811.20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42,519,229.28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38,303,036.77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-4,216,192.51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899,930,830.75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895,714,638.24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-4,216,192.51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3,089,023,949.17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3,113,017,521.98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23,993,572.81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292,282,879.71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292,282,879.71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117,626,431.08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117,626,431.08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27,516,323.17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27,516,323.17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59,265,578.66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59,265,578.66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221,135,497.29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221,135,497.29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33,833.34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33,833.34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7,356,790.00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7,356,790.00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884,826,709.91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884,826,709.91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13,658,000.00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13,658,000.00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9,555,534.15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9,555,534.15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23,213,534.15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23,213,534.15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908,040,244.06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908,040,244.06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424,340,905.00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424,340,905.00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959,426,639.37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959,426,639.37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40,103,798.00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40,103,798.00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88,226,696.38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89,409,728.83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1,183,032.45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739,220,638.21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762,031,178.57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22,810,540.36</w:t>
            </w:r>
          </w:p>
        </w:tc>
      </w:tr>
      <w:tr>
        <w:trPr>
          <w:trHeight w:val="715"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2,171,111,080.96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2,195,104,653.77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23,993,572.81</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9,872,624.15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9,872,624.15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2,180,983,705.11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2,204,977,277.92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23,993,572.81</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3,089,023,949.17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3,113,017,521.98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23,993,572.81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665,678,238.86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665,678,238.86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4,948,758.55</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-4,948,758.55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694,377,552.55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712,082,942.92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17,705,390.37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4,948,758.55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4,948,758.55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6,228.90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6,228.90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432,672,344.69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428,884,983.14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-3,787,361.55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23,040,821.57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23,040,821.57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1,820,723,945.12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1,834,641,973.94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13,918,028.82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16,466,905.09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16,466,905.09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794,821,774.13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794,821,774.13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48,424,379.61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48,424,379.61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19,994,260.97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19,994,260.97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50,885,726.37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50,885,726.37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28,712,123.17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28,712,123.17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21,002,816.10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18,915,111.78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-2,087,704.32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1,023,307,985.44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1,021,220,281.12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-2,087,704.32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2,844,031,930.56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2,855,862,255.06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11,830,324.50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230,381,054.96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230,381,054.96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21,610,503.30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21,610,503.30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9,142,934.32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9,142,934.32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38,669,425.52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38,669,425.52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220,528,045.37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220,528,045.37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650,331,963.47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650,331,963.47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13,658,000.00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13,658,000.00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13,658,000.00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13,658,000.00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663,989,963.47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663,989,963.47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424,340,905.00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424,340,905.00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1,055,479,846.73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1,055,479,846.73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40,103,798.00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40,103,798.00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88,226,696.38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89,409,728.83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1,183,032.45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652,098,316.98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662,745,609.03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10,647,292.05</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2,180,041,967.09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2,191,872,291.59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11,830,324.50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2,844,031,930.56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2,855,862,255.06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11,830,324.50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986" w:firstLine="480"/>
        <w:jc w:val="left"/>
      </w:pPr>
      <w:r>
        <w:rPr/>
        <w:t>公司在运用会计政策过程中，由于经营活动内在的不确定性，公司需要对无法准确计量 的报表项目的账面价值进行判断、估计和假设。这些判断、估计和假设是基于公司管理层过</w:t>
      </w:r>
      <w:r>
        <w:rPr>
          <w:spacing w:val="-91"/>
        </w:rPr>
        <w:t> </w:t>
      </w:r>
      <w:r>
        <w:rPr>
          <w:spacing w:val="-91"/>
        </w:rPr>
      </w:r>
      <w:r>
        <w:rPr>
          <w:spacing w:val="-3"/>
        </w:rPr>
        <w:t>去的历史经验，并在考虑其他相关因素的基础上做出的。这些判断、估计和假设会影响收入、</w:t>
      </w:r>
      <w:r>
        <w:rPr>
          <w:spacing w:val="-80"/>
        </w:rPr>
        <w:t> </w:t>
      </w:r>
      <w:r>
        <w:rPr>
          <w:spacing w:val="-80"/>
        </w:rPr>
      </w:r>
      <w:r>
        <w:rPr/>
        <w:t>费用、资产和负债的报告金额以及资产负债表日或有负债的披露。然而，这些估计的不确定</w:t>
      </w:r>
      <w:r>
        <w:rPr>
          <w:spacing w:val="-91"/>
        </w:rPr>
        <w:t> </w:t>
      </w:r>
      <w:r>
        <w:rPr>
          <w:spacing w:val="-91"/>
        </w:rPr>
      </w:r>
      <w:r>
        <w:rPr/>
        <w:t>性所导致的实际结果可能与公司管理层当前的估计存在差异，进而造成对未来受影响的资产</w:t>
      </w:r>
      <w:r>
        <w:rPr>
          <w:spacing w:val="-90"/>
        </w:rPr>
        <w:t> </w:t>
      </w:r>
      <w:r>
        <w:rPr>
          <w:spacing w:val="-90"/>
        </w:rPr>
      </w:r>
      <w:r>
        <w:rPr/>
        <w:t>或负债的账面金额进行重大调整。</w:t>
      </w:r>
    </w:p>
    <w:p>
      <w:pPr>
        <w:pStyle w:val="BodyText"/>
        <w:spacing w:line="357" w:lineRule="auto"/>
        <w:ind w:right="1139" w:firstLine="480"/>
        <w:jc w:val="both"/>
      </w:pPr>
      <w:r>
        <w:rPr/>
        <w:t>公司对前述判断、估计和假设在持续经营的基础上进行定期复核，会计估计的变更仅影 响变更当期的，其影响数在变更当期予以确认；既影响变更当期又影响未来期间的，其影响</w:t>
      </w:r>
      <w:r>
        <w:rPr>
          <w:spacing w:val="-91"/>
        </w:rPr>
        <w:t> </w:t>
      </w:r>
      <w:r>
        <w:rPr>
          <w:spacing w:val="-91"/>
        </w:rPr>
      </w:r>
      <w:r>
        <w:rPr/>
        <w:t>数在变更当期和未来期间予以确认。</w:t>
      </w:r>
    </w:p>
    <w:p>
      <w:pPr>
        <w:pStyle w:val="BodyText"/>
        <w:spacing w:line="240" w:lineRule="auto" w:before="37"/>
        <w:ind w:left="633" w:right="1104"/>
        <w:jc w:val="left"/>
      </w:pPr>
      <w:r>
        <w:rPr/>
        <w:t>于资产负债表日，公司需对财务报表项目金额进行判断、估计和假设的重要领域如下：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1104"/>
        <w:jc w:val="left"/>
      </w:pPr>
      <w:r>
        <w:rPr/>
        <w:t>金融工具减值 公司采用预期信用损失模型对金融工具的减值进行评估，应用预期信用损失模型需要做</w:t>
      </w:r>
    </w:p>
    <w:p>
      <w:pPr>
        <w:pStyle w:val="BodyText"/>
        <w:spacing w:line="357" w:lineRule="auto"/>
        <w:ind w:right="1134"/>
        <w:jc w:val="both"/>
      </w:pPr>
      <w:r>
        <w:rPr/>
        <w:t>出重大判断和估计，需考虑所有合理且有依据的信息，包括前瞻性信息。在做出该等判断和</w:t>
      </w:r>
      <w:r>
        <w:rPr>
          <w:spacing w:val="-87"/>
        </w:rPr>
        <w:t> </w:t>
      </w:r>
      <w:r>
        <w:rPr>
          <w:spacing w:val="-87"/>
        </w:rPr>
      </w:r>
      <w:r>
        <w:rPr/>
        <w:t>估计时，公司根据历史还款数据结合经济政策、宏观经济指标、行业风险等因素推断债务人</w:t>
      </w:r>
      <w:r>
        <w:rPr>
          <w:spacing w:val="-91"/>
        </w:rPr>
        <w:t> </w:t>
      </w:r>
      <w:r>
        <w:rPr>
          <w:spacing w:val="-91"/>
        </w:rPr>
      </w:r>
      <w:r>
        <w:rPr/>
        <w:t>信用风险的预期变动。</w:t>
      </w:r>
    </w:p>
    <w:p>
      <w:pPr>
        <w:spacing w:after="0" w:line="357"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633" w:right="1104"/>
        <w:jc w:val="left"/>
      </w:pPr>
      <w:r>
        <w:rPr/>
        <w:t>存货跌价准备 公司根据存货会计政策，按照成本与可变现净值孰低计量，对成本高于可变现净值及陈</w:t>
      </w:r>
    </w:p>
    <w:p>
      <w:pPr>
        <w:pStyle w:val="BodyText"/>
        <w:spacing w:line="357" w:lineRule="auto"/>
        <w:ind w:right="1139"/>
        <w:jc w:val="both"/>
      </w:pPr>
      <w:r>
        <w:rPr/>
        <w:t>旧和滞销的存货，计提存货跌价准备。存货减值至可变现净值是基于评估存货的可售性及其</w:t>
      </w:r>
      <w:r>
        <w:rPr>
          <w:spacing w:val="-91"/>
        </w:rPr>
        <w:t> </w:t>
      </w:r>
      <w:r>
        <w:rPr>
          <w:spacing w:val="-91"/>
        </w:rPr>
      </w:r>
      <w:r>
        <w:rPr/>
        <w:t>可变现净值。鉴定存货减值要求管理层在取得确凿证据，并且考虑持有存货的目的、资产负</w:t>
      </w:r>
      <w:r>
        <w:rPr>
          <w:spacing w:val="-91"/>
        </w:rPr>
        <w:t> </w:t>
      </w:r>
      <w:r>
        <w:rPr>
          <w:spacing w:val="-91"/>
        </w:rPr>
      </w:r>
      <w:r>
        <w:rPr/>
        <w:t>债表日后事项的影响等因素的基础上作出判断和估计。实际的结果与原先估计的差异将在估</w:t>
      </w:r>
      <w:r>
        <w:rPr>
          <w:spacing w:val="-91"/>
        </w:rPr>
        <w:t> </w:t>
      </w:r>
      <w:r>
        <w:rPr>
          <w:spacing w:val="-91"/>
        </w:rPr>
      </w:r>
      <w:r>
        <w:rPr/>
        <w:t>计被改变的期间影响存货的账面价值及存货跌价准备的计提或转回。</w:t>
      </w:r>
    </w:p>
    <w:p>
      <w:pPr>
        <w:spacing w:line="240" w:lineRule="auto" w:before="0"/>
        <w:rPr>
          <w:rFonts w:ascii="宋体" w:hAnsi="宋体" w:cs="宋体" w:eastAsia="宋体" w:hint="default"/>
          <w:sz w:val="24"/>
          <w:szCs w:val="24"/>
        </w:rPr>
      </w:pPr>
    </w:p>
    <w:p>
      <w:pPr>
        <w:pStyle w:val="BodyText"/>
        <w:spacing w:line="357" w:lineRule="auto" w:before="191"/>
        <w:ind w:left="633" w:right="1104"/>
        <w:jc w:val="left"/>
      </w:pPr>
      <w:r>
        <w:rPr/>
        <w:t>金融工具公允价值 对不存在活跃交易市场的金融工具，公司通过各种估值方法确定其公允价值。这些估值</w:t>
      </w:r>
    </w:p>
    <w:p>
      <w:pPr>
        <w:pStyle w:val="BodyText"/>
        <w:spacing w:line="357" w:lineRule="auto"/>
        <w:ind w:right="1139"/>
        <w:jc w:val="both"/>
      </w:pPr>
      <w:r>
        <w:rPr/>
        <w:t>方法包括贴现现金流模型分析等。估值时公司需对未来现金流量、信用风险、市场波动率和</w:t>
      </w:r>
      <w:r>
        <w:rPr>
          <w:spacing w:val="-91"/>
        </w:rPr>
        <w:t> </w:t>
      </w:r>
      <w:r>
        <w:rPr>
          <w:spacing w:val="-91"/>
        </w:rPr>
      </w:r>
      <w:r>
        <w:rPr/>
        <w:t>相关性等方面进行估计，并选择适当的折现率。这些相关假设具有不确定性，其变化会对金</w:t>
      </w:r>
      <w:r>
        <w:rPr>
          <w:spacing w:val="-91"/>
        </w:rPr>
        <w:t> </w:t>
      </w:r>
      <w:r>
        <w:rPr>
          <w:spacing w:val="-91"/>
        </w:rPr>
      </w:r>
      <w:r>
        <w:rPr/>
        <w:t>融工具的公允价值产生影响。</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商誉减值准备 在对商誉进行减值测试时，需计算包含商誉的相关资产组或者资产组组合的预计未来现</w:t>
      </w:r>
    </w:p>
    <w:p>
      <w:pPr>
        <w:pStyle w:val="BodyText"/>
        <w:spacing w:line="357" w:lineRule="auto"/>
        <w:ind w:right="1139"/>
        <w:jc w:val="both"/>
      </w:pPr>
      <w:r>
        <w:rPr/>
        <w:t>金流量现值，并需要对该资产组或资产组组合的未来现金流量进行预计，同时确定一个适当</w:t>
      </w:r>
      <w:r>
        <w:rPr>
          <w:spacing w:val="-91"/>
        </w:rPr>
        <w:t> </w:t>
      </w:r>
      <w:r>
        <w:rPr>
          <w:spacing w:val="-91"/>
        </w:rPr>
      </w:r>
      <w:r>
        <w:rPr/>
        <w:t>地反映当前市场货币时间价值和资产特定风险的税前利率。</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折旧和摊销 公司对投资性房地产、固定资产和无形资产在考虑其残值后，在使用寿命内按直线法计</w:t>
      </w:r>
    </w:p>
    <w:p>
      <w:pPr>
        <w:pStyle w:val="BodyText"/>
        <w:spacing w:line="357" w:lineRule="auto"/>
        <w:ind w:right="1139"/>
        <w:jc w:val="both"/>
      </w:pPr>
      <w:r>
        <w:rPr/>
        <w:t>提折旧和摊销。公司定期复核使用寿命，以决定将计入每个报告期的折旧和摊销费用数额。</w:t>
      </w:r>
      <w:r>
        <w:rPr>
          <w:spacing w:val="-91"/>
        </w:rPr>
        <w:t> </w:t>
      </w:r>
      <w:r>
        <w:rPr>
          <w:spacing w:val="-91"/>
        </w:rPr>
      </w:r>
      <w:r>
        <w:rPr/>
        <w:t>使用寿命是公司根据对同类资产的以往经验并结合预期的技术更新而确定的。如果以前的估</w:t>
      </w:r>
      <w:r>
        <w:rPr>
          <w:spacing w:val="-91"/>
        </w:rPr>
        <w:t> </w:t>
      </w:r>
      <w:r>
        <w:rPr>
          <w:spacing w:val="-91"/>
        </w:rPr>
      </w:r>
      <w:r>
        <w:rPr/>
        <w:t>计发生重大变化，则会在未来期间对折旧和摊销费用进行调整。</w:t>
      </w:r>
    </w:p>
    <w:p>
      <w:pPr>
        <w:spacing w:line="240" w:lineRule="auto" w:before="0"/>
        <w:rPr>
          <w:rFonts w:ascii="宋体" w:hAnsi="宋体" w:cs="宋体" w:eastAsia="宋体" w:hint="default"/>
          <w:sz w:val="24"/>
          <w:szCs w:val="24"/>
        </w:rPr>
      </w:pPr>
    </w:p>
    <w:p>
      <w:pPr>
        <w:pStyle w:val="BodyText"/>
        <w:spacing w:line="357" w:lineRule="auto" w:before="190"/>
        <w:ind w:left="633" w:right="1104"/>
        <w:jc w:val="left"/>
      </w:pPr>
      <w:r>
        <w:rPr/>
        <w:t>所得税 公司在正常的经营活动中，有部分交易其最终的税务处理和计算存在一定的不确定性。</w:t>
      </w:r>
    </w:p>
    <w:p>
      <w:pPr>
        <w:pStyle w:val="BodyText"/>
        <w:spacing w:line="357" w:lineRule="auto"/>
        <w:ind w:right="1136"/>
        <w:jc w:val="both"/>
      </w:pPr>
      <w:r>
        <w:rPr/>
        <w:t>部分项目是否能够在税前列支需要税收主管机关的审批。如果这些税务事项的最终认定结果</w:t>
      </w:r>
      <w:r>
        <w:rPr>
          <w:spacing w:val="-91"/>
        </w:rPr>
        <w:t> </w:t>
      </w:r>
      <w:r>
        <w:rPr>
          <w:spacing w:val="-91"/>
        </w:rPr>
      </w:r>
      <w:r>
        <w:rPr/>
        <w:t>同最初估计的金额存在差异，则该差异将对其最终认定期间的当期所得税和递延所得税产生</w:t>
      </w:r>
      <w:r>
        <w:rPr>
          <w:spacing w:val="-88"/>
        </w:rPr>
        <w:t> </w:t>
      </w:r>
      <w:r>
        <w:rPr>
          <w:spacing w:val="-88"/>
        </w:rPr>
      </w:r>
      <w:r>
        <w:rPr/>
        <w:t>影响。</w:t>
      </w:r>
    </w:p>
    <w:p>
      <w:pPr>
        <w:spacing w:after="0" w:line="35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57" w:lineRule="auto" w:before="26"/>
        <w:ind w:left="633" w:right="1104"/>
        <w:jc w:val="left"/>
      </w:pPr>
      <w:r>
        <w:rPr/>
        <w:t>预计负债 公司根据合约条款、现有知识及历史经验，对产品质量保证、预计合同亏损、延迟交货</w:t>
      </w:r>
    </w:p>
    <w:p>
      <w:pPr>
        <w:pStyle w:val="BodyText"/>
        <w:spacing w:line="357" w:lineRule="auto"/>
        <w:ind w:right="1139"/>
        <w:jc w:val="both"/>
      </w:pPr>
      <w:r>
        <w:rPr/>
        <w:t>违约金等估计并计提相应准备。在该等或有事项已经形成一项现时义务，且履行该等现时义</w:t>
      </w:r>
      <w:r>
        <w:rPr>
          <w:spacing w:val="-91"/>
        </w:rPr>
        <w:t> </w:t>
      </w:r>
      <w:r>
        <w:rPr>
          <w:spacing w:val="-91"/>
        </w:rPr>
      </w:r>
      <w:r>
        <w:rPr/>
        <w:t>务很可能导致经济利益流出公司的情况下，公司对或有事项按履行相关现时义务所需支出的</w:t>
      </w:r>
      <w:r>
        <w:rPr>
          <w:spacing w:val="-91"/>
        </w:rPr>
        <w:t> </w:t>
      </w:r>
      <w:r>
        <w:rPr>
          <w:spacing w:val="-91"/>
        </w:rPr>
      </w:r>
      <w:r>
        <w:rPr/>
        <w:t>最佳估计数确认为预计负债。预计负债的确认和计量在很大程度上依赖于管理层的判断。在</w:t>
      </w:r>
      <w:r>
        <w:rPr>
          <w:spacing w:val="-91"/>
        </w:rPr>
        <w:t> </w:t>
      </w:r>
      <w:r>
        <w:rPr>
          <w:spacing w:val="-91"/>
        </w:rPr>
      </w:r>
      <w:r>
        <w:rPr/>
        <w:t>进行判断过程中公司需评估该等或有事项相关的风险、不确定性及货币时间价值等因素。</w:t>
      </w:r>
    </w:p>
    <w:p>
      <w:pPr>
        <w:pStyle w:val="BodyText"/>
        <w:spacing w:line="357" w:lineRule="auto" w:before="37"/>
        <w:ind w:right="1137" w:firstLine="480"/>
        <w:jc w:val="both"/>
      </w:pPr>
      <w:r>
        <w:rPr/>
        <w:t>其中，公司会就出售、维修及改造所售商品向客户提供的售后质量维修承诺预计负债。 预计负债时已考虑公司近期的维修经验数据，但近期的维修经验可能无法反映将来的维修情</w:t>
      </w:r>
      <w:r>
        <w:rPr>
          <w:spacing w:val="-91"/>
        </w:rPr>
        <w:t> </w:t>
      </w:r>
      <w:r>
        <w:rPr>
          <w:spacing w:val="-91"/>
        </w:rPr>
      </w:r>
      <w:r>
        <w:rPr/>
        <w:t>况。这项准备的任何增加或减少，均可能影响未来年度的损益。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7" w:lineRule="auto" w:before="49"/>
              <w:ind w:left="17"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长沙政通康拓科技有限责任公司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北京数字智通科技有限公司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北京数字政通智能泊车技术有限公司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上海政通信息科技有限公司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武汉智慧政通科技有限公司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克拉玛依数字政通信息科技有限责任公司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政通智慧城市运营科技有限公司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保定金迪地下管线探测工程有限公司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保定市金迪科技开发有限公司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保定金迪科学仪器有限公司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焦作市市民健康促进服务有限责任公司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江西政通城运科技有限公司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湖北鄂东智城科技有限公司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保定政运恒通信息技术有限责任公司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福建政通城运信息科技有限公司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5"/>
        <w:rPr>
          <w:rFonts w:ascii="宋体" w:hAnsi="宋体" w:cs="宋体" w:eastAsia="宋体" w:hint="default"/>
          <w:b/>
          <w:bCs/>
          <w:sz w:val="29"/>
          <w:szCs w:val="29"/>
        </w:rPr>
      </w:pPr>
    </w:p>
    <w:p>
      <w:pPr>
        <w:pStyle w:val="BodyText"/>
        <w:spacing w:line="357" w:lineRule="auto" w:before="0"/>
        <w:ind w:left="645" w:right="1966"/>
        <w:jc w:val="left"/>
      </w:pPr>
      <w:r>
        <w:rPr/>
        <w:t>北京数字政通科技股份有限公司 </w:t>
      </w:r>
      <w:r>
        <w:rPr>
          <w:spacing w:val="-3"/>
        </w:rPr>
        <w:t>根据国务院下发的《关于鼓励软件产业和集成电路产业若干政策的通知》（国发</w:t>
      </w:r>
    </w:p>
    <w:p>
      <w:pPr>
        <w:pStyle w:val="BodyText"/>
        <w:spacing w:line="357" w:lineRule="auto"/>
        <w:ind w:left="164" w:right="1979"/>
        <w:jc w:val="both"/>
      </w:pPr>
      <w:r>
        <w:rPr>
          <w:rFonts w:ascii="宋体" w:hAnsi="宋体" w:cs="宋体" w:eastAsia="宋体" w:hint="default"/>
          <w:spacing w:val="-6"/>
        </w:rPr>
        <w:t>[2011]4</w:t>
      </w:r>
      <w:r>
        <w:rPr>
          <w:spacing w:val="-6"/>
        </w:rPr>
        <w:t>号）和财政部、国家税务总局下发的《关于软件产品增值税政策的通知》（财</w:t>
      </w:r>
      <w:r>
        <w:rPr>
          <w:spacing w:val="-100"/>
        </w:rPr>
        <w:t> </w:t>
      </w:r>
      <w:r>
        <w:rPr>
          <w:spacing w:val="-100"/>
        </w:rPr>
      </w:r>
      <w:r>
        <w:rPr>
          <w:spacing w:val="2"/>
        </w:rPr>
        <w:t>税</w:t>
      </w:r>
      <w:r>
        <w:rPr>
          <w:rFonts w:ascii="宋体" w:hAnsi="宋体" w:cs="宋体" w:eastAsia="宋体" w:hint="default"/>
          <w:spacing w:val="2"/>
        </w:rPr>
        <w:t>[2011]100</w:t>
      </w:r>
      <w:r>
        <w:rPr>
          <w:spacing w:val="2"/>
        </w:rPr>
        <w:t>号），销售自行开发生产的软件产品，按</w:t>
      </w:r>
      <w:r>
        <w:rPr>
          <w:rFonts w:ascii="宋体" w:hAnsi="宋体" w:cs="宋体" w:eastAsia="宋体" w:hint="default"/>
          <w:spacing w:val="2"/>
        </w:rPr>
        <w:t>16%</w:t>
      </w:r>
      <w:r>
        <w:rPr>
          <w:spacing w:val="2"/>
        </w:rPr>
        <w:t>的法定税率缴纳增值税后</w:t>
      </w:r>
      <w:r>
        <w:rPr>
          <w:spacing w:val="-81"/>
        </w:rPr>
        <w:t> </w:t>
      </w:r>
      <w:r>
        <w:rPr>
          <w:spacing w:val="-81"/>
        </w:rPr>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月开始执行</w:t>
      </w:r>
      <w:r>
        <w:rPr>
          <w:rFonts w:ascii="宋体" w:hAnsi="宋体" w:cs="宋体" w:eastAsia="宋体" w:hint="default"/>
          <w:spacing w:val="-3"/>
        </w:rPr>
        <w:t>13%</w:t>
      </w:r>
      <w:r>
        <w:rPr>
          <w:spacing w:val="-3"/>
        </w:rPr>
        <w:t>税率</w:t>
      </w:r>
      <w:r>
        <w:rPr>
          <w:rFonts w:ascii="宋体" w:hAnsi="宋体" w:cs="宋体" w:eastAsia="宋体" w:hint="default"/>
          <w:spacing w:val="-3"/>
        </w:rPr>
        <w:t>)</w:t>
      </w:r>
      <w:r>
        <w:rPr>
          <w:spacing w:val="-3"/>
        </w:rPr>
        <w:t>，享受增值税实际税负超过</w:t>
      </w:r>
      <w:r>
        <w:rPr>
          <w:rFonts w:ascii="宋体" w:hAnsi="宋体" w:cs="宋体" w:eastAsia="宋体" w:hint="default"/>
          <w:spacing w:val="-3"/>
        </w:rPr>
        <w:t>3%</w:t>
      </w:r>
      <w:r>
        <w:rPr>
          <w:spacing w:val="-3"/>
        </w:rPr>
        <w:t>的部分即征即退的税收优</w:t>
      </w:r>
      <w:r>
        <w:rPr>
          <w:spacing w:val="-94"/>
        </w:rPr>
        <w:t> </w:t>
      </w:r>
      <w:r>
        <w:rPr/>
        <w:t>惠。</w:t>
      </w:r>
    </w:p>
    <w:p>
      <w:pPr>
        <w:pStyle w:val="BodyText"/>
        <w:spacing w:line="357" w:lineRule="auto"/>
        <w:ind w:left="164" w:right="1847" w:firstLine="480"/>
        <w:jc w:val="left"/>
      </w:pPr>
      <w:r>
        <w:rPr/>
        <w:t>根据《高新技术企业认定管理办法》（国科发火</w:t>
      </w:r>
      <w:r>
        <w:rPr>
          <w:rFonts w:ascii="宋体" w:hAnsi="宋体" w:cs="宋体" w:eastAsia="宋体" w:hint="default"/>
        </w:rPr>
        <w:t>[2008]172</w:t>
      </w:r>
      <w:r>
        <w:rPr/>
        <w:t>号）和《高新技术企 业认定管理工作指引》（国科发火</w:t>
      </w:r>
      <w:r>
        <w:rPr>
          <w:rFonts w:ascii="宋体" w:hAnsi="宋体" w:cs="宋体" w:eastAsia="宋体" w:hint="default"/>
        </w:rPr>
        <w:t>[2008]362</w:t>
      </w:r>
      <w:r>
        <w:rPr/>
        <w:t>号）的有关规定，</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日，北</w:t>
      </w:r>
      <w:r>
        <w:rPr>
          <w:spacing w:val="-106"/>
        </w:rPr>
        <w:t> </w:t>
      </w:r>
      <w:r>
        <w:rPr>
          <w:spacing w:val="-106"/>
        </w:rPr>
      </w:r>
      <w:r>
        <w:rPr>
          <w:spacing w:val="-5"/>
        </w:rPr>
        <w:t>京市科学技术委员会向本公司颁发了编号为</w:t>
      </w:r>
      <w:r>
        <w:rPr>
          <w:rFonts w:ascii="宋体" w:hAnsi="宋体" w:cs="宋体" w:eastAsia="宋体" w:hint="default"/>
          <w:spacing w:val="-5"/>
        </w:rPr>
        <w:t>GR201711002304</w:t>
      </w:r>
      <w:r>
        <w:rPr>
          <w:spacing w:val="-5"/>
        </w:rPr>
        <w:t>的《高新技术企业证书》，</w:t>
      </w:r>
      <w:r>
        <w:rPr>
          <w:spacing w:val="-116"/>
        </w:rPr>
        <w:t> </w:t>
      </w:r>
      <w:r>
        <w:rPr>
          <w:spacing w:val="-116"/>
        </w:rPr>
      </w:r>
      <w:r>
        <w:rPr>
          <w:spacing w:val="-3"/>
        </w:rPr>
        <w:t>有效期</w:t>
      </w:r>
      <w:r>
        <w:rPr>
          <w:rFonts w:ascii="宋体" w:hAnsi="宋体" w:cs="宋体" w:eastAsia="宋体" w:hint="default"/>
          <w:spacing w:val="-3"/>
        </w:rPr>
        <w:t>3</w:t>
      </w:r>
      <w:r>
        <w:rPr>
          <w:spacing w:val="-3"/>
        </w:rPr>
        <w:t>年。根据国家税务局下发的国税函</w:t>
      </w:r>
      <w:r>
        <w:rPr>
          <w:rFonts w:ascii="宋体" w:hAnsi="宋体" w:cs="宋体" w:eastAsia="宋体" w:hint="default"/>
          <w:spacing w:val="-3"/>
        </w:rPr>
        <w:t>[2009]203</w:t>
      </w:r>
      <w:r>
        <w:rPr>
          <w:spacing w:val="-3"/>
        </w:rPr>
        <w:t>号文，本公司</w:t>
      </w:r>
      <w:r>
        <w:rPr>
          <w:rFonts w:ascii="宋体" w:hAnsi="宋体" w:cs="宋体" w:eastAsia="宋体" w:hint="default"/>
          <w:spacing w:val="-3"/>
        </w:rPr>
        <w:t>2019</w:t>
      </w:r>
      <w:r>
        <w:rPr>
          <w:spacing w:val="-3"/>
        </w:rPr>
        <w:t>年适用所得税</w:t>
      </w:r>
      <w:r>
        <w:rPr>
          <w:spacing w:val="-90"/>
        </w:rPr>
        <w:t> </w:t>
      </w:r>
      <w:r>
        <w:rPr/>
        <w:t>税率为</w:t>
      </w:r>
      <w:r>
        <w:rPr>
          <w:rFonts w:ascii="宋体" w:hAnsi="宋体" w:cs="宋体" w:eastAsia="宋体" w:hint="default"/>
        </w:rPr>
        <w:t>15%</w:t>
      </w:r>
      <w:r>
        <w:rPr/>
        <w:t>。</w:t>
      </w:r>
    </w:p>
    <w:p>
      <w:pPr>
        <w:pStyle w:val="BodyText"/>
        <w:spacing w:line="357" w:lineRule="auto"/>
        <w:ind w:left="164" w:right="1862" w:firstLine="480"/>
        <w:jc w:val="left"/>
      </w:pPr>
      <w:r>
        <w:rPr/>
        <w:t>根据《财政部</w:t>
      </w:r>
      <w:r>
        <w:rPr>
          <w:spacing w:val="6"/>
        </w:rPr>
        <w:t> </w:t>
      </w:r>
      <w:r>
        <w:rPr/>
        <w:t>国家税务总局关于进一步鼓励软件产业和集成电路产业发展企业</w:t>
      </w:r>
      <w:r>
        <w:rPr/>
        <w:t> 所得税政策的通知》（财税〔</w:t>
      </w:r>
      <w:r>
        <w:rPr>
          <w:rFonts w:ascii="宋体" w:hAnsi="宋体" w:cs="宋体" w:eastAsia="宋体" w:hint="default"/>
        </w:rPr>
        <w:t>2012</w:t>
      </w:r>
      <w:r>
        <w:rPr/>
        <w:t>〕</w:t>
      </w:r>
      <w:r>
        <w:rPr>
          <w:rFonts w:ascii="宋体" w:hAnsi="宋体" w:cs="宋体" w:eastAsia="宋体" w:hint="default"/>
        </w:rPr>
        <w:t>27</w:t>
      </w:r>
      <w:r>
        <w:rPr/>
        <w:t>号）规定，国家规划布局内的重点软件企业， 如当年未享受免税优惠的，可减按</w:t>
      </w:r>
      <w:r>
        <w:rPr>
          <w:rFonts w:ascii="宋体" w:hAnsi="宋体" w:cs="宋体" w:eastAsia="宋体" w:hint="default"/>
        </w:rPr>
        <w:t>10%</w:t>
      </w:r>
      <w:r>
        <w:rPr/>
        <w:t>的税率征收企业所得税。</w:t>
      </w:r>
    </w:p>
    <w:p>
      <w:pPr>
        <w:spacing w:line="240" w:lineRule="auto" w:before="0"/>
        <w:rPr>
          <w:rFonts w:ascii="宋体" w:hAnsi="宋体" w:cs="宋体" w:eastAsia="宋体" w:hint="default"/>
          <w:sz w:val="24"/>
          <w:szCs w:val="24"/>
        </w:rPr>
      </w:pPr>
    </w:p>
    <w:p>
      <w:pPr>
        <w:pStyle w:val="BodyText"/>
        <w:spacing w:line="357" w:lineRule="auto" w:before="190"/>
        <w:ind w:left="645" w:right="1966"/>
        <w:jc w:val="left"/>
      </w:pPr>
      <w:r>
        <w:rPr/>
        <w:t>北京数字智通科技有限公司 </w:t>
      </w:r>
      <w:r>
        <w:rPr>
          <w:spacing w:val="-3"/>
        </w:rPr>
        <w:t>根据国务院下发的《关于鼓励软件产业和集成电路产业若干政策的通知》（国发</w:t>
      </w:r>
    </w:p>
    <w:p>
      <w:pPr>
        <w:pStyle w:val="BodyText"/>
        <w:spacing w:line="357" w:lineRule="auto"/>
        <w:ind w:left="164" w:right="1979"/>
        <w:jc w:val="both"/>
      </w:pPr>
      <w:r>
        <w:rPr>
          <w:rFonts w:ascii="宋体" w:hAnsi="宋体" w:cs="宋体" w:eastAsia="宋体" w:hint="default"/>
          <w:spacing w:val="-6"/>
        </w:rPr>
        <w:t>[2011]4</w:t>
      </w:r>
      <w:r>
        <w:rPr>
          <w:spacing w:val="-6"/>
        </w:rPr>
        <w:t>号）和财政部、国家税务总局下发的《关于软件产品增值税政策的通知》（财</w:t>
      </w:r>
      <w:r>
        <w:rPr>
          <w:spacing w:val="-100"/>
        </w:rPr>
        <w:t> </w:t>
      </w:r>
      <w:r>
        <w:rPr>
          <w:spacing w:val="-100"/>
        </w:rPr>
      </w:r>
      <w:r>
        <w:rPr>
          <w:spacing w:val="2"/>
        </w:rPr>
        <w:t>税</w:t>
      </w:r>
      <w:r>
        <w:rPr>
          <w:rFonts w:ascii="宋体" w:hAnsi="宋体" w:cs="宋体" w:eastAsia="宋体" w:hint="default"/>
          <w:spacing w:val="2"/>
        </w:rPr>
        <w:t>[2011]100</w:t>
      </w:r>
      <w:r>
        <w:rPr>
          <w:spacing w:val="2"/>
        </w:rPr>
        <w:t>号），销售自行开发生产的软件产品，按</w:t>
      </w:r>
      <w:r>
        <w:rPr>
          <w:rFonts w:ascii="宋体" w:hAnsi="宋体" w:cs="宋体" w:eastAsia="宋体" w:hint="default"/>
          <w:spacing w:val="2"/>
        </w:rPr>
        <w:t>16%</w:t>
      </w:r>
      <w:r>
        <w:rPr>
          <w:spacing w:val="2"/>
        </w:rPr>
        <w:t>的法定税率缴纳增值税后</w:t>
      </w:r>
      <w:r>
        <w:rPr>
          <w:spacing w:val="-81"/>
        </w:rPr>
        <w:t> </w:t>
      </w:r>
      <w:r>
        <w:rPr>
          <w:spacing w:val="-81"/>
        </w:rPr>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月开始执行</w:t>
      </w:r>
      <w:r>
        <w:rPr>
          <w:rFonts w:ascii="宋体" w:hAnsi="宋体" w:cs="宋体" w:eastAsia="宋体" w:hint="default"/>
          <w:spacing w:val="-3"/>
        </w:rPr>
        <w:t>13%</w:t>
      </w:r>
      <w:r>
        <w:rPr>
          <w:spacing w:val="-3"/>
        </w:rPr>
        <w:t>税率</w:t>
      </w:r>
      <w:r>
        <w:rPr>
          <w:rFonts w:ascii="宋体" w:hAnsi="宋体" w:cs="宋体" w:eastAsia="宋体" w:hint="default"/>
          <w:spacing w:val="-3"/>
        </w:rPr>
        <w:t>)</w:t>
      </w:r>
      <w:r>
        <w:rPr>
          <w:spacing w:val="-3"/>
        </w:rPr>
        <w:t>，享受增值税实际税负超过</w:t>
      </w:r>
      <w:r>
        <w:rPr>
          <w:rFonts w:ascii="宋体" w:hAnsi="宋体" w:cs="宋体" w:eastAsia="宋体" w:hint="default"/>
          <w:spacing w:val="-3"/>
        </w:rPr>
        <w:t>3%</w:t>
      </w:r>
      <w:r>
        <w:rPr>
          <w:spacing w:val="-3"/>
        </w:rPr>
        <w:t>的部分即征即退的税收优</w:t>
      </w:r>
    </w:p>
    <w:p>
      <w:pPr>
        <w:spacing w:after="0" w:line="35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60"/>
        <w:ind w:left="164" w:right="1104"/>
        <w:jc w:val="left"/>
      </w:pPr>
      <w:r>
        <w:rPr/>
        <w:t>惠。</w:t>
      </w:r>
    </w:p>
    <w:p>
      <w:pPr>
        <w:pStyle w:val="BodyText"/>
        <w:spacing w:line="240" w:lineRule="auto" w:before="154"/>
        <w:ind w:left="645" w:right="1104"/>
        <w:jc w:val="left"/>
      </w:pPr>
      <w:r>
        <w:rPr/>
        <w:t>根据《高新技术企业认定管理办法》（国科发火</w:t>
      </w:r>
      <w:r>
        <w:rPr>
          <w:rFonts w:ascii="宋体" w:hAnsi="宋体" w:cs="宋体" w:eastAsia="宋体" w:hint="default"/>
        </w:rPr>
        <w:t>[2008]172</w:t>
      </w:r>
      <w:r>
        <w:rPr/>
        <w:t>号）和《高新技术企</w:t>
      </w:r>
    </w:p>
    <w:p>
      <w:pPr>
        <w:spacing w:line="240" w:lineRule="auto" w:before="10"/>
        <w:rPr>
          <w:rFonts w:ascii="宋体" w:hAnsi="宋体" w:cs="宋体" w:eastAsia="宋体" w:hint="default"/>
          <w:sz w:val="9"/>
          <w:szCs w:val="9"/>
        </w:rPr>
      </w:pPr>
    </w:p>
    <w:p>
      <w:pPr>
        <w:pStyle w:val="BodyText"/>
        <w:spacing w:line="357" w:lineRule="auto" w:before="26"/>
        <w:ind w:left="164" w:right="1862"/>
        <w:jc w:val="left"/>
      </w:pPr>
      <w:r>
        <w:rPr/>
        <w:t>业认定管理工作指引》（国科发火</w:t>
      </w:r>
      <w:r>
        <w:rPr>
          <w:rFonts w:ascii="宋体" w:hAnsi="宋体" w:cs="宋体" w:eastAsia="宋体" w:hint="default"/>
        </w:rPr>
        <w:t>[2008]362</w:t>
      </w:r>
      <w:r>
        <w:rPr/>
        <w:t>号）的有关规定，</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15</w:t>
      </w:r>
      <w:r>
        <w:rPr/>
        <w:t>日，北</w:t>
      </w:r>
      <w:r>
        <w:rPr>
          <w:spacing w:val="-106"/>
        </w:rPr>
        <w:t> </w:t>
      </w:r>
      <w:r>
        <w:rPr>
          <w:spacing w:val="-106"/>
        </w:rPr>
      </w:r>
      <w:r>
        <w:rPr/>
        <w:t>京市科学技术委员会向公司颁发了编号为</w:t>
      </w:r>
      <w:r>
        <w:rPr>
          <w:rFonts w:ascii="宋体" w:hAnsi="宋体" w:cs="宋体" w:eastAsia="宋体" w:hint="default"/>
        </w:rPr>
        <w:t>GR201911001243</w:t>
      </w:r>
      <w:r>
        <w:rPr/>
        <w:t>的《高新技术企业证书》， </w:t>
      </w:r>
      <w:r>
        <w:rPr>
          <w:spacing w:val="-3"/>
        </w:rPr>
        <w:t>有效期</w:t>
      </w:r>
      <w:r>
        <w:rPr>
          <w:rFonts w:ascii="宋体" w:hAnsi="宋体" w:cs="宋体" w:eastAsia="宋体" w:hint="default"/>
          <w:spacing w:val="-3"/>
        </w:rPr>
        <w:t>3</w:t>
      </w:r>
      <w:r>
        <w:rPr>
          <w:spacing w:val="-3"/>
        </w:rPr>
        <w:t>年。根据国家税务局下发的国税函</w:t>
      </w:r>
      <w:r>
        <w:rPr>
          <w:rFonts w:ascii="宋体" w:hAnsi="宋体" w:cs="宋体" w:eastAsia="宋体" w:hint="default"/>
          <w:spacing w:val="-3"/>
        </w:rPr>
        <w:t>[2009]203</w:t>
      </w:r>
      <w:r>
        <w:rPr>
          <w:spacing w:val="-3"/>
        </w:rPr>
        <w:t>号文，公司</w:t>
      </w:r>
      <w:r>
        <w:rPr>
          <w:rFonts w:ascii="宋体" w:hAnsi="宋体" w:cs="宋体" w:eastAsia="宋体" w:hint="default"/>
          <w:spacing w:val="-3"/>
        </w:rPr>
        <w:t>2019</w:t>
      </w:r>
      <w:r>
        <w:rPr>
          <w:spacing w:val="-3"/>
        </w:rPr>
        <w:t>年适用所得税税</w:t>
      </w:r>
      <w:r>
        <w:rPr>
          <w:spacing w:val="-90"/>
        </w:rPr>
        <w:t> </w:t>
      </w:r>
      <w:r>
        <w:rPr/>
        <w:t>率为</w:t>
      </w:r>
      <w:r>
        <w:rPr>
          <w:rFonts w:ascii="宋体" w:hAnsi="宋体" w:cs="宋体" w:eastAsia="宋体" w:hint="default"/>
        </w:rPr>
        <w:t>15%</w:t>
      </w:r>
      <w:r>
        <w:rPr/>
        <w:t>。</w:t>
      </w:r>
    </w:p>
    <w:p>
      <w:pPr>
        <w:spacing w:line="240" w:lineRule="auto" w:before="0"/>
        <w:rPr>
          <w:rFonts w:ascii="宋体" w:hAnsi="宋体" w:cs="宋体" w:eastAsia="宋体" w:hint="default"/>
          <w:sz w:val="24"/>
          <w:szCs w:val="24"/>
        </w:rPr>
      </w:pPr>
    </w:p>
    <w:p>
      <w:pPr>
        <w:pStyle w:val="BodyText"/>
        <w:spacing w:line="357" w:lineRule="auto" w:before="191"/>
        <w:ind w:left="645" w:right="1104"/>
        <w:jc w:val="left"/>
        <w:rPr>
          <w:rFonts w:ascii="宋体" w:hAnsi="宋体" w:cs="宋体" w:eastAsia="宋体" w:hint="default"/>
        </w:rPr>
      </w:pPr>
      <w:r>
        <w:rPr/>
        <w:t>保定金迪地下管线探测工程有限公司 </w:t>
      </w:r>
      <w:r>
        <w:rPr>
          <w:spacing w:val="-6"/>
        </w:rPr>
        <w:t>根据《财政部、国家税务总局关于软件产品增值税政策的通知》（财税</w:t>
      </w:r>
      <w:r>
        <w:rPr>
          <w:rFonts w:ascii="宋体" w:hAnsi="宋体" w:cs="宋体" w:eastAsia="宋体" w:hint="default"/>
          <w:spacing w:val="-6"/>
        </w:rPr>
        <w:t>[2011]100</w:t>
      </w:r>
    </w:p>
    <w:p>
      <w:pPr>
        <w:pStyle w:val="BodyText"/>
        <w:spacing w:line="357" w:lineRule="auto"/>
        <w:ind w:left="164" w:right="1862"/>
        <w:jc w:val="left"/>
      </w:pPr>
      <w:r>
        <w:rPr/>
        <w:t>号）等相关规定，当期嵌入式软件产品增值税应纳税额按</w:t>
      </w:r>
      <w:r>
        <w:rPr>
          <w:rFonts w:ascii="宋体" w:hAnsi="宋体" w:cs="宋体" w:eastAsia="宋体" w:hint="default"/>
        </w:rPr>
        <w:t>16%</w:t>
      </w:r>
      <w:r>
        <w:rPr/>
        <w:t>税率</w:t>
      </w:r>
      <w:r>
        <w:rPr>
          <w:rFonts w:ascii="宋体" w:hAnsi="宋体" w:cs="宋体" w:eastAsia="宋体" w:hint="default"/>
        </w:rPr>
        <w:t>(2019</w:t>
      </w:r>
      <w:r>
        <w:rPr/>
        <w:t>年</w:t>
      </w:r>
      <w:r>
        <w:rPr>
          <w:rFonts w:ascii="宋体" w:hAnsi="宋体" w:cs="宋体" w:eastAsia="宋体" w:hint="default"/>
        </w:rPr>
        <w:t>4</w:t>
      </w:r>
      <w:r>
        <w:rPr/>
        <w:t>月开始执</w:t>
      </w:r>
      <w:r>
        <w:rPr>
          <w:spacing w:val="-107"/>
        </w:rPr>
        <w:t> </w:t>
      </w:r>
      <w:r>
        <w:rPr/>
        <w:t>行</w:t>
      </w:r>
      <w:r>
        <w:rPr>
          <w:rFonts w:ascii="宋体" w:hAnsi="宋体" w:cs="宋体" w:eastAsia="宋体" w:hint="default"/>
        </w:rPr>
        <w:t>13%</w:t>
      </w:r>
      <w:r>
        <w:rPr/>
        <w:t>税率</w:t>
      </w:r>
      <w:r>
        <w:rPr>
          <w:rFonts w:ascii="宋体" w:hAnsi="宋体" w:cs="宋体" w:eastAsia="宋体" w:hint="default"/>
        </w:rPr>
        <w:t>)</w:t>
      </w:r>
      <w:r>
        <w:rPr/>
        <w:t>征收，对于超过当期嵌入式软件产品销售额</w:t>
      </w:r>
      <w:r>
        <w:rPr>
          <w:rFonts w:ascii="宋体" w:hAnsi="宋体" w:cs="宋体" w:eastAsia="宋体" w:hint="default"/>
        </w:rPr>
        <w:t>3%</w:t>
      </w:r>
      <w:r>
        <w:rPr/>
        <w:t>的部分实行即征即退政策。</w:t>
      </w:r>
    </w:p>
    <w:p>
      <w:pPr>
        <w:pStyle w:val="BodyText"/>
        <w:spacing w:line="357" w:lineRule="auto"/>
        <w:ind w:left="164" w:right="1976" w:firstLine="480"/>
        <w:jc w:val="both"/>
      </w:pPr>
      <w:r>
        <w:rPr/>
        <w:t>根据《高新技术企业认定管理办法》（国科发火</w:t>
      </w:r>
      <w:r>
        <w:rPr>
          <w:rFonts w:ascii="宋体" w:hAnsi="宋体" w:cs="宋体" w:eastAsia="宋体" w:hint="default"/>
        </w:rPr>
        <w:t>[2008]172</w:t>
      </w:r>
      <w:r>
        <w:rPr/>
        <w:t>号）和《高新技术企 </w:t>
      </w:r>
      <w:r>
        <w:rPr>
          <w:spacing w:val="-3"/>
        </w:rPr>
        <w:t>业认定管理工作指引》（国科发火</w:t>
      </w:r>
      <w:r>
        <w:rPr>
          <w:rFonts w:ascii="宋体" w:hAnsi="宋体" w:cs="宋体" w:eastAsia="宋体" w:hint="default"/>
          <w:spacing w:val="-3"/>
        </w:rPr>
        <w:t>[2008]362</w:t>
      </w:r>
      <w:r>
        <w:rPr>
          <w:spacing w:val="-3"/>
        </w:rPr>
        <w:t>号）的有关规定，</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10</w:t>
      </w:r>
      <w:r>
        <w:rPr>
          <w:spacing w:val="-3"/>
        </w:rPr>
        <w:t>日，河北</w:t>
      </w:r>
      <w:r>
        <w:rPr>
          <w:spacing w:val="-90"/>
        </w:rPr>
        <w:t> </w:t>
      </w:r>
      <w:r>
        <w:rPr>
          <w:spacing w:val="-90"/>
        </w:rPr>
      </w:r>
      <w:r>
        <w:rPr>
          <w:spacing w:val="-3"/>
        </w:rPr>
        <w:t>省科学技术厅向公司颁发了编号为</w:t>
      </w:r>
      <w:r>
        <w:rPr>
          <w:rFonts w:ascii="宋体" w:hAnsi="宋体" w:cs="宋体" w:eastAsia="宋体" w:hint="default"/>
          <w:spacing w:val="-3"/>
        </w:rPr>
        <w:t>GR201913000554</w:t>
      </w:r>
      <w:r>
        <w:rPr>
          <w:spacing w:val="-3"/>
        </w:rPr>
        <w:t>的《高新技术企业证书》，有效期</w:t>
      </w:r>
      <w:r>
        <w:rPr>
          <w:spacing w:val="-89"/>
        </w:rPr>
        <w:t> </w:t>
      </w:r>
      <w:r>
        <w:rPr>
          <w:spacing w:val="-89"/>
        </w:rPr>
      </w:r>
      <w:r>
        <w:rPr>
          <w:rFonts w:ascii="宋体" w:hAnsi="宋体" w:cs="宋体" w:eastAsia="宋体" w:hint="default"/>
          <w:spacing w:val="2"/>
        </w:rPr>
        <w:t>3</w:t>
      </w:r>
      <w:r>
        <w:rPr>
          <w:spacing w:val="2"/>
        </w:rPr>
        <w:t>年。根据国家税务局下发的国税函</w:t>
      </w:r>
      <w:r>
        <w:rPr>
          <w:rFonts w:ascii="宋体" w:hAnsi="宋体" w:cs="宋体" w:eastAsia="宋体" w:hint="default"/>
          <w:spacing w:val="2"/>
        </w:rPr>
        <w:t>[2009]203</w:t>
      </w:r>
      <w:r>
        <w:rPr>
          <w:spacing w:val="2"/>
        </w:rPr>
        <w:t>号文，公司</w:t>
      </w:r>
      <w:r>
        <w:rPr>
          <w:rFonts w:ascii="宋体" w:hAnsi="宋体" w:cs="宋体" w:eastAsia="宋体" w:hint="default"/>
          <w:spacing w:val="2"/>
        </w:rPr>
        <w:t>2019</w:t>
      </w:r>
      <w:r>
        <w:rPr>
          <w:spacing w:val="2"/>
        </w:rPr>
        <w:t>年适用所得税税率为</w:t>
      </w:r>
    </w:p>
    <w:p>
      <w:pPr>
        <w:pStyle w:val="BodyText"/>
        <w:spacing w:line="240" w:lineRule="auto"/>
        <w:ind w:left="164" w:right="1104"/>
        <w:jc w:val="left"/>
      </w:pPr>
      <w:r>
        <w:rPr>
          <w:rFonts w:ascii="宋体" w:hAnsi="宋体" w:cs="宋体" w:eastAsia="宋体" w:hint="default"/>
        </w:rPr>
        <w:t>15%</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45" w:right="1104"/>
        <w:jc w:val="left"/>
        <w:rPr>
          <w:rFonts w:ascii="宋体" w:hAnsi="宋体" w:cs="宋体" w:eastAsia="宋体" w:hint="default"/>
        </w:rPr>
      </w:pPr>
      <w:r>
        <w:rPr/>
        <w:t>保定金迪科学仪器有限公司 </w:t>
      </w:r>
      <w:r>
        <w:rPr>
          <w:spacing w:val="-6"/>
        </w:rPr>
        <w:t>根据《财政部、国家税务总局关于软件产品增值税政策的通知》（财税</w:t>
      </w:r>
      <w:r>
        <w:rPr>
          <w:rFonts w:ascii="宋体" w:hAnsi="宋体" w:cs="宋体" w:eastAsia="宋体" w:hint="default"/>
          <w:spacing w:val="-6"/>
        </w:rPr>
        <w:t>[2011]100</w:t>
      </w:r>
    </w:p>
    <w:p>
      <w:pPr>
        <w:pStyle w:val="BodyText"/>
        <w:spacing w:line="357" w:lineRule="auto"/>
        <w:ind w:left="164" w:right="1862"/>
        <w:jc w:val="left"/>
      </w:pPr>
      <w:r>
        <w:rPr/>
        <w:t>号）等相关规定，当期嵌入式软件产品增值税应纳税额按</w:t>
      </w:r>
      <w:r>
        <w:rPr>
          <w:rFonts w:ascii="宋体" w:hAnsi="宋体" w:cs="宋体" w:eastAsia="宋体" w:hint="default"/>
        </w:rPr>
        <w:t>16%</w:t>
      </w:r>
      <w:r>
        <w:rPr/>
        <w:t>税率</w:t>
      </w:r>
      <w:r>
        <w:rPr>
          <w:rFonts w:ascii="宋体" w:hAnsi="宋体" w:cs="宋体" w:eastAsia="宋体" w:hint="default"/>
        </w:rPr>
        <w:t>(2019</w:t>
      </w:r>
      <w:r>
        <w:rPr/>
        <w:t>年</w:t>
      </w:r>
      <w:r>
        <w:rPr>
          <w:rFonts w:ascii="宋体" w:hAnsi="宋体" w:cs="宋体" w:eastAsia="宋体" w:hint="default"/>
        </w:rPr>
        <w:t>4</w:t>
      </w:r>
      <w:r>
        <w:rPr/>
        <w:t>月开始执</w:t>
      </w:r>
      <w:r>
        <w:rPr>
          <w:spacing w:val="-107"/>
        </w:rPr>
        <w:t> </w:t>
      </w:r>
      <w:r>
        <w:rPr/>
        <w:t>行</w:t>
      </w:r>
      <w:r>
        <w:rPr>
          <w:rFonts w:ascii="宋体" w:hAnsi="宋体" w:cs="宋体" w:eastAsia="宋体" w:hint="default"/>
        </w:rPr>
        <w:t>13%</w:t>
      </w:r>
      <w:r>
        <w:rPr/>
        <w:t>税率</w:t>
      </w:r>
      <w:r>
        <w:rPr>
          <w:rFonts w:ascii="宋体" w:hAnsi="宋体" w:cs="宋体" w:eastAsia="宋体" w:hint="default"/>
        </w:rPr>
        <w:t>)</w:t>
      </w:r>
      <w:r>
        <w:rPr/>
        <w:t>征收，对于超过当期嵌入式软件产品销售额</w:t>
      </w:r>
      <w:r>
        <w:rPr>
          <w:rFonts w:ascii="宋体" w:hAnsi="宋体" w:cs="宋体" w:eastAsia="宋体" w:hint="default"/>
        </w:rPr>
        <w:t>3%</w:t>
      </w:r>
      <w:r>
        <w:rPr/>
        <w:t>的部分实行即征即退政策。</w:t>
      </w:r>
    </w:p>
    <w:p>
      <w:pPr>
        <w:pStyle w:val="BodyText"/>
        <w:spacing w:line="357" w:lineRule="auto" w:before="37"/>
        <w:ind w:left="164" w:right="1980" w:firstLine="480"/>
        <w:jc w:val="both"/>
      </w:pPr>
      <w:r>
        <w:rPr/>
        <w:t>根据《高新技术企业认定管理办法》（国科发火</w:t>
      </w:r>
      <w:r>
        <w:rPr>
          <w:rFonts w:ascii="宋体" w:hAnsi="宋体" w:cs="宋体" w:eastAsia="宋体" w:hint="default"/>
        </w:rPr>
        <w:t>[2008]172</w:t>
      </w:r>
      <w:r>
        <w:rPr/>
        <w:t>号）和《高新技术企 业认定管理工作指引》（国科发火</w:t>
      </w:r>
      <w:r>
        <w:rPr>
          <w:rFonts w:ascii="宋体" w:hAnsi="宋体" w:cs="宋体" w:eastAsia="宋体" w:hint="default"/>
        </w:rPr>
        <w:t>[2008]362</w:t>
      </w:r>
      <w:r>
        <w:rPr/>
        <w:t>号）的有关规定，</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27</w:t>
      </w:r>
      <w:r>
        <w:rPr/>
        <w:t>日，河</w:t>
      </w:r>
      <w:r>
        <w:rPr>
          <w:spacing w:val="-106"/>
        </w:rPr>
        <w:t> </w:t>
      </w:r>
      <w:r>
        <w:rPr>
          <w:spacing w:val="-106"/>
        </w:rPr>
      </w:r>
      <w:r>
        <w:rPr>
          <w:spacing w:val="-3"/>
        </w:rPr>
        <w:t>北省科学技术厅向公司颁发了编号为</w:t>
      </w:r>
      <w:r>
        <w:rPr>
          <w:rFonts w:ascii="宋体" w:hAnsi="宋体" w:cs="宋体" w:eastAsia="宋体" w:hint="default"/>
          <w:spacing w:val="-3"/>
        </w:rPr>
        <w:t>GR201713001066</w:t>
      </w:r>
      <w:r>
        <w:rPr>
          <w:spacing w:val="-3"/>
        </w:rPr>
        <w:t>的《高新技术企业证书》，有效</w:t>
      </w:r>
      <w:r>
        <w:rPr>
          <w:spacing w:val="-89"/>
        </w:rPr>
        <w:t> </w:t>
      </w:r>
      <w:r>
        <w:rPr>
          <w:spacing w:val="-89"/>
        </w:rPr>
      </w:r>
      <w:r>
        <w:rPr>
          <w:spacing w:val="-3"/>
        </w:rPr>
        <w:t>期</w:t>
      </w:r>
      <w:r>
        <w:rPr>
          <w:rFonts w:ascii="宋体" w:hAnsi="宋体" w:cs="宋体" w:eastAsia="宋体" w:hint="default"/>
          <w:spacing w:val="-3"/>
        </w:rPr>
        <w:t>3</w:t>
      </w:r>
      <w:r>
        <w:rPr>
          <w:spacing w:val="-3"/>
        </w:rPr>
        <w:t>年。根据国家税务局下发的国税函</w:t>
      </w:r>
      <w:r>
        <w:rPr>
          <w:rFonts w:ascii="宋体" w:hAnsi="宋体" w:cs="宋体" w:eastAsia="宋体" w:hint="default"/>
          <w:spacing w:val="-3"/>
        </w:rPr>
        <w:t>[2009]203</w:t>
      </w:r>
      <w:r>
        <w:rPr>
          <w:spacing w:val="-3"/>
        </w:rPr>
        <w:t>号文，公司</w:t>
      </w:r>
      <w:r>
        <w:rPr>
          <w:rFonts w:ascii="宋体" w:hAnsi="宋体" w:cs="宋体" w:eastAsia="宋体" w:hint="default"/>
          <w:spacing w:val="-3"/>
        </w:rPr>
        <w:t>2019</w:t>
      </w:r>
      <w:r>
        <w:rPr>
          <w:spacing w:val="-3"/>
        </w:rPr>
        <w:t>年适用所得税税率为</w:t>
      </w:r>
      <w:r>
        <w:rPr>
          <w:spacing w:val="-90"/>
        </w:rPr>
        <w:t> </w:t>
      </w:r>
      <w:r>
        <w:rPr>
          <w:rFonts w:ascii="宋体" w:hAnsi="宋体" w:cs="宋体" w:eastAsia="宋体" w:hint="default"/>
        </w:rPr>
        <w:t>15%</w:t>
      </w:r>
      <w:r>
        <w:rPr/>
        <w:t>。</w:t>
      </w:r>
    </w:p>
    <w:p>
      <w:pPr>
        <w:spacing w:line="240" w:lineRule="auto" w:before="0"/>
        <w:rPr>
          <w:rFonts w:ascii="宋体" w:hAnsi="宋体" w:cs="宋体" w:eastAsia="宋体" w:hint="default"/>
          <w:sz w:val="24"/>
          <w:szCs w:val="24"/>
        </w:rPr>
      </w:pPr>
    </w:p>
    <w:p>
      <w:pPr>
        <w:pStyle w:val="BodyText"/>
        <w:spacing w:line="357" w:lineRule="auto" w:before="190"/>
        <w:ind w:left="645" w:right="1981"/>
        <w:jc w:val="left"/>
      </w:pPr>
      <w:r>
        <w:rPr>
          <w:rFonts w:ascii="宋体" w:hAnsi="宋体" w:cs="宋体" w:eastAsia="宋体" w:hint="default"/>
        </w:rPr>
        <w:t>5.</w:t>
      </w:r>
      <w:r>
        <w:rPr/>
        <w:t>小型微利企业优惠政策 </w:t>
      </w:r>
      <w:r>
        <w:rPr>
          <w:spacing w:val="-10"/>
        </w:rPr>
        <w:t>根据《财政部、国家税务总局关于实施小微企业普惠性税收减免政策的通知》（财</w:t>
      </w:r>
    </w:p>
    <w:p>
      <w:pPr>
        <w:spacing w:after="0" w:line="35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pStyle w:val="BodyText"/>
        <w:spacing w:line="357" w:lineRule="auto" w:before="160"/>
        <w:ind w:right="1978" w:firstLine="12"/>
        <w:jc w:val="both"/>
      </w:pPr>
      <w:r>
        <w:rPr/>
        <w:t>税</w:t>
      </w:r>
      <w:r>
        <w:rPr>
          <w:rFonts w:ascii="宋体" w:hAnsi="宋体" w:cs="宋体" w:eastAsia="宋体" w:hint="default"/>
        </w:rPr>
        <w:t>[2019]13</w:t>
      </w:r>
      <w:r>
        <w:rPr/>
        <w:t>号）等相规定，对小型微利企业年应纳税所得额不超过</w:t>
      </w:r>
      <w:r>
        <w:rPr>
          <w:rFonts w:ascii="宋体" w:hAnsi="宋体" w:cs="宋体" w:eastAsia="宋体" w:hint="default"/>
        </w:rPr>
        <w:t>100</w:t>
      </w:r>
      <w:r>
        <w:rPr/>
        <w:t>万元的部分， </w:t>
      </w:r>
      <w:r>
        <w:rPr>
          <w:spacing w:val="-6"/>
        </w:rPr>
        <w:t>减按</w:t>
      </w:r>
      <w:r>
        <w:rPr>
          <w:rFonts w:ascii="宋体" w:hAnsi="宋体" w:cs="宋体" w:eastAsia="宋体" w:hint="default"/>
          <w:spacing w:val="-6"/>
        </w:rPr>
        <w:t>25%</w:t>
      </w:r>
      <w:r>
        <w:rPr>
          <w:spacing w:val="-6"/>
        </w:rPr>
        <w:t>计入应纳税所得额，按</w:t>
      </w:r>
      <w:r>
        <w:rPr>
          <w:rFonts w:ascii="宋体" w:hAnsi="宋体" w:cs="宋体" w:eastAsia="宋体" w:hint="default"/>
          <w:spacing w:val="-6"/>
        </w:rPr>
        <w:t>20%</w:t>
      </w:r>
      <w:r>
        <w:rPr>
          <w:spacing w:val="-6"/>
        </w:rPr>
        <w:t>的税率缴纳企业所得税；对年应纳税所得额超过</w:t>
      </w:r>
      <w:r>
        <w:rPr>
          <w:rFonts w:ascii="宋体" w:hAnsi="宋体" w:cs="宋体" w:eastAsia="宋体" w:hint="default"/>
          <w:spacing w:val="-6"/>
        </w:rPr>
        <w:t>100</w:t>
      </w:r>
      <w:r>
        <w:rPr>
          <w:rFonts w:ascii="宋体" w:hAnsi="宋体" w:cs="宋体" w:eastAsia="宋体" w:hint="default"/>
          <w:spacing w:val="-89"/>
        </w:rPr>
        <w:t> </w:t>
      </w:r>
      <w:r>
        <w:rPr/>
        <w:t>万元但不超过</w:t>
      </w:r>
      <w:r>
        <w:rPr>
          <w:rFonts w:ascii="宋体" w:hAnsi="宋体" w:cs="宋体" w:eastAsia="宋体" w:hint="default"/>
        </w:rPr>
        <w:t>300</w:t>
      </w:r>
      <w:r>
        <w:rPr/>
        <w:t>万元的部分，减按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w:t>
      </w:r>
      <w:r>
        <w:rPr>
          <w:spacing w:val="-107"/>
        </w:rPr>
        <w:t> </w:t>
      </w:r>
      <w:r>
        <w:rPr>
          <w:spacing w:val="-107"/>
        </w:rPr>
      </w:r>
      <w:r>
        <w:rPr>
          <w:spacing w:val="-3"/>
        </w:rPr>
        <w:t>得税。根据此政策本年度长沙政通康拓科技有限责任公司、焦作市市民健康促进服务</w:t>
      </w:r>
      <w:r>
        <w:rPr>
          <w:spacing w:val="-110"/>
        </w:rPr>
        <w:t> </w:t>
      </w:r>
      <w:r>
        <w:rPr>
          <w:spacing w:val="-110"/>
        </w:rPr>
      </w:r>
      <w:r>
        <w:rPr>
          <w:spacing w:val="-3"/>
        </w:rPr>
        <w:t>有限责任公司、江西政通城运科技有限公司、湖北鄂东智城科技有限公司、保定政运</w:t>
      </w:r>
      <w:r>
        <w:rPr>
          <w:spacing w:val="-111"/>
        </w:rPr>
        <w:t> </w:t>
      </w:r>
      <w:r>
        <w:rPr>
          <w:spacing w:val="-111"/>
        </w:rPr>
      </w:r>
      <w:r>
        <w:rPr/>
        <w:t>恒通信息技术有限责任公司实际适用</w:t>
      </w:r>
      <w:r>
        <w:rPr>
          <w:rFonts w:ascii="宋体" w:hAnsi="宋体" w:cs="宋体" w:eastAsia="宋体" w:hint="default"/>
        </w:rPr>
        <w:t>5%</w:t>
      </w:r>
      <w:r>
        <w:rPr/>
        <w:t>企业所得税税率。</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113,201.11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705,181,032.43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801,083,157.95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26,565,716.56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5,946,889.05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731,956,585.59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807,143,248.11</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94"/>
        <w:ind w:left="152" w:right="1104" w:firstLine="0"/>
        <w:jc w:val="left"/>
        <w:rPr>
          <w:rFonts w:ascii="宋体" w:hAnsi="宋体" w:cs="宋体" w:eastAsia="宋体" w:hint="default"/>
          <w:sz w:val="21"/>
          <w:szCs w:val="21"/>
        </w:rPr>
      </w:pPr>
      <w:r>
        <w:rPr>
          <w:rFonts w:ascii="宋体" w:hAnsi="宋体" w:cs="宋体" w:eastAsia="宋体" w:hint="default"/>
          <w:sz w:val="21"/>
          <w:szCs w:val="21"/>
        </w:rPr>
        <w:t>注：受限货币资金详见附注七、所有权或使用权受限的资产。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96"/>
        <w:ind w:left="152" w:right="1104"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日购买的上述结构性存款已于</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日全部赎回。</w:t>
      </w:r>
    </w:p>
    <w:p>
      <w:pPr>
        <w:spacing w:after="0"/>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1,319,83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7,150.40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159,724,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324.31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1,160,112</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,826.09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1,233,604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,319.58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132,258,5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10.72%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1,101,345,7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82.52</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1,319,83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7,150.40</w:t>
            </w:r>
          </w:p>
        </w:tc>
        <w:tc>
          <w:tcPr>
            <w:tcW w:w="764"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159,724,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324.31</w:t>
            </w:r>
          </w:p>
        </w:tc>
        <w:tc>
          <w:tcPr>
            <w:tcW w:w="763"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1,160,112</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,826.09</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1,233,604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,319.58</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132,258,5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37.06</w:t>
            </w:r>
          </w:p>
        </w:tc>
        <w:tc>
          <w:tcPr>
            <w:tcW w:w="790"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1,101,345,7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82.52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52" w:right="1104" w:firstLine="0"/>
        <w:jc w:val="left"/>
        <w:rPr>
          <w:rFonts w:ascii="宋体" w:hAnsi="宋体" w:cs="宋体" w:eastAsia="宋体" w:hint="default"/>
          <w:sz w:val="18"/>
          <w:szCs w:val="18"/>
        </w:rPr>
      </w:pPr>
      <w:r>
        <w:rPr>
          <w:rFonts w:ascii="宋体" w:hAnsi="宋体" w:cs="宋体" w:eastAsia="宋体" w:hint="default"/>
          <w:sz w:val="18"/>
          <w:szCs w:val="18"/>
        </w:rPr>
        <w:t>按组合计提坏账准备：政府及运营商组合</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443,754,153.80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13,353,769.77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197,202,635.53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13,810,132.53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113,105,198.92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16,965,779.84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76,435,905.23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22,930,771.57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8,668,290.10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4,334,145.05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8,142,481.07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7,328,232.96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847,308,664.65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78,722,831.72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按组合计提坏账准备：其他组合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673" w:space="615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239,636,237.89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14,378,174.26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84,885,010.71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10,186,201.29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38,691,566.55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11,607,469.96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25,193,322.01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12,596,661.01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15,711,579.46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10,998,105.62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20,958,049.39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18,862,244.46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425,075,766.01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78,628,856.60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按组合计提坏账准备：关联方组合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53" w:space="5976"/>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47,452,719.74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2,372,636.00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47,452,719.74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2,372,636.00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38"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705,918,493.06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303,942,762.82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154,866,267.26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155,109,627.26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101,629,227.24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24,379,869.56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29,100,530.46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1,319,837,150.40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39"/>
        <w:ind w:left="633" w:right="1104"/>
        <w:jc w:val="left"/>
      </w:pPr>
      <w:r>
        <w:rPr/>
        <w:t>本期计提坏账准备金额</w:t>
      </w:r>
      <w:r>
        <w:rPr>
          <w:rFonts w:ascii="宋体" w:hAnsi="宋体" w:cs="宋体" w:eastAsia="宋体" w:hint="default"/>
        </w:rPr>
        <w:t>27,465,787.25</w:t>
      </w:r>
      <w:r>
        <w:rPr/>
        <w:t>元；本期收回或转回坏账准备金额</w:t>
      </w:r>
      <w:r>
        <w:rPr>
          <w:rFonts w:ascii="宋体" w:hAnsi="宋体" w:cs="宋体" w:eastAsia="宋体" w:hint="default"/>
        </w:rPr>
        <w:t>0.00</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64" w:lineRule="auto" w:before="96"/>
        <w:ind w:left="152" w:right="1104" w:firstLine="0"/>
        <w:jc w:val="left"/>
        <w:rPr>
          <w:rFonts w:ascii="宋体" w:hAnsi="宋体" w:cs="宋体" w:eastAsia="宋体" w:hint="default"/>
          <w:sz w:val="21"/>
          <w:szCs w:val="21"/>
        </w:rPr>
      </w:pPr>
      <w:r>
        <w:rPr>
          <w:rFonts w:ascii="宋体" w:hAnsi="宋体" w:cs="宋体" w:eastAsia="宋体" w:hint="default"/>
          <w:sz w:val="21"/>
          <w:szCs w:val="21"/>
        </w:rPr>
        <w:t>按欠款方归集的期末余额前五名的应收账款情况</w:t>
      </w:r>
      <w:r>
        <w:rPr>
          <w:rFonts w:ascii="宋体" w:hAnsi="宋体" w:cs="宋体" w:eastAsia="宋体" w:hint="default"/>
          <w:w w:val="100"/>
          <w:sz w:val="21"/>
          <w:szCs w:val="21"/>
        </w:rPr>
        <w:t> </w:t>
      </w:r>
      <w:r>
        <w:rPr>
          <w:rFonts w:ascii="宋体" w:hAnsi="宋体" w:cs="宋体" w:eastAsia="宋体" w:hint="default"/>
          <w:spacing w:val="-3"/>
          <w:sz w:val="21"/>
          <w:szCs w:val="21"/>
        </w:rPr>
        <w:t>本报告期按欠款方归集的期末余额前五名应收账款汇总金额</w:t>
      </w:r>
      <w:r>
        <w:rPr>
          <w:rFonts w:ascii="Times New Roman" w:hAnsi="Times New Roman" w:cs="Times New Roman" w:eastAsia="Times New Roman" w:hint="default"/>
          <w:spacing w:val="-3"/>
          <w:sz w:val="21"/>
          <w:szCs w:val="21"/>
        </w:rPr>
      </w:r>
      <w:r>
        <w:rPr>
          <w:rFonts w:ascii="Times New Roman" w:hAnsi="Times New Roman" w:cs="Times New Roman" w:eastAsia="Times New Roman" w:hint="default"/>
          <w:spacing w:val="-3"/>
          <w:sz w:val="21"/>
          <w:szCs w:val="21"/>
          <w:u w:val="single" w:color="000000"/>
        </w:rPr>
        <w:t>172,949,033.09</w:t>
      </w:r>
      <w:r>
        <w:rPr>
          <w:rFonts w:ascii="Times New Roman" w:hAnsi="Times New Roman" w:cs="Times New Roman" w:eastAsia="Times New Roman" w:hint="default"/>
          <w:spacing w:val="-3"/>
          <w:sz w:val="21"/>
          <w:szCs w:val="21"/>
        </w:rPr>
      </w:r>
      <w:r>
        <w:rPr>
          <w:rFonts w:ascii="宋体" w:hAnsi="宋体" w:cs="宋体" w:eastAsia="宋体" w:hint="default"/>
          <w:spacing w:val="-3"/>
          <w:sz w:val="21"/>
          <w:szCs w:val="21"/>
        </w:rPr>
        <w:t>元，占应收账款期末余额合计数</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13.10</w:t>
      </w:r>
      <w:r>
        <w:rPr>
          <w:rFonts w:ascii="Times New Roman" w:hAnsi="Times New Roman" w:cs="Times New Roman" w:eastAsia="Times New Roman" w:hint="default"/>
          <w:sz w:val="21"/>
          <w:szCs w:val="21"/>
        </w:rPr>
        <w:t>%</w:t>
      </w:r>
      <w:r>
        <w:rPr>
          <w:rFonts w:ascii="宋体" w:hAnsi="宋体" w:cs="宋体" w:eastAsia="宋体" w:hint="default"/>
          <w:sz w:val="21"/>
          <w:szCs w:val="21"/>
        </w:rPr>
        <w:t>，相应计提的坏账准备期末余额汇总金额</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9,747,351.91</w:t>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spacing w:line="240" w:lineRule="auto" w:before="1"/>
        <w:rPr>
          <w:rFonts w:ascii="宋体" w:hAnsi="宋体" w:cs="宋体" w:eastAsia="宋体" w:hint="default"/>
          <w:sz w:val="20"/>
          <w:szCs w:val="20"/>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5,623,758.55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5,623,758.55</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40" w:lineRule="auto" w:before="4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21"/>
        <w:ind w:left="152" w:right="1104"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日，本公司已背书在资产负债表日尚未到期的应收票据如下：</w:t>
      </w:r>
    </w:p>
    <w:p>
      <w:pPr>
        <w:tabs>
          <w:tab w:pos="4785" w:val="left" w:leader="none"/>
          <w:tab w:pos="5280" w:val="left" w:leader="none"/>
          <w:tab w:pos="7481" w:val="left" w:leader="none"/>
        </w:tabs>
        <w:spacing w:line="338" w:lineRule="auto" w:before="51"/>
        <w:ind w:left="164" w:right="182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期末终止确认金额</w:t>
      </w:r>
      <w:r>
        <w:rPr>
          <w:rFonts w:ascii="宋体" w:hAnsi="宋体" w:cs="宋体" w:eastAsia="宋体" w:hint="default"/>
          <w:sz w:val="18"/>
          <w:szCs w:val="18"/>
        </w:rPr>
        <w:tab/>
      </w:r>
      <w:r>
        <w:rPr>
          <w:rFonts w:ascii="宋体" w:hAnsi="宋体" w:cs="宋体" w:eastAsia="宋体" w:hint="default"/>
          <w:sz w:val="18"/>
          <w:szCs w:val="18"/>
          <w:u w:val="single" w:color="000000"/>
        </w:rPr>
        <w:t>期末未终止确认金额</w:t>
      </w:r>
      <w:r>
        <w:rPr>
          <w:rFonts w:ascii="宋体" w:hAnsi="宋体" w:cs="宋体" w:eastAsia="宋体" w:hint="default"/>
          <w:sz w:val="18"/>
          <w:szCs w:val="18"/>
        </w:rPr>
      </w:r>
      <w:r>
        <w:rPr>
          <w:rFonts w:ascii="宋体" w:hAnsi="宋体" w:cs="宋体" w:eastAsia="宋体" w:hint="default"/>
          <w:sz w:val="18"/>
          <w:szCs w:val="18"/>
        </w:rPr>
        <w:t> 银行承兑票据</w:t>
        <w:tab/>
        <w:tab/>
      </w:r>
      <w:r>
        <w:rPr>
          <w:rFonts w:ascii="Times New Roman" w:hAnsi="Times New Roman" w:cs="Times New Roman" w:eastAsia="Times New Roman" w:hint="default"/>
          <w:sz w:val="18"/>
          <w:szCs w:val="18"/>
        </w:rPr>
        <w:t>1,155,000.00</w:t>
      </w:r>
    </w:p>
    <w:p>
      <w:pPr>
        <w:tabs>
          <w:tab w:pos="3698" w:val="left" w:leader="none"/>
        </w:tabs>
        <w:spacing w:before="2"/>
        <w:ind w:left="0" w:right="3117"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1,155,000.00</w:t>
      </w:r>
      <w:r>
        <w:rPr>
          <w:rFonts w:ascii="Times New Roman" w:hAnsi="Times New Roman" w:cs="Times New Roman" w:eastAsia="Times New Roman" w:hint="default"/>
          <w:sz w:val="18"/>
          <w:szCs w:val="18"/>
        </w:rPr>
      </w:r>
    </w:p>
    <w:p>
      <w:pPr>
        <w:spacing w:after="0"/>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22,854,439.94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4,533,214.33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86.72%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3,825,591.44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680,125.83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300,432.52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26,980,463.90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5,227,140.16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before="83"/>
        <w:ind w:left="152" w:right="1104" w:firstLine="0"/>
        <w:jc w:val="left"/>
        <w:rPr>
          <w:rFonts w:ascii="宋体" w:hAnsi="宋体" w:cs="宋体" w:eastAsia="宋体" w:hint="default"/>
          <w:sz w:val="21"/>
          <w:szCs w:val="21"/>
        </w:rPr>
      </w:pPr>
      <w:r>
        <w:rPr>
          <w:rFonts w:ascii="宋体" w:hAnsi="宋体" w:cs="宋体" w:eastAsia="宋体" w:hint="default"/>
          <w:sz w:val="21"/>
          <w:szCs w:val="21"/>
        </w:rPr>
        <w:t>本公司预付款由于相关项目未到结算期，至今尚未办理款项结算。</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6" w:lineRule="auto" w:before="0"/>
        <w:ind w:left="152" w:right="1109" w:firstLine="0"/>
        <w:jc w:val="left"/>
        <w:rPr>
          <w:rFonts w:ascii="宋体" w:hAnsi="宋体" w:cs="宋体" w:eastAsia="宋体" w:hint="default"/>
          <w:sz w:val="21"/>
          <w:szCs w:val="21"/>
        </w:rPr>
      </w:pPr>
      <w:r>
        <w:rPr>
          <w:rFonts w:ascii="宋体" w:hAnsi="宋体" w:cs="宋体" w:eastAsia="宋体" w:hint="default"/>
          <w:sz w:val="21"/>
          <w:szCs w:val="21"/>
        </w:rPr>
        <w:t>本报告期按预付对象归集的期末余额前五名预付款项汇总金额</w:t>
      </w:r>
      <w:r>
        <w:rPr>
          <w:rFonts w:ascii="宋体" w:hAnsi="宋体" w:cs="宋体" w:eastAsia="宋体" w:hint="default"/>
          <w:spacing w:val="14"/>
          <w:sz w:val="21"/>
          <w:szCs w:val="21"/>
        </w:rPr>
        <w:t> </w:t>
      </w:r>
      <w:r>
        <w:rPr>
          <w:rFonts w:ascii="Times New Roman" w:hAnsi="Times New Roman" w:cs="Times New Roman" w:eastAsia="Times New Roman" w:hint="default"/>
          <w:spacing w:val="14"/>
          <w:sz w:val="21"/>
          <w:szCs w:val="21"/>
        </w:rPr>
      </w:r>
      <w:r>
        <w:rPr>
          <w:rFonts w:ascii="Times New Roman" w:hAnsi="Times New Roman" w:cs="Times New Roman" w:eastAsia="Times New Roman" w:hint="default"/>
          <w:spacing w:val="14"/>
          <w:sz w:val="21"/>
          <w:szCs w:val="21"/>
          <w:u w:val="single" w:color="000000"/>
        </w:rPr>
        <w:t> </w:t>
      </w:r>
      <w:r>
        <w:rPr>
          <w:rFonts w:ascii="Times New Roman" w:hAnsi="Times New Roman" w:cs="Times New Roman" w:eastAsia="Times New Roman" w:hint="default"/>
          <w:sz w:val="21"/>
          <w:szCs w:val="21"/>
          <w:u w:val="single" w:color="000000"/>
        </w:rPr>
        <w:t>24,201,988.79</w:t>
      </w:r>
      <w:r>
        <w:rPr>
          <w:rFonts w:ascii="Times New Roman" w:hAnsi="Times New Roman" w:cs="Times New Roman" w:eastAsia="Times New Roman" w:hint="default"/>
          <w:spacing w:val="9"/>
          <w:sz w:val="21"/>
          <w:szCs w:val="21"/>
          <w:u w:val="single" w:color="000000"/>
        </w:rPr>
        <w:t> </w:t>
      </w:r>
      <w:r>
        <w:rPr>
          <w:rFonts w:ascii="Times New Roman" w:hAnsi="Times New Roman" w:cs="Times New Roman" w:eastAsia="Times New Roman" w:hint="default"/>
          <w:spacing w:val="9"/>
          <w:sz w:val="21"/>
          <w:szCs w:val="21"/>
        </w:rPr>
      </w:r>
      <w:r>
        <w:rPr>
          <w:rFonts w:ascii="宋体" w:hAnsi="宋体" w:cs="宋体" w:eastAsia="宋体" w:hint="default"/>
          <w:sz w:val="21"/>
          <w:szCs w:val="21"/>
        </w:rPr>
        <w:t>元，占预付款项期末余额合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89.70 </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112,391,593.96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116,737,326.88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112,391,593.96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116,737,326.88</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押金、备用金、保证金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111,755,340.93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117,125,945.21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4,280,586.38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9,521,991.46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5,492,259.50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863,728.00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121,528,186.81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127,511,664.67</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5"/>
        <w:gridCol w:w="1663"/>
        <w:gridCol w:w="2098"/>
        <w:gridCol w:w="2101"/>
        <w:gridCol w:w="1805"/>
      </w:tblGrid>
      <w:tr>
        <w:trPr>
          <w:trHeight w:val="402"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2"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7,401,136.83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3,373,200.96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10,774,337.79</w:t>
            </w:r>
          </w:p>
        </w:tc>
      </w:tr>
      <w:tr>
        <w:trPr>
          <w:trHeight w:val="162"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05"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-1,637,744.94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-1,637,744.94</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5,763,391.89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3,373,200.96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9,136,592.85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68,224,460.70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15,034,813.62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24,384,178.55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13,884,733.94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2,624,860.16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3,655,132.91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7,604,740.87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121,528,186.81</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1340"/>
        <w:gridCol w:w="1332"/>
        <w:gridCol w:w="1332"/>
        <w:gridCol w:w="1325"/>
        <w:gridCol w:w="172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bl>
    <w:p>
      <w:pPr>
        <w:spacing w:line="278" w:lineRule="exact" w:before="0"/>
        <w:ind w:left="152" w:right="1104"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-1,637,744.94</w:t>
      </w:r>
      <w:r>
        <w:rPr>
          <w:rFonts w:ascii="宋体" w:hAnsi="宋体" w:cs="宋体" w:eastAsia="宋体" w:hint="default"/>
          <w:sz w:val="21"/>
          <w:szCs w:val="21"/>
        </w:rPr>
        <w:t>元。</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980" w:right="0"/>
        </w:sectPr>
      </w:pPr>
    </w:p>
    <w:p>
      <w:pPr>
        <w:pStyle w:val="BodyText"/>
        <w:spacing w:line="240" w:lineRule="auto" w:before="26"/>
        <w:ind w:right="-20"/>
        <w:jc w:val="left"/>
      </w:pP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13" w:space="4116"/>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5,492,259.50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1,998,371.00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1,998,371.00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1,868,830.00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93,441.50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1,822,057.52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91,102.88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1,858,080.00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92,904.00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13,039,598.02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2,275,819.38</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715" w:lineRule="auto" w:before="148"/>
        <w:ind w:left="633" w:right="4273"/>
        <w:jc w:val="left"/>
      </w:pPr>
      <w:r>
        <w:rPr/>
        <w:t>本报告期无坏账准备转回或收回金额重要的其他应收款。 本报告期无实际核销的其他应收款情况。</w:t>
      </w:r>
    </w:p>
    <w:p>
      <w:pPr>
        <w:spacing w:line="240" w:lineRule="auto" w:before="4"/>
        <w:rPr>
          <w:rFonts w:ascii="宋体" w:hAnsi="宋体" w:cs="宋体" w:eastAsia="宋体" w:hint="default"/>
          <w:sz w:val="18"/>
          <w:szCs w:val="18"/>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5,838,057.73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825,915.95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5,012,141.78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8,406,289.45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368,808.86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8,037,480.59</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15,542,271.50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2,426,305.60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13,115,965.90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14,102,875.93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1,185,249.86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12,917,626.07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1,022,535.48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1,022,535.48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420,103.54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420,103.54</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115,615,164.95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8,934,444.21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106,680,720.74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121,145,306.17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8,934,444.21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112,210,861.96</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138,018,029.66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12,186,665.76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125,831,363.90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144,074,575.09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10,488,502.93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133,586,072.16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368,808.86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457,107.09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825,915.95</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1,185,249.86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1,241,055.74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2,426,305.60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8,934,444.21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8,934,444.21</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10,488,502.93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1,698,162.83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12,186,665.76</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26,495,574.56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39,953,581.43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26,495,574.56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39,953,581.43</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4"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6,669,900.36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7,685,973.93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6,669,900.36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7,685,973.93</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3501"/>
        <w:gridCol w:w="3502"/>
        <w:gridCol w:w="1153"/>
      </w:tblGrid>
      <w:tr>
        <w:trPr>
          <w:trHeight w:val="401"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87,870,596.28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87,870,596.28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124,497,629.2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124,497,629.2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4.75%-6.00%</w:t>
            </w: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减：一年内到期 部分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-26,495,574.56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-26,495,574.56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-39,953,581.43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-39,953,581.43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61,375,021.72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61,375,021.72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84,544,047.85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84,544,047.85</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北京通通 易联科技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7,908,743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-4,418,28</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3,490,457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四川省数 聚汇智科 技有限责 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7,908,743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-4,418,28</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3,490,457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7,908,743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-4,418,28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3,490,457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5309" w:firstLine="0"/>
        <w:jc w:val="left"/>
        <w:rPr>
          <w:rFonts w:ascii="宋体" w:hAnsi="宋体" w:cs="宋体" w:eastAsia="宋体" w:hint="default"/>
          <w:sz w:val="18"/>
          <w:szCs w:val="18"/>
        </w:rPr>
      </w:pPr>
      <w:r>
        <w:rPr>
          <w:rFonts w:ascii="宋体" w:hAnsi="宋体" w:cs="宋体" w:eastAsia="宋体" w:hint="default"/>
          <w:sz w:val="18"/>
          <w:szCs w:val="18"/>
        </w:rPr>
        <w:t>其他说明 四川省数聚汇智科技有限责任公司认缴出资</w:t>
      </w:r>
      <w:r>
        <w:rPr>
          <w:rFonts w:ascii="Times New Roman" w:hAnsi="Times New Roman" w:cs="Times New Roman" w:eastAsia="Times New Roman" w:hint="default"/>
          <w:sz w:val="18"/>
          <w:szCs w:val="18"/>
        </w:rPr>
        <w:t>2,000,000.00</w:t>
      </w:r>
      <w:r>
        <w:rPr>
          <w:rFonts w:ascii="宋体" w:hAnsi="宋体" w:cs="宋体" w:eastAsia="宋体" w:hint="default"/>
          <w:sz w:val="18"/>
          <w:szCs w:val="18"/>
        </w:rPr>
        <w:t>元，未实缴。</w:t>
      </w:r>
    </w:p>
    <w:p>
      <w:pPr>
        <w:spacing w:after="0" w:line="36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重庆小爱科技有限公司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北京天健源达科技股份有限公司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保定市市区农村信用合作联社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43,020,000.00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重庆小爱科技有 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北京天健源达科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保定市市区农村 信用合作联社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计划长期持有</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91,460,109.82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91,460,109.82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9,790,538.50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9,790,538.50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9,790,538.50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9,790,538.50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81,669,571.32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81,669,571.32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19,654,317.24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19,654,317.24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3,233,398.84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3,233,398.84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3,233,398.84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3,233,398.84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1,044,650.34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1,044,650.34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1,044,650.34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1,044,650.34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21,843,065.74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21,843,065.74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59,826,505.58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59,826,505.58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71,805,792.58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71,805,792.58</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69,026,204.10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58,513,363.22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69,026,204.10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58,513,363.22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50,366,644.64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20,816,019.25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24,241,874.09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19,972,443.26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5,769,228.99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121,166,210.23</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9,790,538.50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7,739,251.74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2,834,256.30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1,301,728.26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385,608.86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22,051,383.66</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3,365,536.53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2,834,256.30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1,301,728.26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385,608.86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7,887,129.95</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）投资性房地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产转回</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9,790,538.50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9,790,538.50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）存货转入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4,373,715.21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4,373,715.21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1,965,848.16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2,558,907.31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611,105.00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5,135,860.47</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1,965,848.16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2,558,907.31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611,105.00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5,135,860.47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60,157,183.14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26,589,422.83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24,517,223.08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20,663,066.52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6,154,837.85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138,081,733.42</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10,269,651.99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16,141,493.55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15,047,295.01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15,735,433.34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5,458,973.12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62,652,847.01</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2,612,565.92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2,812,591.08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3,582,253.06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1,798,468.93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304,979.67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11,110,858.66</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2,612,565.92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2,812,591.08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3,582,253.06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1,798,468.93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304,979.67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11,110,858.66</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1,893,828.94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2,239,433.82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574,913.59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4,708,176.35</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1,893,828.94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2,239,433.82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574,913.59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4,708,176.35</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12,882,217.91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17,060,255.69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16,390,114.25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16,958,988.68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5,763,952.79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69,055,529.32</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47,274,965.23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9,529,167.14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8,127,108.83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3,704,077.84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390,885.06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69,026,204.10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40,096,992.65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4,674,525.70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9,194,579.08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4,237,009.92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310,255.87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58,513,363.22</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23,534,430.61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23,534,430.61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待装修办公楼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23,534,430.61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23,534,430.61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23,534,430.61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23,534,430.61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待装修 办公楼</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23,534,4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30.61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23,534,4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30.61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4"/>
        <w:gridCol w:w="737"/>
        <w:gridCol w:w="737"/>
        <w:gridCol w:w="736"/>
        <w:gridCol w:w="736"/>
      </w:tblGrid>
      <w:tr>
        <w:trPr>
          <w:trHeight w:val="716"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23,534,4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23,534,4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30.61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9,971,717.33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15,323,814.82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269,911,948.68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5,873,077.71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301,080,558.54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32,173,183.15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32,173,183.15</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32,173,183.15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32,173,183.15</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9,971,717.33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15,323,814.82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302,085,131.83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5,873,077.71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333,253,741.69</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1,378,211.63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10,765,772.40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167,525,289.80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1,536,796.51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181,206,070.34</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210,453.20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1,320,379.42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36,729,649.18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1,064,299.58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39,324,781.38</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210,453.20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1,320,379.42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36,729,649.18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1,064,299.58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39,324,781.38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1,588,664.83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12,086,151.82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204,254,938.98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2,601,096.09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220,530,851.72</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8,383,052.50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3,237,663.00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97,830,192.85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3,271,981.62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112,722,889.97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8,593,505.70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4,558,042.42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102,386,658.88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4,336,281.20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119,874,488.20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84.89%</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403"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41"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1" w:type="dxa"/>
            <w:vMerge w:val="restart"/>
            <w:tcBorders>
              <w:top w:val="nil" w:sz="6" w:space="0" w:color="auto"/>
              <w:left w:val="single" w:sz="4" w:space="0" w:color="000000"/>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41"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12"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城市管理运 行中心平台 </w:t>
            </w:r>
            <w:r>
              <w:rPr>
                <w:rFonts w:ascii="Times New Roman" w:hAnsi="Times New Roman" w:cs="Times New Roman" w:eastAsia="Times New Roman" w:hint="default"/>
                <w:sz w:val="18"/>
                <w:szCs w:val="18"/>
              </w:rPr>
              <w:t>V1.0</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8,158,010.48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7,468.50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8,165,478.98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12"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城市管理运 行中心平台 </w:t>
            </w:r>
            <w:r>
              <w:rPr>
                <w:rFonts w:ascii="Times New Roman" w:hAnsi="Times New Roman" w:cs="Times New Roman" w:eastAsia="Times New Roman" w:hint="default"/>
                <w:sz w:val="18"/>
                <w:szCs w:val="18"/>
              </w:rPr>
              <w:t>V2.0</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21,844,069.7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21,844,069.7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12"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多通合一移 动办公系统 </w:t>
            </w:r>
            <w:r>
              <w:rPr>
                <w:rFonts w:ascii="Times New Roman" w:hAnsi="Times New Roman" w:cs="Times New Roman" w:eastAsia="Times New Roman" w:hint="default"/>
                <w:sz w:val="18"/>
                <w:szCs w:val="18"/>
              </w:rPr>
              <w:t>V1.0</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33,023.76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33,023.76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多网融合综 合治理与服 务信息系统</w:t>
            </w:r>
          </w:p>
          <w:p>
            <w:pPr>
              <w:pStyle w:val="TableParagraph"/>
              <w:spacing w:line="240" w:lineRule="auto" w:before="61"/>
              <w:ind w:left="12" w:right="0"/>
              <w:jc w:val="both"/>
              <w:rPr>
                <w:rFonts w:ascii="Times New Roman" w:hAnsi="Times New Roman" w:cs="Times New Roman" w:eastAsia="Times New Roman" w:hint="default"/>
                <w:sz w:val="18"/>
                <w:szCs w:val="18"/>
              </w:rPr>
            </w:pPr>
            <w:r>
              <w:rPr>
                <w:rFonts w:ascii="Times New Roman"/>
                <w:sz w:val="18"/>
              </w:rPr>
              <w:t>V19</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16,655.55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16,655.55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多网融合综 合治理与服 务信息系统</w:t>
            </w:r>
          </w:p>
          <w:p>
            <w:pPr>
              <w:pStyle w:val="TableParagraph"/>
              <w:spacing w:line="240" w:lineRule="auto" w:before="59"/>
              <w:ind w:left="12" w:right="0"/>
              <w:jc w:val="both"/>
              <w:rPr>
                <w:rFonts w:ascii="Times New Roman" w:hAnsi="Times New Roman" w:cs="Times New Roman" w:eastAsia="Times New Roman" w:hint="default"/>
                <w:sz w:val="18"/>
                <w:szCs w:val="18"/>
              </w:rPr>
            </w:pPr>
            <w:r>
              <w:rPr>
                <w:rFonts w:ascii="Times New Roman"/>
                <w:sz w:val="18"/>
              </w:rPr>
              <w:t>V2.0</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11,474,993.3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11,474,993.3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建设用地智 能审批系统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9,068,252.95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23,543.00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9,091,795.95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建设用地智 能审批系统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6,688,891.09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6,688,891.09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全国市民通 一体化平台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9,735,952.96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9,735,952.96</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新智信云综 合管理信息 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13,451,508.3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13,451,508.3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5"/>
              <w:jc w:val="left"/>
              <w:rPr>
                <w:rFonts w:ascii="Times New Roman" w:hAnsi="Times New Roman" w:cs="Times New Roman" w:eastAsia="Times New Roman" w:hint="default"/>
                <w:sz w:val="18"/>
                <w:szCs w:val="18"/>
              </w:rPr>
            </w:pPr>
            <w:r>
              <w:rPr>
                <w:rFonts w:ascii="宋体" w:hAnsi="宋体" w:cs="宋体" w:eastAsia="宋体" w:hint="default"/>
                <w:sz w:val="18"/>
                <w:szCs w:val="18"/>
              </w:rPr>
              <w:t>执法主体检 查系统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8,355,430.23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8,355,430.23</w:t>
            </w: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智慧城管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综合管 理信息系统</w:t>
            </w:r>
          </w:p>
          <w:p>
            <w:pPr>
              <w:pStyle w:val="TableParagraph"/>
              <w:spacing w:line="240" w:lineRule="auto" w:before="68"/>
              <w:ind w:left="22" w:right="0"/>
              <w:jc w:val="left"/>
              <w:rPr>
                <w:rFonts w:ascii="Times New Roman" w:hAnsi="Times New Roman" w:cs="Times New Roman" w:eastAsia="Times New Roman" w:hint="default"/>
                <w:sz w:val="18"/>
                <w:szCs w:val="18"/>
              </w:rPr>
            </w:pPr>
            <w:r>
              <w:rPr>
                <w:rFonts w:ascii="Times New Roman"/>
                <w:sz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11,485,859.7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22,946.23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11,508,805.9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智慧环卫综 合监管平台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7,777,267.33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7,777,267.33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智慧市政综 合监管平台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20,989.64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20,989.64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货车入城智 能管控综合 应用系统 </w:t>
            </w:r>
            <w:r>
              <w:rPr>
                <w:rFonts w:ascii="Times New Roman" w:hAnsi="Times New Roman" w:cs="Times New Roman" w:eastAsia="Times New Roman" w:hint="default"/>
                <w:sz w:val="18"/>
                <w:szCs w:val="18"/>
              </w:rPr>
              <w:t>V1.0-Z</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2,192,790.42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1,214,311.83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3,407,102.25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嵌入式 </w:t>
            </w:r>
            <w:r>
              <w:rPr>
                <w:rFonts w:ascii="Times New Roman" w:hAnsi="Times New Roman" w:cs="Times New Roman" w:eastAsia="Times New Roman" w:hint="default"/>
                <w:sz w:val="18"/>
                <w:szCs w:val="18"/>
              </w:rPr>
              <w:t>CMOS </w:t>
            </w:r>
            <w:r>
              <w:rPr>
                <w:rFonts w:ascii="宋体" w:hAnsi="宋体" w:cs="宋体" w:eastAsia="宋体" w:hint="default"/>
                <w:sz w:val="18"/>
                <w:szCs w:val="18"/>
              </w:rPr>
              <w:t>双网 口车牌识别 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V1.0-F</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1,185,003.82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1,185,003.82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智泊彩屏</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V1.0-F</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527,968.65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527,968.65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智泊彩屏</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V2.0-F</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632,508.41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632,508.41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63"/>
              <w:jc w:val="left"/>
              <w:rPr>
                <w:rFonts w:ascii="宋体" w:hAnsi="宋体" w:cs="宋体" w:eastAsia="宋体" w:hint="default"/>
                <w:sz w:val="18"/>
                <w:szCs w:val="18"/>
              </w:rPr>
            </w:pPr>
            <w:r>
              <w:rPr>
                <w:rFonts w:ascii="宋体" w:hAnsi="宋体" w:cs="宋体" w:eastAsia="宋体" w:hint="default"/>
                <w:sz w:val="18"/>
                <w:szCs w:val="18"/>
              </w:rPr>
              <w:t>分布式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1,451,363.35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1,451,363.35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视频智能分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1,697,109.62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1,697,109.62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析系统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数字城管大 数据中心资 源服务平台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1,721,564.41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1,721,564.41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智慧城市运 行中心</w:t>
            </w:r>
            <w:r>
              <w:rPr>
                <w:rFonts w:ascii="Times New Roman" w:hAnsi="Times New Roman" w:cs="Times New Roman" w:eastAsia="Times New Roman" w:hint="default"/>
                <w:sz w:val="18"/>
                <w:szCs w:val="18"/>
              </w:rPr>
              <w:t>-</w:t>
            </w:r>
            <w:r>
              <w:rPr>
                <w:rFonts w:ascii="宋体" w:hAnsi="宋体" w:cs="宋体" w:eastAsia="宋体" w:hint="default"/>
                <w:sz w:val="18"/>
                <w:szCs w:val="18"/>
              </w:rPr>
              <w:t>城市 大脑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1,297,448.78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1,297,448.78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259,689.24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259,689.24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30,904,913.5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89,439,707.9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32,173,183.1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56,628,546.7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31,542,891.5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9"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3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left="36" w:right="0"/>
              <w:jc w:val="left"/>
              <w:rPr>
                <w:rFonts w:ascii="宋体" w:hAnsi="宋体" w:cs="宋体" w:eastAsia="宋体" w:hint="default"/>
                <w:sz w:val="18"/>
                <w:szCs w:val="18"/>
              </w:rPr>
            </w:pPr>
            <w:r>
              <w:rPr>
                <w:rFonts w:ascii="宋体" w:hAnsi="宋体" w:cs="宋体" w:eastAsia="宋体" w:hint="default"/>
                <w:sz w:val="18"/>
                <w:szCs w:val="18"/>
              </w:rPr>
              <w:t>或形成商誉的事</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73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5"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保定金迪地下管</w:t>
            </w:r>
          </w:p>
        </w:tc>
        <w:tc>
          <w:tcPr>
            <w:tcW w:w="1378" w:type="dxa"/>
            <w:tcBorders>
              <w:top w:val="single" w:sz="4" w:space="0" w:color="000000"/>
              <w:left w:val="single" w:sz="13" w:space="0" w:color="D2D2D2"/>
              <w:bottom w:val="nil" w:sz="6" w:space="0" w:color="auto"/>
              <w:right w:val="single" w:sz="4" w:space="0" w:color="000000"/>
            </w:tcBorders>
          </w:tcPr>
          <w:p>
            <w:pPr/>
          </w:p>
        </w:tc>
        <w:tc>
          <w:tcPr>
            <w:tcW w:w="1368" w:type="dxa"/>
            <w:vMerge w:val="restart"/>
            <w:tcBorders>
              <w:top w:val="single" w:sz="48" w:space="0" w:color="D2D2D2"/>
              <w:left w:val="single" w:sz="4" w:space="0" w:color="000000"/>
              <w:right w:val="single" w:sz="4" w:space="0" w:color="000000"/>
            </w:tcBorders>
          </w:tcPr>
          <w:p>
            <w:pPr/>
          </w:p>
        </w:tc>
        <w:tc>
          <w:tcPr>
            <w:tcW w:w="1366" w:type="dxa"/>
            <w:vMerge w:val="restart"/>
            <w:tcBorders>
              <w:top w:val="single" w:sz="48" w:space="0" w:color="D2D2D2"/>
              <w:left w:val="single" w:sz="4" w:space="0" w:color="000000"/>
              <w:right w:val="single" w:sz="4" w:space="0" w:color="000000"/>
            </w:tcBorders>
          </w:tcPr>
          <w:p>
            <w:pPr/>
          </w:p>
        </w:tc>
        <w:tc>
          <w:tcPr>
            <w:tcW w:w="1368" w:type="dxa"/>
            <w:vMerge w:val="restart"/>
            <w:tcBorders>
              <w:top w:val="single" w:sz="48" w:space="0" w:color="D2D2D2"/>
              <w:left w:val="single" w:sz="4" w:space="0" w:color="000000"/>
              <w:right w:val="single" w:sz="4" w:space="0" w:color="000000"/>
            </w:tcBorders>
          </w:tcPr>
          <w:p>
            <w:pPr/>
          </w:p>
        </w:tc>
        <w:tc>
          <w:tcPr>
            <w:tcW w:w="1369" w:type="dxa"/>
            <w:vMerge w:val="restart"/>
            <w:tcBorders>
              <w:top w:val="single" w:sz="48" w:space="0" w:color="D2D2D2"/>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线探测工程有限</w:t>
            </w:r>
          </w:p>
        </w:tc>
        <w:tc>
          <w:tcPr>
            <w:tcW w:w="1378" w:type="dxa"/>
            <w:tcBorders>
              <w:top w:val="nil" w:sz="6" w:space="0" w:color="auto"/>
              <w:left w:val="single" w:sz="13" w:space="0" w:color="D2D2D2"/>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440,779,441.04</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440,779,441.04</w:t>
            </w:r>
          </w:p>
        </w:tc>
      </w:tr>
      <w:tr>
        <w:trPr>
          <w:trHeight w:val="353"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78" w:type="dxa"/>
            <w:tcBorders>
              <w:top w:val="nil" w:sz="6" w:space="0" w:color="auto"/>
              <w:left w:val="single" w:sz="13" w:space="0" w:color="D2D2D2"/>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北京数字智通科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27,283,004.88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27,283,004.88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468,062,445.92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468,062,445.92</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both"/>
              <w:rPr>
                <w:rFonts w:ascii="宋体" w:hAnsi="宋体" w:cs="宋体" w:eastAsia="宋体" w:hint="default"/>
                <w:sz w:val="18"/>
                <w:szCs w:val="18"/>
              </w:rPr>
            </w:pPr>
            <w:r>
              <w:rPr>
                <w:rFonts w:ascii="宋体" w:hAnsi="宋体" w:cs="宋体" w:eastAsia="宋体" w:hint="default"/>
                <w:sz w:val="18"/>
                <w:szCs w:val="18"/>
              </w:rPr>
              <w:t>保定金迪地下管 线探测工程有限 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北京数字智通科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27,283,004.88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27,283,004.88</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27,283,004.88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27,283,004.88</w:t>
            </w:r>
          </w:p>
        </w:tc>
      </w:tr>
    </w:tbl>
    <w:p>
      <w:pPr>
        <w:pStyle w:val="BodyText"/>
        <w:spacing w:line="240" w:lineRule="auto" w:before="39"/>
        <w:ind w:left="633" w:right="1104"/>
        <w:jc w:val="left"/>
      </w:pPr>
      <w:r>
        <w:rPr/>
        <w:t>商誉所在资产组或资产组组合的相关信息</w:t>
      </w:r>
    </w:p>
    <w:p>
      <w:pPr>
        <w:spacing w:after="0" w:line="240"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04" w:firstLine="480"/>
        <w:jc w:val="left"/>
      </w:pPr>
      <w:r>
        <w:rPr/>
        <w:t>说明商誉减值测试过程、关键参数（如预计未来现金流量现值时的预测期增长率、稳定 期增长率、利润率、折现率、预测期等）及商誉减值损失的确认方法：</w:t>
      </w:r>
    </w:p>
    <w:p>
      <w:pPr>
        <w:pStyle w:val="BodyText"/>
        <w:spacing w:line="357" w:lineRule="auto"/>
        <w:ind w:right="1010" w:firstLine="480"/>
        <w:jc w:val="both"/>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日北京数字智通科技有限公司商誉已全额计提减值准备。本期末公司 对与形成保定金迪地下管线探测工程有限公司商誉相关的各资产组进行了减值测试，首先将</w:t>
      </w:r>
      <w:r>
        <w:rPr>
          <w:spacing w:val="-91"/>
        </w:rPr>
        <w:t> </w:t>
      </w:r>
      <w:r>
        <w:rPr>
          <w:spacing w:val="-91"/>
        </w:rPr>
      </w:r>
      <w:r>
        <w:rPr/>
        <w:t>该商誉及归属于少数股东权益的商誉包括在内，调整各资产组的账面价值，然后将调整后的</w:t>
      </w:r>
      <w:r>
        <w:rPr>
          <w:spacing w:val="-91"/>
        </w:rPr>
        <w:t> </w:t>
      </w:r>
      <w:r>
        <w:rPr>
          <w:spacing w:val="-91"/>
        </w:rPr>
      </w:r>
      <w:r>
        <w:rPr>
          <w:spacing w:val="-2"/>
        </w:rPr>
        <w:t>各资产组账面价值与其可收回金额进行比较，以确定各资产组（包括商誉）是否发生了减值。</w:t>
      </w:r>
    </w:p>
    <w:p>
      <w:pPr>
        <w:spacing w:line="240" w:lineRule="auto" w:before="12"/>
        <w:rPr>
          <w:rFonts w:ascii="宋体" w:hAnsi="宋体" w:cs="宋体" w:eastAsia="宋体" w:hint="default"/>
          <w:sz w:val="19"/>
          <w:szCs w:val="19"/>
        </w:rPr>
      </w:pPr>
    </w:p>
    <w:tbl>
      <w:tblPr>
        <w:tblW w:w="0" w:type="auto"/>
        <w:jc w:val="left"/>
        <w:tblInd w:w="117" w:type="dxa"/>
        <w:tblLayout w:type="fixed"/>
        <w:tblCellMar>
          <w:top w:w="0" w:type="dxa"/>
          <w:left w:w="0" w:type="dxa"/>
          <w:bottom w:w="0" w:type="dxa"/>
          <w:right w:w="0" w:type="dxa"/>
        </w:tblCellMar>
        <w:tblLook w:val="01E0"/>
      </w:tblPr>
      <w:tblGrid>
        <w:gridCol w:w="5077"/>
        <w:gridCol w:w="3783"/>
      </w:tblGrid>
      <w:tr>
        <w:trPr>
          <w:trHeight w:val="690"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商誉减值测试情况如下：</w:t>
            </w:r>
          </w:p>
          <w:p>
            <w:pPr>
              <w:pStyle w:val="TableParagraph"/>
              <w:spacing w:line="240" w:lineRule="auto" w:before="68"/>
              <w:ind w:left="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保定金迪地下管线探测工程有限公司</w:t>
            </w:r>
            <w:r>
              <w:rPr>
                <w:rFonts w:ascii="宋体" w:hAnsi="宋体" w:cs="宋体" w:eastAsia="宋体" w:hint="default"/>
                <w:sz w:val="18"/>
                <w:szCs w:val="18"/>
              </w:rPr>
            </w:r>
          </w:p>
        </w:tc>
      </w:tr>
      <w:tr>
        <w:trPr>
          <w:trHeight w:val="665"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340" w:lineRule="auto" w:before="20"/>
              <w:ind w:left="47" w:right="3408"/>
              <w:jc w:val="left"/>
              <w:rPr>
                <w:rFonts w:ascii="宋体" w:hAnsi="宋体" w:cs="宋体" w:eastAsia="宋体" w:hint="default"/>
                <w:sz w:val="18"/>
                <w:szCs w:val="18"/>
              </w:rPr>
            </w:pPr>
            <w:r>
              <w:rPr>
                <w:rFonts w:ascii="宋体" w:hAnsi="宋体" w:cs="宋体" w:eastAsia="宋体" w:hint="default"/>
                <w:sz w:val="18"/>
                <w:szCs w:val="18"/>
              </w:rPr>
              <w:t>商誉账面余额① 商誉减值准备余额②</w:t>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440,779,441.04</w:t>
            </w:r>
          </w:p>
        </w:tc>
      </w:tr>
      <w:tr>
        <w:trPr>
          <w:trHeight w:val="33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商誉的账面价值③＝①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440,779,441.04</w:t>
            </w:r>
          </w:p>
        </w:tc>
      </w:tr>
      <w:tr>
        <w:trPr>
          <w:trHeight w:val="332"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pacing w:val="-1"/>
                <w:sz w:val="18"/>
              </w:rPr>
              <w:t>146,926,480.35</w:t>
            </w:r>
          </w:p>
        </w:tc>
      </w:tr>
      <w:tr>
        <w:trPr>
          <w:trHeight w:val="332"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7"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pacing w:val="-1"/>
                <w:sz w:val="18"/>
              </w:rPr>
              <w:t>587,705,921.39</w:t>
            </w:r>
          </w:p>
        </w:tc>
      </w:tr>
      <w:tr>
        <w:trPr>
          <w:trHeight w:val="331"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pacing w:val="-1"/>
                <w:sz w:val="18"/>
              </w:rPr>
              <w:t>300,889,146.91</w:t>
            </w:r>
          </w:p>
        </w:tc>
      </w:tr>
      <w:tr>
        <w:trPr>
          <w:trHeight w:val="332"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包含整体商誉的资产组的公允价值⑦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pacing w:val="-1"/>
                <w:sz w:val="18"/>
              </w:rPr>
              <w:t>888,595,068.30</w:t>
            </w:r>
          </w:p>
        </w:tc>
      </w:tr>
      <w:tr>
        <w:trPr>
          <w:trHeight w:val="693"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338" w:lineRule="auto" w:before="16"/>
              <w:ind w:left="47" w:right="1068"/>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资产组预计未来现金流量的现值（可回收金额）⑧ 商誉减值损失（大于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时）⑨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37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pacing w:val="-1"/>
                <w:sz w:val="18"/>
              </w:rPr>
              <w:t>900,340,755.73</w:t>
            </w:r>
          </w:p>
        </w:tc>
      </w:tr>
    </w:tbl>
    <w:p>
      <w:pPr>
        <w:spacing w:line="240" w:lineRule="auto" w:before="6"/>
        <w:rPr>
          <w:rFonts w:ascii="宋体" w:hAnsi="宋体" w:cs="宋体" w:eastAsia="宋体" w:hint="default"/>
          <w:sz w:val="22"/>
          <w:szCs w:val="22"/>
        </w:rPr>
      </w:pPr>
    </w:p>
    <w:p>
      <w:pPr>
        <w:pStyle w:val="BodyText"/>
        <w:spacing w:line="357" w:lineRule="auto" w:before="26"/>
        <w:ind w:left="633" w:right="986"/>
        <w:jc w:val="left"/>
      </w:pPr>
      <w:r>
        <w:rPr/>
        <w:t>商誉所在资产组或资产组组合的相关信息 上述公司商誉减值测试的资产组或资产组组合构成如下： </w:t>
      </w:r>
      <w:r>
        <w:rPr>
          <w:spacing w:val="-3"/>
        </w:rPr>
        <w:t>保定金迪地下管线探测工程有限公司：是公司并购保定金迪地下管线探测工程有限公司、</w:t>
      </w:r>
    </w:p>
    <w:p>
      <w:pPr>
        <w:pStyle w:val="BodyText"/>
        <w:spacing w:line="357" w:lineRule="auto"/>
        <w:ind w:right="1139"/>
        <w:jc w:val="both"/>
      </w:pPr>
      <w:r>
        <w:rPr/>
        <w:t>保定市金迪科技开发有限公司、保定金迪科学仪器有限公司时与商誉相关的资产组组合，该</w:t>
      </w:r>
      <w:r>
        <w:rPr>
          <w:spacing w:val="-91"/>
        </w:rPr>
        <w:t> </w:t>
      </w:r>
      <w:r>
        <w:rPr>
          <w:spacing w:val="-91"/>
        </w:rPr>
      </w:r>
      <w:r>
        <w:rPr/>
        <w:t>资产组与购买日以及以前年度商誉减值测试时所确定的资产组组合一致，包括组成资产组的</w:t>
      </w:r>
      <w:r>
        <w:rPr>
          <w:spacing w:val="-91"/>
        </w:rPr>
        <w:t> </w:t>
      </w:r>
      <w:r>
        <w:rPr>
          <w:spacing w:val="-91"/>
        </w:rPr>
      </w:r>
      <w:r>
        <w:rPr/>
        <w:t>固定资产、无形资产、其他。</w:t>
      </w:r>
    </w:p>
    <w:p>
      <w:pPr>
        <w:pStyle w:val="BodyText"/>
        <w:spacing w:line="357" w:lineRule="auto" w:before="37"/>
        <w:ind w:right="1135" w:firstLine="480"/>
        <w:jc w:val="both"/>
      </w:pPr>
      <w:r>
        <w:rPr/>
        <w:t>公司基于最初收购时的目的（能够产生良好的协同效益）对保定金迪地下管线探测工程 有限公司、保定市金迪科技开发有限公司、保定金迪科学仪器有限公司进行整合（即将保定</w:t>
      </w:r>
      <w:r>
        <w:rPr>
          <w:spacing w:val="-88"/>
        </w:rPr>
        <w:t> </w:t>
      </w:r>
      <w:r>
        <w:rPr>
          <w:spacing w:val="-88"/>
        </w:rPr>
      </w:r>
      <w:r>
        <w:rPr/>
        <w:t>市金迪科技开发有限公司和保定金迪科学仪器有限公司从全资子公司变成全资孙公司），整</w:t>
      </w:r>
      <w:r>
        <w:rPr>
          <w:spacing w:val="-91"/>
        </w:rPr>
        <w:t> </w:t>
      </w:r>
      <w:r>
        <w:rPr>
          <w:spacing w:val="-91"/>
        </w:rPr>
      </w:r>
      <w:r>
        <w:rPr/>
        <w:t>合好其资产组组合能够产生良好的协同效益，故将上述三家公司作为一个资产组组合予以认</w:t>
      </w:r>
      <w:r>
        <w:rPr>
          <w:spacing w:val="-91"/>
        </w:rPr>
        <w:t> </w:t>
      </w:r>
      <w:r>
        <w:rPr>
          <w:spacing w:val="-91"/>
        </w:rPr>
      </w:r>
      <w:r>
        <w:rPr/>
        <w:t>定。</w:t>
      </w:r>
    </w:p>
    <w:p>
      <w:pPr>
        <w:pStyle w:val="BodyText"/>
        <w:spacing w:line="357" w:lineRule="auto"/>
        <w:ind w:right="1139" w:firstLine="480"/>
        <w:jc w:val="both"/>
      </w:pPr>
      <w:r>
        <w:rPr/>
        <w:t>北京数字智通科技有限公司：是公司并购北京数字智通科技有限公司形成商誉相关的资 产组，该资产组与购买日以及以前年度商誉减值测试时所确定的资产组一致，包括组成资产</w:t>
      </w:r>
      <w:r>
        <w:rPr>
          <w:spacing w:val="-91"/>
        </w:rPr>
        <w:t> </w:t>
      </w:r>
      <w:r>
        <w:rPr>
          <w:spacing w:val="-91"/>
        </w:rPr>
      </w:r>
      <w:r>
        <w:rPr/>
        <w:t>组的固定资产、无形资产、其他。</w:t>
      </w:r>
    </w:p>
    <w:p>
      <w:pPr>
        <w:spacing w:after="0" w:line="35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57" w:lineRule="auto" w:before="26"/>
        <w:ind w:right="1131" w:firstLine="480"/>
        <w:jc w:val="both"/>
      </w:pPr>
      <w:r>
        <w:rPr/>
        <w:t>说明：上述资产组预计未来现金流量的现值（可收回金额）利用了北京中天华资产评估 </w:t>
      </w:r>
      <w:r>
        <w:rPr>
          <w:spacing w:val="-2"/>
        </w:rPr>
        <w:t>有限责任公司出具的中天华资评报字</w:t>
      </w:r>
      <w:r>
        <w:rPr>
          <w:rFonts w:ascii="宋体" w:hAnsi="宋体" w:cs="宋体" w:eastAsia="宋体" w:hint="default"/>
          <w:spacing w:val="-2"/>
        </w:rPr>
        <w:t>[2020]</w:t>
      </w:r>
      <w:r>
        <w:rPr>
          <w:spacing w:val="-2"/>
        </w:rPr>
        <w:t>第</w:t>
      </w:r>
      <w:r>
        <w:rPr>
          <w:rFonts w:ascii="宋体" w:hAnsi="宋体" w:cs="宋体" w:eastAsia="宋体" w:hint="default"/>
          <w:spacing w:val="-2"/>
        </w:rPr>
        <w:t>10330</w:t>
      </w:r>
      <w:r>
        <w:rPr>
          <w:spacing w:val="-2"/>
        </w:rPr>
        <w:t>号《北京数字政通科技股份有限公司以财</w:t>
      </w:r>
      <w:r>
        <w:rPr>
          <w:spacing w:val="-109"/>
        </w:rPr>
        <w:t> </w:t>
      </w:r>
      <w:r>
        <w:rPr>
          <w:spacing w:val="-109"/>
        </w:rPr>
      </w:r>
      <w:r>
        <w:rPr/>
        <w:t>务报告为目的的商誉减值测试所涉及的保定金迪地下管线探测工程有限公司相关资产组组合</w:t>
      </w:r>
      <w:r>
        <w:rPr>
          <w:spacing w:val="-91"/>
        </w:rPr>
        <w:t> </w:t>
      </w:r>
      <w:r>
        <w:rPr>
          <w:spacing w:val="-91"/>
        </w:rPr>
      </w:r>
      <w:r>
        <w:rPr/>
        <w:t>可回收价值资产评估报告》的评估结果。</w:t>
      </w:r>
    </w:p>
    <w:p>
      <w:pPr>
        <w:spacing w:line="240" w:lineRule="auto" w:before="0"/>
        <w:rPr>
          <w:rFonts w:ascii="宋体" w:hAnsi="宋体" w:cs="宋体" w:eastAsia="宋体" w:hint="default"/>
          <w:sz w:val="24"/>
          <w:szCs w:val="24"/>
        </w:rPr>
      </w:pPr>
    </w:p>
    <w:p>
      <w:pPr>
        <w:pStyle w:val="BodyText"/>
        <w:spacing w:line="357" w:lineRule="auto" w:before="190"/>
        <w:ind w:left="633" w:right="4033"/>
        <w:jc w:val="left"/>
      </w:pPr>
      <w:r>
        <w:rPr/>
        <w:t>商誉减值测试过程、关键参数及商誉减值损失的确认方法： 重要假设及依据</w:t>
      </w:r>
    </w:p>
    <w:p>
      <w:pPr>
        <w:pStyle w:val="BodyText"/>
        <w:spacing w:line="357" w:lineRule="auto"/>
        <w:ind w:right="986" w:firstLine="480"/>
        <w:jc w:val="left"/>
      </w:pPr>
      <w:r>
        <w:rPr>
          <w:spacing w:val="-3"/>
        </w:rPr>
        <w:t>假设保定金迪地下管线探测工程有限公司持续性经营，并在经营范围、销售模式和渠道、</w:t>
      </w:r>
      <w:r>
        <w:rPr/>
        <w:t> 管理层等影响到生产和经营的关键方面与目前情况无重大变化；</w:t>
      </w:r>
    </w:p>
    <w:p>
      <w:pPr>
        <w:pStyle w:val="BodyText"/>
        <w:spacing w:line="357" w:lineRule="auto"/>
        <w:ind w:right="1140" w:firstLine="480"/>
        <w:jc w:val="both"/>
      </w:pPr>
      <w:r>
        <w:rPr/>
        <w:t>假设保定金迪地下管线探测工程有限公司所处的社会经济环境不产生较大的变化，国家 及公司所在的地区有关法律、法规、政策与现时无重大变化；</w:t>
      </w:r>
    </w:p>
    <w:p>
      <w:pPr>
        <w:pStyle w:val="BodyText"/>
        <w:spacing w:line="357" w:lineRule="auto"/>
        <w:ind w:right="1140" w:firstLine="480"/>
        <w:jc w:val="both"/>
      </w:pPr>
      <w:r>
        <w:rPr/>
        <w:t>假设保定金迪地下管线探测工程有限公司经营范围、经营方式、管理模式等在保持一贯 性的基础上不断改进、不断完善；</w:t>
      </w:r>
    </w:p>
    <w:p>
      <w:pPr>
        <w:pStyle w:val="BodyText"/>
        <w:spacing w:line="357" w:lineRule="auto"/>
        <w:ind w:right="1140" w:firstLine="480"/>
        <w:jc w:val="both"/>
      </w:pPr>
      <w:r>
        <w:rPr/>
        <w:t>假设保定金迪地下管线探测工程有限公司所提供的各种产品能适应市场需求，制定的目 标和措施能按预定的时间和进度如期实现，并取得预期效益；</w:t>
      </w:r>
    </w:p>
    <w:p>
      <w:pPr>
        <w:pStyle w:val="BodyText"/>
        <w:spacing w:line="240" w:lineRule="auto"/>
        <w:ind w:left="633" w:right="1104"/>
        <w:jc w:val="left"/>
      </w:pPr>
      <w:r>
        <w:rPr/>
        <w:t>假设利率、汇率、赋税基准及税率，在国家规定的正常范围内无重大变化等。</w:t>
      </w:r>
    </w:p>
    <w:p>
      <w:pPr>
        <w:spacing w:line="240" w:lineRule="auto" w:before="0"/>
        <w:rPr>
          <w:rFonts w:ascii="宋体" w:hAnsi="宋体" w:cs="宋体" w:eastAsia="宋体" w:hint="default"/>
          <w:sz w:val="24"/>
          <w:szCs w:val="24"/>
        </w:rPr>
      </w:pPr>
    </w:p>
    <w:p>
      <w:pPr>
        <w:spacing w:before="162"/>
        <w:ind w:left="152" w:right="1104"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before="94"/>
        <w:ind w:left="152" w:right="110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商誉减值测试的影响：</w:t>
      </w:r>
    </w:p>
    <w:p>
      <w:pPr>
        <w:spacing w:before="37"/>
        <w:ind w:left="152" w:right="110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关键参数</w:t>
      </w:r>
    </w:p>
    <w:p>
      <w:pPr>
        <w:spacing w:line="240" w:lineRule="auto" w:before="10"/>
        <w:rPr>
          <w:rFonts w:ascii="宋体" w:hAnsi="宋体" w:cs="宋体" w:eastAsia="宋体" w:hint="default"/>
          <w:sz w:val="3"/>
          <w:szCs w:val="3"/>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40.75pt;height:.75pt;mso-position-horizontal-relative:char;mso-position-vertical-relative:line" coordorigin="0,0" coordsize="8815,15">
            <v:group style="position:absolute;left:7;top:7;width:2298;height:2" coordorigin="7,7" coordsize="2298,2">
              <v:shape style="position:absolute;left:7;top:7;width:2298;height:2" coordorigin="7,7" coordsize="2298,0" path="m7,7l2304,7e" filled="false" stroked="true" strokeweight=".72003pt" strokecolor="#000000">
                <v:path arrowok="t"/>
              </v:shape>
            </v:group>
            <v:group style="position:absolute;left:2304;top:7;width:15;height:2" coordorigin="2304,7" coordsize="15,2">
              <v:shape style="position:absolute;left:2304;top:7;width:15;height:2" coordorigin="2304,7" coordsize="15,0" path="m2304,7l2319,7e" filled="false" stroked="true" strokeweight=".72003pt" strokecolor="#000000">
                <v:path arrowok="t"/>
              </v:shape>
            </v:group>
            <v:group style="position:absolute;left:2319;top:7;width:6489;height:2" coordorigin="2319,7" coordsize="6489,2">
              <v:shape style="position:absolute;left:2319;top:7;width:6489;height:2" coordorigin="2319,7" coordsize="6489,0" path="m2319,7l8807,7e" filled="false" stroked="true" strokeweight=".72003pt" strokecolor="#000000">
                <v:path arrowok="t"/>
              </v:shape>
            </v:group>
          </v:group>
        </w:pict>
      </w:r>
      <w:r>
        <w:rPr>
          <w:rFonts w:ascii="宋体" w:hAnsi="宋体" w:cs="宋体" w:eastAsia="宋体" w:hint="default"/>
          <w:sz w:val="2"/>
          <w:szCs w:val="2"/>
        </w:rPr>
      </w:r>
    </w:p>
    <w:p>
      <w:pPr>
        <w:tabs>
          <w:tab w:pos="5340" w:val="left" w:leader="none"/>
        </w:tabs>
        <w:spacing w:before="14"/>
        <w:ind w:left="164" w:right="1104" w:firstLine="0"/>
        <w:jc w:val="left"/>
        <w:rPr>
          <w:rFonts w:ascii="宋体" w:hAnsi="宋体" w:cs="宋体" w:eastAsia="宋体" w:hint="default"/>
          <w:sz w:val="18"/>
          <w:szCs w:val="18"/>
        </w:rPr>
      </w:pPr>
      <w:r>
        <w:rPr>
          <w:rFonts w:ascii="宋体" w:hAnsi="宋体" w:cs="宋体" w:eastAsia="宋体" w:hint="default"/>
          <w:sz w:val="18"/>
          <w:szCs w:val="18"/>
        </w:rPr>
        <w:t>单位</w:t>
        <w:tab/>
        <w:t>关键参数</w:t>
      </w:r>
    </w:p>
    <w:p>
      <w:pPr>
        <w:spacing w:line="240" w:lineRule="auto" w:before="12"/>
        <w:rPr>
          <w:rFonts w:ascii="宋体" w:hAnsi="宋体" w:cs="宋体" w:eastAsia="宋体" w:hint="default"/>
          <w:sz w:val="5"/>
          <w:szCs w:val="5"/>
        </w:rPr>
      </w:pPr>
    </w:p>
    <w:p>
      <w:pPr>
        <w:spacing w:line="20" w:lineRule="exact"/>
        <w:ind w:left="2442" w:right="0" w:firstLine="0"/>
        <w:rPr>
          <w:rFonts w:ascii="宋体" w:hAnsi="宋体" w:cs="宋体" w:eastAsia="宋体" w:hint="default"/>
          <w:sz w:val="2"/>
          <w:szCs w:val="2"/>
        </w:rPr>
      </w:pPr>
      <w:r>
        <w:rPr>
          <w:rFonts w:ascii="宋体" w:hAnsi="宋体" w:cs="宋体" w:eastAsia="宋体" w:hint="default"/>
          <w:sz w:val="2"/>
          <w:szCs w:val="2"/>
        </w:rPr>
        <w:pict>
          <v:group style="width:325.9pt;height:.75pt;mso-position-horizontal-relative:char;mso-position-vertical-relative:line" coordorigin="0,0" coordsize="6518,15">
            <v:group style="position:absolute;left:7;top:7;width:1503;height:2" coordorigin="7,7" coordsize="1503,2">
              <v:shape style="position:absolute;left:7;top:7;width:1503;height:2" coordorigin="7,7" coordsize="1503,0" path="m7,7l1510,7e" filled="false" stroked="true" strokeweight=".71997pt" strokecolor="#000000">
                <v:path arrowok="t"/>
              </v:shape>
            </v:group>
            <v:group style="position:absolute;left:1510;top:7;width:15;height:2" coordorigin="1510,7" coordsize="15,2">
              <v:shape style="position:absolute;left:1510;top:7;width:15;height:2" coordorigin="1510,7" coordsize="15,0" path="m1510,7l1525,7e" filled="false" stroked="true" strokeweight=".71997pt" strokecolor="#000000">
                <v:path arrowok="t"/>
              </v:shape>
            </v:group>
            <v:group style="position:absolute;left:1525;top:7;width:1234;height:2" coordorigin="1525,7" coordsize="1234,2">
              <v:shape style="position:absolute;left:1525;top:7;width:1234;height:2" coordorigin="1525,7" coordsize="1234,0" path="m1525,7l2758,7e" filled="false" stroked="true" strokeweight=".71997pt" strokecolor="#000000">
                <v:path arrowok="t"/>
              </v:shape>
            </v:group>
            <v:group style="position:absolute;left:2758;top:7;width:15;height:2" coordorigin="2758,7" coordsize="15,2">
              <v:shape style="position:absolute;left:2758;top:7;width:15;height:2" coordorigin="2758,7" coordsize="15,0" path="m2758,7l2773,7e" filled="false" stroked="true" strokeweight=".71997pt" strokecolor="#000000">
                <v:path arrowok="t"/>
              </v:shape>
            </v:group>
            <v:group style="position:absolute;left:2773;top:7;width:1237;height:2" coordorigin="2773,7" coordsize="1237,2">
              <v:shape style="position:absolute;left:2773;top:7;width:1237;height:2" coordorigin="2773,7" coordsize="1237,0" path="m2773,7l4009,7e" filled="false" stroked="true" strokeweight=".71997pt" strokecolor="#000000">
                <v:path arrowok="t"/>
              </v:shape>
            </v:group>
            <v:group style="position:absolute;left:4009;top:7;width:15;height:2" coordorigin="4009,7" coordsize="15,2">
              <v:shape style="position:absolute;left:4009;top:7;width:15;height:2" coordorigin="4009,7" coordsize="15,0" path="m4009,7l4023,7e" filled="false" stroked="true" strokeweight=".71997pt" strokecolor="#000000">
                <v:path arrowok="t"/>
              </v:shape>
            </v:group>
            <v:group style="position:absolute;left:4023;top:7;width:1236;height:2" coordorigin="4023,7" coordsize="1236,2">
              <v:shape style="position:absolute;left:4023;top:7;width:1236;height:2" coordorigin="4023,7" coordsize="1236,0" path="m4023,7l5259,7e" filled="false" stroked="true" strokeweight=".71997pt" strokecolor="#000000">
                <v:path arrowok="t"/>
              </v:shape>
            </v:group>
            <v:group style="position:absolute;left:5259;top:7;width:15;height:2" coordorigin="5259,7" coordsize="15,2">
              <v:shape style="position:absolute;left:5259;top:7;width:15;height:2" coordorigin="5259,7" coordsize="15,0" path="m5259,7l5274,7e" filled="false" stroked="true" strokeweight=".71997pt" strokecolor="#000000">
                <v:path arrowok="t"/>
              </v:shape>
            </v:group>
            <v:group style="position:absolute;left:5274;top:7;width:1237;height:2" coordorigin="5274,7" coordsize="1237,2">
              <v:shape style="position:absolute;left:5274;top:7;width:1237;height:2" coordorigin="5274,7" coordsize="1237,0" path="m5274,7l6510,7e" filled="false" stroked="true" strokeweight=".71997pt" strokecolor="#000000">
                <v:path arrowok="t"/>
              </v:shape>
            </v:group>
          </v:group>
        </w:pict>
      </w:r>
      <w:r>
        <w:rPr>
          <w:rFonts w:ascii="宋体" w:hAnsi="宋体" w:cs="宋体" w:eastAsia="宋体" w:hint="default"/>
          <w:sz w:val="2"/>
          <w:szCs w:val="2"/>
        </w:rPr>
      </w:r>
    </w:p>
    <w:p>
      <w:pPr>
        <w:tabs>
          <w:tab w:pos="890" w:val="left" w:leader="none"/>
          <w:tab w:pos="3751" w:val="left" w:leader="none"/>
        </w:tabs>
        <w:spacing w:before="12"/>
        <w:ind w:left="0" w:right="1978" w:firstLine="0"/>
        <w:jc w:val="right"/>
        <w:rPr>
          <w:rFonts w:ascii="宋体" w:hAnsi="宋体" w:cs="宋体" w:eastAsia="宋体" w:hint="default"/>
          <w:sz w:val="18"/>
          <w:szCs w:val="18"/>
        </w:rPr>
      </w:pPr>
      <w:r>
        <w:rPr>
          <w:rFonts w:ascii="宋体" w:hAnsi="宋体" w:cs="宋体" w:eastAsia="宋体" w:hint="default"/>
          <w:sz w:val="18"/>
          <w:szCs w:val="18"/>
        </w:rPr>
        <w:t>预测期</w:t>
        <w:tab/>
        <w:t>预期增长率</w:t>
      </w:r>
      <w:r>
        <w:rPr>
          <w:rFonts w:ascii="宋体" w:hAnsi="宋体" w:cs="宋体" w:eastAsia="宋体" w:hint="default"/>
          <w:spacing w:val="80"/>
          <w:sz w:val="18"/>
          <w:szCs w:val="18"/>
        </w:rPr>
        <w:t> </w:t>
      </w:r>
      <w:r>
        <w:rPr>
          <w:rFonts w:ascii="宋体" w:hAnsi="宋体" w:cs="宋体" w:eastAsia="宋体" w:hint="default"/>
          <w:sz w:val="18"/>
          <w:szCs w:val="18"/>
        </w:rPr>
        <w:t>稳定期增长率</w:t>
        <w:tab/>
        <w:t>利润率</w:t>
      </w:r>
      <w:r>
        <w:rPr>
          <w:rFonts w:ascii="宋体" w:hAnsi="宋体" w:cs="宋体" w:eastAsia="宋体" w:hint="default"/>
          <w:spacing w:val="20"/>
          <w:sz w:val="18"/>
          <w:szCs w:val="18"/>
        </w:rPr>
        <w:t> </w:t>
      </w: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r>
        <w:rPr>
          <w:rFonts w:ascii="宋体" w:hAnsi="宋体" w:cs="宋体" w:eastAsia="宋体" w:hint="default"/>
          <w:sz w:val="18"/>
          <w:szCs w:val="18"/>
        </w:rPr>
        <w:t>加权平</w:t>
      </w:r>
    </w:p>
    <w:p>
      <w:pPr>
        <w:spacing w:before="63"/>
        <w:ind w:left="0" w:right="1978" w:firstLine="0"/>
        <w:jc w:val="right"/>
        <w:rPr>
          <w:rFonts w:ascii="Times New Roman" w:hAnsi="Times New Roman" w:cs="Times New Roman" w:eastAsia="Times New Roman" w:hint="default"/>
          <w:sz w:val="18"/>
          <w:szCs w:val="18"/>
        </w:rPr>
      </w:pPr>
      <w:r>
        <w:rPr/>
        <w:pict>
          <v:group style="position:absolute;margin-left:56.280014pt;margin-top:18.821756pt;width:440.75pt;height:.75pt;mso-position-horizontal-relative:page;mso-position-vertical-relative:paragraph;z-index:1528" coordorigin="1126,376" coordsize="8815,15">
            <v:group style="position:absolute;left:1133;top:384;width:2298;height:2" coordorigin="1133,384" coordsize="2298,2">
              <v:shape style="position:absolute;left:1133;top:384;width:2298;height:2" coordorigin="1133,384" coordsize="2298,0" path="m1133,384l3430,384e" filled="false" stroked="true" strokeweight=".71997pt" strokecolor="#000000">
                <v:path arrowok="t"/>
              </v:shape>
            </v:group>
            <v:group style="position:absolute;left:3430;top:384;width:15;height:2" coordorigin="3430,384" coordsize="15,2">
              <v:shape style="position:absolute;left:3430;top:384;width:15;height:2" coordorigin="3430,384" coordsize="15,0" path="m3430,384l3444,384e" filled="false" stroked="true" strokeweight=".71997pt" strokecolor="#000000">
                <v:path arrowok="t"/>
              </v:shape>
            </v:group>
            <v:group style="position:absolute;left:3444;top:384;width:1489;height:2" coordorigin="3444,384" coordsize="1489,2">
              <v:shape style="position:absolute;left:3444;top:384;width:1489;height:2" coordorigin="3444,384" coordsize="1489,0" path="m3444,384l4933,384e" filled="false" stroked="true" strokeweight=".71997pt" strokecolor="#000000">
                <v:path arrowok="t"/>
              </v:shape>
            </v:group>
            <v:group style="position:absolute;left:4933;top:384;width:15;height:2" coordorigin="4933,384" coordsize="15,2">
              <v:shape style="position:absolute;left:4933;top:384;width:15;height:2" coordorigin="4933,384" coordsize="15,0" path="m4933,384l4947,384e" filled="false" stroked="true" strokeweight=".71997pt" strokecolor="#000000">
                <v:path arrowok="t"/>
              </v:shape>
            </v:group>
            <v:group style="position:absolute;left:4947;top:384;width:1234;height:2" coordorigin="4947,384" coordsize="1234,2">
              <v:shape style="position:absolute;left:4947;top:384;width:1234;height:2" coordorigin="4947,384" coordsize="1234,0" path="m4947,384l6181,384e" filled="false" stroked="true" strokeweight=".71997pt" strokecolor="#000000">
                <v:path arrowok="t"/>
              </v:shape>
            </v:group>
            <v:group style="position:absolute;left:6181;top:384;width:15;height:2" coordorigin="6181,384" coordsize="15,2">
              <v:shape style="position:absolute;left:6181;top:384;width:15;height:2" coordorigin="6181,384" coordsize="15,0" path="m6181,384l6195,384e" filled="false" stroked="true" strokeweight=".71997pt" strokecolor="#000000">
                <v:path arrowok="t"/>
              </v:shape>
            </v:group>
            <v:group style="position:absolute;left:6195;top:384;width:1237;height:2" coordorigin="6195,384" coordsize="1237,2">
              <v:shape style="position:absolute;left:6195;top:384;width:1237;height:2" coordorigin="6195,384" coordsize="1237,0" path="m6195,384l7432,384e" filled="false" stroked="true" strokeweight=".71997pt" strokecolor="#000000">
                <v:path arrowok="t"/>
              </v:shape>
            </v:group>
            <v:group style="position:absolute;left:7432;top:384;width:15;height:2" coordorigin="7432,384" coordsize="15,2">
              <v:shape style="position:absolute;left:7432;top:384;width:15;height:2" coordorigin="7432,384" coordsize="15,0" path="m7432,384l7446,384e" filled="false" stroked="true" strokeweight=".71997pt" strokecolor="#000000">
                <v:path arrowok="t"/>
              </v:shape>
            </v:group>
            <v:group style="position:absolute;left:7446;top:384;width:1236;height:2" coordorigin="7446,384" coordsize="1236,2">
              <v:shape style="position:absolute;left:7446;top:384;width:1236;height:2" coordorigin="7446,384" coordsize="1236,0" path="m7446,384l8682,384e" filled="false" stroked="true" strokeweight=".71997pt" strokecolor="#000000">
                <v:path arrowok="t"/>
              </v:shape>
            </v:group>
            <v:group style="position:absolute;left:8682;top:384;width:15;height:2" coordorigin="8682,384" coordsize="15,2">
              <v:shape style="position:absolute;left:8682;top:384;width:15;height:2" coordorigin="8682,384" coordsize="15,0" path="m8682,384l8697,384e" filled="false" stroked="true" strokeweight=".71997pt" strokecolor="#000000">
                <v:path arrowok="t"/>
              </v:shape>
            </v:group>
            <v:group style="position:absolute;left:8697;top:384;width:1237;height:2" coordorigin="8697,384" coordsize="1237,2">
              <v:shape style="position:absolute;left:8697;top:384;width:1237;height:2" coordorigin="8697,384" coordsize="1237,0" path="m8697,384l9933,384e" filled="false" stroked="true" strokeweight=".71997pt" strokecolor="#000000">
                <v:path arrowok="t"/>
              </v:shape>
            </v:group>
            <w10:wrap type="none"/>
          </v:group>
        </w:pict>
      </w:r>
      <w:r>
        <w:rPr>
          <w:rFonts w:ascii="宋体" w:hAnsi="宋体" w:cs="宋体" w:eastAsia="宋体" w:hint="default"/>
          <w:sz w:val="18"/>
          <w:szCs w:val="18"/>
        </w:rPr>
        <w:t>均资本成本</w:t>
      </w:r>
      <w:r>
        <w:rPr>
          <w:rFonts w:ascii="Times New Roman" w:hAnsi="Times New Roman" w:cs="Times New Roman" w:eastAsia="Times New Roman" w:hint="default"/>
          <w:sz w:val="18"/>
          <w:szCs w:val="18"/>
        </w:rPr>
        <w:t>)</w:t>
      </w:r>
    </w:p>
    <w:p>
      <w:pPr>
        <w:spacing w:after="0"/>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316" w:lineRule="auto" w:before="99"/>
        <w:ind w:left="164" w:right="-20" w:firstLine="0"/>
        <w:jc w:val="left"/>
        <w:rPr>
          <w:rFonts w:ascii="宋体" w:hAnsi="宋体" w:cs="宋体" w:eastAsia="宋体" w:hint="default"/>
          <w:sz w:val="18"/>
          <w:szCs w:val="18"/>
        </w:rPr>
      </w:pPr>
      <w:r>
        <w:rPr>
          <w:rFonts w:ascii="宋体" w:hAnsi="宋体" w:cs="宋体" w:eastAsia="宋体" w:hint="default"/>
          <w:sz w:val="18"/>
          <w:szCs w:val="18"/>
        </w:rPr>
        <w:t>保定金迪地下管线探测工程 有限公司</w:t>
      </w:r>
    </w:p>
    <w:p>
      <w:pPr>
        <w:spacing w:before="99"/>
        <w:ind w:left="437" w:right="-16"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p>
      <w:pPr>
        <w:spacing w:before="63"/>
        <w:ind w:left="137" w:right="-16" w:firstLine="0"/>
        <w:jc w:val="left"/>
        <w:rPr>
          <w:rFonts w:ascii="宋体" w:hAnsi="宋体" w:cs="宋体" w:eastAsia="宋体" w:hint="default"/>
          <w:sz w:val="18"/>
          <w:szCs w:val="18"/>
        </w:rPr>
      </w:pPr>
      <w:r>
        <w:rPr>
          <w:rFonts w:ascii="宋体" w:hAnsi="宋体" w:cs="宋体" w:eastAsia="宋体" w:hint="default"/>
          <w:sz w:val="18"/>
          <w:szCs w:val="18"/>
        </w:rPr>
        <w:t>（后续为稳定期）</w:t>
      </w:r>
    </w:p>
    <w:p>
      <w:pPr>
        <w:tabs>
          <w:tab w:pos="1326" w:val="left" w:leader="none"/>
        </w:tabs>
        <w:spacing w:line="300" w:lineRule="auto" w:before="99"/>
        <w:ind w:left="1886" w:right="0" w:hanging="1722"/>
        <w:jc w:val="right"/>
        <w:rPr>
          <w:rFonts w:ascii="宋体" w:hAnsi="宋体" w:cs="宋体" w:eastAsia="宋体" w:hint="default"/>
          <w:sz w:val="18"/>
          <w:szCs w:val="18"/>
        </w:rPr>
      </w:pPr>
      <w:r>
        <w:rPr/>
        <w:br w:type="column"/>
      </w:r>
      <w:r>
        <w:rPr>
          <w:rFonts w:ascii="宋体" w:hAnsi="宋体" w:cs="宋体" w:eastAsia="宋体" w:hint="default"/>
          <w:sz w:val="18"/>
          <w:szCs w:val="18"/>
        </w:rPr>
        <w:t>注：</w:t>
      </w:r>
      <w:r>
        <w:rPr>
          <w:rFonts w:ascii="Times New Roman" w:hAnsi="Times New Roman" w:cs="Times New Roman" w:eastAsia="Times New Roman" w:hint="default"/>
          <w:sz w:val="18"/>
          <w:szCs w:val="18"/>
        </w:rPr>
        <w:t>1</w:t>
        <w:tab/>
      </w:r>
      <w:r>
        <w:rPr>
          <w:rFonts w:ascii="宋体" w:hAnsi="宋体" w:cs="宋体" w:eastAsia="宋体" w:hint="default"/>
          <w:sz w:val="18"/>
          <w:szCs w:val="18"/>
        </w:rPr>
        <w:t>不增长</w:t>
      </w:r>
      <w:r>
        <w:rPr>
          <w:rFonts w:ascii="宋体" w:hAnsi="宋体" w:cs="宋体" w:eastAsia="宋体" w:hint="default"/>
          <w:spacing w:val="80"/>
          <w:sz w:val="18"/>
          <w:szCs w:val="18"/>
        </w:rPr>
        <w:t> </w:t>
      </w:r>
      <w:r>
        <w:rPr>
          <w:rFonts w:ascii="宋体" w:hAnsi="宋体" w:cs="宋体" w:eastAsia="宋体" w:hint="default"/>
          <w:sz w:val="18"/>
          <w:szCs w:val="18"/>
        </w:rPr>
        <w:t>根据预测的收</w:t>
      </w:r>
      <w:r>
        <w:rPr>
          <w:rFonts w:ascii="宋体" w:hAnsi="宋体" w:cs="宋体" w:eastAsia="宋体" w:hint="default"/>
          <w:sz w:val="18"/>
          <w:szCs w:val="18"/>
        </w:rPr>
        <w:t> </w:t>
      </w:r>
      <w:r>
        <w:rPr>
          <w:rFonts w:ascii="宋体" w:hAnsi="宋体" w:cs="宋体" w:eastAsia="宋体" w:hint="default"/>
          <w:spacing w:val="-5"/>
          <w:sz w:val="18"/>
          <w:szCs w:val="18"/>
        </w:rPr>
        <w:t>入、成本、费用</w:t>
      </w:r>
    </w:p>
    <w:p>
      <w:pPr>
        <w:spacing w:before="31"/>
        <w:ind w:left="0" w:right="0" w:firstLine="0"/>
        <w:jc w:val="right"/>
        <w:rPr>
          <w:rFonts w:ascii="宋体" w:hAnsi="宋体" w:cs="宋体" w:eastAsia="宋体" w:hint="default"/>
          <w:sz w:val="18"/>
          <w:szCs w:val="18"/>
        </w:rPr>
      </w:pPr>
      <w:r>
        <w:rPr>
          <w:rFonts w:ascii="宋体" w:hAnsi="宋体" w:cs="宋体" w:eastAsia="宋体" w:hint="default"/>
          <w:sz w:val="18"/>
          <w:szCs w:val="18"/>
        </w:rPr>
        <w:t>等预算</w:t>
      </w:r>
    </w:p>
    <w:p>
      <w:pPr>
        <w:spacing w:before="141"/>
        <w:ind w:left="164" w:right="0" w:firstLine="0"/>
        <w:jc w:val="left"/>
        <w:rPr>
          <w:rFonts w:ascii="Times New Roman" w:hAnsi="Times New Roman" w:cs="Times New Roman" w:eastAsia="Times New Roman" w:hint="default"/>
          <w:sz w:val="18"/>
          <w:szCs w:val="18"/>
        </w:rPr>
      </w:pPr>
      <w:r>
        <w:rPr/>
        <w:br w:type="column"/>
      </w:r>
      <w:r>
        <w:rPr>
          <w:rFonts w:ascii="Times New Roman"/>
          <w:sz w:val="18"/>
        </w:rPr>
        <w:t>13%</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4" w:equalWidth="0">
            <w:col w:w="2325" w:space="40"/>
            <w:col w:w="1581" w:space="631"/>
            <w:col w:w="3118" w:space="757"/>
            <w:col w:w="2478"/>
          </w:cols>
        </w:sectPr>
      </w:pPr>
    </w:p>
    <w:p>
      <w:pPr>
        <w:pStyle w:val="BodyText"/>
        <w:spacing w:line="357" w:lineRule="auto" w:before="116"/>
        <w:ind w:right="1130" w:firstLine="480"/>
        <w:jc w:val="both"/>
      </w:pPr>
      <w:r>
        <w:rPr>
          <w:spacing w:val="-3"/>
        </w:rPr>
        <w:t>注</w:t>
      </w:r>
      <w:r>
        <w:rPr>
          <w:rFonts w:ascii="宋体" w:hAnsi="宋体" w:cs="宋体" w:eastAsia="宋体" w:hint="default"/>
          <w:spacing w:val="-3"/>
        </w:rPr>
        <w:t>1</w:t>
      </w:r>
      <w:r>
        <w:rPr>
          <w:spacing w:val="-3"/>
        </w:rPr>
        <w:t>：根据保定金迪地下管线探测工程有限公司已签订的合同、历年经营趋势、市场竞争</w:t>
      </w:r>
      <w:r>
        <w:rPr/>
        <w:t> 等因素的综合分析，对未来五年的主营业务收入及其相关的成本、费用、利润忽略经营的波</w:t>
      </w:r>
      <w:r>
        <w:rPr>
          <w:spacing w:val="-91"/>
        </w:rPr>
        <w:t> </w:t>
      </w:r>
      <w:r>
        <w:rPr>
          <w:spacing w:val="-91"/>
        </w:rPr>
      </w:r>
      <w:r>
        <w:rPr/>
        <w:t>动性进行预测，预计</w:t>
      </w:r>
      <w:r>
        <w:rPr>
          <w:rFonts w:ascii="宋体" w:hAnsi="宋体" w:cs="宋体" w:eastAsia="宋体" w:hint="default"/>
        </w:rPr>
        <w:t>2020</w:t>
      </w:r>
      <w:r>
        <w:rPr/>
        <w:t>年至</w:t>
      </w:r>
      <w:r>
        <w:rPr>
          <w:rFonts w:ascii="宋体" w:hAnsi="宋体" w:cs="宋体" w:eastAsia="宋体" w:hint="default"/>
        </w:rPr>
        <w:t>2024</w:t>
      </w:r>
      <w:r>
        <w:rPr/>
        <w:t>年的销售增长率分别为</w:t>
      </w:r>
      <w:r>
        <w:rPr>
          <w:rFonts w:ascii="宋体" w:hAnsi="宋体" w:cs="宋体" w:eastAsia="宋体" w:hint="default"/>
        </w:rPr>
        <w:t>13%</w:t>
      </w:r>
      <w:r>
        <w:rPr/>
        <w:t>、</w:t>
      </w:r>
      <w:r>
        <w:rPr>
          <w:rFonts w:ascii="宋体" w:hAnsi="宋体" w:cs="宋体" w:eastAsia="宋体" w:hint="default"/>
        </w:rPr>
        <w:t>10%</w:t>
      </w:r>
      <w:r>
        <w:rPr/>
        <w:t>、</w:t>
      </w:r>
      <w:r>
        <w:rPr>
          <w:rFonts w:ascii="宋体" w:hAnsi="宋体" w:cs="宋体" w:eastAsia="宋体" w:hint="default"/>
        </w:rPr>
        <w:t>10%</w:t>
      </w:r>
      <w:r>
        <w:rPr/>
        <w:t>、</w:t>
      </w:r>
      <w:r>
        <w:rPr>
          <w:rFonts w:ascii="宋体" w:hAnsi="宋体" w:cs="宋体" w:eastAsia="宋体" w:hint="default"/>
        </w:rPr>
        <w:t>8%</w:t>
      </w:r>
      <w:r>
        <w:rPr/>
        <w:t>、</w:t>
      </w:r>
      <w:r>
        <w:rPr>
          <w:rFonts w:ascii="宋体" w:hAnsi="宋体" w:cs="宋体" w:eastAsia="宋体" w:hint="default"/>
        </w:rPr>
        <w:t>8%</w:t>
      </w:r>
      <w:r>
        <w:rPr/>
        <w:t>。</w:t>
      </w:r>
    </w:p>
    <w:p>
      <w:pPr>
        <w:pStyle w:val="BodyText"/>
        <w:spacing w:line="357" w:lineRule="auto"/>
        <w:ind w:left="633" w:right="4513"/>
        <w:jc w:val="left"/>
      </w:pPr>
      <w:r>
        <w:rPr/>
        <w:t>商誉减值测试的影响 保定金迪地下管线探测工程有限公司业绩承诺完成情况</w:t>
      </w:r>
    </w:p>
    <w:p>
      <w:pPr>
        <w:tabs>
          <w:tab w:pos="5719" w:val="left" w:leader="none"/>
          <w:tab w:pos="8223" w:val="left" w:leader="none"/>
        </w:tabs>
        <w:spacing w:before="15"/>
        <w:ind w:left="164" w:right="110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考核期</w:t>
      </w:r>
      <w:r>
        <w:rPr>
          <w:rFonts w:ascii="宋体" w:hAnsi="宋体" w:cs="宋体" w:eastAsia="宋体" w:hint="default"/>
          <w:sz w:val="18"/>
          <w:szCs w:val="18"/>
        </w:rPr>
        <w:tab/>
      </w:r>
      <w:r>
        <w:rPr>
          <w:rFonts w:ascii="宋体" w:hAnsi="宋体" w:cs="宋体" w:eastAsia="宋体" w:hint="default"/>
          <w:sz w:val="18"/>
          <w:szCs w:val="18"/>
          <w:u w:val="single" w:color="000000"/>
        </w:rPr>
        <w:t>承诺金额</w:t>
      </w:r>
      <w:r>
        <w:rPr>
          <w:rFonts w:ascii="宋体" w:hAnsi="宋体" w:cs="宋体" w:eastAsia="宋体" w:hint="default"/>
          <w:sz w:val="18"/>
          <w:szCs w:val="18"/>
        </w:rPr>
        <w:tab/>
      </w:r>
      <w:r>
        <w:rPr>
          <w:rFonts w:ascii="宋体" w:hAnsi="宋体" w:cs="宋体" w:eastAsia="宋体" w:hint="default"/>
          <w:sz w:val="18"/>
          <w:szCs w:val="18"/>
          <w:u w:val="single" w:color="000000"/>
        </w:rPr>
        <w:t>实现金额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tbl>
      <w:tblPr>
        <w:tblW w:w="0" w:type="auto"/>
        <w:jc w:val="left"/>
        <w:tblInd w:w="129" w:type="dxa"/>
        <w:tblLayout w:type="fixed"/>
        <w:tblCellMar>
          <w:top w:w="0" w:type="dxa"/>
          <w:left w:w="0" w:type="dxa"/>
          <w:bottom w:w="0" w:type="dxa"/>
          <w:right w:w="0" w:type="dxa"/>
        </w:tblCellMar>
        <w:tblLook w:val="01E0"/>
      </w:tblPr>
      <w:tblGrid>
        <w:gridCol w:w="4510"/>
        <w:gridCol w:w="1803"/>
        <w:gridCol w:w="341"/>
        <w:gridCol w:w="2198"/>
      </w:tblGrid>
      <w:tr>
        <w:trPr>
          <w:trHeight w:val="288" w:hRule="exact"/>
        </w:trPr>
        <w:tc>
          <w:tcPr>
            <w:tcW w:w="4510"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（扣除非经常性损益）</w:t>
            </w:r>
          </w:p>
        </w:tc>
        <w:tc>
          <w:tcPr>
            <w:tcW w:w="341"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（扣除非经常性损益金额）</w:t>
            </w:r>
          </w:p>
        </w:tc>
      </w:tr>
      <w:tr>
        <w:trPr>
          <w:trHeight w:val="1429" w:hRule="exact"/>
        </w:trPr>
        <w:tc>
          <w:tcPr>
            <w:tcW w:w="451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8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8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9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宋体" w:hAnsi="宋体" w:cs="宋体" w:eastAsia="宋体" w:hint="default"/>
                <w:sz w:val="18"/>
                <w:szCs w:val="18"/>
              </w:rPr>
              <w:t>万</w:t>
            </w:r>
          </w:p>
          <w:p>
            <w:pPr>
              <w:pStyle w:val="TableParagraph"/>
              <w:spacing w:line="240" w:lineRule="auto" w:before="84"/>
              <w:ind w:left="9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w:t>
            </w:r>
            <w:r>
              <w:rPr>
                <w:rFonts w:ascii="宋体" w:hAnsi="宋体" w:cs="宋体" w:eastAsia="宋体" w:hint="default"/>
                <w:sz w:val="18"/>
                <w:szCs w:val="18"/>
              </w:rPr>
              <w:t>万</w:t>
            </w:r>
          </w:p>
          <w:p>
            <w:pPr>
              <w:pStyle w:val="TableParagraph"/>
              <w:spacing w:line="240" w:lineRule="auto" w:before="82"/>
              <w:ind w:left="9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7,000.00</w:t>
            </w:r>
            <w:r>
              <w:rPr>
                <w:rFonts w:ascii="宋体" w:hAnsi="宋体" w:cs="宋体" w:eastAsia="宋体" w:hint="default"/>
                <w:sz w:val="18"/>
                <w:szCs w:val="18"/>
              </w:rPr>
              <w:t>万</w:t>
            </w:r>
          </w:p>
          <w:p>
            <w:pPr>
              <w:pStyle w:val="TableParagraph"/>
              <w:spacing w:line="240" w:lineRule="auto" w:before="82"/>
              <w:ind w:left="9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18,000.00</w:t>
            </w:r>
            <w:r>
              <w:rPr>
                <w:rFonts w:ascii="宋体" w:hAnsi="宋体" w:cs="宋体" w:eastAsia="宋体" w:hint="default"/>
                <w:sz w:val="18"/>
                <w:szCs w:val="18"/>
              </w:rPr>
              <w:t>万</w:t>
            </w:r>
          </w:p>
        </w:tc>
        <w:tc>
          <w:tcPr>
            <w:tcW w:w="341" w:type="dxa"/>
            <w:tcBorders>
              <w:top w:val="nil" w:sz="6" w:space="0" w:color="auto"/>
              <w:left w:val="nil" w:sz="6" w:space="0" w:color="auto"/>
              <w:bottom w:val="nil" w:sz="6" w:space="0" w:color="auto"/>
              <w:right w:val="nil" w:sz="6" w:space="0" w:color="auto"/>
            </w:tcBorders>
          </w:tcPr>
          <w:p>
            <w:pPr/>
          </w:p>
        </w:tc>
        <w:tc>
          <w:tcPr>
            <w:tcW w:w="2198"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6,371.59</w:t>
            </w:r>
            <w:r>
              <w:rPr>
                <w:rFonts w:ascii="宋体" w:hAnsi="宋体" w:cs="宋体" w:eastAsia="宋体" w:hint="default"/>
                <w:sz w:val="18"/>
                <w:szCs w:val="18"/>
              </w:rPr>
              <w:t>万</w:t>
            </w:r>
          </w:p>
          <w:p>
            <w:pPr>
              <w:pStyle w:val="TableParagraph"/>
              <w:spacing w:line="240" w:lineRule="auto" w:before="84"/>
              <w:ind w:left="1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6,533.60</w:t>
            </w:r>
            <w:r>
              <w:rPr>
                <w:rFonts w:ascii="宋体" w:hAnsi="宋体" w:cs="宋体" w:eastAsia="宋体" w:hint="default"/>
                <w:sz w:val="18"/>
                <w:szCs w:val="18"/>
              </w:rPr>
              <w:t>万</w:t>
            </w:r>
          </w:p>
          <w:p>
            <w:pPr>
              <w:pStyle w:val="TableParagraph"/>
              <w:spacing w:line="240" w:lineRule="auto" w:before="82"/>
              <w:ind w:left="1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6,082.21</w:t>
            </w:r>
            <w:r>
              <w:rPr>
                <w:rFonts w:ascii="宋体" w:hAnsi="宋体" w:cs="宋体" w:eastAsia="宋体" w:hint="default"/>
                <w:sz w:val="18"/>
                <w:szCs w:val="18"/>
              </w:rPr>
              <w:t>万</w:t>
            </w:r>
          </w:p>
          <w:p>
            <w:pPr>
              <w:pStyle w:val="TableParagraph"/>
              <w:spacing w:line="240" w:lineRule="auto" w:before="82"/>
              <w:ind w:left="1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18,987.40</w:t>
            </w:r>
            <w:r>
              <w:rPr>
                <w:rFonts w:ascii="宋体" w:hAnsi="宋体" w:cs="宋体" w:eastAsia="宋体" w:hint="default"/>
                <w:sz w:val="18"/>
                <w:szCs w:val="18"/>
              </w:rPr>
              <w:t>万</w:t>
            </w:r>
          </w:p>
        </w:tc>
      </w:tr>
    </w:tbl>
    <w:p>
      <w:pPr>
        <w:pStyle w:val="BodyText"/>
        <w:spacing w:line="357" w:lineRule="auto" w:before="9"/>
        <w:ind w:right="1104" w:firstLine="480"/>
        <w:jc w:val="left"/>
      </w:pPr>
      <w:r>
        <w:rPr/>
        <w:t>说明：截止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日，保定金迪地下管线探测工程有限公司累计超额实现其业绩 承诺，经测试保定金迪地下管线探测工程有限公司形成的商誉在本期不存在减值迹象。</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60,811.20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17,988.00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42,823.20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60,811.20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42,823.20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168,086,216.64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25,465,644.10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143,032,874.86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21,571,538.90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12,186,665.76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1,827,999.86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10,488,502.93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1,573,275.44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192,115.87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28,817.38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5,315,973.00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797,395.95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61,729,688.18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9,259,453.22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53,994,390.81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8,099,158.62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13,773,712.41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3,263,586.51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18,535,676.54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4,212,967.86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43,110,075.00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6,466,511.25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2,048,700.00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314,336,473.86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48,600,712.32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245,025,418.14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38,303,036.77</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8" w:right="0"/>
              <w:jc w:val="left"/>
              <w:rPr>
                <w:rFonts w:ascii="Times New Roman" w:hAnsi="Times New Roman" w:cs="Times New Roman" w:eastAsia="Times New Roman" w:hint="default"/>
                <w:sz w:val="18"/>
                <w:szCs w:val="18"/>
              </w:rPr>
            </w:pPr>
            <w:r>
              <w:rPr>
                <w:rFonts w:ascii="Times New Roman"/>
                <w:sz w:val="18"/>
              </w:rPr>
              <w:t>37,225,409.29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7,768,086.39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46,818,894.36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9,555,534.15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产评估增值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37,225,409.29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7,768,086.39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46,818,894.36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9,555,534.15</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48,600,712.32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38,303,036.77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7,768,086.39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9,555,534.15</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774,700.52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455,352.39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31,815,939.93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34,757,373.46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32,590,640.45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35,212,725.85</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864,529.67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864,529.67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595,684.21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595,684.21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29,476,101.02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29,476,101.02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879,625.03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31,815,939.93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pacing w:val="-1"/>
                <w:sz w:val="18"/>
              </w:rPr>
              <w:t>30,936,314.90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167,000,000.00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357" w:lineRule="auto" w:before="145"/>
        <w:ind w:right="1034" w:firstLine="480"/>
        <w:jc w:val="left"/>
      </w:pPr>
      <w:r>
        <w:rPr/>
        <w:t>注</w:t>
      </w:r>
      <w:r>
        <w:rPr>
          <w:rFonts w:ascii="宋体" w:hAnsi="宋体" w:cs="宋体" w:eastAsia="宋体" w:hint="default"/>
        </w:rPr>
        <w:t>1</w:t>
      </w:r>
      <w:r>
        <w:rPr/>
        <w:t>：房产权证字第</w:t>
      </w:r>
      <w:r>
        <w:rPr>
          <w:rFonts w:ascii="宋体" w:hAnsi="宋体" w:cs="宋体" w:eastAsia="宋体" w:hint="default"/>
        </w:rPr>
        <w:t>U201201885</w:t>
      </w:r>
      <w:r>
        <w:rPr/>
        <w:t>号、房产权证字第</w:t>
      </w:r>
      <w:r>
        <w:rPr>
          <w:rFonts w:ascii="宋体" w:hAnsi="宋体" w:cs="宋体" w:eastAsia="宋体" w:hint="default"/>
        </w:rPr>
        <w:t>U201201886</w:t>
      </w:r>
      <w:r>
        <w:rPr/>
        <w:t>号的房屋（包括固定资产、 投资性房地产）及保定市国用（</w:t>
      </w:r>
      <w:r>
        <w:rPr>
          <w:rFonts w:ascii="宋体" w:hAnsi="宋体" w:cs="宋体" w:eastAsia="宋体" w:hint="default"/>
        </w:rPr>
        <w:t>2010</w:t>
      </w:r>
      <w:r>
        <w:rPr/>
        <w:t>）第</w:t>
      </w:r>
      <w:r>
        <w:rPr>
          <w:rFonts w:ascii="宋体" w:hAnsi="宋体" w:cs="宋体" w:eastAsia="宋体" w:hint="default"/>
        </w:rPr>
        <w:t>130600005574</w:t>
      </w:r>
      <w:r>
        <w:rPr/>
        <w:t>号的土地使用权用于贷款抵押，抵押</w:t>
      </w:r>
      <w:r>
        <w:rPr>
          <w:spacing w:val="-91"/>
        </w:rPr>
        <w:t> </w:t>
      </w:r>
      <w:r>
        <w:rPr>
          <w:spacing w:val="-91"/>
        </w:rPr>
      </w:r>
      <w:r>
        <w:rPr/>
        <w:t>金额 </w:t>
      </w:r>
      <w:r>
        <w:rPr>
          <w:rFonts w:ascii="宋体" w:hAnsi="宋体" w:cs="宋体" w:eastAsia="宋体" w:hint="default"/>
        </w:rPr>
        <w:t>3,000.00</w:t>
      </w:r>
      <w:r>
        <w:rPr>
          <w:rFonts w:ascii="宋体" w:hAnsi="宋体" w:cs="宋体" w:eastAsia="宋体" w:hint="default"/>
          <w:spacing w:val="-1"/>
        </w:rPr>
        <w:t> </w:t>
      </w:r>
      <w:r>
        <w:rPr/>
        <w:t>万元。详见附注六、</w:t>
      </w:r>
      <w:r>
        <w:rPr>
          <w:rFonts w:ascii="宋体" w:hAnsi="宋体" w:cs="宋体" w:eastAsia="宋体" w:hint="default"/>
        </w:rPr>
        <w:t>50</w:t>
      </w:r>
      <w:r>
        <w:rPr/>
        <w:t>所有权或使用权受限制的资产。</w:t>
      </w:r>
    </w:p>
    <w:p>
      <w:pPr>
        <w:pStyle w:val="BodyText"/>
        <w:spacing w:line="357" w:lineRule="auto"/>
        <w:ind w:right="1131" w:firstLine="480"/>
        <w:jc w:val="both"/>
      </w:pPr>
      <w:r>
        <w:rPr>
          <w:spacing w:val="-2"/>
        </w:rPr>
        <w:t>注</w:t>
      </w: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8</w:t>
      </w:r>
      <w:r>
        <w:rPr>
          <w:spacing w:val="-2"/>
        </w:rPr>
        <w:t>日，本公司开具票据号码为</w:t>
      </w:r>
      <w:r>
        <w:rPr>
          <w:rFonts w:ascii="宋体" w:hAnsi="宋体" w:cs="宋体" w:eastAsia="宋体" w:hint="default"/>
          <w:spacing w:val="-2"/>
        </w:rPr>
        <w:t>230510000121520190708430035083</w:t>
      </w:r>
      <w:r>
        <w:rPr>
          <w:spacing w:val="-2"/>
        </w:rPr>
        <w:t>的商业承</w:t>
      </w:r>
      <w:r>
        <w:rPr/>
        <w:t> </w:t>
      </w:r>
      <w:r>
        <w:rPr>
          <w:spacing w:val="5"/>
        </w:rPr>
        <w:t>兑汇票</w:t>
      </w:r>
      <w:r>
        <w:rPr>
          <w:rFonts w:ascii="宋体" w:hAnsi="宋体" w:cs="宋体" w:eastAsia="宋体" w:hint="default"/>
          <w:spacing w:val="5"/>
        </w:rPr>
        <w:t>2,000.00</w:t>
      </w:r>
      <w:r>
        <w:rPr>
          <w:spacing w:val="5"/>
        </w:rPr>
        <w:t>万元，用于支付政通智慧城市运营科技有限公司（以下简称“政通运营公</w:t>
      </w:r>
      <w:r>
        <w:rPr>
          <w:spacing w:val="-81"/>
        </w:rPr>
        <w:t> </w:t>
      </w:r>
      <w:r>
        <w:rPr>
          <w:spacing w:val="-81"/>
        </w:rPr>
      </w:r>
      <w:r>
        <w:rPr/>
        <w:t>司”）项目款，</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9</w:t>
      </w:r>
      <w:r>
        <w:rPr/>
        <w:t>日，政通运营公司将该笔商业承兑汇票在中国民生银行股份有限</w:t>
      </w:r>
      <w:r>
        <w:rPr>
          <w:spacing w:val="-89"/>
        </w:rPr>
        <w:t> </w:t>
      </w:r>
      <w:r>
        <w:rPr>
          <w:spacing w:val="-89"/>
        </w:rPr>
      </w:r>
      <w:r>
        <w:rPr/>
        <w:t>公司北京万柳支行贴现，收到</w:t>
      </w:r>
      <w:r>
        <w:rPr>
          <w:rFonts w:ascii="宋体" w:hAnsi="宋体" w:cs="宋体" w:eastAsia="宋体" w:hint="default"/>
        </w:rPr>
        <w:t>1,953.23</w:t>
      </w:r>
      <w:r>
        <w:rPr/>
        <w:t>万元银行存款；</w:t>
      </w:r>
    </w:p>
    <w:p>
      <w:pPr>
        <w:pStyle w:val="BodyText"/>
        <w:spacing w:line="240" w:lineRule="auto"/>
        <w:ind w:left="633" w:right="1104"/>
        <w:jc w:val="left"/>
      </w:pP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9</w:t>
      </w:r>
      <w:r>
        <w:rPr/>
        <w:t>日本公司开具票据号码为</w:t>
      </w:r>
      <w:r>
        <w:rPr>
          <w:rFonts w:ascii="宋体" w:hAnsi="宋体" w:cs="宋体" w:eastAsia="宋体" w:hint="default"/>
        </w:rPr>
        <w:t>130510000121520190809451335473</w:t>
      </w:r>
      <w:r>
        <w:rPr/>
        <w:t>的银行承兑汇票</w:t>
      </w:r>
    </w:p>
    <w:p>
      <w:pPr>
        <w:pStyle w:val="BodyText"/>
        <w:spacing w:line="357" w:lineRule="auto" w:before="154"/>
        <w:ind w:right="1130"/>
        <w:jc w:val="left"/>
      </w:pPr>
      <w:r>
        <w:rPr>
          <w:rFonts w:ascii="宋体" w:hAnsi="宋体" w:cs="宋体" w:eastAsia="宋体" w:hint="default"/>
          <w:spacing w:val="-2"/>
        </w:rPr>
        <w:t>2,000.00</w:t>
      </w:r>
      <w:r>
        <w:rPr>
          <w:spacing w:val="-2"/>
        </w:rPr>
        <w:t>万元，用于支付政通运营公司项目款。</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12</w:t>
      </w:r>
      <w:r>
        <w:rPr>
          <w:spacing w:val="-2"/>
        </w:rPr>
        <w:t>日，政通运营公司将该笔银行承</w:t>
      </w:r>
      <w:r>
        <w:rPr>
          <w:spacing w:val="-107"/>
        </w:rPr>
        <w:t> </w:t>
      </w:r>
      <w:r>
        <w:rPr>
          <w:spacing w:val="-107"/>
        </w:rPr>
      </w:r>
      <w:r>
        <w:rPr/>
        <w:t>兑汇票在宁波银行股份有限公司北京分行贴现，收到</w:t>
      </w:r>
      <w:r>
        <w:rPr>
          <w:rFonts w:ascii="宋体" w:hAnsi="宋体" w:cs="宋体" w:eastAsia="宋体" w:hint="default"/>
        </w:rPr>
        <w:t>1,941.36</w:t>
      </w:r>
      <w:r>
        <w:rPr/>
        <w:t>万元银行存款；</w:t>
      </w:r>
    </w:p>
    <w:p>
      <w:pPr>
        <w:pStyle w:val="BodyText"/>
        <w:spacing w:line="357" w:lineRule="auto"/>
        <w:ind w:right="1129" w:firstLine="480"/>
        <w:jc w:val="both"/>
      </w:pP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5</w:t>
      </w:r>
      <w:r>
        <w:rPr/>
        <w:t>日，本公司开具票据号码为</w:t>
      </w:r>
      <w:r>
        <w:rPr>
          <w:rFonts w:ascii="宋体" w:hAnsi="宋体" w:cs="宋体" w:eastAsia="宋体" w:hint="default"/>
        </w:rPr>
        <w:t>130510000121520190905469722925</w:t>
      </w:r>
      <w:r>
        <w:rPr/>
        <w:t>的银行承兑汇 </w:t>
      </w:r>
      <w:r>
        <w:rPr>
          <w:spacing w:val="-2"/>
        </w:rPr>
        <w:t>票</w:t>
      </w:r>
      <w:r>
        <w:rPr>
          <w:rFonts w:ascii="宋体" w:hAnsi="宋体" w:cs="宋体" w:eastAsia="宋体" w:hint="default"/>
          <w:spacing w:val="-2"/>
        </w:rPr>
        <w:t>2,000.00</w:t>
      </w:r>
      <w:r>
        <w:rPr>
          <w:spacing w:val="-2"/>
        </w:rPr>
        <w:t>万元，用于支付政通运营公司项目款。</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日，政通运营公司将该笔银行</w:t>
      </w:r>
      <w:r>
        <w:rPr>
          <w:spacing w:val="-107"/>
        </w:rPr>
        <w:t> </w:t>
      </w:r>
      <w:r>
        <w:rPr>
          <w:spacing w:val="-107"/>
        </w:rPr>
      </w:r>
      <w:r>
        <w:rPr/>
        <w:t>承兑汇票在宁波银行股份有限公司北京分行贴现，收到</w:t>
      </w:r>
      <w:r>
        <w:rPr>
          <w:rFonts w:ascii="宋体" w:hAnsi="宋体" w:cs="宋体" w:eastAsia="宋体" w:hint="default"/>
        </w:rPr>
        <w:t>1,970.50</w:t>
      </w:r>
      <w:r>
        <w:rPr/>
        <w:t>万元银行存款；以上三笔款</w:t>
      </w:r>
      <w:r>
        <w:rPr>
          <w:spacing w:val="-91"/>
        </w:rPr>
        <w:t> </w:t>
      </w:r>
      <w:r>
        <w:rPr>
          <w:spacing w:val="-91"/>
        </w:rPr>
      </w:r>
      <w:r>
        <w:rPr/>
        <w:t>项具有融资性质，到期日按照票面金额偿还，因此将</w:t>
      </w:r>
      <w:r>
        <w:rPr>
          <w:rFonts w:ascii="宋体" w:hAnsi="宋体" w:cs="宋体" w:eastAsia="宋体" w:hint="default"/>
        </w:rPr>
        <w:t>6,000.00</w:t>
      </w:r>
      <w:r>
        <w:rPr/>
        <w:t>万元作为短期借款列报。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1,274,800.00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146,944,098.71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140,955,533.41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项目服务费及数据款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174,092,123.65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151,327,346.30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321,036,222.36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292,282,879.71</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9,709,828.59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7,312,510.85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4,902,737.61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3,256,522.31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28,181,599.36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预收货款及服务款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91,842,109.34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117,626,431.08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91,842,109.34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117,626,431.08</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2,822,553.61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1,351,415.10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1,287,585.59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939,309.82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913,207.55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7,314,071.67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23,344,322.55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413,284,532.34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407,394,886.11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29,233,968.78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4,172,000.62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57,534,602.79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58,847,679.31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2,858,924.10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1,007,268.97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1,007,268.97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27,516,323.17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471,826,404.10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467,249,834.39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32,092,892.88</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19,586,560.48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357,433,493.94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351,529,690.23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25,490,364.19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9,944,143.72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9,944,143.72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2,487,573.68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32,176,374.28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32,507,441.52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2,156,506.44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1,882,924.47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27,790,126.69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27,823,181.21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1,849,869.95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171,707.71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1,337,489.69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1,360,804.07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148,393.33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298,577.31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2,585,748.23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2,726,082.38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158,243.16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134,364.19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463,009.67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597,373.86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645,026.98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12,954,306.37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12,712,737.69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886,595.66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587,534.39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763,212.03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700,872.95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649,873.47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13,002.00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50,629.02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23,344,322.55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413,284,532.34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407,394,886.11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29,233,968.78</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3,594,358.06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55,471,835.47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56,597,922.05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2,468,271.48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577,642.56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2,051,649.26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2,238,639.20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390,652.62</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长期照护保险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2"/>
                <w:sz w:val="18"/>
              </w:rPr>
              <w:t>11,118.06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11,118.06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4,172,000.62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57,534,602.79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58,847,679.31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2,858,924.10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30,109,985.37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39,756,012.30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16,443,783.39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15,506,549.02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817,591.80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327,302.71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2,114,954.31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2,117,776.91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908,177.53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910,306.87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605,493.02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606,912.56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7,771.43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34,705.79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32,946.86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51,065,548.36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59,265,578.66</w:t>
            </w:r>
            <w:r>
              <w:rPr>
                <w:rFonts w:ascii="Times New Roman"/>
                <w:sz w:val="18"/>
              </w:rPr>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33,833.34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7,356,790.00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7,356,790.00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126,533,923.26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213,744,873.95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133,937,838.26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221,135,497.29</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33,833.34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33,833.34</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中国冶金地质总局地球物理勘查院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其他自然人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4,796,790.00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4,796,790.00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7,356,790.00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7,356,790.00</w:t>
            </w:r>
          </w:p>
        </w:tc>
      </w:tr>
    </w:tbl>
    <w:p>
      <w:pPr>
        <w:spacing w:line="348" w:lineRule="auto" w:before="49"/>
        <w:ind w:left="1101" w:right="4994" w:hanging="949"/>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w:t>
      </w:r>
      <w:r>
        <w:rPr>
          <w:rFonts w:ascii="宋体" w:hAnsi="宋体" w:cs="宋体" w:eastAsia="宋体" w:hint="default"/>
          <w:sz w:val="18"/>
          <w:szCs w:val="18"/>
          <w:u w:val="single" w:color="000000"/>
        </w:rPr>
        <w:t>超过</w:t>
      </w:r>
      <w:r>
        <w:rPr>
          <w:rFonts w:ascii="Times New Roman" w:hAnsi="Times New Roman" w:cs="Times New Roman" w:eastAsia="Times New Roman" w:hint="default"/>
          <w:sz w:val="18"/>
          <w:szCs w:val="18"/>
          <w:u w:val="single" w:color="000000"/>
        </w:rPr>
        <w:t>1</w:t>
      </w:r>
      <w:r>
        <w:rPr>
          <w:rFonts w:ascii="宋体" w:hAnsi="宋体" w:cs="宋体" w:eastAsia="宋体" w:hint="default"/>
          <w:sz w:val="18"/>
          <w:szCs w:val="18"/>
          <w:u w:val="single" w:color="000000"/>
        </w:rPr>
        <w:t>年未支付原因</w:t>
      </w:r>
      <w:r>
        <w:rPr>
          <w:rFonts w:ascii="宋体" w:hAnsi="宋体" w:cs="宋体" w:eastAsia="宋体" w:hint="default"/>
          <w:sz w:val="18"/>
          <w:szCs w:val="18"/>
        </w:rPr>
      </w:r>
    </w:p>
    <w:p>
      <w:pPr>
        <w:spacing w:line="340" w:lineRule="auto" w:before="0"/>
        <w:ind w:left="292" w:right="8274" w:firstLine="0"/>
        <w:jc w:val="left"/>
        <w:rPr>
          <w:rFonts w:ascii="宋体" w:hAnsi="宋体" w:cs="宋体" w:eastAsia="宋体" w:hint="default"/>
          <w:sz w:val="18"/>
          <w:szCs w:val="18"/>
        </w:rPr>
      </w:pPr>
      <w:r>
        <w:rPr>
          <w:rFonts w:ascii="宋体" w:hAnsi="宋体" w:cs="宋体" w:eastAsia="宋体" w:hint="default"/>
          <w:sz w:val="18"/>
          <w:szCs w:val="18"/>
        </w:rPr>
        <w:t>基于公司发展需要，暂未支付 基于公司发展需要，暂未支付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应付股权投资款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59,165,600.00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123,275,000.00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33,824,000.00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40,103,798.00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已报销未支付项目差旅费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14,124,656.14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28,058,384.94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备用金、押金及保证金等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8,691,711.19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9,682,595.21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3,999,779.25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4,219,420.52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3,363,553.76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3,600,736.18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应付房屋租赁费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2,186,162.37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2,622,240.41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1,178,460.55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2,182,698.69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126,533,923.26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213,744,873.95</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应付股权投资款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59,165,600.00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59,165,600.00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8"/>
        <w:ind w:right="1116" w:firstLine="480"/>
        <w:jc w:val="left"/>
      </w:pPr>
      <w:r>
        <w:rPr>
          <w:spacing w:val="-2"/>
        </w:rPr>
        <w:t>注</w:t>
      </w:r>
      <w:r>
        <w:rPr>
          <w:rFonts w:ascii="宋体" w:hAnsi="宋体" w:cs="宋体" w:eastAsia="宋体" w:hint="default"/>
          <w:spacing w:val="-2"/>
        </w:rPr>
        <w:t>1</w:t>
      </w:r>
      <w:r>
        <w:rPr>
          <w:spacing w:val="-2"/>
        </w:rPr>
        <w:t>：应付股权投资款为</w:t>
      </w:r>
      <w:r>
        <w:rPr>
          <w:rFonts w:ascii="宋体" w:hAnsi="宋体" w:cs="宋体" w:eastAsia="宋体" w:hint="default"/>
          <w:spacing w:val="-2"/>
        </w:rPr>
        <w:t>2017</w:t>
      </w:r>
      <w:r>
        <w:rPr>
          <w:spacing w:val="-2"/>
        </w:rPr>
        <w:t>年度收购保定金迪地下管线探测工程有限公司、保定市金迪</w:t>
      </w:r>
      <w:r>
        <w:rPr/>
        <w:t> 科技开发有限公司、保定金迪科学仪器有限公司少数股权时形成的按照收购协议分期支付的</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1104"/>
        <w:jc w:val="left"/>
      </w:pPr>
      <w:r>
        <w:rPr/>
        <w:t>收购款。</w:t>
      </w:r>
    </w:p>
    <w:p>
      <w:pPr>
        <w:pStyle w:val="BodyText"/>
        <w:spacing w:line="357" w:lineRule="auto" w:before="154"/>
        <w:ind w:right="1104" w:firstLine="480"/>
        <w:jc w:val="left"/>
      </w:pPr>
      <w:r>
        <w:rPr>
          <w:spacing w:val="3"/>
        </w:rPr>
        <w:t>注</w:t>
      </w:r>
      <w:r>
        <w:rPr>
          <w:rFonts w:ascii="宋体" w:hAnsi="宋体" w:cs="宋体" w:eastAsia="宋体" w:hint="default"/>
          <w:spacing w:val="3"/>
        </w:rPr>
        <w:t>2</w:t>
      </w:r>
      <w:r>
        <w:rPr>
          <w:spacing w:val="3"/>
        </w:rPr>
        <w:t>：股份支付回购义务系因公司授予员工限制性股票</w:t>
      </w:r>
      <w:r>
        <w:rPr>
          <w:rFonts w:ascii="宋体" w:hAnsi="宋体" w:cs="宋体" w:eastAsia="宋体" w:hint="default"/>
          <w:spacing w:val="3"/>
        </w:rPr>
        <w:t>604.00</w:t>
      </w:r>
      <w:r>
        <w:rPr>
          <w:spacing w:val="3"/>
        </w:rPr>
        <w:t>万股，每股授予价格</w:t>
      </w:r>
      <w:r>
        <w:rPr>
          <w:rFonts w:ascii="宋体" w:hAnsi="宋体" w:cs="宋体" w:eastAsia="宋体" w:hint="default"/>
          <w:spacing w:val="3"/>
        </w:rPr>
        <w:t>5.60</w:t>
      </w:r>
      <w:r>
        <w:rPr>
          <w:rFonts w:ascii="宋体" w:hAnsi="宋体" w:cs="宋体" w:eastAsia="宋体" w:hint="default"/>
        </w:rPr>
        <w:t> </w:t>
      </w:r>
      <w:r>
        <w:rPr/>
        <w:t>元的回购义务金额合计</w:t>
      </w:r>
      <w:r>
        <w:rPr>
          <w:rFonts w:ascii="宋体" w:hAnsi="宋体" w:cs="宋体" w:eastAsia="宋体" w:hint="default"/>
        </w:rPr>
        <w:t>33,824,000.00</w:t>
      </w:r>
      <w:r>
        <w:rPr/>
        <w:t>元。</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15,258,000.00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维保费</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15,258,000.00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13,658,000.00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40" w:lineRule="auto" w:before="148"/>
        <w:ind w:left="633" w:right="1104"/>
        <w:jc w:val="left"/>
      </w:pPr>
      <w:r>
        <w:rPr/>
        <w:t>本期计提维保费人民币</w:t>
      </w:r>
      <w:r>
        <w:rPr>
          <w:rFonts w:ascii="宋体" w:hAnsi="宋体" w:cs="宋体" w:eastAsia="宋体" w:hint="default"/>
        </w:rPr>
        <w:t>1,600,000.00</w:t>
      </w:r>
      <w:r>
        <w:rPr/>
        <w:t>元，计入销售费用中的维保及维修费项目。</w:t>
      </w:r>
    </w:p>
    <w:p>
      <w:pPr>
        <w:spacing w:line="240" w:lineRule="auto" w:before="10"/>
        <w:rPr>
          <w:rFonts w:ascii="宋体" w:hAnsi="宋体" w:cs="宋体" w:eastAsia="宋体" w:hint="default"/>
          <w:sz w:val="30"/>
          <w:szCs w:val="30"/>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424,340,905.00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6,040,000.00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-3,828,300.00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2,211,700.00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426,552,605.00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8"/>
        <w:ind w:right="1128" w:firstLine="480"/>
        <w:jc w:val="both"/>
      </w:pPr>
      <w:r>
        <w:rPr>
          <w:spacing w:val="-7"/>
        </w:rPr>
        <w:t>注：</w:t>
      </w:r>
      <w:r>
        <w:rPr>
          <w:rFonts w:ascii="宋体" w:hAnsi="宋体" w:cs="宋体" w:eastAsia="宋体" w:hint="default"/>
          <w:spacing w:val="-7"/>
        </w:rPr>
        <w:t>2018 </w:t>
      </w:r>
      <w:r>
        <w:rPr/>
        <w:t>年 </w:t>
      </w:r>
      <w:r>
        <w:rPr>
          <w:rFonts w:ascii="宋体" w:hAnsi="宋体" w:cs="宋体" w:eastAsia="宋体" w:hint="default"/>
        </w:rPr>
        <w:t>12 </w:t>
      </w:r>
      <w:r>
        <w:rPr/>
        <w:t>月 </w:t>
      </w:r>
      <w:r>
        <w:rPr>
          <w:rFonts w:ascii="宋体" w:hAnsi="宋体" w:cs="宋体" w:eastAsia="宋体" w:hint="default"/>
        </w:rPr>
        <w:t>18</w:t>
      </w:r>
      <w:r>
        <w:rPr>
          <w:rFonts w:ascii="宋体" w:hAnsi="宋体" w:cs="宋体" w:eastAsia="宋体" w:hint="default"/>
          <w:spacing w:val="-33"/>
        </w:rPr>
        <w:t> </w:t>
      </w:r>
      <w:r>
        <w:rPr/>
        <w:t>日，公司第四届董事会第一次会议和第四届监事会第一次会议审 </w:t>
      </w:r>
      <w:r>
        <w:rPr>
          <w:spacing w:val="-2"/>
        </w:rPr>
        <w:t>议通过了《关于向激励对象授予股票期权与限制性股票的议案》。公司向</w:t>
      </w:r>
      <w:r>
        <w:rPr>
          <w:rFonts w:ascii="宋体" w:hAnsi="宋体" w:cs="宋体" w:eastAsia="宋体" w:hint="default"/>
          <w:spacing w:val="-2"/>
        </w:rPr>
        <w:t>314</w:t>
      </w:r>
      <w:r>
        <w:rPr>
          <w:spacing w:val="-2"/>
        </w:rPr>
        <w:t>名激励对象授予</w:t>
      </w:r>
      <w:r>
        <w:rPr>
          <w:spacing w:val="-118"/>
        </w:rPr>
        <w:t> </w:t>
      </w:r>
      <w:r>
        <w:rPr>
          <w:rFonts w:ascii="宋体" w:hAnsi="宋体" w:cs="宋体" w:eastAsia="宋体" w:hint="default"/>
        </w:rPr>
        <w:t>2,083.50</w:t>
      </w:r>
      <w:r>
        <w:rPr/>
        <w:t>万份股票期权，股票期权的行权价格为每份</w:t>
      </w:r>
      <w:r>
        <w:rPr>
          <w:rFonts w:ascii="宋体" w:hAnsi="宋体" w:cs="宋体" w:eastAsia="宋体" w:hint="default"/>
        </w:rPr>
        <w:t>11.20</w:t>
      </w:r>
      <w:r>
        <w:rPr/>
        <w:t>元；向</w:t>
      </w:r>
      <w:r>
        <w:rPr>
          <w:rFonts w:ascii="宋体" w:hAnsi="宋体" w:cs="宋体" w:eastAsia="宋体" w:hint="default"/>
        </w:rPr>
        <w:t>214</w:t>
      </w:r>
      <w:r>
        <w:rPr/>
        <w:t>名激励对象授予</w:t>
      </w:r>
      <w:r>
        <w:rPr>
          <w:rFonts w:ascii="宋体" w:hAnsi="宋体" w:cs="宋体" w:eastAsia="宋体" w:hint="default"/>
        </w:rPr>
        <w:t>630.00</w:t>
      </w:r>
      <w:r>
        <w:rPr>
          <w:rFonts w:ascii="宋体" w:hAnsi="宋体" w:cs="宋体" w:eastAsia="宋体" w:hint="default"/>
          <w:spacing w:val="-85"/>
        </w:rPr>
        <w:t> </w:t>
      </w:r>
      <w:r>
        <w:rPr>
          <w:spacing w:val="-2"/>
        </w:rPr>
        <w:t>万股限制性股票，每股</w:t>
      </w:r>
      <w:r>
        <w:rPr>
          <w:rFonts w:ascii="宋体" w:hAnsi="宋体" w:cs="宋体" w:eastAsia="宋体" w:hint="default"/>
          <w:spacing w:val="-2"/>
        </w:rPr>
        <w:t>5.6</w:t>
      </w:r>
      <w:r>
        <w:rPr>
          <w:spacing w:val="-2"/>
        </w:rPr>
        <w:t>元。在授予日之后的资金缴纳、股份登记过程中，有</w:t>
      </w:r>
      <w:r>
        <w:rPr>
          <w:rFonts w:ascii="宋体" w:hAnsi="宋体" w:cs="宋体" w:eastAsia="宋体" w:hint="default"/>
          <w:spacing w:val="-2"/>
        </w:rPr>
        <w:t>11</w:t>
      </w:r>
      <w:r>
        <w:rPr>
          <w:spacing w:val="-2"/>
        </w:rPr>
        <w:t>名激励对象</w:t>
      </w:r>
      <w:r>
        <w:rPr>
          <w:spacing w:val="-115"/>
        </w:rPr>
        <w:t> </w:t>
      </w:r>
      <w:r>
        <w:rPr>
          <w:spacing w:val="-2"/>
        </w:rPr>
        <w:t>因个人原因自动放弃认购其对应的限制性股票</w:t>
      </w:r>
      <w:r>
        <w:rPr>
          <w:rFonts w:ascii="宋体" w:hAnsi="宋体" w:cs="宋体" w:eastAsia="宋体" w:hint="default"/>
          <w:spacing w:val="-2"/>
        </w:rPr>
        <w:t>26.00</w:t>
      </w:r>
      <w:r>
        <w:rPr>
          <w:spacing w:val="-2"/>
        </w:rPr>
        <w:t>万股，因而公司本次限制性股票实际授予</w:t>
      </w:r>
      <w:r>
        <w:rPr>
          <w:spacing w:val="-115"/>
        </w:rPr>
        <w:t> </w:t>
      </w:r>
      <w:r>
        <w:rPr>
          <w:spacing w:val="-115"/>
        </w:rPr>
      </w:r>
      <w:r>
        <w:rPr/>
        <w:t>对象为</w:t>
      </w:r>
      <w:r>
        <w:rPr>
          <w:rFonts w:ascii="宋体" w:hAnsi="宋体" w:cs="宋体" w:eastAsia="宋体" w:hint="default"/>
        </w:rPr>
        <w:t>203</w:t>
      </w:r>
      <w:r>
        <w:rPr/>
        <w:t>人，实际授予数量为</w:t>
      </w:r>
      <w:r>
        <w:rPr>
          <w:rFonts w:ascii="宋体" w:hAnsi="宋体" w:cs="宋体" w:eastAsia="宋体" w:hint="default"/>
        </w:rPr>
        <w:t>604.00</w:t>
      </w:r>
      <w:r>
        <w:rPr/>
        <w:t>万股，增加股本</w:t>
      </w:r>
      <w:r>
        <w:rPr>
          <w:rFonts w:ascii="宋体" w:hAnsi="宋体" w:cs="宋体" w:eastAsia="宋体" w:hint="default"/>
        </w:rPr>
        <w:t>6,040,000.00</w:t>
      </w:r>
      <w:r>
        <w:rPr/>
        <w:t>元。</w:t>
      </w:r>
    </w:p>
    <w:p>
      <w:pPr>
        <w:spacing w:line="240" w:lineRule="auto" w:before="0"/>
        <w:rPr>
          <w:rFonts w:ascii="宋体" w:hAnsi="宋体" w:cs="宋体" w:eastAsia="宋体" w:hint="default"/>
          <w:sz w:val="24"/>
          <w:szCs w:val="24"/>
        </w:rPr>
      </w:pPr>
    </w:p>
    <w:p>
      <w:pPr>
        <w:pStyle w:val="BodyText"/>
        <w:spacing w:line="357" w:lineRule="auto" w:before="190"/>
        <w:ind w:right="1131" w:firstLine="480"/>
        <w:jc w:val="both"/>
      </w:pP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日，公司召开第四届董事会第二次会议审议通过了《关于回购注销部分限制</w:t>
      </w:r>
      <w:r>
        <w:rPr/>
        <w:t> </w:t>
      </w:r>
      <w:r>
        <w:rPr>
          <w:spacing w:val="-6"/>
        </w:rPr>
        <w:t>性股票的议案》，因公司</w:t>
      </w:r>
      <w:r>
        <w:rPr>
          <w:spacing w:val="-16"/>
        </w:rPr>
        <w:t> </w:t>
      </w:r>
      <w:r>
        <w:rPr>
          <w:rFonts w:ascii="宋体" w:hAnsi="宋体" w:cs="宋体" w:eastAsia="宋体" w:hint="default"/>
        </w:rPr>
        <w:t>2018</w:t>
      </w:r>
      <w:r>
        <w:rPr/>
        <w:t>年经营业绩未能达到限制性股票第三个解锁期的解锁条件，同 时 </w:t>
      </w:r>
      <w:r>
        <w:rPr>
          <w:rFonts w:ascii="宋体" w:hAnsi="宋体" w:cs="宋体" w:eastAsia="宋体" w:hint="default"/>
        </w:rPr>
        <w:t>9</w:t>
      </w:r>
      <w:r>
        <w:rPr>
          <w:rFonts w:ascii="宋体" w:hAnsi="宋体" w:cs="宋体" w:eastAsia="宋体" w:hint="default"/>
          <w:spacing w:val="30"/>
        </w:rPr>
        <w:t> </w:t>
      </w:r>
      <w:r>
        <w:rPr>
          <w:spacing w:val="-3"/>
        </w:rPr>
        <w:t>名激励对象因个人原因离职，已不符合激励对象条件，议案决定公司回购注销第三期的</w:t>
      </w:r>
      <w:r>
        <w:rPr/>
        <w:t> </w:t>
      </w:r>
      <w:r>
        <w:rPr>
          <w:spacing w:val="-2"/>
        </w:rPr>
        <w:t>全部限制性股票</w:t>
      </w:r>
      <w:r>
        <w:rPr>
          <w:rFonts w:ascii="宋体" w:hAnsi="宋体" w:cs="宋体" w:eastAsia="宋体" w:hint="default"/>
          <w:spacing w:val="-2"/>
        </w:rPr>
        <w:t>371.28</w:t>
      </w:r>
      <w:r>
        <w:rPr>
          <w:spacing w:val="-2"/>
        </w:rPr>
        <w:t>万股和已离职激励对象尚未解锁的限制性股票</w:t>
      </w:r>
      <w:r>
        <w:rPr>
          <w:rFonts w:ascii="宋体" w:hAnsi="宋体" w:cs="宋体" w:eastAsia="宋体" w:hint="default"/>
          <w:spacing w:val="-2"/>
        </w:rPr>
        <w:t>11.55</w:t>
      </w:r>
      <w:r>
        <w:rPr>
          <w:spacing w:val="-2"/>
        </w:rPr>
        <w:t>万股，回购注销股</w:t>
      </w:r>
      <w:r>
        <w:rPr>
          <w:spacing w:val="-109"/>
        </w:rPr>
        <w:t> </w:t>
      </w:r>
      <w:r>
        <w:rPr>
          <w:spacing w:val="-109"/>
        </w:rPr>
      </w:r>
      <w:r>
        <w:rPr/>
        <w:t>票共计</w:t>
      </w:r>
      <w:r>
        <w:rPr>
          <w:rFonts w:ascii="宋体" w:hAnsi="宋体" w:cs="宋体" w:eastAsia="宋体" w:hint="default"/>
        </w:rPr>
        <w:t>382.83</w:t>
      </w:r>
      <w:r>
        <w:rPr/>
        <w:t>万股。本次激励计划首批授予的限制性股票回购</w:t>
      </w:r>
      <w:r>
        <w:rPr>
          <w:rFonts w:ascii="宋体" w:hAnsi="宋体" w:cs="宋体" w:eastAsia="宋体" w:hint="default"/>
        </w:rPr>
        <w:t>3,374,000.00</w:t>
      </w:r>
      <w:r>
        <w:rPr/>
        <w:t>股，回购价格为</w:t>
      </w:r>
    </w:p>
    <w:p>
      <w:pPr>
        <w:spacing w:after="0" w:line="357" w:lineRule="auto"/>
        <w:jc w:val="both"/>
        <w:sectPr>
          <w:type w:val="continuous"/>
          <w:pgSz w:w="11910" w:h="16840"/>
          <w:pgMar w:top="1060" w:bottom="1160" w:left="980" w:right="0"/>
        </w:sectPr>
      </w:pPr>
    </w:p>
    <w:p>
      <w:pPr>
        <w:spacing w:line="240" w:lineRule="auto" w:before="7"/>
        <w:rPr>
          <w:rFonts w:ascii="宋体" w:hAnsi="宋体" w:cs="宋体" w:eastAsia="宋体" w:hint="default"/>
          <w:sz w:val="29"/>
          <w:szCs w:val="29"/>
        </w:rPr>
      </w:pPr>
    </w:p>
    <w:p>
      <w:pPr>
        <w:pStyle w:val="BodyText"/>
        <w:spacing w:line="240" w:lineRule="auto" w:before="26"/>
        <w:ind w:right="986"/>
        <w:jc w:val="left"/>
      </w:pPr>
      <w:r>
        <w:rPr>
          <w:rFonts w:ascii="宋体" w:hAnsi="宋体" w:cs="宋体" w:eastAsia="宋体" w:hint="default"/>
        </w:rPr>
        <w:t>10.37</w:t>
      </w:r>
      <w:r>
        <w:rPr/>
        <w:t>元</w:t>
      </w:r>
      <w:r>
        <w:rPr>
          <w:rFonts w:ascii="宋体" w:hAnsi="宋体" w:cs="宋体" w:eastAsia="宋体" w:hint="default"/>
        </w:rPr>
        <w:t>/</w:t>
      </w:r>
      <w:r>
        <w:rPr/>
        <w:t>股，回购金额</w:t>
      </w:r>
      <w:r>
        <w:rPr>
          <w:rFonts w:ascii="宋体" w:hAnsi="宋体" w:cs="宋体" w:eastAsia="宋体" w:hint="default"/>
        </w:rPr>
        <w:t>34,988,380.00</w:t>
      </w:r>
      <w:r>
        <w:rPr/>
        <w:t>元，减少股本</w:t>
      </w:r>
      <w:r>
        <w:rPr>
          <w:rFonts w:ascii="宋体" w:hAnsi="宋体" w:cs="宋体" w:eastAsia="宋体" w:hint="default"/>
        </w:rPr>
        <w:t>3,374,000.00</w:t>
      </w:r>
      <w:r>
        <w:rPr/>
        <w:t>元。预留部分的限制性股票</w:t>
      </w:r>
    </w:p>
    <w:p>
      <w:pPr>
        <w:pStyle w:val="BodyText"/>
        <w:spacing w:line="357" w:lineRule="auto" w:before="154"/>
        <w:ind w:right="986"/>
        <w:jc w:val="left"/>
      </w:pPr>
      <w:r>
        <w:rPr>
          <w:rFonts w:ascii="宋体" w:hAnsi="宋体" w:cs="宋体" w:eastAsia="宋体" w:hint="default"/>
          <w:spacing w:val="-2"/>
        </w:rPr>
        <w:t>454,300.00</w:t>
      </w:r>
      <w:r>
        <w:rPr>
          <w:spacing w:val="-2"/>
        </w:rPr>
        <w:t>股，回购价格为</w:t>
      </w:r>
      <w:r>
        <w:rPr>
          <w:rFonts w:ascii="宋体" w:hAnsi="宋体" w:cs="宋体" w:eastAsia="宋体" w:hint="default"/>
          <w:spacing w:val="-2"/>
        </w:rPr>
        <w:t>11.26</w:t>
      </w:r>
      <w:r>
        <w:rPr>
          <w:spacing w:val="-2"/>
        </w:rPr>
        <w:t>元</w:t>
      </w:r>
      <w:r>
        <w:rPr>
          <w:rFonts w:ascii="宋体" w:hAnsi="宋体" w:cs="宋体" w:eastAsia="宋体" w:hint="default"/>
          <w:spacing w:val="-2"/>
        </w:rPr>
        <w:t>/</w:t>
      </w:r>
      <w:r>
        <w:rPr>
          <w:spacing w:val="-2"/>
        </w:rPr>
        <w:t>股，回购金额</w:t>
      </w:r>
      <w:r>
        <w:rPr>
          <w:rFonts w:ascii="宋体" w:hAnsi="宋体" w:cs="宋体" w:eastAsia="宋体" w:hint="default"/>
          <w:spacing w:val="-2"/>
        </w:rPr>
        <w:t>5,115,418.00</w:t>
      </w:r>
      <w:r>
        <w:rPr>
          <w:spacing w:val="-2"/>
        </w:rPr>
        <w:t>元，减少股本</w:t>
      </w:r>
      <w:r>
        <w:rPr>
          <w:rFonts w:ascii="宋体" w:hAnsi="宋体" w:cs="宋体" w:eastAsia="宋体" w:hint="default"/>
          <w:spacing w:val="-2"/>
        </w:rPr>
        <w:t>454,300.00</w:t>
      </w:r>
      <w:r>
        <w:rPr>
          <w:spacing w:val="-2"/>
        </w:rPr>
        <w:t>元，</w:t>
      </w:r>
      <w:r>
        <w:rPr>
          <w:spacing w:val="-81"/>
        </w:rPr>
        <w:t> </w:t>
      </w:r>
      <w:r>
        <w:rPr/>
        <w:t>合计减少股本</w:t>
      </w:r>
      <w:r>
        <w:rPr>
          <w:rFonts w:ascii="宋体" w:hAnsi="宋体" w:cs="宋体" w:eastAsia="宋体" w:hint="default"/>
        </w:rPr>
        <w:t>3,828,300.00</w:t>
      </w:r>
      <w:r>
        <w:rPr/>
        <w:t>元。</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931,551,841.25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38,024,862.79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921,310,978.46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27,874,798.12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43,110,075.00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70,984,873.12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959,426,639.37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70,894,075.00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38,024,862.79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992,295,851.58</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357" w:lineRule="auto" w:before="148"/>
        <w:ind w:right="1128" w:firstLine="480"/>
        <w:jc w:val="both"/>
      </w:pPr>
      <w:r>
        <w:rPr>
          <w:spacing w:val="-7"/>
        </w:rPr>
        <w:t>注：</w:t>
      </w:r>
      <w:r>
        <w:rPr>
          <w:rFonts w:ascii="宋体" w:hAnsi="宋体" w:cs="宋体" w:eastAsia="宋体" w:hint="default"/>
          <w:spacing w:val="-7"/>
        </w:rPr>
        <w:t>2018 </w:t>
      </w:r>
      <w:r>
        <w:rPr/>
        <w:t>年 </w:t>
      </w:r>
      <w:r>
        <w:rPr>
          <w:rFonts w:ascii="宋体" w:hAnsi="宋体" w:cs="宋体" w:eastAsia="宋体" w:hint="default"/>
        </w:rPr>
        <w:t>12 </w:t>
      </w:r>
      <w:r>
        <w:rPr/>
        <w:t>月 </w:t>
      </w:r>
      <w:r>
        <w:rPr>
          <w:rFonts w:ascii="宋体" w:hAnsi="宋体" w:cs="宋体" w:eastAsia="宋体" w:hint="default"/>
        </w:rPr>
        <w:t>18</w:t>
      </w:r>
      <w:r>
        <w:rPr>
          <w:rFonts w:ascii="宋体" w:hAnsi="宋体" w:cs="宋体" w:eastAsia="宋体" w:hint="default"/>
          <w:spacing w:val="-33"/>
        </w:rPr>
        <w:t> </w:t>
      </w:r>
      <w:r>
        <w:rPr/>
        <w:t>日，公司第四届董事会第一次会议和第四届监事会第一次会议审 </w:t>
      </w:r>
      <w:r>
        <w:rPr>
          <w:spacing w:val="-7"/>
        </w:rPr>
        <w:t>议通过了《关于向激励对象授予股票期权与限制性股票的议案》。向</w:t>
      </w:r>
      <w:r>
        <w:rPr>
          <w:rFonts w:ascii="宋体" w:hAnsi="宋体" w:cs="宋体" w:eastAsia="宋体" w:hint="default"/>
          <w:spacing w:val="-7"/>
        </w:rPr>
        <w:t>214</w:t>
      </w:r>
      <w:r>
        <w:rPr>
          <w:spacing w:val="-7"/>
        </w:rPr>
        <w:t>名激励对象授予</w:t>
      </w:r>
      <w:r>
        <w:rPr>
          <w:rFonts w:ascii="宋体" w:hAnsi="宋体" w:cs="宋体" w:eastAsia="宋体" w:hint="default"/>
          <w:spacing w:val="-7"/>
        </w:rPr>
        <w:t>630.00</w:t>
      </w:r>
      <w:r>
        <w:rPr>
          <w:rFonts w:ascii="宋体" w:hAnsi="宋体" w:cs="宋体" w:eastAsia="宋体" w:hint="default"/>
        </w:rPr>
        <w:t> </w:t>
      </w:r>
      <w:r>
        <w:rPr>
          <w:spacing w:val="-2"/>
        </w:rPr>
        <w:t>万股限制性股票，每股</w:t>
      </w:r>
      <w:r>
        <w:rPr>
          <w:rFonts w:ascii="宋体" w:hAnsi="宋体" w:cs="宋体" w:eastAsia="宋体" w:hint="default"/>
          <w:spacing w:val="-2"/>
        </w:rPr>
        <w:t>5.6</w:t>
      </w:r>
      <w:r>
        <w:rPr>
          <w:spacing w:val="-2"/>
        </w:rPr>
        <w:t>元。在授予日之后的资金缴纳、股份登记过程中，有</w:t>
      </w:r>
      <w:r>
        <w:rPr>
          <w:rFonts w:ascii="宋体" w:hAnsi="宋体" w:cs="宋体" w:eastAsia="宋体" w:hint="default"/>
          <w:spacing w:val="-2"/>
        </w:rPr>
        <w:t>11</w:t>
      </w:r>
      <w:r>
        <w:rPr>
          <w:spacing w:val="-2"/>
        </w:rPr>
        <w:t>名激励对象</w:t>
      </w:r>
      <w:r>
        <w:rPr>
          <w:spacing w:val="-115"/>
        </w:rPr>
        <w:t> </w:t>
      </w:r>
      <w:r>
        <w:rPr>
          <w:spacing w:val="-2"/>
        </w:rPr>
        <w:t>因个人原因自动放弃认购其对应的限制性股票</w:t>
      </w:r>
      <w:r>
        <w:rPr>
          <w:rFonts w:ascii="宋体" w:hAnsi="宋体" w:cs="宋体" w:eastAsia="宋体" w:hint="default"/>
          <w:spacing w:val="-2"/>
        </w:rPr>
        <w:t>26.00</w:t>
      </w:r>
      <w:r>
        <w:rPr>
          <w:spacing w:val="-2"/>
        </w:rPr>
        <w:t>万股，因而公司本次限制性股票实际授予</w:t>
      </w:r>
      <w:r>
        <w:rPr>
          <w:spacing w:val="-115"/>
        </w:rPr>
        <w:t> </w:t>
      </w:r>
      <w:r>
        <w:rPr>
          <w:spacing w:val="-115"/>
        </w:rPr>
      </w:r>
      <w:r>
        <w:rPr>
          <w:spacing w:val="10"/>
        </w:rPr>
        <w:t>对象为</w:t>
      </w:r>
      <w:r>
        <w:rPr>
          <w:rFonts w:ascii="宋体" w:hAnsi="宋体" w:cs="宋体" w:eastAsia="宋体" w:hint="default"/>
          <w:spacing w:val="10"/>
        </w:rPr>
        <w:t>203</w:t>
      </w:r>
      <w:r>
        <w:rPr>
          <w:spacing w:val="10"/>
        </w:rPr>
        <w:t>人，实际授予数量为</w:t>
      </w:r>
      <w:r>
        <w:rPr>
          <w:rFonts w:ascii="宋体" w:hAnsi="宋体" w:cs="宋体" w:eastAsia="宋体" w:hint="default"/>
          <w:spacing w:val="10"/>
        </w:rPr>
        <w:t>604.00</w:t>
      </w:r>
      <w:r>
        <w:rPr>
          <w:spacing w:val="10"/>
        </w:rPr>
        <w:t>万股，金额合计</w:t>
      </w:r>
      <w:r>
        <w:rPr>
          <w:rFonts w:ascii="宋体" w:hAnsi="宋体" w:cs="宋体" w:eastAsia="宋体" w:hint="default"/>
          <w:spacing w:val="10"/>
        </w:rPr>
        <w:t>33,824,000.00</w:t>
      </w:r>
      <w:r>
        <w:rPr>
          <w:spacing w:val="10"/>
        </w:rPr>
        <w:t>元，增加资本公积</w:t>
      </w:r>
      <w:r>
        <w:rPr>
          <w:spacing w:val="-113"/>
        </w:rPr>
        <w:t> </w:t>
      </w:r>
      <w:r>
        <w:rPr>
          <w:spacing w:val="-113"/>
        </w:rPr>
      </w:r>
      <w:r>
        <w:rPr>
          <w:rFonts w:ascii="宋体" w:hAnsi="宋体" w:cs="宋体" w:eastAsia="宋体" w:hint="default"/>
        </w:rPr>
        <w:t>27,784,000.00</w:t>
      </w:r>
      <w:r>
        <w:rPr/>
        <w:t>元。</w:t>
      </w:r>
    </w:p>
    <w:p>
      <w:pPr>
        <w:pStyle w:val="BodyText"/>
        <w:spacing w:line="357" w:lineRule="auto"/>
        <w:ind w:left="633" w:right="1117"/>
        <w:jc w:val="left"/>
      </w:pPr>
      <w:r>
        <w:rPr/>
        <w:t>收购北京数字智通科技有限公司少数股权，冲减资本公积</w:t>
      </w:r>
      <w:r>
        <w:rPr>
          <w:rFonts w:ascii="宋体" w:hAnsi="宋体" w:cs="宋体" w:eastAsia="宋体" w:hint="default"/>
        </w:rPr>
        <w:t>1,749,364.79</w:t>
      </w:r>
      <w:r>
        <w:rPr/>
        <w:t>元。 </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日，公司召开第四届董事会第二次会议审议通过了《关于回购注销部分限制</w:t>
      </w:r>
    </w:p>
    <w:p>
      <w:pPr>
        <w:pStyle w:val="BodyText"/>
        <w:spacing w:line="357" w:lineRule="auto"/>
        <w:ind w:right="1129"/>
        <w:jc w:val="both"/>
      </w:pPr>
      <w:r>
        <w:rPr>
          <w:spacing w:val="-6"/>
        </w:rPr>
        <w:t>性股票的议案》，因公司</w:t>
      </w:r>
      <w:r>
        <w:rPr>
          <w:spacing w:val="-16"/>
        </w:rPr>
        <w:t> </w:t>
      </w:r>
      <w:r>
        <w:rPr>
          <w:rFonts w:ascii="宋体" w:hAnsi="宋体" w:cs="宋体" w:eastAsia="宋体" w:hint="default"/>
        </w:rPr>
        <w:t>2018</w:t>
      </w:r>
      <w:r>
        <w:rPr/>
        <w:t>年经营业绩未能达到限制性股票第三个解锁期的解锁条件，同 时 </w:t>
      </w:r>
      <w:r>
        <w:rPr>
          <w:rFonts w:ascii="宋体" w:hAnsi="宋体" w:cs="宋体" w:eastAsia="宋体" w:hint="default"/>
        </w:rPr>
        <w:t>9</w:t>
      </w:r>
      <w:r>
        <w:rPr>
          <w:rFonts w:ascii="宋体" w:hAnsi="宋体" w:cs="宋体" w:eastAsia="宋体" w:hint="default"/>
          <w:spacing w:val="30"/>
        </w:rPr>
        <w:t> </w:t>
      </w:r>
      <w:r>
        <w:rPr>
          <w:spacing w:val="-3"/>
        </w:rPr>
        <w:t>名激励对象因个人原因离职，已不符合激励对象条件，议案决定公司回购注销第三期的</w:t>
      </w:r>
      <w:r>
        <w:rPr/>
        <w:t> </w:t>
      </w:r>
      <w:r>
        <w:rPr>
          <w:spacing w:val="-2"/>
        </w:rPr>
        <w:t>全部限制性股票</w:t>
      </w:r>
      <w:r>
        <w:rPr>
          <w:rFonts w:ascii="宋体" w:hAnsi="宋体" w:cs="宋体" w:eastAsia="宋体" w:hint="default"/>
          <w:spacing w:val="-2"/>
        </w:rPr>
        <w:t>371.28</w:t>
      </w:r>
      <w:r>
        <w:rPr>
          <w:spacing w:val="-2"/>
        </w:rPr>
        <w:t>万股和已离职激励对象尚未解锁的限制性股票</w:t>
      </w:r>
      <w:r>
        <w:rPr>
          <w:rFonts w:ascii="宋体" w:hAnsi="宋体" w:cs="宋体" w:eastAsia="宋体" w:hint="default"/>
          <w:spacing w:val="-2"/>
        </w:rPr>
        <w:t>11.55</w:t>
      </w:r>
      <w:r>
        <w:rPr>
          <w:spacing w:val="-2"/>
        </w:rPr>
        <w:t>万股，回购注销股</w:t>
      </w:r>
      <w:r>
        <w:rPr>
          <w:spacing w:val="-109"/>
        </w:rPr>
        <w:t> </w:t>
      </w:r>
      <w:r>
        <w:rPr>
          <w:spacing w:val="-109"/>
        </w:rPr>
      </w:r>
      <w:r>
        <w:rPr/>
        <w:t>票共计</w:t>
      </w:r>
      <w:r>
        <w:rPr>
          <w:rFonts w:ascii="宋体" w:hAnsi="宋体" w:cs="宋体" w:eastAsia="宋体" w:hint="default"/>
        </w:rPr>
        <w:t>382.83</w:t>
      </w:r>
      <w:r>
        <w:rPr/>
        <w:t>万股。本次激励计划首批授予的限制性股票回购</w:t>
      </w:r>
      <w:r>
        <w:rPr>
          <w:rFonts w:ascii="宋体" w:hAnsi="宋体" w:cs="宋体" w:eastAsia="宋体" w:hint="default"/>
        </w:rPr>
        <w:t>3,374,000.00</w:t>
      </w:r>
      <w:r>
        <w:rPr/>
        <w:t>股，回购价格为</w:t>
      </w:r>
      <w:r>
        <w:rPr>
          <w:spacing w:val="-86"/>
        </w:rPr>
        <w:t> </w:t>
      </w:r>
      <w:r>
        <w:rPr>
          <w:spacing w:val="-86"/>
        </w:rPr>
      </w:r>
      <w:r>
        <w:rPr>
          <w:rFonts w:ascii="宋体" w:hAnsi="宋体" w:cs="宋体" w:eastAsia="宋体" w:hint="default"/>
          <w:spacing w:val="-2"/>
        </w:rPr>
        <w:t>10.37</w:t>
      </w:r>
      <w:r>
        <w:rPr>
          <w:spacing w:val="-2"/>
        </w:rPr>
        <w:t>元</w:t>
      </w:r>
      <w:r>
        <w:rPr>
          <w:rFonts w:ascii="宋体" w:hAnsi="宋体" w:cs="宋体" w:eastAsia="宋体" w:hint="default"/>
          <w:spacing w:val="-2"/>
        </w:rPr>
        <w:t>/</w:t>
      </w:r>
      <w:r>
        <w:rPr>
          <w:spacing w:val="-2"/>
        </w:rPr>
        <w:t>股，回购金额</w:t>
      </w:r>
      <w:r>
        <w:rPr>
          <w:rFonts w:ascii="宋体" w:hAnsi="宋体" w:cs="宋体" w:eastAsia="宋体" w:hint="default"/>
          <w:spacing w:val="-2"/>
        </w:rPr>
        <w:t>34,988,380.00</w:t>
      </w:r>
      <w:r>
        <w:rPr>
          <w:spacing w:val="-2"/>
        </w:rPr>
        <w:t>元，减少股本</w:t>
      </w:r>
      <w:r>
        <w:rPr>
          <w:rFonts w:ascii="宋体" w:hAnsi="宋体" w:cs="宋体" w:eastAsia="宋体" w:hint="default"/>
          <w:spacing w:val="-2"/>
        </w:rPr>
        <w:t>3,374,000.00</w:t>
      </w:r>
      <w:r>
        <w:rPr>
          <w:spacing w:val="-2"/>
        </w:rPr>
        <w:t>元。预留部分的限制性股票</w:t>
      </w:r>
    </w:p>
    <w:p>
      <w:pPr>
        <w:pStyle w:val="BodyText"/>
        <w:spacing w:line="357" w:lineRule="auto"/>
        <w:ind w:right="986"/>
        <w:jc w:val="left"/>
      </w:pPr>
      <w:r>
        <w:rPr>
          <w:rFonts w:ascii="宋体" w:hAnsi="宋体" w:cs="宋体" w:eastAsia="宋体" w:hint="default"/>
          <w:spacing w:val="-2"/>
        </w:rPr>
        <w:t>454,300.00</w:t>
      </w:r>
      <w:r>
        <w:rPr>
          <w:spacing w:val="-2"/>
        </w:rPr>
        <w:t>股，回购价格为</w:t>
      </w:r>
      <w:r>
        <w:rPr>
          <w:rFonts w:ascii="宋体" w:hAnsi="宋体" w:cs="宋体" w:eastAsia="宋体" w:hint="default"/>
          <w:spacing w:val="-2"/>
        </w:rPr>
        <w:t>11.26</w:t>
      </w:r>
      <w:r>
        <w:rPr>
          <w:spacing w:val="-2"/>
        </w:rPr>
        <w:t>元</w:t>
      </w:r>
      <w:r>
        <w:rPr>
          <w:rFonts w:ascii="宋体" w:hAnsi="宋体" w:cs="宋体" w:eastAsia="宋体" w:hint="default"/>
          <w:spacing w:val="-2"/>
        </w:rPr>
        <w:t>/</w:t>
      </w:r>
      <w:r>
        <w:rPr>
          <w:spacing w:val="-2"/>
        </w:rPr>
        <w:t>股，回购金额</w:t>
      </w:r>
      <w:r>
        <w:rPr>
          <w:rFonts w:ascii="宋体" w:hAnsi="宋体" w:cs="宋体" w:eastAsia="宋体" w:hint="default"/>
          <w:spacing w:val="-2"/>
        </w:rPr>
        <w:t>5,115,418.00</w:t>
      </w:r>
      <w:r>
        <w:rPr>
          <w:spacing w:val="-2"/>
        </w:rPr>
        <w:t>元，减少股本</w:t>
      </w:r>
      <w:r>
        <w:rPr>
          <w:rFonts w:ascii="宋体" w:hAnsi="宋体" w:cs="宋体" w:eastAsia="宋体" w:hint="default"/>
          <w:spacing w:val="-2"/>
        </w:rPr>
        <w:t>454,300.00</w:t>
      </w:r>
      <w:r>
        <w:rPr>
          <w:spacing w:val="-2"/>
        </w:rPr>
        <w:t>元，</w:t>
      </w:r>
      <w:r>
        <w:rPr>
          <w:spacing w:val="-81"/>
        </w:rPr>
        <w:t> </w:t>
      </w:r>
      <w:r>
        <w:rPr/>
        <w:t>合计减少股本</w:t>
      </w:r>
      <w:r>
        <w:rPr>
          <w:rFonts w:ascii="宋体" w:hAnsi="宋体" w:cs="宋体" w:eastAsia="宋体" w:hint="default"/>
        </w:rPr>
        <w:t>3,828,300.00</w:t>
      </w:r>
      <w:r>
        <w:rPr/>
        <w:t>元。根据《企业会计准则第</w:t>
      </w:r>
      <w:r>
        <w:rPr>
          <w:rFonts w:ascii="宋体" w:hAnsi="宋体" w:cs="宋体" w:eastAsia="宋体" w:hint="default"/>
        </w:rPr>
        <w:t>11</w:t>
      </w:r>
      <w:r>
        <w:rPr/>
        <w:t>号——股份支付》应用指南规定：</w:t>
      </w:r>
      <w:r>
        <w:rPr>
          <w:spacing w:val="-92"/>
        </w:rPr>
        <w:t> </w:t>
      </w:r>
      <w:r>
        <w:rPr>
          <w:spacing w:val="-92"/>
        </w:rPr>
      </w:r>
      <w:r>
        <w:rPr/>
        <w:t>“等待期内每个资产负债表日，企业应当根据最新取得的可行权职工人数变动等后续信息做</w:t>
      </w:r>
      <w:r>
        <w:rPr>
          <w:spacing w:val="-91"/>
        </w:rPr>
        <w:t> </w:t>
      </w:r>
      <w:r>
        <w:rPr>
          <w:spacing w:val="-91"/>
        </w:rPr>
      </w:r>
      <w:r>
        <w:rPr/>
        <w:t>出最佳估计，修正预计可行权的权益工具数量。在可行权日，最终预计可行权权益工具的数</w:t>
      </w:r>
      <w:r>
        <w:rPr>
          <w:spacing w:val="-87"/>
        </w:rPr>
        <w:t> </w:t>
      </w:r>
      <w:r>
        <w:rPr>
          <w:spacing w:val="-87"/>
        </w:rPr>
      </w:r>
      <w:r>
        <w:rPr/>
        <w:t>量应当与实际可行权工具的数量一致。根据上述权益工具的公允价值和预计可行权的权益工</w:t>
      </w:r>
      <w:r>
        <w:rPr>
          <w:spacing w:val="-91"/>
        </w:rPr>
        <w:t> </w:t>
      </w:r>
      <w:r>
        <w:rPr>
          <w:spacing w:val="-91"/>
        </w:rPr>
      </w:r>
      <w:r>
        <w:rPr/>
        <w:t>具数量，计算截止当期累计应确认的成本费用金额，再减去前期累计已确认金额，作为当期</w:t>
      </w:r>
    </w:p>
    <w:p>
      <w:pPr>
        <w:spacing w:after="0" w:line="357" w:lineRule="auto"/>
        <w:jc w:val="left"/>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04"/>
        <w:jc w:val="left"/>
      </w:pPr>
      <w:r>
        <w:rPr>
          <w:spacing w:val="18"/>
        </w:rPr>
        <w:t>应确认的成本费用金额。</w:t>
      </w:r>
      <w:r>
        <w:rPr>
          <w:spacing w:val="-95"/>
        </w:rPr>
        <w:t> </w:t>
      </w:r>
      <w:r>
        <w:rPr>
          <w:rFonts w:ascii="宋体" w:hAnsi="宋体" w:cs="宋体" w:eastAsia="宋体" w:hint="default"/>
        </w:rPr>
        <w:t>2019</w:t>
      </w:r>
      <w:r>
        <w:rPr>
          <w:rFonts w:ascii="宋体" w:hAnsi="宋体" w:cs="宋体" w:eastAsia="宋体" w:hint="default"/>
          <w:spacing w:val="-96"/>
        </w:rPr>
        <w:t> </w:t>
      </w:r>
      <w:r>
        <w:rPr>
          <w:spacing w:val="18"/>
        </w:rPr>
        <w:t>年确认管理费用为</w:t>
      </w:r>
      <w:r>
        <w:rPr>
          <w:spacing w:val="-94"/>
        </w:rPr>
        <w:t> </w:t>
      </w:r>
      <w:r>
        <w:rPr>
          <w:rFonts w:ascii="宋体" w:hAnsi="宋体" w:cs="宋体" w:eastAsia="宋体" w:hint="default"/>
        </w:rPr>
        <w:t>43,110,075.00</w:t>
      </w:r>
      <w:r>
        <w:rPr>
          <w:rFonts w:ascii="宋体" w:hAnsi="宋体" w:cs="宋体" w:eastAsia="宋体" w:hint="default"/>
          <w:spacing w:val="-96"/>
        </w:rPr>
        <w:t> </w:t>
      </w:r>
      <w:r>
        <w:rPr>
          <w:spacing w:val="18"/>
        </w:rPr>
        <w:t>元，增加其他资本公积</w:t>
      </w:r>
      <w:r>
        <w:rPr>
          <w:spacing w:val="-117"/>
        </w:rPr>
        <w:t> </w:t>
      </w:r>
      <w:r>
        <w:rPr>
          <w:spacing w:val="-117"/>
        </w:rPr>
      </w:r>
      <w:r>
        <w:rPr>
          <w:rFonts w:ascii="宋体" w:hAnsi="宋体" w:cs="宋体" w:eastAsia="宋体" w:hint="default"/>
        </w:rPr>
        <w:t>43,110,075.00</w:t>
      </w:r>
      <w:r>
        <w:rPr/>
        <w:t>元。</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限制性股票未到解锁期 股份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40,103,798.00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33,824,000.00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40,103,798.00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33,824,000.00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40,103,798.00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40,103,798.00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33,824,000.00</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89,409,728.83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7,198,893.20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96,608,622.03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89,409,728.83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7,198,893.20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96,608,622.03</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146"/>
        <w:ind w:left="633" w:right="1104"/>
        <w:jc w:val="left"/>
      </w:pPr>
      <w:r>
        <w:rPr/>
        <w:t>因会计政策变更，期初余额与报表上年年末余额的差异为</w:t>
      </w:r>
      <w:r>
        <w:rPr>
          <w:rFonts w:ascii="宋体" w:hAnsi="宋体" w:cs="宋体" w:eastAsia="宋体" w:hint="default"/>
        </w:rPr>
        <w:t>1,183,032.45 </w:t>
      </w:r>
      <w:r>
        <w:rPr/>
        <w:t>元。</w:t>
      </w:r>
    </w:p>
    <w:p>
      <w:pPr>
        <w:spacing w:line="240" w:lineRule="auto" w:before="10"/>
        <w:rPr>
          <w:rFonts w:ascii="宋体" w:hAnsi="宋体" w:cs="宋体" w:eastAsia="宋体" w:hint="default"/>
          <w:sz w:val="30"/>
          <w:szCs w:val="30"/>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739,220,638.21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646,735,486.13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22,810,540.36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762,031,178.57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646,735,486.13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130,702,321.60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117,186,570.99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7,198,893.20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11,964,907.10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对所有者的分配</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12,795,328.39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12,736,511.81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872,739,278.58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739,220,638.21</w:t>
            </w:r>
          </w:p>
        </w:tc>
      </w:tr>
    </w:tbl>
    <w:p>
      <w:pPr>
        <w:spacing w:line="360" w:lineRule="auto" w:before="49"/>
        <w:ind w:left="152" w:right="6031"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22,810,540.36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18"/>
          <w:szCs w:val="18"/>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57.240002pt;margin-top:237.139984pt;width:18.05pt;height:.1pt;mso-position-horizontal-relative:page;mso-position-vertical-relative:page;z-index:-1045672" coordorigin="1145,4743" coordsize="361,2">
            <v:shape style="position:absolute;left:1145;top:4743;width:361;height:2" coordorigin="1145,4743" coordsize="361,0" path="m1145,4743l1505,4743e" filled="false" stroked="true" strokeweight=".48pt" strokecolor="#000000">
              <v:path arrowok="t"/>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1,249,475,027.48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839,472,386.75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1,280,570,554.37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911,933,683.20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8,063,922.06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4,200,329.82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8,244,966.25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6,317,175.15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1,257,538,949.54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843,672,716.57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1,288,815,520.62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918,250,858.35</w:t>
            </w:r>
          </w:p>
        </w:tc>
      </w:tr>
    </w:tbl>
    <w:tbl>
      <w:tblPr>
        <w:tblW w:w="0" w:type="auto"/>
        <w:jc w:val="left"/>
        <w:tblInd w:w="117" w:type="dxa"/>
        <w:tblLayout w:type="fixed"/>
        <w:tblCellMar>
          <w:top w:w="0" w:type="dxa"/>
          <w:left w:w="0" w:type="dxa"/>
          <w:bottom w:w="0" w:type="dxa"/>
          <w:right w:w="0" w:type="dxa"/>
        </w:tblCellMar>
        <w:tblLook w:val="01E0"/>
      </w:tblPr>
      <w:tblGrid>
        <w:gridCol w:w="2524"/>
        <w:gridCol w:w="2043"/>
        <w:gridCol w:w="3010"/>
        <w:gridCol w:w="529"/>
        <w:gridCol w:w="756"/>
      </w:tblGrid>
      <w:tr>
        <w:trPr>
          <w:trHeight w:val="722" w:hRule="exact"/>
        </w:trPr>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pStyle w:val="TableParagraph"/>
              <w:spacing w:line="240" w:lineRule="auto" w:before="11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tc>
        <w:tc>
          <w:tcPr>
            <w:tcW w:w="6337" w:type="dxa"/>
            <w:gridSpan w:val="4"/>
            <w:vMerge w:val="restart"/>
            <w:tcBorders>
              <w:top w:val="nil" w:sz="6" w:space="0" w:color="auto"/>
              <w:left w:val="nil" w:sz="6" w:space="0" w:color="auto"/>
              <w:right w:val="nil" w:sz="6" w:space="0" w:color="auto"/>
            </w:tcBorders>
          </w:tcPr>
          <w:p>
            <w:pPr/>
          </w:p>
        </w:tc>
      </w:tr>
      <w:tr>
        <w:trPr>
          <w:trHeight w:val="342" w:hRule="exact"/>
        </w:trPr>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其他说明</w:t>
            </w:r>
          </w:p>
        </w:tc>
        <w:tc>
          <w:tcPr>
            <w:tcW w:w="6337" w:type="dxa"/>
            <w:gridSpan w:val="4"/>
            <w:vMerge/>
            <w:tcBorders>
              <w:left w:val="nil" w:sz="6" w:space="0" w:color="auto"/>
              <w:right w:val="nil" w:sz="6" w:space="0" w:color="auto"/>
            </w:tcBorders>
          </w:tcPr>
          <w:p>
            <w:pPr/>
          </w:p>
        </w:tc>
      </w:tr>
      <w:tr>
        <w:trPr>
          <w:trHeight w:val="348" w:hRule="exact"/>
        </w:trPr>
        <w:tc>
          <w:tcPr>
            <w:tcW w:w="2524" w:type="dxa"/>
            <w:tcBorders>
              <w:top w:val="nil" w:sz="6" w:space="0" w:color="auto"/>
              <w:left w:val="nil" w:sz="6" w:space="0" w:color="auto"/>
              <w:bottom w:val="single" w:sz="6" w:space="0" w:color="000000"/>
              <w:right w:val="nil" w:sz="6" w:space="0" w:color="auto"/>
            </w:tcBorders>
          </w:tcPr>
          <w:p>
            <w:pPr>
              <w:pStyle w:val="TableParagraph"/>
              <w:spacing w:line="240" w:lineRule="auto" w:before="16"/>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营业收入整体情况</w:t>
            </w:r>
          </w:p>
        </w:tc>
        <w:tc>
          <w:tcPr>
            <w:tcW w:w="6337" w:type="dxa"/>
            <w:gridSpan w:val="4"/>
            <w:vMerge/>
            <w:tcBorders>
              <w:left w:val="nil" w:sz="6" w:space="0" w:color="auto"/>
              <w:bottom w:val="single" w:sz="6" w:space="0" w:color="000000"/>
              <w:right w:val="nil" w:sz="6" w:space="0" w:color="auto"/>
            </w:tcBorders>
          </w:tcPr>
          <w:p>
            <w:pPr/>
          </w:p>
        </w:tc>
      </w:tr>
      <w:tr>
        <w:trPr>
          <w:trHeight w:val="346"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053" w:type="dxa"/>
            <w:gridSpan w:val="2"/>
            <w:tcBorders>
              <w:top w:val="single" w:sz="6" w:space="0" w:color="000000"/>
              <w:left w:val="nil" w:sz="6" w:space="0" w:color="auto"/>
              <w:bottom w:val="single" w:sz="6" w:space="0" w:color="000000"/>
              <w:right w:val="nil" w:sz="6" w:space="0" w:color="auto"/>
            </w:tcBorders>
          </w:tcPr>
          <w:p>
            <w:pPr>
              <w:pStyle w:val="TableParagraph"/>
              <w:tabs>
                <w:tab w:pos="3399" w:val="left" w:leader="none"/>
              </w:tabs>
              <w:spacing w:line="240" w:lineRule="auto" w:before="17"/>
              <w:ind w:left="869" w:right="0"/>
              <w:jc w:val="left"/>
              <w:rPr>
                <w:rFonts w:ascii="宋体" w:hAnsi="宋体" w:cs="宋体" w:eastAsia="宋体" w:hint="default"/>
                <w:sz w:val="18"/>
                <w:szCs w:val="18"/>
              </w:rPr>
            </w:pPr>
            <w:r>
              <w:rPr>
                <w:rFonts w:ascii="宋体" w:hAnsi="宋体" w:cs="宋体" w:eastAsia="宋体" w:hint="default"/>
                <w:sz w:val="18"/>
                <w:szCs w:val="18"/>
              </w:rPr>
              <w:t>本期发生额</w:t>
              <w:tab/>
              <w:t>上期发生额</w:t>
            </w:r>
          </w:p>
        </w:tc>
        <w:tc>
          <w:tcPr>
            <w:tcW w:w="529" w:type="dxa"/>
            <w:tcBorders>
              <w:top w:val="single" w:sz="6" w:space="0" w:color="000000"/>
              <w:left w:val="nil" w:sz="6" w:space="0" w:color="auto"/>
              <w:bottom w:val="nil" w:sz="6" w:space="0" w:color="auto"/>
              <w:right w:val="nil" w:sz="6" w:space="0" w:color="auto"/>
            </w:tcBorders>
          </w:tcPr>
          <w:p>
            <w:pPr/>
          </w:p>
        </w:tc>
        <w:tc>
          <w:tcPr>
            <w:tcW w:w="756" w:type="dxa"/>
            <w:tcBorders>
              <w:top w:val="single" w:sz="6" w:space="0" w:color="000000"/>
              <w:left w:val="nil" w:sz="6" w:space="0" w:color="auto"/>
              <w:bottom w:val="single" w:sz="4" w:space="0" w:color="000000"/>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0" w:hRule="exact"/>
        </w:trPr>
        <w:tc>
          <w:tcPr>
            <w:tcW w:w="2524" w:type="dxa"/>
            <w:tcBorders>
              <w:top w:val="single" w:sz="6" w:space="0" w:color="000000"/>
              <w:left w:val="nil" w:sz="6" w:space="0" w:color="auto"/>
              <w:bottom w:val="nil" w:sz="6" w:space="0" w:color="auto"/>
              <w:right w:val="nil" w:sz="6" w:space="0" w:color="auto"/>
            </w:tcBorders>
          </w:tcPr>
          <w:p>
            <w:pPr/>
          </w:p>
        </w:tc>
        <w:tc>
          <w:tcPr>
            <w:tcW w:w="5053" w:type="dxa"/>
            <w:gridSpan w:val="2"/>
            <w:tcBorders>
              <w:top w:val="single" w:sz="6" w:space="0" w:color="000000"/>
              <w:left w:val="nil" w:sz="6" w:space="0" w:color="auto"/>
              <w:bottom w:val="nil" w:sz="6" w:space="0" w:color="auto"/>
              <w:right w:val="nil" w:sz="6" w:space="0" w:color="auto"/>
            </w:tcBorders>
          </w:tcPr>
          <w:p>
            <w:pPr>
              <w:pStyle w:val="TableParagraph"/>
              <w:tabs>
                <w:tab w:pos="1654" w:val="left" w:leader="none"/>
                <w:tab w:pos="3437" w:val="left" w:leader="none"/>
                <w:tab w:pos="4143" w:val="left" w:leader="none"/>
              </w:tabs>
              <w:spacing w:line="240" w:lineRule="auto" w:before="20"/>
              <w:ind w:left="948" w:right="0"/>
              <w:jc w:val="left"/>
              <w:rPr>
                <w:rFonts w:ascii="宋体" w:hAnsi="宋体" w:cs="宋体" w:eastAsia="宋体" w:hint="default"/>
                <w:sz w:val="18"/>
                <w:szCs w:val="18"/>
              </w:rPr>
            </w:pPr>
            <w:r>
              <w:rPr>
                <w:rFonts w:ascii="宋体" w:hAnsi="宋体" w:cs="宋体" w:eastAsia="宋体" w:hint="default"/>
                <w:sz w:val="18"/>
                <w:szCs w:val="18"/>
              </w:rPr>
              <w:t>金额</w:t>
              <w:tab/>
              <w:t>占营业收入</w:t>
              <w:tab/>
              <w:t>金额</w:t>
              <w:tab/>
              <w:t>占营业收入</w:t>
            </w:r>
          </w:p>
        </w:tc>
        <w:tc>
          <w:tcPr>
            <w:tcW w:w="529" w:type="dxa"/>
            <w:tcBorders>
              <w:top w:val="nil" w:sz="6" w:space="0" w:color="auto"/>
              <w:left w:val="nil" w:sz="6" w:space="0" w:color="auto"/>
              <w:bottom w:val="nil" w:sz="6" w:space="0" w:color="auto"/>
              <w:right w:val="nil" w:sz="6" w:space="0" w:color="auto"/>
            </w:tcBorders>
          </w:tcPr>
          <w:p>
            <w:pPr/>
          </w:p>
        </w:tc>
        <w:tc>
          <w:tcPr>
            <w:tcW w:w="756" w:type="dxa"/>
            <w:tcBorders>
              <w:top w:val="single" w:sz="4" w:space="0" w:color="000000"/>
              <w:left w:val="nil" w:sz="6" w:space="0" w:color="auto"/>
              <w:bottom w:val="nil" w:sz="6" w:space="0" w:color="auto"/>
              <w:right w:val="nil" w:sz="6" w:space="0" w:color="auto"/>
            </w:tcBorders>
          </w:tcPr>
          <w:p>
            <w:pPr/>
          </w:p>
        </w:tc>
      </w:tr>
      <w:tr>
        <w:trPr>
          <w:trHeight w:val="331" w:hRule="exact"/>
        </w:trPr>
        <w:tc>
          <w:tcPr>
            <w:tcW w:w="2524" w:type="dxa"/>
            <w:tcBorders>
              <w:top w:val="nil" w:sz="6" w:space="0" w:color="auto"/>
              <w:left w:val="nil" w:sz="6" w:space="0" w:color="auto"/>
              <w:bottom w:val="single" w:sz="6" w:space="0" w:color="000000"/>
              <w:right w:val="nil" w:sz="6" w:space="0" w:color="auto"/>
            </w:tcBorders>
          </w:tcPr>
          <w:p>
            <w:pPr/>
          </w:p>
        </w:tc>
        <w:tc>
          <w:tcPr>
            <w:tcW w:w="5053" w:type="dxa"/>
            <w:gridSpan w:val="2"/>
            <w:tcBorders>
              <w:top w:val="nil" w:sz="6" w:space="0" w:color="auto"/>
              <w:left w:val="nil" w:sz="6" w:space="0" w:color="auto"/>
              <w:bottom w:val="single" w:sz="6" w:space="0" w:color="000000"/>
              <w:right w:val="nil" w:sz="6" w:space="0" w:color="auto"/>
            </w:tcBorders>
          </w:tcPr>
          <w:p>
            <w:pPr>
              <w:pStyle w:val="TableParagraph"/>
              <w:tabs>
                <w:tab w:pos="4683" w:val="left" w:leader="none"/>
              </w:tabs>
              <w:spacing w:line="240" w:lineRule="auto" w:before="10"/>
              <w:ind w:left="2194" w:right="0"/>
              <w:jc w:val="left"/>
              <w:rPr>
                <w:rFonts w:ascii="宋体" w:hAnsi="宋体" w:cs="宋体" w:eastAsia="宋体" w:hint="default"/>
                <w:sz w:val="18"/>
                <w:szCs w:val="18"/>
              </w:rPr>
            </w:pPr>
            <w:r>
              <w:rPr>
                <w:rFonts w:ascii="宋体" w:hAnsi="宋体" w:cs="宋体" w:eastAsia="宋体" w:hint="default"/>
                <w:sz w:val="18"/>
                <w:szCs w:val="18"/>
              </w:rPr>
              <w:t>比重</w:t>
              <w:tab/>
              <w:t>比重</w:t>
            </w:r>
          </w:p>
        </w:tc>
        <w:tc>
          <w:tcPr>
            <w:tcW w:w="529" w:type="dxa"/>
            <w:tcBorders>
              <w:top w:val="nil" w:sz="6" w:space="0" w:color="auto"/>
              <w:left w:val="nil" w:sz="6" w:space="0" w:color="auto"/>
              <w:bottom w:val="single" w:sz="6" w:space="0" w:color="000000"/>
              <w:right w:val="nil" w:sz="6" w:space="0" w:color="auto"/>
            </w:tcBorders>
          </w:tcPr>
          <w:p>
            <w:pPr/>
          </w:p>
        </w:tc>
        <w:tc>
          <w:tcPr>
            <w:tcW w:w="756" w:type="dxa"/>
            <w:tcBorders>
              <w:top w:val="nil" w:sz="6" w:space="0" w:color="auto"/>
              <w:left w:val="nil" w:sz="6" w:space="0" w:color="auto"/>
              <w:bottom w:val="single" w:sz="6" w:space="0" w:color="000000"/>
              <w:right w:val="nil" w:sz="6" w:space="0" w:color="auto"/>
            </w:tcBorders>
          </w:tcPr>
          <w:p>
            <w:pPr/>
          </w:p>
        </w:tc>
      </w:tr>
      <w:tr>
        <w:trPr>
          <w:trHeight w:val="336" w:hRule="exact"/>
        </w:trPr>
        <w:tc>
          <w:tcPr>
            <w:tcW w:w="2524"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5053" w:type="dxa"/>
            <w:gridSpan w:val="2"/>
            <w:tcBorders>
              <w:top w:val="single" w:sz="6" w:space="0" w:color="000000"/>
              <w:left w:val="nil" w:sz="6" w:space="0" w:color="auto"/>
              <w:bottom w:val="nil" w:sz="6" w:space="0" w:color="auto"/>
              <w:right w:val="nil" w:sz="6" w:space="0" w:color="auto"/>
            </w:tcBorders>
          </w:tcPr>
          <w:p>
            <w:pPr>
              <w:pStyle w:val="TableParagraph"/>
              <w:tabs>
                <w:tab w:pos="1908" w:val="left" w:leader="none"/>
                <w:tab w:pos="4397" w:val="left" w:leader="none"/>
              </w:tabs>
              <w:spacing w:line="240" w:lineRule="auto" w:before="60"/>
              <w:ind w:left="136" w:right="0"/>
              <w:jc w:val="left"/>
              <w:rPr>
                <w:rFonts w:ascii="Times New Roman" w:hAnsi="Times New Roman" w:cs="Times New Roman" w:eastAsia="Times New Roman" w:hint="default"/>
                <w:sz w:val="18"/>
                <w:szCs w:val="18"/>
              </w:rPr>
            </w:pPr>
            <w:r>
              <w:rPr>
                <w:rFonts w:ascii="Times New Roman"/>
                <w:spacing w:val="-1"/>
                <w:sz w:val="18"/>
              </w:rPr>
              <w:t>1,257,538,949.5</w:t>
              <w:tab/>
              <w:t>100.00%</w:t>
            </w:r>
            <w:r>
              <w:rPr>
                <w:rFonts w:ascii="Times New Roman"/>
                <w:spacing w:val="44"/>
                <w:sz w:val="18"/>
              </w:rPr>
              <w:t> </w:t>
            </w:r>
            <w:r>
              <w:rPr>
                <w:rFonts w:ascii="Times New Roman"/>
                <w:spacing w:val="-1"/>
                <w:sz w:val="18"/>
              </w:rPr>
              <w:t>1,288,815,520.6</w:t>
              <w:tab/>
              <w:t>100.00%</w:t>
            </w:r>
          </w:p>
        </w:tc>
        <w:tc>
          <w:tcPr>
            <w:tcW w:w="529" w:type="dxa"/>
            <w:tcBorders>
              <w:top w:val="single" w:sz="6" w:space="0" w:color="000000"/>
              <w:left w:val="nil" w:sz="6" w:space="0" w:color="auto"/>
              <w:bottom w:val="nil" w:sz="6" w:space="0" w:color="auto"/>
              <w:right w:val="nil" w:sz="6" w:space="0" w:color="auto"/>
            </w:tcBorders>
          </w:tcPr>
          <w:p>
            <w:pPr/>
          </w:p>
        </w:tc>
        <w:tc>
          <w:tcPr>
            <w:tcW w:w="756"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-2.43%</w:t>
            </w:r>
          </w:p>
        </w:tc>
      </w:tr>
      <w:tr>
        <w:trPr>
          <w:trHeight w:val="324" w:hRule="exact"/>
        </w:trPr>
        <w:tc>
          <w:tcPr>
            <w:tcW w:w="2524" w:type="dxa"/>
            <w:tcBorders>
              <w:top w:val="nil" w:sz="6" w:space="0" w:color="auto"/>
              <w:left w:val="nil" w:sz="6" w:space="0" w:color="auto"/>
              <w:bottom w:val="single" w:sz="6" w:space="0" w:color="000000"/>
              <w:right w:val="nil" w:sz="6" w:space="0" w:color="auto"/>
            </w:tcBorders>
          </w:tcPr>
          <w:p>
            <w:pPr/>
          </w:p>
        </w:tc>
        <w:tc>
          <w:tcPr>
            <w:tcW w:w="5053" w:type="dxa"/>
            <w:gridSpan w:val="2"/>
            <w:tcBorders>
              <w:top w:val="nil" w:sz="6" w:space="0" w:color="auto"/>
              <w:left w:val="nil" w:sz="6" w:space="0" w:color="auto"/>
              <w:bottom w:val="single" w:sz="6" w:space="0" w:color="000000"/>
              <w:right w:val="nil" w:sz="6" w:space="0" w:color="auto"/>
            </w:tcBorders>
          </w:tcPr>
          <w:p>
            <w:pPr>
              <w:pStyle w:val="TableParagraph"/>
              <w:tabs>
                <w:tab w:pos="3706" w:val="left" w:leader="none"/>
              </w:tabs>
              <w:spacing w:line="240" w:lineRule="auto" w:before="42"/>
              <w:ind w:left="1217" w:right="0"/>
              <w:jc w:val="left"/>
              <w:rPr>
                <w:rFonts w:ascii="Times New Roman" w:hAnsi="Times New Roman" w:cs="Times New Roman" w:eastAsia="Times New Roman" w:hint="default"/>
                <w:sz w:val="18"/>
                <w:szCs w:val="18"/>
              </w:rPr>
            </w:pPr>
            <w:r>
              <w:rPr>
                <w:rFonts w:ascii="Times New Roman"/>
                <w:sz w:val="18"/>
              </w:rPr>
              <w:t>4</w:t>
              <w:tab/>
              <w:t>2</w:t>
            </w:r>
          </w:p>
        </w:tc>
        <w:tc>
          <w:tcPr>
            <w:tcW w:w="529" w:type="dxa"/>
            <w:tcBorders>
              <w:top w:val="nil" w:sz="6" w:space="0" w:color="auto"/>
              <w:left w:val="nil" w:sz="6" w:space="0" w:color="auto"/>
              <w:bottom w:val="single" w:sz="6" w:space="0" w:color="000000"/>
              <w:right w:val="nil" w:sz="6" w:space="0" w:color="auto"/>
            </w:tcBorders>
          </w:tcPr>
          <w:p>
            <w:pPr/>
          </w:p>
        </w:tc>
        <w:tc>
          <w:tcPr>
            <w:tcW w:w="756" w:type="dxa"/>
            <w:tcBorders>
              <w:top w:val="nil" w:sz="6" w:space="0" w:color="auto"/>
              <w:left w:val="nil" w:sz="6" w:space="0" w:color="auto"/>
              <w:bottom w:val="single" w:sz="6" w:space="0" w:color="000000"/>
              <w:right w:val="nil" w:sz="6" w:space="0" w:color="auto"/>
            </w:tcBorders>
          </w:tcPr>
          <w:p>
            <w:pPr/>
          </w:p>
        </w:tc>
      </w:tr>
      <w:tr>
        <w:trPr>
          <w:trHeight w:val="346"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5053" w:type="dxa"/>
            <w:gridSpan w:val="2"/>
            <w:tcBorders>
              <w:top w:val="single" w:sz="6" w:space="0" w:color="000000"/>
              <w:left w:val="nil" w:sz="6" w:space="0" w:color="auto"/>
              <w:bottom w:val="single" w:sz="6" w:space="0" w:color="000000"/>
              <w:right w:val="nil" w:sz="6" w:space="0" w:color="auto"/>
            </w:tcBorders>
          </w:tcPr>
          <w:p>
            <w:pPr/>
          </w:p>
        </w:tc>
        <w:tc>
          <w:tcPr>
            <w:tcW w:w="529" w:type="dxa"/>
            <w:tcBorders>
              <w:top w:val="single" w:sz="6" w:space="0" w:color="000000"/>
              <w:left w:val="nil" w:sz="6" w:space="0" w:color="auto"/>
              <w:bottom w:val="single" w:sz="6" w:space="0" w:color="000000"/>
              <w:right w:val="nil" w:sz="6" w:space="0" w:color="auto"/>
            </w:tcBorders>
          </w:tcPr>
          <w:p>
            <w:pPr/>
          </w:p>
        </w:tc>
        <w:tc>
          <w:tcPr>
            <w:tcW w:w="756" w:type="dxa"/>
            <w:tcBorders>
              <w:top w:val="single" w:sz="6" w:space="0" w:color="000000"/>
              <w:left w:val="nil" w:sz="6" w:space="0" w:color="auto"/>
              <w:bottom w:val="single" w:sz="6" w:space="0" w:color="000000"/>
              <w:right w:val="nil" w:sz="6" w:space="0" w:color="auto"/>
            </w:tcBorders>
          </w:tcPr>
          <w:p>
            <w:pPr/>
          </w:p>
        </w:tc>
      </w:tr>
      <w:tr>
        <w:trPr>
          <w:trHeight w:val="339" w:hRule="exact"/>
        </w:trPr>
        <w:tc>
          <w:tcPr>
            <w:tcW w:w="2524"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智慧城市管理领域</w:t>
            </w:r>
          </w:p>
        </w:tc>
        <w:tc>
          <w:tcPr>
            <w:tcW w:w="5053" w:type="dxa"/>
            <w:gridSpan w:val="2"/>
            <w:tcBorders>
              <w:top w:val="single" w:sz="6" w:space="0" w:color="000000"/>
              <w:left w:val="nil" w:sz="6" w:space="0" w:color="auto"/>
              <w:bottom w:val="nil" w:sz="6" w:space="0" w:color="auto"/>
              <w:right w:val="nil" w:sz="6" w:space="0" w:color="auto"/>
            </w:tcBorders>
          </w:tcPr>
          <w:p>
            <w:pPr>
              <w:pStyle w:val="TableParagraph"/>
              <w:tabs>
                <w:tab w:pos="1999" w:val="left" w:leader="none"/>
                <w:tab w:pos="4489" w:val="left" w:leader="none"/>
              </w:tabs>
              <w:spacing w:line="240" w:lineRule="auto" w:before="62"/>
              <w:ind w:left="136" w:right="0"/>
              <w:jc w:val="left"/>
              <w:rPr>
                <w:rFonts w:ascii="Times New Roman" w:hAnsi="Times New Roman" w:cs="Times New Roman" w:eastAsia="Times New Roman" w:hint="default"/>
                <w:sz w:val="18"/>
                <w:szCs w:val="18"/>
              </w:rPr>
            </w:pPr>
            <w:r>
              <w:rPr>
                <w:rFonts w:ascii="Times New Roman"/>
                <w:spacing w:val="-1"/>
                <w:sz w:val="18"/>
              </w:rPr>
              <w:t>1,251,816,337.2</w:t>
              <w:tab/>
            </w:r>
            <w:r>
              <w:rPr>
                <w:rFonts w:ascii="Times New Roman"/>
                <w:sz w:val="18"/>
              </w:rPr>
              <w:t>99.54%</w:t>
            </w:r>
            <w:r>
              <w:rPr>
                <w:rFonts w:ascii="Times New Roman"/>
                <w:spacing w:val="37"/>
                <w:sz w:val="18"/>
              </w:rPr>
              <w:t> </w:t>
            </w:r>
            <w:r>
              <w:rPr>
                <w:rFonts w:ascii="Times New Roman"/>
                <w:spacing w:val="-1"/>
                <w:sz w:val="18"/>
              </w:rPr>
              <w:t>1,264,176,375.9</w:t>
              <w:tab/>
            </w:r>
            <w:r>
              <w:rPr>
                <w:rFonts w:ascii="Times New Roman"/>
                <w:sz w:val="18"/>
              </w:rPr>
              <w:t>98.09%</w:t>
            </w:r>
          </w:p>
        </w:tc>
        <w:tc>
          <w:tcPr>
            <w:tcW w:w="529" w:type="dxa"/>
            <w:tcBorders>
              <w:top w:val="single" w:sz="6" w:space="0" w:color="000000"/>
              <w:left w:val="nil" w:sz="6" w:space="0" w:color="auto"/>
              <w:bottom w:val="nil" w:sz="6" w:space="0" w:color="auto"/>
              <w:right w:val="nil" w:sz="6" w:space="0" w:color="auto"/>
            </w:tcBorders>
          </w:tcPr>
          <w:p>
            <w:pPr/>
          </w:p>
        </w:tc>
        <w:tc>
          <w:tcPr>
            <w:tcW w:w="756"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-0.98%</w:t>
            </w:r>
          </w:p>
        </w:tc>
      </w:tr>
      <w:tr>
        <w:trPr>
          <w:trHeight w:val="321" w:hRule="exact"/>
        </w:trPr>
        <w:tc>
          <w:tcPr>
            <w:tcW w:w="2524" w:type="dxa"/>
            <w:tcBorders>
              <w:top w:val="nil" w:sz="6" w:space="0" w:color="auto"/>
              <w:left w:val="nil" w:sz="6" w:space="0" w:color="auto"/>
              <w:bottom w:val="single" w:sz="6" w:space="0" w:color="000000"/>
              <w:right w:val="nil" w:sz="6" w:space="0" w:color="auto"/>
            </w:tcBorders>
          </w:tcPr>
          <w:p>
            <w:pPr/>
          </w:p>
        </w:tc>
        <w:tc>
          <w:tcPr>
            <w:tcW w:w="5053" w:type="dxa"/>
            <w:gridSpan w:val="2"/>
            <w:tcBorders>
              <w:top w:val="nil" w:sz="6" w:space="0" w:color="auto"/>
              <w:left w:val="nil" w:sz="6" w:space="0" w:color="auto"/>
              <w:bottom w:val="single" w:sz="6" w:space="0" w:color="000000"/>
              <w:right w:val="nil" w:sz="6" w:space="0" w:color="auto"/>
            </w:tcBorders>
          </w:tcPr>
          <w:p>
            <w:pPr>
              <w:pStyle w:val="TableParagraph"/>
              <w:tabs>
                <w:tab w:pos="3706" w:val="left" w:leader="none"/>
              </w:tabs>
              <w:spacing w:line="240" w:lineRule="auto" w:before="42"/>
              <w:ind w:left="1217" w:right="0"/>
              <w:jc w:val="left"/>
              <w:rPr>
                <w:rFonts w:ascii="Times New Roman" w:hAnsi="Times New Roman" w:cs="Times New Roman" w:eastAsia="Times New Roman" w:hint="default"/>
                <w:sz w:val="18"/>
                <w:szCs w:val="18"/>
              </w:rPr>
            </w:pPr>
            <w:r>
              <w:rPr>
                <w:rFonts w:ascii="Times New Roman"/>
                <w:sz w:val="18"/>
              </w:rPr>
              <w:t>2</w:t>
              <w:tab/>
              <w:t>9</w:t>
            </w:r>
          </w:p>
        </w:tc>
        <w:tc>
          <w:tcPr>
            <w:tcW w:w="529" w:type="dxa"/>
            <w:tcBorders>
              <w:top w:val="nil" w:sz="6" w:space="0" w:color="auto"/>
              <w:left w:val="nil" w:sz="6" w:space="0" w:color="auto"/>
              <w:bottom w:val="single" w:sz="6" w:space="0" w:color="000000"/>
              <w:right w:val="nil" w:sz="6" w:space="0" w:color="auto"/>
            </w:tcBorders>
          </w:tcPr>
          <w:p>
            <w:pPr/>
          </w:p>
        </w:tc>
        <w:tc>
          <w:tcPr>
            <w:tcW w:w="756" w:type="dxa"/>
            <w:tcBorders>
              <w:top w:val="nil" w:sz="6" w:space="0" w:color="auto"/>
              <w:left w:val="nil" w:sz="6" w:space="0" w:color="auto"/>
              <w:bottom w:val="single" w:sz="6" w:space="0" w:color="000000"/>
              <w:right w:val="nil" w:sz="6" w:space="0" w:color="auto"/>
            </w:tcBorders>
          </w:tcPr>
          <w:p>
            <w:pPr/>
          </w:p>
        </w:tc>
      </w:tr>
      <w:tr>
        <w:trPr>
          <w:trHeight w:val="346"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国土资源管理与城市规划领域</w:t>
            </w:r>
          </w:p>
        </w:tc>
        <w:tc>
          <w:tcPr>
            <w:tcW w:w="5053" w:type="dxa"/>
            <w:gridSpan w:val="2"/>
            <w:tcBorders>
              <w:top w:val="single" w:sz="6" w:space="0" w:color="000000"/>
              <w:left w:val="nil" w:sz="6" w:space="0" w:color="auto"/>
              <w:bottom w:val="single" w:sz="6" w:space="0" w:color="000000"/>
              <w:right w:val="nil" w:sz="6" w:space="0" w:color="auto"/>
            </w:tcBorders>
          </w:tcPr>
          <w:p>
            <w:pPr>
              <w:pStyle w:val="TableParagraph"/>
              <w:tabs>
                <w:tab w:pos="2088" w:val="left" w:leader="none"/>
                <w:tab w:pos="2763" w:val="left" w:leader="none"/>
                <w:tab w:pos="4577" w:val="left" w:leader="none"/>
              </w:tabs>
              <w:spacing w:line="240" w:lineRule="auto" w:before="60"/>
              <w:ind w:left="363" w:right="0"/>
              <w:jc w:val="left"/>
              <w:rPr>
                <w:rFonts w:ascii="Times New Roman" w:hAnsi="Times New Roman" w:cs="Times New Roman" w:eastAsia="Times New Roman" w:hint="default"/>
                <w:sz w:val="18"/>
                <w:szCs w:val="18"/>
              </w:rPr>
            </w:pPr>
            <w:r>
              <w:rPr>
                <w:rFonts w:ascii="Times New Roman"/>
                <w:spacing w:val="-1"/>
                <w:sz w:val="18"/>
              </w:rPr>
              <w:t>5,722,612.32</w:t>
              <w:tab/>
            </w:r>
            <w:r>
              <w:rPr>
                <w:rFonts w:ascii="Times New Roman"/>
                <w:sz w:val="18"/>
              </w:rPr>
              <w:t>0.46%</w:t>
              <w:tab/>
            </w:r>
            <w:r>
              <w:rPr>
                <w:rFonts w:ascii="Times New Roman"/>
                <w:spacing w:val="-1"/>
                <w:sz w:val="18"/>
              </w:rPr>
              <w:t>24,639,144.63</w:t>
              <w:tab/>
            </w:r>
            <w:r>
              <w:rPr>
                <w:rFonts w:ascii="Times New Roman"/>
                <w:sz w:val="18"/>
              </w:rPr>
              <w:t>1.91%</w:t>
            </w:r>
          </w:p>
        </w:tc>
        <w:tc>
          <w:tcPr>
            <w:tcW w:w="529" w:type="dxa"/>
            <w:tcBorders>
              <w:top w:val="single" w:sz="6" w:space="0" w:color="000000"/>
              <w:left w:val="nil" w:sz="6" w:space="0" w:color="auto"/>
              <w:bottom w:val="single" w:sz="6" w:space="0" w:color="000000"/>
              <w:right w:val="nil" w:sz="6" w:space="0" w:color="auto"/>
            </w:tcBorders>
          </w:tcPr>
          <w:p>
            <w:pPr/>
          </w:p>
        </w:tc>
        <w:tc>
          <w:tcPr>
            <w:tcW w:w="75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z w:val="18"/>
              </w:rPr>
              <w:t>-76.77%</w:t>
            </w:r>
          </w:p>
        </w:tc>
      </w:tr>
      <w:tr>
        <w:trPr>
          <w:trHeight w:val="348"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5053" w:type="dxa"/>
            <w:gridSpan w:val="2"/>
            <w:tcBorders>
              <w:top w:val="single" w:sz="6" w:space="0" w:color="000000"/>
              <w:left w:val="nil" w:sz="6" w:space="0" w:color="auto"/>
              <w:bottom w:val="single" w:sz="6" w:space="0" w:color="000000"/>
              <w:right w:val="nil" w:sz="6" w:space="0" w:color="auto"/>
            </w:tcBorders>
          </w:tcPr>
          <w:p>
            <w:pPr/>
          </w:p>
        </w:tc>
        <w:tc>
          <w:tcPr>
            <w:tcW w:w="529" w:type="dxa"/>
            <w:tcBorders>
              <w:top w:val="single" w:sz="6" w:space="0" w:color="000000"/>
              <w:left w:val="nil" w:sz="6" w:space="0" w:color="auto"/>
              <w:bottom w:val="single" w:sz="6" w:space="0" w:color="000000"/>
              <w:right w:val="nil" w:sz="6" w:space="0" w:color="auto"/>
            </w:tcBorders>
          </w:tcPr>
          <w:p>
            <w:pPr/>
          </w:p>
        </w:tc>
        <w:tc>
          <w:tcPr>
            <w:tcW w:w="756"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5053" w:type="dxa"/>
            <w:gridSpan w:val="2"/>
            <w:tcBorders>
              <w:top w:val="single" w:sz="6" w:space="0" w:color="000000"/>
              <w:left w:val="nil" w:sz="6" w:space="0" w:color="auto"/>
              <w:bottom w:val="single" w:sz="6" w:space="0" w:color="000000"/>
              <w:right w:val="nil" w:sz="6" w:space="0" w:color="auto"/>
            </w:tcBorders>
          </w:tcPr>
          <w:p>
            <w:pPr>
              <w:pStyle w:val="TableParagraph"/>
              <w:tabs>
                <w:tab w:pos="1999" w:val="left" w:leader="none"/>
                <w:tab w:pos="4489" w:val="left" w:leader="none"/>
              </w:tabs>
              <w:spacing w:line="240" w:lineRule="auto" w:before="60"/>
              <w:ind w:left="183" w:right="0"/>
              <w:jc w:val="left"/>
              <w:rPr>
                <w:rFonts w:ascii="Times New Roman" w:hAnsi="Times New Roman" w:cs="Times New Roman" w:eastAsia="Times New Roman" w:hint="default"/>
                <w:sz w:val="18"/>
                <w:szCs w:val="18"/>
              </w:rPr>
            </w:pPr>
            <w:r>
              <w:rPr>
                <w:rFonts w:ascii="Times New Roman"/>
                <w:spacing w:val="-1"/>
                <w:sz w:val="18"/>
              </w:rPr>
              <w:t>457,103,359.13</w:t>
              <w:tab/>
            </w:r>
            <w:r>
              <w:rPr>
                <w:rFonts w:ascii="Times New Roman"/>
                <w:sz w:val="18"/>
              </w:rPr>
              <w:t>36.35% </w:t>
            </w:r>
            <w:r>
              <w:rPr>
                <w:rFonts w:ascii="Times New Roman"/>
                <w:spacing w:val="37"/>
                <w:sz w:val="18"/>
              </w:rPr>
              <w:t> </w:t>
            </w:r>
            <w:r>
              <w:rPr>
                <w:rFonts w:ascii="Times New Roman"/>
                <w:spacing w:val="-1"/>
                <w:sz w:val="18"/>
              </w:rPr>
              <w:t>450,497,226.38</w:t>
              <w:tab/>
            </w:r>
            <w:r>
              <w:rPr>
                <w:rFonts w:ascii="Times New Roman"/>
                <w:sz w:val="18"/>
              </w:rPr>
              <w:t>34.95%</w:t>
            </w:r>
          </w:p>
        </w:tc>
        <w:tc>
          <w:tcPr>
            <w:tcW w:w="529" w:type="dxa"/>
            <w:tcBorders>
              <w:top w:val="single" w:sz="6" w:space="0" w:color="000000"/>
              <w:left w:val="nil" w:sz="6" w:space="0" w:color="auto"/>
              <w:bottom w:val="single" w:sz="6" w:space="0" w:color="000000"/>
              <w:right w:val="nil" w:sz="6" w:space="0" w:color="auto"/>
            </w:tcBorders>
          </w:tcPr>
          <w:p>
            <w:pPr/>
          </w:p>
        </w:tc>
        <w:tc>
          <w:tcPr>
            <w:tcW w:w="75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1.47%</w:t>
            </w:r>
          </w:p>
        </w:tc>
      </w:tr>
      <w:tr>
        <w:trPr>
          <w:trHeight w:val="348"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5053" w:type="dxa"/>
            <w:gridSpan w:val="2"/>
            <w:tcBorders>
              <w:top w:val="single" w:sz="6" w:space="0" w:color="000000"/>
              <w:left w:val="nil" w:sz="6" w:space="0" w:color="auto"/>
              <w:bottom w:val="single" w:sz="6" w:space="0" w:color="000000"/>
              <w:right w:val="nil" w:sz="6" w:space="0" w:color="auto"/>
            </w:tcBorders>
          </w:tcPr>
          <w:p>
            <w:pPr>
              <w:pStyle w:val="TableParagraph"/>
              <w:tabs>
                <w:tab w:pos="1999" w:val="left" w:leader="none"/>
                <w:tab w:pos="4489" w:val="left" w:leader="none"/>
              </w:tabs>
              <w:spacing w:line="240" w:lineRule="auto" w:before="62"/>
              <w:ind w:left="183" w:right="0"/>
              <w:jc w:val="left"/>
              <w:rPr>
                <w:rFonts w:ascii="Times New Roman" w:hAnsi="Times New Roman" w:cs="Times New Roman" w:eastAsia="Times New Roman" w:hint="default"/>
                <w:sz w:val="18"/>
                <w:szCs w:val="18"/>
              </w:rPr>
            </w:pPr>
            <w:r>
              <w:rPr>
                <w:rFonts w:ascii="Times New Roman"/>
                <w:spacing w:val="-1"/>
                <w:sz w:val="18"/>
              </w:rPr>
              <w:t>150,497,330.29</w:t>
              <w:tab/>
            </w:r>
            <w:r>
              <w:rPr>
                <w:rFonts w:ascii="Times New Roman"/>
                <w:sz w:val="18"/>
              </w:rPr>
              <w:t>11.97% </w:t>
            </w:r>
            <w:r>
              <w:rPr>
                <w:rFonts w:ascii="Times New Roman"/>
                <w:spacing w:val="37"/>
                <w:sz w:val="18"/>
              </w:rPr>
              <w:t> </w:t>
            </w:r>
            <w:r>
              <w:rPr>
                <w:rFonts w:ascii="Times New Roman"/>
                <w:spacing w:val="-1"/>
                <w:sz w:val="18"/>
              </w:rPr>
              <w:t>280,356,069.19</w:t>
              <w:tab/>
            </w:r>
            <w:r>
              <w:rPr>
                <w:rFonts w:ascii="Times New Roman"/>
                <w:sz w:val="18"/>
              </w:rPr>
              <w:t>21.75%</w:t>
            </w:r>
          </w:p>
        </w:tc>
        <w:tc>
          <w:tcPr>
            <w:tcW w:w="529" w:type="dxa"/>
            <w:tcBorders>
              <w:top w:val="single" w:sz="6" w:space="0" w:color="000000"/>
              <w:left w:val="nil" w:sz="6" w:space="0" w:color="auto"/>
              <w:bottom w:val="single" w:sz="6" w:space="0" w:color="000000"/>
              <w:right w:val="nil" w:sz="6" w:space="0" w:color="auto"/>
            </w:tcBorders>
          </w:tcPr>
          <w:p>
            <w:pPr/>
          </w:p>
        </w:tc>
        <w:tc>
          <w:tcPr>
            <w:tcW w:w="75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z w:val="18"/>
              </w:rPr>
              <w:t>-46.32%</w:t>
            </w:r>
          </w:p>
        </w:tc>
      </w:tr>
      <w:tr>
        <w:trPr>
          <w:trHeight w:val="348"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5053" w:type="dxa"/>
            <w:gridSpan w:val="2"/>
            <w:tcBorders>
              <w:top w:val="single" w:sz="6" w:space="0" w:color="000000"/>
              <w:left w:val="nil" w:sz="6" w:space="0" w:color="auto"/>
              <w:bottom w:val="single" w:sz="6" w:space="0" w:color="000000"/>
              <w:right w:val="nil" w:sz="6" w:space="0" w:color="auto"/>
            </w:tcBorders>
          </w:tcPr>
          <w:p>
            <w:pPr>
              <w:pStyle w:val="TableParagraph"/>
              <w:tabs>
                <w:tab w:pos="1999" w:val="left" w:leader="none"/>
                <w:tab w:pos="4489" w:val="left" w:leader="none"/>
              </w:tabs>
              <w:spacing w:line="240" w:lineRule="auto" w:before="60"/>
              <w:ind w:left="183" w:right="0"/>
              <w:jc w:val="left"/>
              <w:rPr>
                <w:rFonts w:ascii="Times New Roman" w:hAnsi="Times New Roman" w:cs="Times New Roman" w:eastAsia="Times New Roman" w:hint="default"/>
                <w:sz w:val="18"/>
                <w:szCs w:val="18"/>
              </w:rPr>
            </w:pPr>
            <w:r>
              <w:rPr>
                <w:rFonts w:ascii="Times New Roman"/>
                <w:spacing w:val="-1"/>
                <w:sz w:val="18"/>
              </w:rPr>
              <w:t>649,938,260.12</w:t>
              <w:tab/>
            </w:r>
            <w:r>
              <w:rPr>
                <w:rFonts w:ascii="Times New Roman"/>
                <w:sz w:val="18"/>
              </w:rPr>
              <w:t>51.68% </w:t>
            </w:r>
            <w:r>
              <w:rPr>
                <w:rFonts w:ascii="Times New Roman"/>
                <w:spacing w:val="37"/>
                <w:sz w:val="18"/>
              </w:rPr>
              <w:t> </w:t>
            </w:r>
            <w:r>
              <w:rPr>
                <w:rFonts w:ascii="Times New Roman"/>
                <w:spacing w:val="-1"/>
                <w:sz w:val="18"/>
              </w:rPr>
              <w:t>557,962,225.05</w:t>
              <w:tab/>
            </w:r>
            <w:r>
              <w:rPr>
                <w:rFonts w:ascii="Times New Roman"/>
                <w:sz w:val="18"/>
              </w:rPr>
              <w:t>43.30%</w:t>
            </w:r>
          </w:p>
        </w:tc>
        <w:tc>
          <w:tcPr>
            <w:tcW w:w="529" w:type="dxa"/>
            <w:tcBorders>
              <w:top w:val="single" w:sz="6" w:space="0" w:color="000000"/>
              <w:left w:val="nil" w:sz="6" w:space="0" w:color="auto"/>
              <w:bottom w:val="single" w:sz="6" w:space="0" w:color="000000"/>
              <w:right w:val="nil" w:sz="6" w:space="0" w:color="auto"/>
            </w:tcBorders>
          </w:tcPr>
          <w:p>
            <w:pPr/>
          </w:p>
        </w:tc>
        <w:tc>
          <w:tcPr>
            <w:tcW w:w="75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z w:val="18"/>
              </w:rPr>
              <w:t>16.48%</w:t>
            </w:r>
          </w:p>
        </w:tc>
      </w:tr>
      <w:tr>
        <w:trPr>
          <w:trHeight w:val="346"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5053" w:type="dxa"/>
            <w:gridSpan w:val="2"/>
            <w:tcBorders>
              <w:top w:val="single" w:sz="6" w:space="0" w:color="000000"/>
              <w:left w:val="nil" w:sz="6" w:space="0" w:color="auto"/>
              <w:bottom w:val="single" w:sz="6" w:space="0" w:color="000000"/>
              <w:right w:val="nil" w:sz="6" w:space="0" w:color="auto"/>
            </w:tcBorders>
          </w:tcPr>
          <w:p>
            <w:pPr/>
          </w:p>
        </w:tc>
        <w:tc>
          <w:tcPr>
            <w:tcW w:w="529" w:type="dxa"/>
            <w:tcBorders>
              <w:top w:val="single" w:sz="6" w:space="0" w:color="000000"/>
              <w:left w:val="nil" w:sz="6" w:space="0" w:color="auto"/>
              <w:bottom w:val="single" w:sz="6" w:space="0" w:color="000000"/>
              <w:right w:val="nil" w:sz="6" w:space="0" w:color="auto"/>
            </w:tcBorders>
          </w:tcPr>
          <w:p>
            <w:pPr/>
          </w:p>
        </w:tc>
        <w:tc>
          <w:tcPr>
            <w:tcW w:w="756" w:type="dxa"/>
            <w:tcBorders>
              <w:top w:val="single" w:sz="6" w:space="0" w:color="000000"/>
              <w:left w:val="nil" w:sz="6" w:space="0" w:color="auto"/>
              <w:bottom w:val="single" w:sz="6" w:space="0" w:color="000000"/>
              <w:right w:val="nil" w:sz="6" w:space="0" w:color="auto"/>
            </w:tcBorders>
          </w:tcPr>
          <w:p>
            <w:pPr/>
          </w:p>
        </w:tc>
      </w:tr>
      <w:tr>
        <w:trPr>
          <w:trHeight w:val="348" w:hRule="exact"/>
        </w:trPr>
        <w:tc>
          <w:tcPr>
            <w:tcW w:w="252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5053" w:type="dxa"/>
            <w:gridSpan w:val="2"/>
            <w:tcBorders>
              <w:top w:val="single" w:sz="6" w:space="0" w:color="000000"/>
              <w:left w:val="nil" w:sz="6" w:space="0" w:color="auto"/>
              <w:bottom w:val="single" w:sz="6" w:space="0" w:color="000000"/>
              <w:right w:val="nil" w:sz="6" w:space="0" w:color="auto"/>
            </w:tcBorders>
          </w:tcPr>
          <w:p>
            <w:pPr>
              <w:pStyle w:val="TableParagraph"/>
              <w:tabs>
                <w:tab w:pos="1999" w:val="left" w:leader="none"/>
                <w:tab w:pos="4489" w:val="left" w:leader="none"/>
              </w:tabs>
              <w:spacing w:line="240" w:lineRule="auto" w:before="62"/>
              <w:ind w:left="183" w:right="0"/>
              <w:jc w:val="left"/>
              <w:rPr>
                <w:rFonts w:ascii="Times New Roman" w:hAnsi="Times New Roman" w:cs="Times New Roman" w:eastAsia="Times New Roman" w:hint="default"/>
                <w:sz w:val="18"/>
                <w:szCs w:val="18"/>
              </w:rPr>
            </w:pPr>
            <w:r>
              <w:rPr>
                <w:rFonts w:ascii="Times New Roman"/>
                <w:spacing w:val="-1"/>
                <w:sz w:val="18"/>
              </w:rPr>
              <w:t>577,716,548.70</w:t>
              <w:tab/>
            </w:r>
            <w:r>
              <w:rPr>
                <w:rFonts w:ascii="Times New Roman"/>
                <w:sz w:val="18"/>
              </w:rPr>
              <w:t>45.94% </w:t>
            </w:r>
            <w:r>
              <w:rPr>
                <w:rFonts w:ascii="Times New Roman"/>
                <w:spacing w:val="37"/>
                <w:sz w:val="18"/>
              </w:rPr>
              <w:t> </w:t>
            </w:r>
            <w:r>
              <w:rPr>
                <w:rFonts w:ascii="Times New Roman"/>
                <w:spacing w:val="-1"/>
                <w:sz w:val="18"/>
              </w:rPr>
              <w:t>559,010,669.53</w:t>
              <w:tab/>
            </w:r>
            <w:r>
              <w:rPr>
                <w:rFonts w:ascii="Times New Roman"/>
                <w:sz w:val="18"/>
              </w:rPr>
              <w:t>43.37%</w:t>
            </w:r>
          </w:p>
        </w:tc>
        <w:tc>
          <w:tcPr>
            <w:tcW w:w="529" w:type="dxa"/>
            <w:tcBorders>
              <w:top w:val="single" w:sz="6" w:space="0" w:color="000000"/>
              <w:left w:val="nil" w:sz="6" w:space="0" w:color="auto"/>
              <w:bottom w:val="single" w:sz="6" w:space="0" w:color="000000"/>
              <w:right w:val="nil" w:sz="6" w:space="0" w:color="auto"/>
            </w:tcBorders>
          </w:tcPr>
          <w:p>
            <w:pPr/>
          </w:p>
        </w:tc>
        <w:tc>
          <w:tcPr>
            <w:tcW w:w="75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3.35%</w:t>
            </w:r>
          </w:p>
        </w:tc>
      </w:tr>
      <w:tr>
        <w:trPr>
          <w:trHeight w:val="486" w:hRule="exact"/>
        </w:trPr>
        <w:tc>
          <w:tcPr>
            <w:tcW w:w="2524"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5053" w:type="dxa"/>
            <w:gridSpan w:val="2"/>
            <w:tcBorders>
              <w:top w:val="single" w:sz="6" w:space="0" w:color="000000"/>
              <w:left w:val="nil" w:sz="6" w:space="0" w:color="auto"/>
              <w:bottom w:val="nil" w:sz="6" w:space="0" w:color="auto"/>
              <w:right w:val="nil" w:sz="6" w:space="0" w:color="auto"/>
            </w:tcBorders>
          </w:tcPr>
          <w:p>
            <w:pPr>
              <w:pStyle w:val="TableParagraph"/>
              <w:tabs>
                <w:tab w:pos="1999" w:val="left" w:leader="none"/>
                <w:tab w:pos="4489" w:val="left" w:leader="none"/>
              </w:tabs>
              <w:spacing w:line="240" w:lineRule="auto" w:before="60"/>
              <w:ind w:left="183" w:right="0"/>
              <w:jc w:val="left"/>
              <w:rPr>
                <w:rFonts w:ascii="Times New Roman" w:hAnsi="Times New Roman" w:cs="Times New Roman" w:eastAsia="Times New Roman" w:hint="default"/>
                <w:sz w:val="18"/>
                <w:szCs w:val="18"/>
              </w:rPr>
            </w:pPr>
            <w:r>
              <w:rPr>
                <w:rFonts w:ascii="Times New Roman"/>
                <w:spacing w:val="-1"/>
                <w:sz w:val="18"/>
              </w:rPr>
              <w:t>679,822,400.84</w:t>
              <w:tab/>
            </w:r>
            <w:r>
              <w:rPr>
                <w:rFonts w:ascii="Times New Roman"/>
                <w:sz w:val="18"/>
              </w:rPr>
              <w:t>54.06% </w:t>
            </w:r>
            <w:r>
              <w:rPr>
                <w:rFonts w:ascii="Times New Roman"/>
                <w:spacing w:val="37"/>
                <w:sz w:val="18"/>
              </w:rPr>
              <w:t> </w:t>
            </w:r>
            <w:r>
              <w:rPr>
                <w:rFonts w:ascii="Times New Roman"/>
                <w:spacing w:val="-1"/>
                <w:sz w:val="18"/>
              </w:rPr>
              <w:t>729,804,851.09</w:t>
              <w:tab/>
            </w:r>
            <w:r>
              <w:rPr>
                <w:rFonts w:ascii="Times New Roman"/>
                <w:sz w:val="18"/>
              </w:rPr>
              <w:t>56.63%</w:t>
            </w:r>
          </w:p>
        </w:tc>
        <w:tc>
          <w:tcPr>
            <w:tcW w:w="529" w:type="dxa"/>
            <w:tcBorders>
              <w:top w:val="single" w:sz="6" w:space="0" w:color="000000"/>
              <w:left w:val="nil" w:sz="6" w:space="0" w:color="auto"/>
              <w:bottom w:val="nil" w:sz="6" w:space="0" w:color="auto"/>
              <w:right w:val="nil" w:sz="6" w:space="0" w:color="auto"/>
            </w:tcBorders>
          </w:tcPr>
          <w:p>
            <w:pPr/>
          </w:p>
        </w:tc>
        <w:tc>
          <w:tcPr>
            <w:tcW w:w="756"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-6.85%</w:t>
            </w:r>
          </w:p>
        </w:tc>
      </w:tr>
      <w:tr>
        <w:trPr>
          <w:trHeight w:val="808"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按客户归集的本期前五名营业收入情况</w:t>
            </w:r>
          </w:p>
          <w:p>
            <w:pPr>
              <w:pStyle w:val="TableParagraph"/>
              <w:spacing w:line="240" w:lineRule="auto" w:before="54"/>
              <w:ind w:left="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5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28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占营业收入比重</w:t>
            </w:r>
            <w:r>
              <w:rPr>
                <w:rFonts w:ascii="宋体" w:hAnsi="宋体" w:cs="宋体" w:eastAsia="宋体" w:hint="default"/>
                <w:sz w:val="18"/>
                <w:szCs w:val="18"/>
              </w:rPr>
            </w:r>
          </w:p>
        </w:tc>
      </w:tr>
      <w:tr>
        <w:trPr>
          <w:trHeight w:val="336"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53"/>
              <w:jc w:val="right"/>
              <w:rPr>
                <w:rFonts w:ascii="Times New Roman" w:hAnsi="Times New Roman" w:cs="Times New Roman" w:eastAsia="Times New Roman" w:hint="default"/>
                <w:sz w:val="18"/>
                <w:szCs w:val="18"/>
              </w:rPr>
            </w:pPr>
            <w:r>
              <w:rPr>
                <w:rFonts w:ascii="Times New Roman"/>
                <w:spacing w:val="-1"/>
                <w:sz w:val="18"/>
              </w:rPr>
              <w:t>23,165,098.39</w:t>
            </w:r>
          </w:p>
        </w:tc>
        <w:tc>
          <w:tcPr>
            <w:tcW w:w="12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82" w:right="0"/>
              <w:jc w:val="left"/>
              <w:rPr>
                <w:rFonts w:ascii="Times New Roman" w:hAnsi="Times New Roman" w:cs="Times New Roman" w:eastAsia="Times New Roman" w:hint="default"/>
                <w:sz w:val="18"/>
                <w:szCs w:val="18"/>
              </w:rPr>
            </w:pPr>
            <w:r>
              <w:rPr>
                <w:rFonts w:ascii="Times New Roman"/>
                <w:sz w:val="18"/>
              </w:rPr>
              <w:t>1.84%</w:t>
            </w:r>
          </w:p>
        </w:tc>
      </w:tr>
      <w:tr>
        <w:trPr>
          <w:trHeight w:val="333"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53"/>
              <w:jc w:val="right"/>
              <w:rPr>
                <w:rFonts w:ascii="Times New Roman" w:hAnsi="Times New Roman" w:cs="Times New Roman" w:eastAsia="Times New Roman" w:hint="default"/>
                <w:sz w:val="18"/>
                <w:szCs w:val="18"/>
              </w:rPr>
            </w:pPr>
            <w:r>
              <w:rPr>
                <w:rFonts w:ascii="Times New Roman"/>
                <w:spacing w:val="-1"/>
                <w:sz w:val="18"/>
              </w:rPr>
              <w:t>21,803,206.35</w:t>
            </w:r>
          </w:p>
        </w:tc>
        <w:tc>
          <w:tcPr>
            <w:tcW w:w="12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782" w:right="0"/>
              <w:jc w:val="left"/>
              <w:rPr>
                <w:rFonts w:ascii="Times New Roman" w:hAnsi="Times New Roman" w:cs="Times New Roman" w:eastAsia="Times New Roman" w:hint="default"/>
                <w:sz w:val="18"/>
                <w:szCs w:val="18"/>
              </w:rPr>
            </w:pPr>
            <w:r>
              <w:rPr>
                <w:rFonts w:ascii="Times New Roman"/>
                <w:sz w:val="18"/>
              </w:rPr>
              <w:t>1.73%</w:t>
            </w:r>
          </w:p>
        </w:tc>
      </w:tr>
      <w:tr>
        <w:trPr>
          <w:trHeight w:val="332"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4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5"/>
              <w:jc w:val="right"/>
              <w:rPr>
                <w:rFonts w:ascii="Times New Roman" w:hAnsi="Times New Roman" w:cs="Times New Roman" w:eastAsia="Times New Roman" w:hint="default"/>
                <w:sz w:val="18"/>
                <w:szCs w:val="18"/>
              </w:rPr>
            </w:pPr>
            <w:r>
              <w:rPr>
                <w:rFonts w:ascii="Times New Roman"/>
                <w:spacing w:val="-1"/>
                <w:sz w:val="18"/>
              </w:rPr>
              <w:t>20,561,075.26</w:t>
            </w:r>
          </w:p>
        </w:tc>
        <w:tc>
          <w:tcPr>
            <w:tcW w:w="12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782" w:right="0"/>
              <w:jc w:val="left"/>
              <w:rPr>
                <w:rFonts w:ascii="Times New Roman" w:hAnsi="Times New Roman" w:cs="Times New Roman" w:eastAsia="Times New Roman" w:hint="default"/>
                <w:sz w:val="18"/>
                <w:szCs w:val="18"/>
              </w:rPr>
            </w:pPr>
            <w:r>
              <w:rPr>
                <w:rFonts w:ascii="Times New Roman"/>
                <w:sz w:val="18"/>
              </w:rPr>
              <w:t>1.64%</w:t>
            </w:r>
          </w:p>
        </w:tc>
      </w:tr>
      <w:tr>
        <w:trPr>
          <w:trHeight w:val="331"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53"/>
              <w:jc w:val="right"/>
              <w:rPr>
                <w:rFonts w:ascii="Times New Roman" w:hAnsi="Times New Roman" w:cs="Times New Roman" w:eastAsia="Times New Roman" w:hint="default"/>
                <w:sz w:val="18"/>
                <w:szCs w:val="18"/>
              </w:rPr>
            </w:pPr>
            <w:r>
              <w:rPr>
                <w:rFonts w:ascii="Times New Roman"/>
                <w:spacing w:val="-1"/>
                <w:sz w:val="18"/>
              </w:rPr>
              <w:t>17,529,056.60</w:t>
            </w:r>
          </w:p>
        </w:tc>
        <w:tc>
          <w:tcPr>
            <w:tcW w:w="12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782" w:right="0"/>
              <w:jc w:val="left"/>
              <w:rPr>
                <w:rFonts w:ascii="Times New Roman" w:hAnsi="Times New Roman" w:cs="Times New Roman" w:eastAsia="Times New Roman" w:hint="default"/>
                <w:sz w:val="18"/>
                <w:szCs w:val="18"/>
              </w:rPr>
            </w:pPr>
            <w:r>
              <w:rPr>
                <w:rFonts w:ascii="Times New Roman"/>
                <w:sz w:val="18"/>
              </w:rPr>
              <w:t>1.39%</w:t>
            </w:r>
          </w:p>
        </w:tc>
      </w:tr>
      <w:tr>
        <w:trPr>
          <w:trHeight w:val="332"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53"/>
              <w:jc w:val="right"/>
              <w:rPr>
                <w:rFonts w:ascii="Times New Roman" w:hAnsi="Times New Roman" w:cs="Times New Roman" w:eastAsia="Times New Roman" w:hint="default"/>
                <w:sz w:val="18"/>
                <w:szCs w:val="18"/>
              </w:rPr>
            </w:pPr>
            <w:r>
              <w:rPr>
                <w:rFonts w:ascii="Times New Roman"/>
                <w:spacing w:val="-1"/>
                <w:sz w:val="18"/>
              </w:rPr>
              <w:t>17,407,522.08</w:t>
            </w:r>
          </w:p>
        </w:tc>
        <w:tc>
          <w:tcPr>
            <w:tcW w:w="12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782" w:right="0"/>
              <w:jc w:val="left"/>
              <w:rPr>
                <w:rFonts w:ascii="Times New Roman" w:hAnsi="Times New Roman" w:cs="Times New Roman" w:eastAsia="Times New Roman" w:hint="default"/>
                <w:sz w:val="18"/>
                <w:szCs w:val="18"/>
              </w:rPr>
            </w:pPr>
            <w:r>
              <w:rPr>
                <w:rFonts w:ascii="Times New Roman"/>
                <w:sz w:val="18"/>
              </w:rPr>
              <w:t>1.38%</w:t>
            </w:r>
          </w:p>
        </w:tc>
      </w:tr>
      <w:tr>
        <w:trPr>
          <w:trHeight w:val="362" w:hRule="exact"/>
        </w:trPr>
        <w:tc>
          <w:tcPr>
            <w:tcW w:w="45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100,465,958.68</w:t>
            </w:r>
            <w:r>
              <w:rPr>
                <w:rFonts w:ascii="Times New Roman"/>
                <w:spacing w:val="-1"/>
                <w:sz w:val="18"/>
              </w:rPr>
            </w:r>
          </w:p>
        </w:tc>
        <w:tc>
          <w:tcPr>
            <w:tcW w:w="12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78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7.98%</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5,985,626.57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6,384,754.41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2,565,415.52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2,736,522.73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1,345,294.20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1,329,877.51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592,571.73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66,358.40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45,283.46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393,772.96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844,296.56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501,669.22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1,023,752.63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1,824,348.49</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12,345,078.03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13,733,110.78</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34,826,106.43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30,080,013.37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26,580,416.59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25,051,688.30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7,291,118.58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9,868,446.97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6,443,566.02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8,319,022.30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5,405,775.85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6,516,079.07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维保及维修费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1,858,138.35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3,816,223.43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711,765.78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1,440,702.12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415,030.80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499,195.09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验收费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1,668,120.78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1,549,163.08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7,266,738.49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2,798,327.14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171,920.35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92,587,250.76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90,110,781.22</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5,660,609.78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5,685,460.32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26,662,995.44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20,463,421.38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43,110,075.00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-6,983,263.00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办公场租物业费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8,677,171.90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10,005,104.22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12,551,568.68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10,693,130.34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2,942,458.71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3,152,472.76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2,223,835.38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2,255,265.93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1,223,861.20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1,044,771.79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156,225.39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327,613.72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937,180.96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216,359.97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104,145,982.44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46,860,337.43</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44,661,303.41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39,003,355.92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自行开发无形资产的摊销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31,439,656.26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28,238,968.86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6,125,920.46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2,449,530.24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1,526,949.81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2,016,591.59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585,023.64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563,097.41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479,842.12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1,123,364.84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2,552,522.35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2,642,677.96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245,482.02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387,206.51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366,365.26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249,431.18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85,137.71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82,201.27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88,068,203.04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76,756,425.78</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5,787,465.26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7,783,028.02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其中：票据贴现利息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2,269,111.11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17,297,392.79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11,475,008.58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355,717.57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436,521.31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-3,316,343.99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-7,385,422.44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-14,470,553.95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-10,640,881.69</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94"/>
        <w:ind w:left="152" w:right="1104" w:firstLine="0"/>
        <w:jc w:val="left"/>
        <w:rPr>
          <w:rFonts w:ascii="宋体" w:hAnsi="宋体" w:cs="宋体" w:eastAsia="宋体" w:hint="default"/>
          <w:sz w:val="21"/>
          <w:szCs w:val="21"/>
        </w:rPr>
      </w:pPr>
      <w:r>
        <w:rPr>
          <w:rFonts w:ascii="宋体" w:hAnsi="宋体" w:cs="宋体" w:eastAsia="宋体" w:hint="default"/>
          <w:sz w:val="21"/>
          <w:szCs w:val="21"/>
        </w:rPr>
        <w:t>财务费用</w:t>
      </w:r>
      <w:r>
        <w:rPr>
          <w:rFonts w:ascii="Times New Roman" w:hAnsi="Times New Roman" w:cs="Times New Roman" w:eastAsia="Times New Roman" w:hint="default"/>
          <w:sz w:val="21"/>
          <w:szCs w:val="21"/>
        </w:rPr>
        <w:t>-</w:t>
      </w:r>
      <w:r>
        <w:rPr>
          <w:rFonts w:ascii="宋体" w:hAnsi="宋体" w:cs="宋体" w:eastAsia="宋体" w:hint="default"/>
          <w:sz w:val="21"/>
          <w:szCs w:val="21"/>
        </w:rPr>
        <w:t>其他项为长期应收款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未实现融资收益冲减财务费用形成。</w:t>
      </w:r>
    </w:p>
    <w:p>
      <w:pPr>
        <w:spacing w:line="240" w:lineRule="auto" w:before="7"/>
        <w:rPr>
          <w:rFonts w:ascii="宋体" w:hAnsi="宋体" w:cs="宋体" w:eastAsia="宋体" w:hint="default"/>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37,118,094.36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49,184,619.42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企业社保补贴和就业补贴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373,355.39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27,166.77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办公用房租金补贴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基于智慧城市运营管理服务子公司项目 企业发展金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273,014.35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424,951.79</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中关村海淀园管理委员会企发处购买信 用报告专项资金补贴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住房城乡建设部设计下乡网上服务平台 和移动应用程序课题补贴款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进项税加计抵扣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466,162.92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41,270,627.02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50,208,737.98</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-4,418,286.11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-1,783,391.80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-88,297.38</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420,103.42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-3,994,182.69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-1,866,689.18</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1,637,744.94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-27,465,787.25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-25,828,042.31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-42,620,145.26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-1,698,162.83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-10,488,502.93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-24,500,805.13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-1,698,162.83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-77,609,453.32</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处置固定资产而产生的处置利得或损失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55,301.98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-58,702.24</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371,200.09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1,551,194.96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371,200.09</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104,873.72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168,048.20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104,873.72</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476,073.81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1,719,243.16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476,073.81</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保定市财政</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局工业转型</w:t>
            </w: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河北省科技 型中小企业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技术创新资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中关村海淀 园管理委员 会产规处重 点培育企业 专项资金补 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保定国家高 新区管委会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年度协 同发展突出 贡献奖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3"/>
              <w:jc w:val="both"/>
              <w:rPr>
                <w:rFonts w:ascii="宋体" w:hAnsi="宋体" w:cs="宋体" w:eastAsia="宋体" w:hint="default"/>
                <w:sz w:val="18"/>
                <w:szCs w:val="18"/>
              </w:rPr>
            </w:pPr>
            <w:r>
              <w:rPr>
                <w:rFonts w:ascii="宋体" w:hAnsi="宋体" w:cs="宋体" w:eastAsia="宋体" w:hint="default"/>
                <w:sz w:val="18"/>
                <w:szCs w:val="18"/>
              </w:rPr>
              <w:t>保定市科学 技术和知识 产权局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年度专利补 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北京市专利 资助金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23,056.99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43,794.96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保定国家高 新技术产业 开发区管理 委员会发放 科技型企业 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中关村国家 自主创新示 范区技术创 新能力建设 专项资金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保定市高新 区纳税先进 企业奖励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优秀企业奖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知识产权促 进款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191,643.10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失业补贴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371,209.09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1,551,194.96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200,057.75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200,057.75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238,378.91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202,801.90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238,378.91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438,436.66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279,634.09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438,436.66</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23,250,696.73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21,668,954.86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-12,085,123.31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-9,181,180.68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11,165,573.42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12,487,774.18</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141,033,450.97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21,155,017.65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441,654.07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-5,208,164.79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677,138.15</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142,193.60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12,664.18</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-6,054,929.44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11,165,573.42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投标保证金、押金及个人备用金等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90,287,461.68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77,399,374.64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代收代扣款项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6,762,588.83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4,025,869.85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17,297,392.79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11,475,008.58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除税费返还外的其他政府补助收入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3,784,555.48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2,150,361.73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273,014.35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450,798.27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450,286.83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118,855,299.96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95,537,248.62</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投标保证金、押金及个人备用金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83,486,569.15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94,788,001.92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代收代扣款项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6,148,081.26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5,700,032.14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期间费用</w:t>
            </w:r>
            <w:r>
              <w:rPr>
                <w:rFonts w:ascii="Times New Roman" w:hAnsi="Times New Roman" w:cs="Times New Roman" w:eastAsia="Times New Roman" w:hint="default"/>
                <w:sz w:val="18"/>
                <w:szCs w:val="18"/>
              </w:rPr>
              <w:t>-</w:t>
            </w: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53,339,528.73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57,175,104.22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期间费用</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24,530,929.65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24,934,663.06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期间费用</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10,778,645.48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8,889,694.06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178,283,754.27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191,487,495.40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取得子公司收到的现金净额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3,924,361.49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3,924,361.49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处置子公司净收入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657,172.33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657,172.33</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支付以前年度收购金迪投资款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64,109,400.00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回购本公司限制性股票支付的现金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40,103,798.00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2,349,875.00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定向增发中介服务费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贴现票据的保证金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682,545.64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分红派息手续费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12,736.51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130,828,198.00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78,045,157.15</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129,867,877.55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113,370,616.88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27,526,205.14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77,609,453.32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14,344,257.50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12,460,305.80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39,324,781.38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36,124,093.98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17,988.00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13,557.00</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-55,301.98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58,702.24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200,057.75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80,671.47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201.679977pt;width:151.25pt;height:20.65pt;mso-position-horizontal-relative:page;mso-position-vertical-relative:page;z-index:-1045648" coordorigin="4467,4034" coordsize="3025,413">
            <v:group style="position:absolute;left:4478;top:4044;width:2;height:392" coordorigin="4478,4044" coordsize="2,392">
              <v:shape style="position:absolute;left:4478;top:4044;width:2;height:392" coordorigin="4478,4044" coordsize="0,392" path="m4478,4044l4478,4436e" filled="false" stroked="true" strokeweight="1.08pt" strokecolor="#ffffff">
                <v:path arrowok="t"/>
              </v:shape>
            </v:group>
            <v:group style="position:absolute;left:4489;top:4044;width:3003;height:392" coordorigin="4489,4044" coordsize="3003,392">
              <v:shape style="position:absolute;left:4489;top:4044;width:3003;height:392" coordorigin="4489,4044" coordsize="3003,392" path="m4489,4436l7492,4436,7492,4044,4489,4044,4489,443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36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2,471,121.27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7,783,028.02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3,994,182.69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1,866,689.18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-10,297,675.55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-7,360,810.43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-1,787,447.76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-1,820,370.26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082" w:val="left" w:leader="none"/>
              </w:tabs>
              <w:spacing w:line="240" w:lineRule="auto" w:before="49"/>
              <w:ind w:left="-120"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6,056,545.43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41,656,023.65</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-86,322,477.71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-103,630,518.26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15,337,953.91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4,502,115.39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43,110,075.00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-6,983,263.00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183,788,142.62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175,730,294.98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700,298,069.03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795,603,559.06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795,603,559.06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679,981,956.46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-95,305,490.03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115,621,602.60</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5,242,000.00</w:t>
            </w:r>
          </w:p>
        </w:tc>
      </w:tr>
      <w:tr>
        <w:trPr>
          <w:trHeight w:val="404"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9,166,361.49</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-3,924,361.49</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700,298,069.03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795,603,559.06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209,836.60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113,201.11</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700,088,232.43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795,490,357.95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700,298,069.03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795,603,559.06</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31,658,516.56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保证金和专项资金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19,135,815.97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抵押借款尚未到期</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4,962,914.67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抵押借款尚未到期</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11,501,482.00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抵押借款尚未到期</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67,258,729.20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8"/>
        <w:ind w:right="1104" w:firstLine="480"/>
        <w:jc w:val="left"/>
      </w:pPr>
      <w:r>
        <w:rPr>
          <w:spacing w:val="-2"/>
        </w:rPr>
        <w:t>说明：截止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日公司受限货币资金</w:t>
      </w:r>
      <w:r>
        <w:rPr>
          <w:rFonts w:ascii="宋体" w:hAnsi="宋体" w:cs="宋体" w:eastAsia="宋体" w:hint="default"/>
          <w:spacing w:val="-2"/>
        </w:rPr>
        <w:t>31,658,516.56</w:t>
      </w:r>
      <w:r>
        <w:rPr>
          <w:spacing w:val="-2"/>
        </w:rPr>
        <w:t>元，其中开立保函及票据保</w:t>
      </w:r>
      <w:r>
        <w:rPr/>
        <w:t> 证金</w:t>
      </w:r>
      <w:r>
        <w:rPr>
          <w:rFonts w:ascii="宋体" w:hAnsi="宋体" w:cs="宋体" w:eastAsia="宋体" w:hint="default"/>
        </w:rPr>
        <w:t>26,565,716.56</w:t>
      </w:r>
      <w:r>
        <w:rPr/>
        <w:t>元，受限银行存款</w:t>
      </w:r>
      <w:r>
        <w:rPr>
          <w:rFonts w:ascii="宋体" w:hAnsi="宋体" w:cs="宋体" w:eastAsia="宋体" w:hint="default"/>
        </w:rPr>
        <w:t>5,092,800.00</w:t>
      </w:r>
      <w:r>
        <w:rPr>
          <w:rFonts w:ascii="宋体" w:hAnsi="宋体" w:cs="宋体" w:eastAsia="宋体" w:hint="default"/>
          <w:spacing w:val="-1"/>
        </w:rPr>
        <w:t> </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37,118,094.36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37,118,094.36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企业社保补贴和就业补贴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373,355.39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373,355.39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基于智慧城市运营管理服务 子公司项目企业发展金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273,014.35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273,014.35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进项税加计抵扣</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466,162.92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466,162.92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北京市专利资助金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23,056.99</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保定国家高新技术产业开发 区管理委员会发放科技型企 业奖励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中关村国家自主创新示范区 技术创新能力建设专项资金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优秀企业奖金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知识产权促进款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社保公积金失业补贴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191,643.10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191,643.10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41,641,827.11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41,641,827.11</w:t>
            </w:r>
          </w:p>
        </w:tc>
      </w:tr>
    </w:tbl>
    <w:p>
      <w:pPr>
        <w:spacing w:line="240" w:lineRule="auto" w:before="1"/>
        <w:rPr>
          <w:rFonts w:ascii="宋体" w:hAnsi="宋体" w:cs="宋体" w:eastAsia="宋体" w:hint="default"/>
          <w:sz w:val="18"/>
          <w:szCs w:val="18"/>
        </w:rPr>
      </w:pPr>
    </w:p>
    <w:p>
      <w:pPr>
        <w:pStyle w:val="Heading2"/>
        <w:spacing w:line="240" w:lineRule="auto" w:before="26"/>
        <w:ind w:right="1104"/>
        <w:jc w:val="left"/>
        <w:rPr>
          <w:b w:val="0"/>
          <w:bCs w:val="0"/>
        </w:rPr>
      </w:pPr>
      <w:r>
        <w:rPr/>
        <w:t>八、合并范围的变更</w:t>
      </w:r>
      <w:r>
        <w:rPr>
          <w:b w:val="0"/>
          <w:bCs w:val="0"/>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湖北鄂东智 城科技有限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5,242,000.00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25"/>
              <w:jc w:val="left"/>
              <w:rPr>
                <w:rFonts w:ascii="宋体" w:hAnsi="宋体" w:cs="宋体" w:eastAsia="宋体" w:hint="default"/>
                <w:sz w:val="18"/>
                <w:szCs w:val="18"/>
              </w:rPr>
            </w:pPr>
            <w:r>
              <w:rPr>
                <w:rFonts w:ascii="宋体" w:hAnsi="宋体" w:cs="宋体" w:eastAsia="宋体" w:hint="default"/>
                <w:sz w:val="18"/>
                <w:szCs w:val="18"/>
              </w:rPr>
              <w:t>能够控制被 购买方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115,188.85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-493,716.27</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湖北鄂东智城科技有限公司</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5,242,000.00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5,242,000.00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5,242,000.00</w:t>
            </w:r>
          </w:p>
        </w:tc>
      </w:tr>
    </w:tbl>
    <w:p>
      <w:pPr>
        <w:pStyle w:val="BodyText"/>
        <w:spacing w:line="357" w:lineRule="auto" w:before="39"/>
        <w:ind w:left="633" w:right="1513"/>
        <w:jc w:val="left"/>
      </w:pPr>
      <w:r>
        <w:rPr/>
        <w:t>合并成本公允价值的确定方法、或有对价及其变动的说明： 合并成本以购买日被合并方账面净资产金额</w:t>
      </w:r>
      <w:r>
        <w:rPr>
          <w:rFonts w:ascii="宋体" w:hAnsi="宋体" w:cs="宋体" w:eastAsia="宋体" w:hint="default"/>
        </w:rPr>
        <w:t>*</w:t>
      </w:r>
      <w:r>
        <w:rPr/>
        <w:t>收购方持股比例计算得出，无溢折价。</w:t>
      </w:r>
    </w:p>
    <w:p>
      <w:pPr>
        <w:spacing w:line="240" w:lineRule="auto" w:before="10"/>
        <w:rPr>
          <w:rFonts w:ascii="宋体" w:hAnsi="宋体" w:cs="宋体" w:eastAsia="宋体" w:hint="default"/>
          <w:sz w:val="21"/>
          <w:szCs w:val="21"/>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6" w:right="0"/>
              <w:jc w:val="left"/>
              <w:rPr>
                <w:rFonts w:ascii="宋体" w:hAnsi="宋体" w:cs="宋体" w:eastAsia="宋体" w:hint="default"/>
                <w:sz w:val="18"/>
                <w:szCs w:val="18"/>
              </w:rPr>
            </w:pPr>
            <w:r>
              <w:rPr>
                <w:rFonts w:ascii="宋体" w:hAnsi="宋体" w:cs="宋体" w:eastAsia="宋体" w:hint="default"/>
                <w:sz w:val="18"/>
                <w:szCs w:val="18"/>
              </w:rPr>
              <w:t>湖北鄂东智城科技有限公司</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9,166,361.49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9,166,361.49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657,229.61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657,229.61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137,620.13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137,620.13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423,766.14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423,766.14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4,288,909.09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4,288,909.09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5,242,000.00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5,242,000.00</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357" w:lineRule="auto" w:before="148"/>
        <w:ind w:right="1120" w:firstLine="480"/>
        <w:jc w:val="left"/>
      </w:pPr>
      <w:r>
        <w:rPr>
          <w:rFonts w:ascii="宋体" w:hAnsi="宋体" w:cs="宋体" w:eastAsia="宋体" w:hint="default"/>
          <w:spacing w:val="-2"/>
        </w:rPr>
        <w:t>(1)</w:t>
      </w:r>
      <w:r>
        <w:rPr>
          <w:spacing w:val="-2"/>
        </w:rPr>
        <w:t>本公司新设子公司长沙政通康拓科技有限责任公司，注册资本</w:t>
      </w:r>
      <w:r>
        <w:rPr>
          <w:rFonts w:ascii="宋体" w:hAnsi="宋体" w:cs="宋体" w:eastAsia="宋体" w:hint="default"/>
          <w:spacing w:val="-2"/>
        </w:rPr>
        <w:t>100.00</w:t>
      </w:r>
      <w:r>
        <w:rPr>
          <w:spacing w:val="-2"/>
        </w:rPr>
        <w:t>万元，本公司持</w:t>
      </w:r>
      <w:r>
        <w:rPr/>
        <w:t> 股比例</w:t>
      </w:r>
      <w:r>
        <w:rPr>
          <w:rFonts w:ascii="宋体" w:hAnsi="宋体" w:cs="宋体" w:eastAsia="宋体" w:hint="default"/>
        </w:rPr>
        <w:t>100%</w:t>
      </w:r>
      <w:r>
        <w:rPr/>
        <w:t>，已认缴出资额</w:t>
      </w:r>
      <w:r>
        <w:rPr>
          <w:rFonts w:ascii="宋体" w:hAnsi="宋体" w:cs="宋体" w:eastAsia="宋体" w:hint="default"/>
        </w:rPr>
        <w:t>1,000.00</w:t>
      </w:r>
      <w:r>
        <w:rPr/>
        <w:t>元。</w:t>
      </w:r>
    </w:p>
    <w:p>
      <w:pPr>
        <w:pStyle w:val="BodyText"/>
        <w:spacing w:line="357" w:lineRule="auto"/>
        <w:ind w:right="1120" w:firstLine="480"/>
        <w:jc w:val="left"/>
      </w:pPr>
      <w:r>
        <w:rPr>
          <w:rFonts w:ascii="宋体" w:hAnsi="宋体" w:cs="宋体" w:eastAsia="宋体" w:hint="default"/>
          <w:spacing w:val="-2"/>
        </w:rPr>
        <w:t>(2)</w:t>
      </w:r>
      <w:r>
        <w:rPr>
          <w:spacing w:val="-2"/>
        </w:rPr>
        <w:t>本公司新设子公司保定政运恒通信息技术有限责任公司，注册资本</w:t>
      </w:r>
      <w:r>
        <w:rPr>
          <w:rFonts w:ascii="宋体" w:hAnsi="宋体" w:cs="宋体" w:eastAsia="宋体" w:hint="default"/>
          <w:spacing w:val="-2"/>
        </w:rPr>
        <w:t>100.00</w:t>
      </w:r>
      <w:r>
        <w:rPr>
          <w:spacing w:val="-2"/>
        </w:rPr>
        <w:t>万元，本公</w:t>
      </w:r>
      <w:r>
        <w:rPr/>
        <w:t> 司持股比例</w:t>
      </w:r>
      <w:r>
        <w:rPr>
          <w:rFonts w:ascii="宋体" w:hAnsi="宋体" w:cs="宋体" w:eastAsia="宋体" w:hint="default"/>
        </w:rPr>
        <w:t>100%</w:t>
      </w:r>
      <w:r>
        <w:rPr/>
        <w:t>，尚未实际缴纳出资。</w:t>
      </w:r>
    </w:p>
    <w:p>
      <w:pPr>
        <w:spacing w:line="240" w:lineRule="auto" w:before="11"/>
        <w:rPr>
          <w:rFonts w:ascii="宋体" w:hAnsi="宋体" w:cs="宋体" w:eastAsia="宋体" w:hint="default"/>
          <w:sz w:val="19"/>
          <w:szCs w:val="19"/>
        </w:rPr>
      </w:pPr>
    </w:p>
    <w:p>
      <w:pPr>
        <w:pStyle w:val="Heading2"/>
        <w:spacing w:line="240" w:lineRule="auto"/>
        <w:ind w:right="1104"/>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北京数字智通科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湖北鄂东智城科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上海政通信息科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北京数字政通智 能泊车技术有限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武汉智慧政通科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克拉玛依数字政 通信息科技有限 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政通智慧城市运 营科技有限公司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保定金迪地下管 线探测工程有限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地下管线探测检 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保定市金迪科技 开发有限公司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地下管线探测检 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保定金迪科学仪 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地下管线探测检 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焦作市市民健康 促进服务有限责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居民健康咨询服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江西政通城运科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城市及道路照明 亮化工程专业承 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福建政通城运信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长沙政通康拓科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移动互联网研发 和维护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保定政运恒通信 息技术有限责任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网络技术开发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2"/>
        <w:rPr>
          <w:rFonts w:ascii="宋体" w:hAnsi="宋体" w:cs="宋体" w:eastAsia="宋体" w:hint="default"/>
          <w:sz w:val="20"/>
          <w:szCs w:val="20"/>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北京数字智通科技有限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-108,384.37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2,954,618.07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政通智慧城市运营科技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41,489.65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1,025,063.33</w:t>
            </w:r>
          </w:p>
        </w:tc>
      </w:tr>
    </w:tbl>
    <w:p>
      <w:pPr>
        <w:spacing w:line="357" w:lineRule="auto" w:before="49"/>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字智通</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294,479,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47,784,8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342,264,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262,842,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4,232,24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267,074,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309,679,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70,688,6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380,367,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304,402,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5,642,99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310,045,</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263.42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31.62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pacing w:val="-1"/>
                <w:sz w:val="18"/>
              </w:rPr>
              <w:t>095.04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065.51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9.99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315.50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124.02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95.02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819.04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914.60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9.99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914.59</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政通智</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慧城市 运营科 技有限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38,591,5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70.33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5,466,62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44,058,1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95.52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22,807,5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62.18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22,807,5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62.18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40,913,8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01.00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4,775,09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45,688,8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24,644,4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38.37</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24,644,4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38.37</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北京数字智 通科技有限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77,799,377.5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-2,689,438.51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-2,689,438.51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38,989,021.5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74,429,982.4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-51,484,574.0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-51,484,574.0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-901,308.08</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政通智慧城 市运营科技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265,380,985.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414,896.51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414,896.51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-60,507.09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259,946,443.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50,970.92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50,970.92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4,000,226.79</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4"/>
              <w:ind w:left="47" w:right="47"/>
              <w:jc w:val="left"/>
              <w:rPr>
                <w:rFonts w:ascii="宋体" w:hAnsi="宋体" w:cs="宋体" w:eastAsia="宋体" w:hint="default"/>
                <w:sz w:val="18"/>
                <w:szCs w:val="18"/>
              </w:rPr>
            </w:pPr>
            <w:r>
              <w:rPr>
                <w:rFonts w:ascii="宋体" w:hAnsi="宋体" w:cs="宋体" w:eastAsia="宋体" w:hint="default"/>
                <w:sz w:val="18"/>
                <w:szCs w:val="18"/>
              </w:rPr>
              <w:t>对合营企业或联 营企业投资的会</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计处理方法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北京通通易联科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技术转让、咨询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779" w:right="0"/>
              <w:jc w:val="left"/>
              <w:rPr>
                <w:rFonts w:ascii="Times New Roman" w:hAnsi="Times New Roman" w:cs="Times New Roman" w:eastAsia="Times New Roman" w:hint="default"/>
                <w:sz w:val="18"/>
                <w:szCs w:val="18"/>
              </w:rPr>
            </w:pPr>
            <w:r>
              <w:rPr>
                <w:rFonts w:ascii="Times New Roman"/>
                <w:sz w:val="18"/>
              </w:rPr>
              <w:t>33.91%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2" w:right="1104" w:firstLine="0"/>
        <w:jc w:val="left"/>
        <w:rPr>
          <w:rFonts w:ascii="宋体" w:hAnsi="宋体" w:cs="宋体" w:eastAsia="宋体" w:hint="default"/>
          <w:sz w:val="18"/>
          <w:szCs w:val="18"/>
        </w:rPr>
      </w:pPr>
      <w:r>
        <w:rPr/>
        <w:pict>
          <v:group style="position:absolute;margin-left:330.670013pt;margin-top:-35.638268pt;width:67.8pt;height:27.9pt;mso-position-horizontal-relative:page;mso-position-vertical-relative:paragraph;z-index:-1045624" coordorigin="6613,-713" coordsize="1356,558">
            <v:group style="position:absolute;left:6613;top:-713;width:1356;height:156" coordorigin="6613,-713" coordsize="1356,156">
              <v:shape style="position:absolute;left:6613;top:-713;width:1356;height:156" coordorigin="6613,-713" coordsize="1356,156" path="m6613,-557l7969,-557,7969,-713,6613,-713,6613,-557xe" filled="true" fillcolor="#ffffff" stroked="false">
                <v:path arrowok="t"/>
                <v:fill type="solid"/>
              </v:shape>
            </v:group>
            <v:group style="position:absolute;left:6624;top:-557;width:2;height:392" coordorigin="6624,-557" coordsize="2,392">
              <v:shape style="position:absolute;left:6624;top:-557;width:2;height:392" coordorigin="6624,-557" coordsize="0,392" path="m6624,-557l6624,-166e" filled="false" stroked="true" strokeweight="1.08pt" strokecolor="#ffffff">
                <v:path arrowok="t"/>
              </v:shape>
            </v:group>
            <v:group style="position:absolute;left:6635;top:-557;width:1311;height:392" coordorigin="6635,-557" coordsize="1311,392">
              <v:shape style="position:absolute;left:6635;top:-557;width:1311;height:392" coordorigin="6635,-557" coordsize="1311,392" path="m6635,-166l7945,-166,7945,-557,6635,-557,6635,-166xe" filled="true" fillcolor="#ffffff" stroked="false">
                <v:path arrowok="t"/>
                <v:fill type="solid"/>
              </v:shape>
            </v:group>
            <w10:wrap type="none"/>
          </v:group>
        </w:pict>
      </w:r>
      <w:r>
        <w:rPr>
          <w:rFonts w:ascii="宋体" w:hAnsi="宋体" w:cs="宋体" w:eastAsia="宋体" w:hint="default"/>
          <w:sz w:val="18"/>
          <w:szCs w:val="18"/>
        </w:rPr>
        <w:t>在合营企业或联营企业的持股比例不同于表决权比例的说明：</w:t>
      </w:r>
    </w:p>
    <w:p>
      <w:pPr>
        <w:spacing w:before="117"/>
        <w:ind w:left="152" w:right="110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北京通通易联科技有限公司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117,194,907.76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128,128,787.58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6,688,316.86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4,270,404.37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123,883,224.62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132,399,191.95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113,456,635.44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109,010,191.90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113,456,635.44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109,010,191.90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134,200.77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68,315.37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10,292,388.41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23,320,684.68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3,490,457.68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7,908,743.80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3,490,457.68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7,908,743.80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62,661,718.16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81,179,394.62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-12,962,410.87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-5,590,410.77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-12,962,410.87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-5,590,410.77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-13,028,296.27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-5,258,726.14</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692" w:lineRule="exact" w:before="55"/>
        <w:ind w:left="633" w:right="1104" w:hanging="481"/>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本公司的主要金融工具包括货币资金、应收款项、应收票据、借款、长期应收款、应付</w:t>
      </w:r>
    </w:p>
    <w:p>
      <w:pPr>
        <w:pStyle w:val="BodyText"/>
        <w:spacing w:line="357" w:lineRule="auto" w:before="49"/>
        <w:ind w:right="1134"/>
        <w:jc w:val="both"/>
      </w:pPr>
      <w:r>
        <w:rPr/>
        <w:t>款项、应付票据，各项金融工具的详细情况说明见本附注、六相关项目。与这些金融工具有</w:t>
      </w:r>
      <w:r>
        <w:rPr>
          <w:spacing w:val="-91"/>
        </w:rPr>
        <w:t> </w:t>
      </w:r>
      <w:r>
        <w:rPr>
          <w:spacing w:val="-91"/>
        </w:rPr>
      </w:r>
      <w:r>
        <w:rPr/>
        <w:t>关的风险，以及本公司为降低这些风险所采取的风险管理政策如下所述。本公司管理层对这</w:t>
      </w:r>
      <w:r>
        <w:rPr>
          <w:spacing w:val="-86"/>
        </w:rPr>
        <w:t> </w:t>
      </w:r>
      <w:r>
        <w:rPr>
          <w:spacing w:val="-86"/>
        </w:rPr>
      </w:r>
      <w:r>
        <w:rPr/>
        <w:t>些风险敞口进行管理和监控以确保将上述风险控制在限定的范围之内。</w:t>
      </w:r>
    </w:p>
    <w:p>
      <w:pPr>
        <w:pStyle w:val="BodyText"/>
        <w:spacing w:line="357" w:lineRule="auto"/>
        <w:ind w:left="633" w:right="1104"/>
        <w:jc w:val="left"/>
      </w:pPr>
      <w:r>
        <w:rPr>
          <w:rFonts w:ascii="宋体" w:hAnsi="宋体" w:cs="宋体" w:eastAsia="宋体" w:hint="default"/>
        </w:rPr>
        <w:t>1</w:t>
      </w:r>
      <w:r>
        <w:rPr/>
        <w:t>、风险管理目标和政策： 本公司从事风险管理的目标是在风险和收益之间取得适当的平衡，将风险对本公司经营</w:t>
      </w:r>
    </w:p>
    <w:p>
      <w:pPr>
        <w:pStyle w:val="BodyText"/>
        <w:spacing w:line="240" w:lineRule="auto"/>
        <w:ind w:right="0"/>
        <w:jc w:val="both"/>
      </w:pPr>
      <w:r>
        <w:rPr/>
        <w:t>业绩的负面影响降低到最低水平，使股东及其其他权益投资者的利益最大化。基于该风险管</w:t>
      </w:r>
    </w:p>
    <w:p>
      <w:pPr>
        <w:spacing w:after="0" w:line="240" w:lineRule="auto"/>
        <w:jc w:val="both"/>
        <w:sectPr>
          <w:pgSz w:w="11910" w:h="16840"/>
          <w:pgMar w:header="745"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right="1139"/>
        <w:jc w:val="both"/>
      </w:pPr>
      <w:r>
        <w:rPr/>
        <w:t>理目标，本公司风险管理的基本策略是确定和分析本公司所面临的各种风险，建立适当的风</w:t>
      </w:r>
      <w:r>
        <w:rPr>
          <w:spacing w:val="-91"/>
        </w:rPr>
        <w:t> </w:t>
      </w:r>
      <w:r>
        <w:rPr>
          <w:spacing w:val="-91"/>
        </w:rPr>
      </w:r>
      <w:r>
        <w:rPr/>
        <w:t>险承受底线和进行风险管理，并及时可靠地对各种风险进行监督，将风险控制在限定的范围</w:t>
      </w:r>
      <w:r>
        <w:rPr>
          <w:spacing w:val="-91"/>
        </w:rPr>
        <w:t> </w:t>
      </w:r>
      <w:r>
        <w:rPr>
          <w:spacing w:val="-91"/>
        </w:rPr>
      </w:r>
      <w:r>
        <w:rPr/>
        <w:t>之内。</w:t>
      </w:r>
    </w:p>
    <w:p>
      <w:pPr>
        <w:pStyle w:val="BodyText"/>
        <w:spacing w:line="357" w:lineRule="auto"/>
        <w:ind w:left="633" w:right="1104"/>
        <w:jc w:val="left"/>
      </w:pPr>
      <w:r>
        <w:rPr>
          <w:rFonts w:ascii="宋体" w:hAnsi="宋体" w:cs="宋体" w:eastAsia="宋体" w:hint="default"/>
        </w:rPr>
        <w:t>1</w:t>
      </w:r>
      <w:r>
        <w:rPr/>
        <w:t>、市场风险 金融工具的市场风险，是指金融工具的公允价值或未来现金流量因市场价格变动而发生</w:t>
      </w:r>
    </w:p>
    <w:p>
      <w:pPr>
        <w:pStyle w:val="BodyText"/>
        <w:spacing w:line="357" w:lineRule="auto"/>
        <w:ind w:left="633" w:right="1104" w:hanging="481"/>
        <w:jc w:val="left"/>
      </w:pPr>
      <w:r>
        <w:rPr/>
        <w:t>波动的风险，主要为包括利率风险。 利率风险，是指金融工具的公允价值或未来现金流量因市场利率变动而发波动的风险。</w:t>
      </w:r>
    </w:p>
    <w:p>
      <w:pPr>
        <w:pStyle w:val="BodyText"/>
        <w:spacing w:line="357" w:lineRule="auto" w:before="37"/>
        <w:ind w:left="633" w:right="1104" w:hanging="481"/>
        <w:jc w:val="left"/>
      </w:pPr>
      <w:r>
        <w:rPr/>
        <w:t>利率风险可源于已确认的计息金融工具和未确认的金融工具（如某些贷款承诺）。 本公司的利率风险主要产生于银行存款、交易性金融资产、短期借款、长期借款。本公</w:t>
      </w:r>
    </w:p>
    <w:p>
      <w:pPr>
        <w:pStyle w:val="BodyText"/>
        <w:spacing w:line="357" w:lineRule="auto"/>
        <w:ind w:left="633" w:right="4754" w:hanging="481"/>
        <w:jc w:val="left"/>
      </w:pPr>
      <w:r>
        <w:rPr/>
        <w:t>司的政策是尽可能保持这些金融资产和借款的固定利率。 </w:t>
      </w:r>
      <w:r>
        <w:rPr>
          <w:rFonts w:ascii="宋体" w:hAnsi="宋体" w:cs="宋体" w:eastAsia="宋体" w:hint="default"/>
        </w:rPr>
        <w:t>2</w:t>
      </w:r>
      <w:r>
        <w:rPr/>
        <w:t>、信用风险</w:t>
      </w:r>
    </w:p>
    <w:p>
      <w:pPr>
        <w:pStyle w:val="BodyText"/>
        <w:spacing w:line="357" w:lineRule="auto"/>
        <w:ind w:right="1132" w:firstLine="480"/>
        <w:jc w:val="both"/>
      </w:pP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6"/>
        </w:rPr>
        <w:t> </w:t>
      </w:r>
      <w:r>
        <w:rPr>
          <w:spacing w:val="-3"/>
        </w:rPr>
        <w:t>日，可能引起本公司财务损失的最大信用风险敞口主要来自于合同另</w:t>
      </w:r>
      <w:r>
        <w:rPr/>
        <w:t> 一方未能履行义务而导致本公司金融资产产生的损失具体包括：合并资产负债表中已确认的</w:t>
      </w:r>
      <w:r>
        <w:rPr>
          <w:spacing w:val="-91"/>
        </w:rPr>
        <w:t> </w:t>
      </w:r>
      <w:r>
        <w:rPr>
          <w:spacing w:val="-91"/>
        </w:rPr>
      </w:r>
      <w:r>
        <w:rPr/>
        <w:t>金融资产的账面金额。</w:t>
      </w:r>
    </w:p>
    <w:p>
      <w:pPr>
        <w:pStyle w:val="BodyText"/>
        <w:spacing w:line="357" w:lineRule="auto"/>
        <w:ind w:right="1139" w:firstLine="480"/>
        <w:jc w:val="both"/>
      </w:pPr>
      <w:r>
        <w:rPr/>
        <w:t>为降低信用风险，本公司严控信用审批，并执行其他监控程序以确保采取必要的措施回 收过期债权。此外，本公司于每个资产负债表日审核每一单项应收款的回收情况，以确保就</w:t>
      </w:r>
      <w:r>
        <w:rPr>
          <w:spacing w:val="-91"/>
        </w:rPr>
        <w:t> </w:t>
      </w:r>
      <w:r>
        <w:rPr>
          <w:spacing w:val="-91"/>
        </w:rPr>
      </w:r>
      <w:r>
        <w:rPr/>
        <w:t>无法回收的款项计提充分的坏账准备。因此，本公司管理层认为本公司所承担的信用风险已</w:t>
      </w:r>
      <w:r>
        <w:rPr>
          <w:spacing w:val="-91"/>
        </w:rPr>
        <w:t> </w:t>
      </w:r>
      <w:r>
        <w:rPr>
          <w:spacing w:val="-91"/>
        </w:rPr>
      </w:r>
      <w:r>
        <w:rPr/>
        <w:t>经大为降低。本公司的流动资金存放在信用评级较高的银行，故流动资金的信用风险较低。</w:t>
      </w:r>
    </w:p>
    <w:p>
      <w:pPr>
        <w:pStyle w:val="BodyText"/>
        <w:spacing w:line="357" w:lineRule="auto"/>
        <w:ind w:left="633" w:right="1104"/>
        <w:jc w:val="left"/>
      </w:pPr>
      <w:r>
        <w:rPr>
          <w:rFonts w:ascii="宋体" w:hAnsi="宋体" w:cs="宋体" w:eastAsia="宋体" w:hint="default"/>
        </w:rPr>
        <w:t>3</w:t>
      </w:r>
      <w:r>
        <w:rPr/>
        <w:t>、流动风险 管理流动风险时，本公司保持管理层认为充分的现金及现金等价物并对其进行监控，以</w:t>
      </w:r>
    </w:p>
    <w:p>
      <w:pPr>
        <w:pStyle w:val="BodyText"/>
        <w:spacing w:line="357" w:lineRule="auto"/>
        <w:ind w:right="1139"/>
        <w:jc w:val="both"/>
      </w:pPr>
      <w:r>
        <w:rPr/>
        <w:t>满足本公司经营需要，并降低现金流量波动的影响。本公司管理层对银行借款的使用情况进</w:t>
      </w:r>
      <w:r>
        <w:rPr>
          <w:spacing w:val="-91"/>
        </w:rPr>
        <w:t> </w:t>
      </w:r>
      <w:r>
        <w:rPr>
          <w:spacing w:val="-91"/>
        </w:rPr>
      </w:r>
      <w:r>
        <w:rPr/>
        <w:t>行监控并确保遵守借款协议。</w:t>
      </w:r>
    </w:p>
    <w:p>
      <w:pPr>
        <w:spacing w:line="240" w:lineRule="auto" w:before="11"/>
        <w:rPr>
          <w:rFonts w:ascii="宋体" w:hAnsi="宋体" w:cs="宋体" w:eastAsia="宋体" w:hint="default"/>
          <w:sz w:val="19"/>
          <w:szCs w:val="19"/>
        </w:rPr>
      </w:pPr>
    </w:p>
    <w:p>
      <w:pPr>
        <w:pStyle w:val="Heading2"/>
        <w:spacing w:line="240" w:lineRule="auto"/>
        <w:ind w:right="1104"/>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6"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1"/>
          <w:pgSz w:w="11910" w:h="16840"/>
          <w:pgMar w:footer="979"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21,000,000.00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21,000,000.00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21,000,000.00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21,000,000.00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43,020,000.00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43,020,000.00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4,417,640.00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8" w:right="0"/>
              <w:jc w:val="left"/>
              <w:rPr>
                <w:rFonts w:ascii="Times New Roman" w:hAnsi="Times New Roman" w:cs="Times New Roman" w:eastAsia="Times New Roman" w:hint="default"/>
                <w:sz w:val="18"/>
                <w:szCs w:val="18"/>
              </w:rPr>
            </w:pPr>
            <w:r>
              <w:rPr>
                <w:rFonts w:ascii="Times New Roman"/>
                <w:sz w:val="18"/>
              </w:rPr>
              <w:t>4,417,640.00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25,417,640.00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43,020,000.00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68,437,640.00</w:t>
            </w:r>
          </w:p>
        </w:tc>
      </w:tr>
      <w:tr>
        <w:trPr>
          <w:trHeight w:val="16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2" w:right="1104" w:firstLine="0"/>
        <w:jc w:val="left"/>
        <w:rPr>
          <w:rFonts w:ascii="宋体" w:hAnsi="宋体" w:cs="宋体" w:eastAsia="宋体" w:hint="default"/>
          <w:sz w:val="21"/>
          <w:szCs w:val="21"/>
        </w:rPr>
      </w:pPr>
      <w:r>
        <w:rPr>
          <w:rFonts w:ascii="宋体" w:hAnsi="宋体" w:cs="宋体" w:eastAsia="宋体" w:hint="default"/>
          <w:spacing w:val="-2"/>
          <w:sz w:val="21"/>
          <w:szCs w:val="21"/>
        </w:rPr>
        <w:t>结构性存款和应收款项融资采用现金流量折现法。输入值分别为预期收益率与交易对手信用风险的折现</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率。</w:t>
      </w:r>
    </w:p>
    <w:p>
      <w:pPr>
        <w:spacing w:line="240" w:lineRule="auto" w:before="7"/>
        <w:rPr>
          <w:rFonts w:ascii="宋体" w:hAnsi="宋体" w:cs="宋体" w:eastAsia="宋体" w:hint="default"/>
          <w:sz w:val="23"/>
          <w:szCs w:val="23"/>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04" w:firstLine="0"/>
        <w:jc w:val="left"/>
        <w:rPr>
          <w:rFonts w:ascii="宋体" w:hAnsi="宋体" w:cs="宋体" w:eastAsia="宋体" w:hint="default"/>
          <w:sz w:val="21"/>
          <w:szCs w:val="21"/>
        </w:rPr>
      </w:pPr>
      <w:r>
        <w:rPr>
          <w:rFonts w:ascii="宋体" w:hAnsi="宋体" w:cs="宋体" w:eastAsia="宋体" w:hint="default"/>
          <w:spacing w:val="-2"/>
          <w:sz w:val="21"/>
          <w:szCs w:val="21"/>
        </w:rPr>
        <w:t>因被投资企业经营环境与计划或阶段性目标相比业绩未发生重大变化，公司判断该项投资成本代表其公允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价值的最佳估计。</w:t>
      </w:r>
    </w:p>
    <w:p>
      <w:pPr>
        <w:spacing w:line="240" w:lineRule="auto" w:before="8"/>
        <w:rPr>
          <w:rFonts w:ascii="宋体" w:hAnsi="宋体" w:cs="宋体" w:eastAsia="宋体" w:hint="default"/>
          <w:sz w:val="21"/>
          <w:szCs w:val="21"/>
        </w:rPr>
      </w:pPr>
    </w:p>
    <w:p>
      <w:pPr>
        <w:pStyle w:val="Heading2"/>
        <w:spacing w:line="240" w:lineRule="auto"/>
        <w:ind w:right="1104"/>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sz w:val="21"/>
          <w:szCs w:val="21"/>
        </w:rPr>
        <w:t>本企业股东吴强华为实际控制人，持有公司 </w:t>
      </w:r>
      <w:r>
        <w:rPr>
          <w:rFonts w:ascii="Times New Roman" w:hAnsi="Times New Roman" w:cs="Times New Roman" w:eastAsia="Times New Roman" w:hint="default"/>
          <w:sz w:val="21"/>
          <w:szCs w:val="21"/>
        </w:rPr>
        <w:t>28.23%</w:t>
      </w:r>
      <w:r>
        <w:rPr>
          <w:rFonts w:ascii="宋体" w:hAnsi="宋体" w:cs="宋体" w:eastAsia="宋体" w:hint="default"/>
          <w:sz w:val="21"/>
          <w:szCs w:val="21"/>
        </w:rPr>
        <w:t>的股权，对本公司的表决权比例为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28.23%</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line="544" w:lineRule="auto" w:before="0"/>
        <w:ind w:left="152" w:right="60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49"/>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本企业重要的合营或联营企业详见附注八、</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
          <w:szCs w:val="2"/>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2;top:14;width:2;height:394" coordorigin="4772,14" coordsize="2,394">
              <v:shape style="position:absolute;left:4772;top:14;width:2;height:394" coordorigin="4772,14" coordsize="0,394" path="m4772,14l4772,408e" filled="false" stroked="true" strokeweight="1.2pt" strokecolor="#d2d2d2">
                <v:path arrowok="t"/>
              </v:shape>
            </v:group>
            <v:group style="position:absolute;left:34;top:14;width:4727;height:394" coordorigin="34,14" coordsize="4727,394">
              <v:shape style="position:absolute;left:34;top:14;width:4727;height:394" coordorigin="34,14" coordsize="4727,394" path="m34,408l4760,408,4760,14,34,14,34,408xe" filled="true" fillcolor="#d2d2d2" stroked="false">
                <v:path arrowok="t"/>
                <v:fill type="solid"/>
              </v:shape>
            </v:group>
            <v:group style="position:absolute;left:4806;top:14;width:2;height:394" coordorigin="4806,14" coordsize="2,394">
              <v:shape style="position:absolute;left:4806;top:14;width:2;height:394" coordorigin="4806,14" coordsize="0,394" path="m4806,14l4806,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89;top:10;width:4787;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22"/>
          <w:pgSz w:w="11910" w:h="16840"/>
          <w:pgMar w:footer="979" w:header="745" w:top="1060" w:bottom="1160" w:left="980" w:right="0"/>
          <w:pgNumType w:start="201"/>
        </w:sectPr>
      </w:pPr>
    </w:p>
    <w:p>
      <w:pPr>
        <w:spacing w:line="240" w:lineRule="auto" w:before="10"/>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北京天健源达科技股份有限公司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不具有控制、共同控制或重大影响的其他关联方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重庆小爱科技有限公司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不具有控制、共同控制或重大影响的其他关联方</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北京通通易联科技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4,812,725.60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15,000,000.00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北京通通易联科技有限公司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6,841,841.43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16,773,590.28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北京通通易联科技有限公司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6,132,495.41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10,799,433.97</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北京通通易联科技有限公司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经营租赁资产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162,495.41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157,090.91</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北京数字智通科技有限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
              <w:jc w:val="center"/>
              <w:rPr>
                <w:rFonts w:ascii="宋体" w:hAnsi="宋体" w:cs="宋体" w:eastAsia="宋体" w:hint="default"/>
                <w:sz w:val="18"/>
                <w:szCs w:val="18"/>
              </w:rPr>
            </w:pPr>
            <w:r>
              <w:rPr>
                <w:rFonts w:ascii="宋体" w:hAnsi="宋体" w:cs="宋体" w:eastAsia="宋体" w:hint="default"/>
                <w:sz w:val="18"/>
                <w:szCs w:val="18"/>
              </w:rPr>
              <w:t>北京数字智通科技有限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line="240" w:lineRule="auto" w:before="0"/>
        <w:rPr>
          <w:rFonts w:ascii="宋体" w:hAnsi="宋体" w:cs="宋体" w:eastAsia="宋体" w:hint="default"/>
          <w:sz w:val="18"/>
          <w:szCs w:val="18"/>
        </w:rPr>
      </w:pPr>
    </w:p>
    <w:p>
      <w:pPr>
        <w:spacing w:before="118"/>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5,355,680.00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5,137,000.00</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北京通通易联科技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42,243,481.32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2,112,174.07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48,437,414.98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2,421,870.75</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北京天健源达科技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5,209,238.42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260,461.93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4,790,166.48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239,508.32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北京天健源达科技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北京通通易联科技有限公司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413,688.83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1,228,252.65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北京通通易联科技有限公司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r>
    </w:tbl>
    <w:p>
      <w:pPr>
        <w:spacing w:line="240" w:lineRule="auto" w:before="1"/>
        <w:rPr>
          <w:rFonts w:ascii="宋体" w:hAnsi="宋体" w:cs="宋体" w:eastAsia="宋体" w:hint="default"/>
          <w:sz w:val="18"/>
          <w:szCs w:val="18"/>
        </w:rPr>
      </w:pPr>
    </w:p>
    <w:p>
      <w:pPr>
        <w:pStyle w:val="Heading2"/>
        <w:spacing w:line="240" w:lineRule="auto" w:before="26"/>
        <w:ind w:right="1104"/>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26,875,000.00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3,828,300.00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日授予股票期权的行权价格为每份</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元；合同剩余期限为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日授予限制性股票的行权价格为每</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 </w:t>
            </w:r>
            <w:r>
              <w:rPr>
                <w:rFonts w:ascii="宋体" w:hAnsi="宋体" w:cs="宋体" w:eastAsia="宋体" w:hint="default"/>
                <w:sz w:val="18"/>
                <w:szCs w:val="18"/>
              </w:rPr>
              <w:t>元。合同剩余期限为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5"/>
        <w:ind w:right="1130" w:firstLine="480"/>
        <w:jc w:val="left"/>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18</w:t>
      </w:r>
      <w:r>
        <w:rPr>
          <w:spacing w:val="-2"/>
        </w:rPr>
        <w:t>日授予股票期权的行权价格为每份</w:t>
      </w:r>
      <w:r>
        <w:rPr>
          <w:rFonts w:ascii="宋体" w:hAnsi="宋体" w:cs="宋体" w:eastAsia="宋体" w:hint="default"/>
          <w:spacing w:val="-2"/>
        </w:rPr>
        <w:t>11.20</w:t>
      </w:r>
      <w:r>
        <w:rPr>
          <w:spacing w:val="-2"/>
        </w:rPr>
        <w:t>元；合同剩余期限为</w:t>
      </w:r>
      <w:r>
        <w:rPr>
          <w:rFonts w:ascii="宋体" w:hAnsi="宋体" w:cs="宋体" w:eastAsia="宋体" w:hint="default"/>
          <w:spacing w:val="-2"/>
        </w:rPr>
        <w:t>12</w:t>
      </w:r>
      <w:r>
        <w:rPr>
          <w:spacing w:val="-2"/>
        </w:rPr>
        <w:t>个月。</w:t>
      </w:r>
      <w:r>
        <w:rPr>
          <w:rFonts w:ascii="宋体" w:hAnsi="宋体" w:cs="宋体" w:eastAsia="宋体" w:hint="default"/>
          <w:spacing w:val="-2"/>
        </w:rPr>
        <w:t>2018</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18</w:t>
      </w:r>
      <w:r>
        <w:rPr/>
        <w:t>日授予限制性股票的行权价格为每股</w:t>
      </w:r>
      <w:r>
        <w:rPr>
          <w:rFonts w:ascii="宋体" w:hAnsi="宋体" w:cs="宋体" w:eastAsia="宋体" w:hint="default"/>
        </w:rPr>
        <w:t>5.6</w:t>
      </w:r>
      <w:r>
        <w:rPr/>
        <w:t>元。合同剩余期限为</w:t>
      </w:r>
      <w:r>
        <w:rPr>
          <w:rFonts w:ascii="宋体" w:hAnsi="宋体" w:cs="宋体" w:eastAsia="宋体" w:hint="default"/>
        </w:rPr>
        <w:t>12</w:t>
      </w:r>
      <w:r>
        <w:rPr/>
        <w:t>个月。</w:t>
      </w:r>
    </w:p>
    <w:p>
      <w:pPr>
        <w:pStyle w:val="BodyText"/>
        <w:spacing w:line="240" w:lineRule="auto"/>
        <w:ind w:left="633" w:right="986"/>
        <w:jc w:val="left"/>
      </w:pPr>
      <w:r>
        <w:rPr/>
        <w:t>公司 </w:t>
      </w:r>
      <w:r>
        <w:rPr>
          <w:rFonts w:ascii="宋体" w:hAnsi="宋体" w:cs="宋体" w:eastAsia="宋体" w:hint="default"/>
        </w:rPr>
        <w:t>2018 </w:t>
      </w:r>
      <w:r>
        <w:rPr>
          <w:spacing w:val="-3"/>
        </w:rPr>
        <w:t>年经营业绩未能达到限制性股票第三个解锁期的解锁条件；同时 </w:t>
      </w:r>
      <w:r>
        <w:rPr>
          <w:rFonts w:ascii="宋体" w:hAnsi="宋体" w:cs="宋体" w:eastAsia="宋体" w:hint="default"/>
        </w:rPr>
        <w:t>9</w:t>
      </w:r>
      <w:r>
        <w:rPr>
          <w:rFonts w:ascii="宋体" w:hAnsi="宋体" w:cs="宋体" w:eastAsia="宋体" w:hint="default"/>
          <w:spacing w:val="5"/>
        </w:rPr>
        <w:t> </w:t>
      </w:r>
      <w:r>
        <w:rPr/>
        <w:t>名激励对</w:t>
      </w:r>
    </w:p>
    <w:p>
      <w:pPr>
        <w:pStyle w:val="BodyText"/>
        <w:spacing w:line="357" w:lineRule="auto" w:before="154"/>
        <w:ind w:right="996"/>
        <w:jc w:val="left"/>
      </w:pPr>
      <w:r>
        <w:rPr>
          <w:spacing w:val="-3"/>
        </w:rPr>
        <w:t>象因个人原因离职，已不符合激励对象条件。公司回购注销第三期的全部限制性股票 </w:t>
      </w:r>
      <w:r>
        <w:rPr>
          <w:rFonts w:ascii="宋体" w:hAnsi="宋体" w:cs="宋体" w:eastAsia="宋体" w:hint="default"/>
        </w:rPr>
        <w:t>371.28</w:t>
      </w:r>
      <w:r>
        <w:rPr>
          <w:rFonts w:ascii="宋体" w:hAnsi="宋体" w:cs="宋体" w:eastAsia="宋体" w:hint="default"/>
          <w:spacing w:val="-86"/>
        </w:rPr>
        <w:t> </w:t>
      </w:r>
      <w:r>
        <w:rPr/>
        <w:t>万股和已离职激励对象尚未解锁的限制性股票 </w:t>
      </w:r>
      <w:r>
        <w:rPr>
          <w:rFonts w:ascii="宋体" w:hAnsi="宋体" w:cs="宋体" w:eastAsia="宋体" w:hint="default"/>
        </w:rPr>
        <w:t>11.55 </w:t>
      </w:r>
      <w:r>
        <w:rPr>
          <w:spacing w:val="-5"/>
        </w:rPr>
        <w:t>万股，回购注销股票共计</w:t>
      </w:r>
      <w:r>
        <w:rPr>
          <w:rFonts w:ascii="宋体" w:hAnsi="宋体" w:cs="宋体" w:eastAsia="宋体" w:hint="default"/>
          <w:spacing w:val="-5"/>
        </w:rPr>
        <w:t>382.83</w:t>
      </w:r>
      <w:r>
        <w:rPr>
          <w:rFonts w:ascii="宋体" w:hAnsi="宋体" w:cs="宋体" w:eastAsia="宋体" w:hint="default"/>
          <w:spacing w:val="3"/>
        </w:rPr>
        <w:t> </w:t>
      </w:r>
      <w:r>
        <w:rPr/>
        <w:t>万股， 本次激励计划首批授予的限制性股票回购价格为 </w:t>
      </w:r>
      <w:r>
        <w:rPr>
          <w:rFonts w:ascii="宋体" w:hAnsi="宋体" w:cs="宋体" w:eastAsia="宋体" w:hint="default"/>
        </w:rPr>
        <w:t>10.37</w:t>
      </w:r>
      <w:r>
        <w:rPr>
          <w:rFonts w:ascii="宋体" w:hAnsi="宋体" w:cs="宋体" w:eastAsia="宋体" w:hint="default"/>
          <w:spacing w:val="31"/>
        </w:rPr>
        <w:t> </w:t>
      </w:r>
      <w:r>
        <w:rPr/>
        <w:t>元</w:t>
      </w:r>
      <w:r>
        <w:rPr>
          <w:rFonts w:ascii="宋体" w:hAnsi="宋体" w:cs="宋体" w:eastAsia="宋体" w:hint="default"/>
        </w:rPr>
        <w:t>/</w:t>
      </w:r>
      <w:r>
        <w:rPr/>
        <w:t>股，预留部分的限制性股票回购</w:t>
      </w:r>
    </w:p>
    <w:p>
      <w:pPr>
        <w:pStyle w:val="BodyText"/>
        <w:spacing w:line="240" w:lineRule="auto"/>
        <w:ind w:right="1104"/>
        <w:jc w:val="left"/>
      </w:pPr>
      <w:r>
        <w:rPr/>
        <w:t>价格为 </w:t>
      </w:r>
      <w:r>
        <w:rPr>
          <w:rFonts w:ascii="宋体" w:hAnsi="宋体" w:cs="宋体" w:eastAsia="宋体" w:hint="default"/>
        </w:rPr>
        <w:t>11.26</w:t>
      </w:r>
      <w:r>
        <w:rPr>
          <w:rFonts w:ascii="宋体" w:hAnsi="宋体" w:cs="宋体" w:eastAsia="宋体" w:hint="default"/>
          <w:spacing w:val="-1"/>
        </w:rPr>
        <w:t> </w:t>
      </w:r>
      <w:r>
        <w:rPr/>
        <w:t>元</w:t>
      </w:r>
      <w:r>
        <w:rPr>
          <w:rFonts w:ascii="宋体" w:hAnsi="宋体" w:cs="宋体" w:eastAsia="宋体" w:hint="default"/>
        </w:rPr>
        <w:t>/</w:t>
      </w:r>
      <w:r>
        <w:rPr/>
        <w:t>股。</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43,110,075.00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43,110,075.00</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tabs>
          <w:tab w:pos="3568" w:val="left" w:leader="none"/>
          <w:tab w:pos="4689" w:val="left" w:leader="none"/>
          <w:tab w:pos="7325" w:val="left" w:leader="none"/>
        </w:tabs>
        <w:spacing w:line="338" w:lineRule="auto" w:before="124"/>
        <w:ind w:left="164" w:right="1818" w:firstLine="0"/>
        <w:jc w:val="left"/>
        <w:rPr>
          <w:rFonts w:ascii="宋体" w:hAnsi="宋体" w:cs="宋体" w:eastAsia="宋体" w:hint="default"/>
          <w:sz w:val="18"/>
          <w:szCs w:val="18"/>
        </w:rPr>
      </w:pPr>
      <w:r>
        <w:rPr>
          <w:rFonts w:ascii="宋体" w:hAnsi="宋体" w:cs="宋体" w:eastAsia="宋体" w:hint="default"/>
          <w:sz w:val="18"/>
          <w:szCs w:val="18"/>
        </w:rPr>
        <w:t>项目</w:t>
        <w:tab/>
        <w:tab/>
      </w:r>
      <w:r>
        <w:rPr>
          <w:rFonts w:ascii="宋体" w:hAnsi="宋体" w:cs="宋体" w:eastAsia="宋体" w:hint="default"/>
          <w:sz w:val="18"/>
          <w:szCs w:val="18"/>
          <w:u w:val="single" w:color="000000"/>
        </w:rPr>
        <w:t>股票期权相关内容</w:t>
      </w:r>
      <w:r>
        <w:rPr>
          <w:rFonts w:ascii="宋体" w:hAnsi="宋体" w:cs="宋体" w:eastAsia="宋体" w:hint="default"/>
          <w:sz w:val="18"/>
          <w:szCs w:val="18"/>
        </w:rPr>
        <w:tab/>
      </w:r>
      <w:r>
        <w:rPr>
          <w:rFonts w:ascii="宋体" w:hAnsi="宋体" w:cs="宋体" w:eastAsia="宋体" w:hint="default"/>
          <w:sz w:val="18"/>
          <w:szCs w:val="18"/>
          <w:u w:val="single" w:color="000000"/>
        </w:rPr>
        <w:t>限制性股票相关内容</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position w:val="1"/>
          <w:sz w:val="18"/>
          <w:szCs w:val="18"/>
        </w:rPr>
        <w:t>授予日权益工具公允价值的确定方法</w:t>
        <w:tab/>
      </w:r>
      <w:r>
        <w:rPr>
          <w:rFonts w:ascii="宋体" w:hAnsi="宋体" w:cs="宋体" w:eastAsia="宋体" w:hint="default"/>
          <w:spacing w:val="-60"/>
          <w:sz w:val="18"/>
          <w:szCs w:val="18"/>
        </w:rPr>
        <w:t>按公司股票在创业版的交易价格为按基公司按股公票司授股予票日授收予盘日价收减盘去价授减予去价授</w:t>
      </w:r>
    </w:p>
    <w:p>
      <w:pPr>
        <w:spacing w:line="234" w:lineRule="exact" w:before="0"/>
        <w:ind w:left="3389" w:right="1104" w:firstLine="0"/>
        <w:jc w:val="left"/>
        <w:rPr>
          <w:rFonts w:ascii="宋体" w:hAnsi="宋体" w:cs="宋体" w:eastAsia="宋体" w:hint="default"/>
          <w:sz w:val="18"/>
          <w:szCs w:val="18"/>
        </w:rPr>
      </w:pPr>
      <w:r>
        <w:rPr>
          <w:rFonts w:ascii="宋体" w:hAnsi="宋体" w:cs="宋体" w:eastAsia="宋体" w:hint="default"/>
          <w:sz w:val="18"/>
          <w:szCs w:val="18"/>
        </w:rPr>
        <w:t>础，并考虑行权价格、年化波动率</w:t>
      </w:r>
      <w:r>
        <w:rPr>
          <w:rFonts w:ascii="宋体" w:hAnsi="宋体" w:cs="宋体" w:eastAsia="宋体" w:hint="default"/>
          <w:spacing w:val="-43"/>
          <w:sz w:val="18"/>
          <w:szCs w:val="18"/>
        </w:rPr>
        <w:t>、</w:t>
      </w:r>
      <w:r>
        <w:rPr>
          <w:rFonts w:ascii="宋体" w:hAnsi="宋体" w:cs="宋体" w:eastAsia="宋体" w:hint="default"/>
          <w:spacing w:val="-138"/>
          <w:sz w:val="18"/>
          <w:szCs w:val="18"/>
        </w:rPr>
        <w:t>作</w:t>
      </w:r>
      <w:r>
        <w:rPr>
          <w:rFonts w:ascii="宋体" w:hAnsi="宋体" w:cs="宋体" w:eastAsia="宋体" w:hint="default"/>
          <w:spacing w:val="-43"/>
          <w:sz w:val="18"/>
          <w:szCs w:val="18"/>
        </w:rPr>
        <w:t>年</w:t>
      </w:r>
      <w:r>
        <w:rPr>
          <w:rFonts w:ascii="宋体" w:hAnsi="宋体" w:cs="宋体" w:eastAsia="宋体" w:hint="default"/>
          <w:sz w:val="18"/>
          <w:szCs w:val="18"/>
        </w:rPr>
        <w:t>为</w:t>
      </w:r>
      <w:r>
        <w:rPr>
          <w:rFonts w:ascii="宋体" w:hAnsi="宋体" w:cs="宋体" w:eastAsia="宋体" w:hint="default"/>
          <w:spacing w:val="-180"/>
          <w:sz w:val="18"/>
          <w:szCs w:val="18"/>
        </w:rPr>
        <w:t>限</w:t>
      </w:r>
      <w:r>
        <w:rPr>
          <w:rFonts w:ascii="宋体" w:hAnsi="宋体" w:cs="宋体" w:eastAsia="宋体" w:hint="default"/>
          <w:sz w:val="18"/>
          <w:szCs w:val="18"/>
        </w:rPr>
        <w:t>价</w:t>
      </w:r>
      <w:r>
        <w:rPr>
          <w:rFonts w:ascii="宋体" w:hAnsi="宋体" w:cs="宋体" w:eastAsia="宋体" w:hint="default"/>
          <w:spacing w:val="-180"/>
          <w:sz w:val="18"/>
          <w:szCs w:val="18"/>
        </w:rPr>
        <w:t>制</w:t>
      </w:r>
      <w:r>
        <w:rPr>
          <w:rFonts w:ascii="宋体" w:hAnsi="宋体" w:cs="宋体" w:eastAsia="宋体" w:hint="default"/>
          <w:sz w:val="18"/>
          <w:szCs w:val="18"/>
        </w:rPr>
        <w:t>格</w:t>
      </w:r>
      <w:r>
        <w:rPr>
          <w:rFonts w:ascii="宋体" w:hAnsi="宋体" w:cs="宋体" w:eastAsia="宋体" w:hint="default"/>
          <w:spacing w:val="-180"/>
          <w:sz w:val="18"/>
          <w:szCs w:val="18"/>
        </w:rPr>
        <w:t>性</w:t>
      </w:r>
      <w:r>
        <w:rPr>
          <w:rFonts w:ascii="宋体" w:hAnsi="宋体" w:cs="宋体" w:eastAsia="宋体" w:hint="default"/>
          <w:sz w:val="18"/>
          <w:szCs w:val="18"/>
        </w:rPr>
        <w:t>作</w:t>
      </w:r>
      <w:r>
        <w:rPr>
          <w:rFonts w:ascii="宋体" w:hAnsi="宋体" w:cs="宋体" w:eastAsia="宋体" w:hint="default"/>
          <w:spacing w:val="-180"/>
          <w:sz w:val="18"/>
          <w:szCs w:val="18"/>
        </w:rPr>
        <w:t>股</w:t>
      </w:r>
      <w:r>
        <w:rPr>
          <w:rFonts w:ascii="宋体" w:hAnsi="宋体" w:cs="宋体" w:eastAsia="宋体" w:hint="default"/>
          <w:sz w:val="18"/>
          <w:szCs w:val="18"/>
        </w:rPr>
        <w:t>为</w:t>
      </w:r>
      <w:r>
        <w:rPr>
          <w:rFonts w:ascii="宋体" w:hAnsi="宋体" w:cs="宋体" w:eastAsia="宋体" w:hint="default"/>
          <w:spacing w:val="-180"/>
          <w:sz w:val="18"/>
          <w:szCs w:val="18"/>
        </w:rPr>
        <w:t>票</w:t>
      </w:r>
      <w:r>
        <w:rPr>
          <w:rFonts w:ascii="宋体" w:hAnsi="宋体" w:cs="宋体" w:eastAsia="宋体" w:hint="default"/>
          <w:sz w:val="18"/>
          <w:szCs w:val="18"/>
        </w:rPr>
        <w:t>限</w:t>
      </w:r>
      <w:r>
        <w:rPr>
          <w:rFonts w:ascii="宋体" w:hAnsi="宋体" w:cs="宋体" w:eastAsia="宋体" w:hint="default"/>
          <w:spacing w:val="-180"/>
          <w:sz w:val="18"/>
          <w:szCs w:val="18"/>
        </w:rPr>
        <w:t>公</w:t>
      </w:r>
      <w:r>
        <w:rPr>
          <w:rFonts w:ascii="宋体" w:hAnsi="宋体" w:cs="宋体" w:eastAsia="宋体" w:hint="default"/>
          <w:sz w:val="18"/>
          <w:szCs w:val="18"/>
        </w:rPr>
        <w:t>制</w:t>
      </w:r>
      <w:r>
        <w:rPr>
          <w:rFonts w:ascii="宋体" w:hAnsi="宋体" w:cs="宋体" w:eastAsia="宋体" w:hint="default"/>
          <w:spacing w:val="-180"/>
          <w:sz w:val="18"/>
          <w:szCs w:val="18"/>
        </w:rPr>
        <w:t>允</w:t>
      </w:r>
      <w:r>
        <w:rPr>
          <w:rFonts w:ascii="宋体" w:hAnsi="宋体" w:cs="宋体" w:eastAsia="宋体" w:hint="default"/>
          <w:sz w:val="18"/>
          <w:szCs w:val="18"/>
        </w:rPr>
        <w:t>性</w:t>
      </w:r>
      <w:r>
        <w:rPr>
          <w:rFonts w:ascii="宋体" w:hAnsi="宋体" w:cs="宋体" w:eastAsia="宋体" w:hint="default"/>
          <w:spacing w:val="-180"/>
          <w:sz w:val="18"/>
          <w:szCs w:val="18"/>
        </w:rPr>
        <w:t>价</w:t>
      </w:r>
      <w:r>
        <w:rPr>
          <w:rFonts w:ascii="宋体" w:hAnsi="宋体" w:cs="宋体" w:eastAsia="宋体" w:hint="default"/>
          <w:sz w:val="18"/>
          <w:szCs w:val="18"/>
        </w:rPr>
        <w:t>股</w:t>
      </w:r>
      <w:r>
        <w:rPr>
          <w:rFonts w:ascii="宋体" w:hAnsi="宋体" w:cs="宋体" w:eastAsia="宋体" w:hint="default"/>
          <w:spacing w:val="-180"/>
          <w:sz w:val="18"/>
          <w:szCs w:val="18"/>
        </w:rPr>
        <w:t>值</w:t>
      </w:r>
      <w:r>
        <w:rPr>
          <w:rFonts w:ascii="宋体" w:hAnsi="宋体" w:cs="宋体" w:eastAsia="宋体" w:hint="default"/>
          <w:sz w:val="18"/>
          <w:szCs w:val="18"/>
        </w:rPr>
        <w:t>票</w:t>
      </w:r>
      <w:r>
        <w:rPr>
          <w:rFonts w:ascii="宋体" w:hAnsi="宋体" w:cs="宋体" w:eastAsia="宋体" w:hint="default"/>
          <w:spacing w:val="-180"/>
          <w:sz w:val="18"/>
          <w:szCs w:val="18"/>
        </w:rPr>
        <w:t>的</w:t>
      </w:r>
      <w:r>
        <w:rPr>
          <w:rFonts w:ascii="宋体" w:hAnsi="宋体" w:cs="宋体" w:eastAsia="宋体" w:hint="default"/>
          <w:sz w:val="18"/>
          <w:szCs w:val="18"/>
        </w:rPr>
        <w:t>公</w:t>
      </w:r>
      <w:r>
        <w:rPr>
          <w:rFonts w:ascii="宋体" w:hAnsi="宋体" w:cs="宋体" w:eastAsia="宋体" w:hint="default"/>
          <w:spacing w:val="-180"/>
          <w:sz w:val="18"/>
          <w:szCs w:val="18"/>
        </w:rPr>
        <w:t>最</w:t>
      </w:r>
      <w:r>
        <w:rPr>
          <w:rFonts w:ascii="宋体" w:hAnsi="宋体" w:cs="宋体" w:eastAsia="宋体" w:hint="default"/>
          <w:sz w:val="18"/>
          <w:szCs w:val="18"/>
        </w:rPr>
        <w:t>允</w:t>
      </w:r>
      <w:r>
        <w:rPr>
          <w:rFonts w:ascii="宋体" w:hAnsi="宋体" w:cs="宋体" w:eastAsia="宋体" w:hint="default"/>
          <w:spacing w:val="-180"/>
          <w:sz w:val="18"/>
          <w:szCs w:val="18"/>
        </w:rPr>
        <w:t>佳</w:t>
      </w:r>
      <w:r>
        <w:rPr>
          <w:rFonts w:ascii="宋体" w:hAnsi="宋体" w:cs="宋体" w:eastAsia="宋体" w:hint="default"/>
          <w:sz w:val="18"/>
          <w:szCs w:val="18"/>
        </w:rPr>
        <w:t>价</w:t>
      </w:r>
      <w:r>
        <w:rPr>
          <w:rFonts w:ascii="宋体" w:hAnsi="宋体" w:cs="宋体" w:eastAsia="宋体" w:hint="default"/>
          <w:spacing w:val="-180"/>
          <w:sz w:val="18"/>
          <w:szCs w:val="18"/>
        </w:rPr>
        <w:t>估</w:t>
      </w:r>
      <w:r>
        <w:rPr>
          <w:rFonts w:ascii="宋体" w:hAnsi="宋体" w:cs="宋体" w:eastAsia="宋体" w:hint="default"/>
          <w:sz w:val="18"/>
          <w:szCs w:val="18"/>
        </w:rPr>
        <w:t>值</w:t>
      </w:r>
      <w:r>
        <w:rPr>
          <w:rFonts w:ascii="宋体" w:hAnsi="宋体" w:cs="宋体" w:eastAsia="宋体" w:hint="default"/>
          <w:spacing w:val="-180"/>
          <w:sz w:val="18"/>
          <w:szCs w:val="18"/>
        </w:rPr>
        <w:t>计</w:t>
      </w:r>
      <w:r>
        <w:rPr>
          <w:rFonts w:ascii="宋体" w:hAnsi="宋体" w:cs="宋体" w:eastAsia="宋体" w:hint="default"/>
          <w:sz w:val="18"/>
          <w:szCs w:val="18"/>
        </w:rPr>
        <w:t>的</w:t>
      </w:r>
    </w:p>
    <w:p>
      <w:pPr>
        <w:spacing w:after="0" w:line="234" w:lineRule="exact"/>
        <w:jc w:val="left"/>
        <w:rPr>
          <w:rFonts w:ascii="宋体" w:hAnsi="宋体" w:cs="宋体" w:eastAsia="宋体" w:hint="default"/>
          <w:sz w:val="18"/>
          <w:szCs w:val="18"/>
        </w:rPr>
        <w:sectPr>
          <w:pgSz w:w="11910" w:h="16840"/>
          <w:pgMar w:header="745" w:footer="979" w:top="1060" w:bottom="1160" w:left="980" w:right="0"/>
        </w:sectPr>
      </w:pPr>
    </w:p>
    <w:p>
      <w:pPr>
        <w:spacing w:line="316" w:lineRule="auto" w:before="76"/>
        <w:ind w:left="3348" w:right="0" w:firstLine="40"/>
        <w:jc w:val="right"/>
        <w:rPr>
          <w:rFonts w:ascii="宋体" w:hAnsi="宋体" w:cs="宋体" w:eastAsia="宋体" w:hint="default"/>
          <w:sz w:val="18"/>
          <w:szCs w:val="18"/>
        </w:rPr>
      </w:pPr>
      <w:r>
        <w:rPr>
          <w:rFonts w:ascii="宋体" w:hAnsi="宋体" w:cs="宋体" w:eastAsia="宋体" w:hint="default"/>
          <w:sz w:val="18"/>
          <w:szCs w:val="18"/>
        </w:rPr>
        <w:t>化无风险利率、到期年限、股息收益率 </w:t>
      </w:r>
      <w:r>
        <w:rPr>
          <w:rFonts w:ascii="宋体" w:hAnsi="宋体" w:cs="宋体" w:eastAsia="宋体" w:hint="default"/>
          <w:spacing w:val="-1"/>
          <w:sz w:val="18"/>
          <w:szCs w:val="18"/>
        </w:rPr>
        <w:t>等参数按照</w:t>
      </w:r>
      <w:r>
        <w:rPr>
          <w:rFonts w:ascii="Times New Roman" w:hAnsi="Times New Roman" w:cs="Times New Roman" w:eastAsia="Times New Roman" w:hint="default"/>
          <w:spacing w:val="-1"/>
          <w:sz w:val="18"/>
          <w:szCs w:val="18"/>
        </w:rPr>
        <w:t>BS</w:t>
      </w:r>
      <w:r>
        <w:rPr>
          <w:rFonts w:ascii="宋体" w:hAnsi="宋体" w:cs="宋体" w:eastAsia="宋体" w:hint="default"/>
          <w:spacing w:val="-1"/>
          <w:sz w:val="18"/>
          <w:szCs w:val="18"/>
        </w:rPr>
        <w:t>期权定价模型的最佳估计</w:t>
      </w:r>
    </w:p>
    <w:p>
      <w:pPr>
        <w:spacing w:line="23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数</w:t>
      </w:r>
    </w:p>
    <w:p>
      <w:pPr>
        <w:spacing w:before="76"/>
        <w:ind w:left="2057" w:right="162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佳估计数</w:t>
      </w:r>
    </w:p>
    <w:p>
      <w:pPr>
        <w:spacing w:after="0"/>
        <w:jc w:val="center"/>
        <w:rPr>
          <w:rFonts w:ascii="宋体" w:hAnsi="宋体" w:cs="宋体" w:eastAsia="宋体" w:hint="default"/>
          <w:sz w:val="18"/>
          <w:szCs w:val="18"/>
        </w:rPr>
        <w:sectPr>
          <w:type w:val="continuous"/>
          <w:pgSz w:w="11910" w:h="16840"/>
          <w:pgMar w:top="1060" w:bottom="1160" w:left="980" w:right="0"/>
          <w:cols w:num="2" w:equalWidth="0">
            <w:col w:w="6450" w:space="40"/>
            <w:col w:w="4440"/>
          </w:cols>
        </w:sectPr>
      </w:pPr>
    </w:p>
    <w:p>
      <w:pPr>
        <w:tabs>
          <w:tab w:pos="3429" w:val="left" w:leader="none"/>
        </w:tabs>
        <w:spacing w:before="105"/>
        <w:ind w:left="164" w:right="-19" w:firstLine="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tab/>
        <w:t>根据最新取得的可行权人数变动、</w:t>
      </w:r>
    </w:p>
    <w:p>
      <w:pPr>
        <w:spacing w:line="316" w:lineRule="auto" w:before="76"/>
        <w:ind w:left="3609" w:right="-19" w:hanging="180"/>
        <w:jc w:val="left"/>
        <w:rPr>
          <w:rFonts w:ascii="宋体" w:hAnsi="宋体" w:cs="宋体" w:eastAsia="宋体" w:hint="default"/>
          <w:sz w:val="18"/>
          <w:szCs w:val="18"/>
        </w:rPr>
      </w:pPr>
      <w:r>
        <w:rPr>
          <w:rFonts w:ascii="宋体" w:hAnsi="宋体" w:cs="宋体" w:eastAsia="宋体" w:hint="default"/>
          <w:sz w:val="18"/>
          <w:szCs w:val="18"/>
        </w:rPr>
        <w:t>业绩指标完成情况等后续信息，修 正预计可行权的股票期权数量。</w:t>
      </w:r>
    </w:p>
    <w:p>
      <w:pPr>
        <w:spacing w:line="316" w:lineRule="auto" w:before="105"/>
        <w:ind w:left="0" w:right="1969" w:firstLine="0"/>
        <w:jc w:val="right"/>
        <w:rPr>
          <w:rFonts w:ascii="宋体" w:hAnsi="宋体" w:cs="宋体" w:eastAsia="宋体" w:hint="default"/>
          <w:sz w:val="18"/>
          <w:szCs w:val="18"/>
        </w:rPr>
      </w:pPr>
      <w:r>
        <w:rPr/>
        <w:br w:type="column"/>
      </w:r>
      <w:r>
        <w:rPr>
          <w:rFonts w:ascii="宋体" w:hAnsi="宋体" w:cs="宋体" w:eastAsia="宋体" w:hint="default"/>
          <w:sz w:val="18"/>
          <w:szCs w:val="18"/>
        </w:rPr>
        <w:t>根据最新取得的可行权人数变动、 </w:t>
      </w:r>
      <w:r>
        <w:rPr>
          <w:rFonts w:ascii="宋体" w:hAnsi="宋体" w:cs="宋体" w:eastAsia="宋体" w:hint="default"/>
          <w:spacing w:val="-1"/>
          <w:sz w:val="18"/>
          <w:szCs w:val="18"/>
        </w:rPr>
        <w:t>业绩指标完成情况等后续信息，修</w:t>
      </w:r>
      <w:r>
        <w:rPr>
          <w:rFonts w:ascii="宋体" w:hAnsi="宋体" w:cs="宋体" w:eastAsia="宋体" w:hint="default"/>
          <w:sz w:val="18"/>
          <w:szCs w:val="18"/>
        </w:rPr>
        <w:t> 正预计可行权的限制性数量。</w:t>
      </w:r>
    </w:p>
    <w:p>
      <w:pPr>
        <w:spacing w:after="0" w:line="316" w:lineRule="auto"/>
        <w:jc w:val="right"/>
        <w:rPr>
          <w:rFonts w:ascii="宋体" w:hAnsi="宋体" w:cs="宋体" w:eastAsia="宋体" w:hint="default"/>
          <w:sz w:val="18"/>
          <w:szCs w:val="18"/>
        </w:rPr>
        <w:sectPr>
          <w:type w:val="continuous"/>
          <w:pgSz w:w="11910" w:h="16840"/>
          <w:pgMar w:top="1060" w:bottom="1160" w:left="980" w:right="0"/>
          <w:cols w:num="2" w:equalWidth="0">
            <w:col w:w="6131" w:space="40"/>
            <w:col w:w="4759"/>
          </w:cols>
        </w:sectPr>
      </w:pPr>
    </w:p>
    <w:p>
      <w:pPr>
        <w:tabs>
          <w:tab w:pos="5950" w:val="left" w:leader="none"/>
          <w:tab w:pos="8765" w:val="left" w:leader="none"/>
        </w:tabs>
        <w:spacing w:before="38"/>
        <w:ind w:left="164" w:right="1104" w:firstLine="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tab/>
        <w:t>无</w:t>
        <w:tab/>
        <w:t>无</w:t>
      </w:r>
    </w:p>
    <w:p>
      <w:pPr>
        <w:tabs>
          <w:tab w:pos="5092" w:val="left" w:leader="none"/>
          <w:tab w:pos="7911" w:val="left" w:leader="none"/>
        </w:tabs>
        <w:spacing w:before="98"/>
        <w:ind w:left="164" w:right="110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以权益结算的股份支付计入资本公积的累计金额</w:t>
        <w:tab/>
      </w:r>
      <w:r>
        <w:rPr>
          <w:rFonts w:ascii="Times New Roman" w:hAnsi="Times New Roman" w:cs="Times New Roman" w:eastAsia="Times New Roman" w:hint="default"/>
          <w:spacing w:val="-1"/>
          <w:sz w:val="18"/>
          <w:szCs w:val="18"/>
        </w:rPr>
        <w:t>19,986,975.00</w:t>
        <w:tab/>
        <w:t>23,123,100.00</w:t>
      </w:r>
    </w:p>
    <w:p>
      <w:pPr>
        <w:tabs>
          <w:tab w:pos="5092" w:val="left" w:leader="none"/>
          <w:tab w:pos="7911" w:val="left" w:leader="none"/>
        </w:tabs>
        <w:spacing w:before="82"/>
        <w:ind w:left="164" w:right="110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本期以权益结算的股份支付确认的费用总额</w:t>
        <w:tab/>
      </w:r>
      <w:r>
        <w:rPr>
          <w:rFonts w:ascii="Times New Roman" w:hAnsi="Times New Roman" w:cs="Times New Roman" w:eastAsia="Times New Roman" w:hint="default"/>
          <w:spacing w:val="-1"/>
          <w:sz w:val="18"/>
          <w:szCs w:val="18"/>
        </w:rPr>
        <w:t>19,986,975.00</w:t>
        <w:tab/>
        <w:t>23,123,100.00</w:t>
      </w:r>
    </w:p>
    <w:p>
      <w:pPr>
        <w:spacing w:line="240" w:lineRule="auto" w:before="0"/>
        <w:rPr>
          <w:rFonts w:ascii="Times New Roman" w:hAnsi="Times New Roman" w:cs="Times New Roman" w:eastAsia="Times New Roman" w:hint="default"/>
          <w:sz w:val="18"/>
          <w:szCs w:val="18"/>
        </w:rPr>
      </w:pPr>
    </w:p>
    <w:p>
      <w:pPr>
        <w:spacing w:before="145"/>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57" w:lineRule="auto" w:before="0"/>
        <w:ind w:right="996" w:firstLine="480"/>
        <w:jc w:val="left"/>
      </w:pPr>
      <w:r>
        <w:rPr/>
        <w:t>其他说明：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18</w:t>
      </w:r>
      <w:r>
        <w:rPr/>
        <w:t>日公司第四届董事会第一次会议和第四届监事会第一次会议审 议通过了《关于向激励对象授予股票期权与限制性股票的议案》，根据该议案授予本公司员</w:t>
      </w:r>
      <w:r>
        <w:rPr>
          <w:spacing w:val="-91"/>
        </w:rPr>
        <w:t> </w:t>
      </w:r>
      <w:r>
        <w:rPr>
          <w:spacing w:val="-91"/>
        </w:rPr>
      </w:r>
      <w:r>
        <w:rPr>
          <w:spacing w:val="-2"/>
        </w:rPr>
        <w:t>工股票期权和限制性股票，其中授予的股票期权的行权价格定价依据为不低于股票票面金额，</w:t>
      </w:r>
      <w:r>
        <w:rPr/>
        <w:t> 且不低于计划草案公告前</w:t>
      </w:r>
      <w:r>
        <w:rPr>
          <w:rFonts w:ascii="宋体" w:hAnsi="宋体" w:cs="宋体" w:eastAsia="宋体" w:hint="default"/>
        </w:rPr>
        <w:t>1</w:t>
      </w:r>
      <w:r>
        <w:rPr/>
        <w:t>个交易日的公司股票交易均价（前</w:t>
      </w:r>
      <w:r>
        <w:rPr>
          <w:rFonts w:ascii="宋体" w:hAnsi="宋体" w:cs="宋体" w:eastAsia="宋体" w:hint="default"/>
        </w:rPr>
        <w:t>1</w:t>
      </w:r>
      <w:r>
        <w:rPr/>
        <w:t>个交易日股票交易总额</w:t>
      </w:r>
      <w:r>
        <w:rPr>
          <w:rFonts w:ascii="宋体" w:hAnsi="宋体" w:cs="宋体" w:eastAsia="宋体" w:hint="default"/>
        </w:rPr>
        <w:t>/</w:t>
      </w:r>
      <w:r>
        <w:rPr/>
        <w:t>前</w:t>
      </w:r>
      <w:r>
        <w:rPr>
          <w:rFonts w:ascii="宋体" w:hAnsi="宋体" w:cs="宋体" w:eastAsia="宋体" w:hint="default"/>
        </w:rPr>
        <w:t>1</w:t>
      </w:r>
      <w:r>
        <w:rPr/>
        <w:t>个</w:t>
      </w:r>
      <w:r>
        <w:rPr>
          <w:spacing w:val="-86"/>
        </w:rPr>
        <w:t> </w:t>
      </w:r>
      <w:r>
        <w:rPr/>
        <w:t>交易日股票交易总量），为每股</w:t>
      </w:r>
      <w:r>
        <w:rPr>
          <w:rFonts w:ascii="宋体" w:hAnsi="宋体" w:cs="宋体" w:eastAsia="宋体" w:hint="default"/>
        </w:rPr>
        <w:t>10.91</w:t>
      </w:r>
      <w:r>
        <w:rPr/>
        <w:t>元；和计划草案公告前</w:t>
      </w:r>
      <w:r>
        <w:rPr>
          <w:rFonts w:ascii="宋体" w:hAnsi="宋体" w:cs="宋体" w:eastAsia="宋体" w:hint="default"/>
        </w:rPr>
        <w:t>60</w:t>
      </w:r>
      <w:r>
        <w:rPr/>
        <w:t>个交易日的公司股票交易均价</w:t>
      </w:r>
    </w:p>
    <w:p>
      <w:pPr>
        <w:pStyle w:val="BodyText"/>
        <w:spacing w:line="357" w:lineRule="auto"/>
        <w:ind w:right="1131"/>
        <w:jc w:val="both"/>
      </w:pPr>
      <w:r>
        <w:rPr/>
        <w:t>（前</w:t>
      </w:r>
      <w:r>
        <w:rPr>
          <w:rFonts w:ascii="宋体" w:hAnsi="宋体" w:cs="宋体" w:eastAsia="宋体" w:hint="default"/>
        </w:rPr>
        <w:t>60</w:t>
      </w:r>
      <w:r>
        <w:rPr/>
        <w:t>个交易日股票交易总额</w:t>
      </w:r>
      <w:r>
        <w:rPr>
          <w:rFonts w:ascii="宋体" w:hAnsi="宋体" w:cs="宋体" w:eastAsia="宋体" w:hint="default"/>
        </w:rPr>
        <w:t>/</w:t>
      </w:r>
      <w:r>
        <w:rPr/>
        <w:t>前</w:t>
      </w:r>
      <w:r>
        <w:rPr>
          <w:rFonts w:ascii="宋体" w:hAnsi="宋体" w:cs="宋体" w:eastAsia="宋体" w:hint="default"/>
        </w:rPr>
        <w:t>60</w:t>
      </w:r>
      <w:r>
        <w:rPr/>
        <w:t>个交易日股票交易总量），为每股</w:t>
      </w:r>
      <w:r>
        <w:rPr>
          <w:rFonts w:ascii="宋体" w:hAnsi="宋体" w:cs="宋体" w:eastAsia="宋体" w:hint="default"/>
        </w:rPr>
        <w:t>11.20</w:t>
      </w:r>
      <w:r>
        <w:rPr/>
        <w:t>元的较高者，限</w:t>
      </w:r>
      <w:r>
        <w:rPr>
          <w:spacing w:val="-89"/>
        </w:rPr>
        <w:t> </w:t>
      </w:r>
      <w:r>
        <w:rPr>
          <w:spacing w:val="-89"/>
        </w:rPr>
      </w:r>
      <w:r>
        <w:rPr>
          <w:spacing w:val="-2"/>
        </w:rPr>
        <w:t>制性股票的授予价格为每股</w:t>
      </w:r>
      <w:r>
        <w:rPr>
          <w:rFonts w:ascii="宋体" w:hAnsi="宋体" w:cs="宋体" w:eastAsia="宋体" w:hint="default"/>
          <w:spacing w:val="-2"/>
        </w:rPr>
        <w:t>5.60</w:t>
      </w:r>
      <w:r>
        <w:rPr>
          <w:spacing w:val="-2"/>
        </w:rPr>
        <w:t>元。授予的股票期权的等待期为</w:t>
      </w:r>
      <w:r>
        <w:rPr>
          <w:rFonts w:ascii="宋体" w:hAnsi="宋体" w:cs="宋体" w:eastAsia="宋体" w:hint="default"/>
          <w:spacing w:val="-2"/>
        </w:rPr>
        <w:t>1-2</w:t>
      </w:r>
      <w:r>
        <w:rPr>
          <w:spacing w:val="-2"/>
        </w:rPr>
        <w:t>年，限制性股票的授予价</w:t>
      </w:r>
      <w:r>
        <w:rPr>
          <w:spacing w:val="-113"/>
        </w:rPr>
        <w:t> </w:t>
      </w:r>
      <w:r>
        <w:rPr>
          <w:spacing w:val="-113"/>
        </w:rPr>
      </w:r>
      <w:r>
        <w:rPr/>
        <w:t>格为每股</w:t>
      </w:r>
      <w:r>
        <w:rPr>
          <w:rFonts w:ascii="宋体" w:hAnsi="宋体" w:cs="宋体" w:eastAsia="宋体" w:hint="default"/>
        </w:rPr>
        <w:t>5.60</w:t>
      </w:r>
      <w:r>
        <w:rPr/>
        <w:t>元，授予的限制性股票等待期分别为自完成登记之日起</w:t>
      </w:r>
      <w:r>
        <w:rPr>
          <w:rFonts w:ascii="宋体" w:hAnsi="宋体" w:cs="宋体" w:eastAsia="宋体" w:hint="default"/>
        </w:rPr>
        <w:t>12</w:t>
      </w:r>
      <w:r>
        <w:rPr/>
        <w:t>个月、</w:t>
      </w:r>
      <w:r>
        <w:rPr>
          <w:spacing w:val="-46"/>
        </w:rPr>
        <w:t> </w:t>
      </w:r>
      <w:r>
        <w:rPr>
          <w:rFonts w:ascii="宋体" w:hAnsi="宋体" w:cs="宋体" w:eastAsia="宋体" w:hint="default"/>
          <w:spacing w:val="-5"/>
        </w:rPr>
        <w:t>24</w:t>
      </w:r>
      <w:r>
        <w:rPr>
          <w:spacing w:val="-5"/>
        </w:rPr>
        <w:t>个月。在等</w:t>
      </w:r>
      <w:r>
        <w:rPr/>
        <w:t> 待期内，激励对象获授的股票期权不得转让、用于担保或偿还债务。</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before="96"/>
        <w:ind w:left="152"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日，本公司无需要披露的重大承诺事项。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506" w:lineRule="auto" w:before="0"/>
        <w:ind w:left="152" w:right="25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日，本公司无需要披露的或有事项。</w:t>
      </w:r>
    </w:p>
    <w:p>
      <w:pPr>
        <w:spacing w:line="240" w:lineRule="auto" w:before="9"/>
        <w:rPr>
          <w:rFonts w:ascii="宋体" w:hAnsi="宋体" w:cs="宋体" w:eastAsia="宋体" w:hint="default"/>
          <w:sz w:val="28"/>
          <w:szCs w:val="28"/>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04"/>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974;top:14;width:2;height:392" coordorigin="4974,14" coordsize="2,392">
              <v:shape style="position:absolute;left:4974;top:14;width:2;height:392" coordorigin="4974,14" coordsize="0,392" path="m4974,14l4974,406e" filled="false" stroked="true" strokeweight="1.2pt" strokecolor="#d2d2d2">
                <v:path arrowok="t"/>
              </v:shape>
            </v:group>
            <v:group style="position:absolute;left:34;top:14;width:4929;height:392" coordorigin="34,14" coordsize="4929,392">
              <v:shape style="position:absolute;left:34;top:14;width:4929;height:392" coordorigin="34,14" coordsize="4929,392" path="m34,406l4962,406,4962,14,34,14,34,406xe" filled="true" fillcolor="#d2d2d2" stroked="false">
                <v:path arrowok="t"/>
                <v:fill type="solid"/>
              </v:shape>
            </v:group>
            <v:group style="position:absolute;left:10;top:10;width:4974;height:2" coordorigin="10,10" coordsize="4974,2">
              <v:shape style="position:absolute;left:10;top:10;width:4974;height:2" coordorigin="10,10" coordsize="4974,0" path="m10,10l4983,10e" filled="false" stroked="true" strokeweight=".48pt" strokecolor="#000000">
                <v:path arrowok="t"/>
              </v:shape>
            </v:group>
            <v:group style="position:absolute;left:4993;top:10;width:4578;height:2" coordorigin="4993,10" coordsize="4578,2">
              <v:shape style="position:absolute;left:4993;top:10;width:4578;height:2" coordorigin="4993,10" coordsize="4578,0" path="m4993,10l9571,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974;height:2" coordorigin="10,410" coordsize="4974,2">
              <v:shape style="position:absolute;left:10;top:410;width:4974;height:2" coordorigin="10,410" coordsize="4974,0" path="m10,410l4983,410e" filled="false" stroked="true" strokeweight=".48pt" strokecolor="#000000">
                <v:path arrowok="t"/>
              </v:shape>
            </v:group>
            <v:group style="position:absolute;left:4988;top:5;width:2;height:411" coordorigin="4988,5" coordsize="2,411">
              <v:shape style="position:absolute;left:4988;top:5;width:2;height:411" coordorigin="4988,5" coordsize="0,411" path="m4988,5l4988,415e" filled="false" stroked="true" strokeweight=".48001pt" strokecolor="#000000">
                <v:path arrowok="t"/>
              </v:shape>
            </v:group>
            <v:group style="position:absolute;left:4993;top:410;width:4578;height:2" coordorigin="4993,410" coordsize="4578,2">
              <v:shape style="position:absolute;left:4993;top:410;width:4578;height:2" coordorigin="4993,410" coordsize="4578,0" path="m4993,410l9571,410e" filled="false" stroked="true" strokeweight=".4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983;height:401"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88;top:10;width:4588;height:401" type="#_x0000_t202" filled="false" stroked="false">
                <v:textbox inset="0,0,0,0">
                  <w:txbxContent>
                    <w:p>
                      <w:pPr>
                        <w:spacing w:before="96"/>
                        <w:ind w:left="0" w:right="26" w:firstLine="0"/>
                        <w:jc w:val="right"/>
                        <w:rPr>
                          <w:rFonts w:ascii="Times New Roman" w:hAnsi="Times New Roman" w:cs="Times New Roman" w:eastAsia="Times New Roman" w:hint="default"/>
                          <w:sz w:val="18"/>
                          <w:szCs w:val="18"/>
                        </w:rPr>
                      </w:pPr>
                      <w:r>
                        <w:rPr>
                          <w:rFonts w:ascii="Times New Roman"/>
                          <w:spacing w:val="-1"/>
                          <w:sz w:val="18"/>
                        </w:rPr>
                        <w:t>17,246,320.20</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1104"/>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806,264,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586.45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77,611,7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728,652,7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96.50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778,548,2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05.88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66,465,26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712,082,94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2.92</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0" w:space="0" w:color="D2D2D2"/>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806,264,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586.45</w:t>
            </w:r>
          </w:p>
        </w:tc>
        <w:tc>
          <w:tcPr>
            <w:tcW w:w="764" w:type="dxa"/>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77,611,7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89.95</w:t>
            </w:r>
          </w:p>
        </w:tc>
        <w:tc>
          <w:tcPr>
            <w:tcW w:w="763"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728,652,7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96.50</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778,548,2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05.88</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66,465,26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2.96</w:t>
            </w:r>
          </w:p>
        </w:tc>
        <w:tc>
          <w:tcPr>
            <w:tcW w:w="790"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712,082,94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2.92</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52" w:right="1104" w:firstLine="0"/>
        <w:jc w:val="left"/>
        <w:rPr>
          <w:rFonts w:ascii="宋体" w:hAnsi="宋体" w:cs="宋体" w:eastAsia="宋体" w:hint="default"/>
          <w:sz w:val="18"/>
          <w:szCs w:val="18"/>
        </w:rPr>
      </w:pPr>
      <w:r>
        <w:rPr>
          <w:rFonts w:ascii="宋体" w:hAnsi="宋体" w:cs="宋体" w:eastAsia="宋体" w:hint="default"/>
          <w:sz w:val="18"/>
          <w:szCs w:val="18"/>
        </w:rPr>
        <w:t>按组合计提坏账准备：政府及运营商组合</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325,143,010.98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9,795,435.46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124,827,382.82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8,743,864.85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47,216,255.71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7,082,438.36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20,791,469.35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6,237,440.81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3,266,087.08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1,633,043.54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3,658,850.58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3,292,965.52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405"/>
        <w:gridCol w:w="2369"/>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524,903,056.52</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36,785,188.54</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按组合计提坏账准备：其他组合</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153,251,438.55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9,195,086.32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65,449,960.03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7,853,995.20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12.00%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29,922,055.94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8,976,616.78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8,055,690.44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4,027,845.22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8,700,912.49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6,090,638.74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4,913,285.80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4,421,957.22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270,293,343.25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40,566,139.48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按组合计提坏账准备：关联方组合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53" w:space="59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5,858,948.26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合并范围外关联方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5,209,238.42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260,461.93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11,068,186.68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260,461.93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3" w:space="6696"/>
            <w:col w:w="2101"/>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38"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480,140,822.44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193,684,103.55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83,053,364.72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49,386,295.74</w:t>
            </w:r>
            <w:r>
              <w:rPr>
                <w:rFonts w:ascii="Times New Roman"/>
                <w:sz w:val="18"/>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28,847,159.79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11,966,999.57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8,572,136.38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806,264,586.45</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78" w:lineRule="exact" w:before="0"/>
        <w:ind w:left="152" w:right="1104"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Times New Roman" w:hAnsi="Times New Roman" w:cs="Times New Roman" w:eastAsia="Times New Roman" w:hint="default"/>
          <w:sz w:val="18"/>
          <w:szCs w:val="18"/>
        </w:rPr>
        <w:t>11,146,526.99</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96"/>
        <w:ind w:left="152" w:right="1160" w:firstLine="0"/>
        <w:jc w:val="left"/>
        <w:rPr>
          <w:rFonts w:ascii="宋体" w:hAnsi="宋体" w:cs="宋体" w:eastAsia="宋体" w:hint="default"/>
          <w:sz w:val="21"/>
          <w:szCs w:val="21"/>
        </w:rPr>
      </w:pPr>
      <w:r>
        <w:rPr>
          <w:rFonts w:ascii="宋体" w:hAnsi="宋体" w:cs="宋体" w:eastAsia="宋体" w:hint="default"/>
          <w:sz w:val="21"/>
          <w:szCs w:val="21"/>
        </w:rPr>
        <w:t>本报告期按欠款方归集的期末余额前五名应收账款汇总金额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108,611,162.11</w:t>
      </w:r>
      <w:r>
        <w:rPr>
          <w:rFonts w:ascii="Times New Roman" w:hAnsi="Times New Roman" w:cs="Times New Roman" w:eastAsia="Times New Roman" w:hint="default"/>
          <w:spacing w:val="20"/>
          <w:sz w:val="21"/>
          <w:szCs w:val="21"/>
          <w:u w:val="single" w:color="000000"/>
        </w:rPr>
        <w:t> </w:t>
      </w:r>
      <w:r>
        <w:rPr>
          <w:rFonts w:ascii="Times New Roman" w:hAnsi="Times New Roman" w:cs="Times New Roman" w:eastAsia="Times New Roman" w:hint="default"/>
          <w:spacing w:val="20"/>
          <w:sz w:val="21"/>
          <w:szCs w:val="21"/>
        </w:rPr>
      </w:r>
      <w:r>
        <w:rPr>
          <w:rFonts w:ascii="宋体" w:hAnsi="宋体" w:cs="宋体" w:eastAsia="宋体" w:hint="default"/>
          <w:spacing w:val="-4"/>
          <w:sz w:val="21"/>
          <w:szCs w:val="21"/>
        </w:rPr>
        <w:t>元，占应收账款期末余额合计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13.47%</w:t>
      </w:r>
      <w:r>
        <w:rPr>
          <w:rFonts w:ascii="Times New Roman" w:hAnsi="Times New Roman" w:cs="Times New Roman" w:eastAsia="Times New Roman" w:hint="default"/>
          <w:sz w:val="21"/>
          <w:szCs w:val="21"/>
        </w:rPr>
      </w:r>
      <w:r>
        <w:rPr>
          <w:rFonts w:ascii="宋体" w:hAnsi="宋体" w:cs="宋体" w:eastAsia="宋体" w:hint="default"/>
          <w:sz w:val="21"/>
          <w:szCs w:val="21"/>
        </w:rPr>
        <w:t>，相应计提的坏账准备期末余额汇总金额</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4,270,076.48</w:t>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444,110,490.13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432,672,344.69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444,110,490.13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432,672,344.69</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70,993,775.27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75,747,230.78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371,174,144.12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356,061,385.91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5,492,259.50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863,728.00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447,660,178.89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432,672,344.69</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3,787,361.55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3,787,361.55</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-237,672.79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-237,672.79</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3,549,688.76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3,549,688.76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66,863,711.02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202,232,877.73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109,106,763.41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69,456,826.73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63,460,797.94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2,424,081.57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3,571,947.22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447,660,178.89</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7"/>
        <w:gridCol w:w="1332"/>
        <w:gridCol w:w="1452"/>
        <w:gridCol w:w="1198"/>
        <w:gridCol w:w="1347"/>
        <w:gridCol w:w="1574"/>
      </w:tblGrid>
      <w:tr>
        <w:trPr>
          <w:trHeight w:val="402"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bl>
    <w:p>
      <w:pPr>
        <w:spacing w:line="273" w:lineRule="exact" w:before="0"/>
        <w:ind w:left="152" w:right="1104"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Times New Roman" w:hAnsi="Times New Roman" w:cs="Times New Roman" w:eastAsia="Times New Roman" w:hint="default"/>
          <w:sz w:val="18"/>
          <w:szCs w:val="18"/>
        </w:rPr>
        <w:t>-237,672.79</w:t>
      </w:r>
      <w:r>
        <w:rPr>
          <w:rFonts w:ascii="宋体" w:hAnsi="宋体" w:cs="宋体" w:eastAsia="宋体" w:hint="default"/>
          <w:sz w:val="21"/>
          <w:szCs w:val="21"/>
        </w:rPr>
        <w:t>元。</w:t>
      </w:r>
    </w:p>
    <w:p>
      <w:pPr>
        <w:spacing w:after="0" w:line="273" w:lineRule="exact"/>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r>
        <w:rPr/>
        <w:pict>
          <v:shape style="position:absolute;margin-left:367.98999pt;margin-top:274.72998pt;width:86.35pt;height:15.6pt;mso-position-horizontal-relative:page;mso-position-vertical-relative:page;z-index:-104543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60"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nil" w:sz="6" w:space="0" w:color="auto"/>
              <w:right w:val="single" w:sz="4" w:space="0" w:color="000000"/>
            </w:tcBorders>
          </w:tcPr>
          <w:p>
            <w:pPr/>
          </w:p>
        </w:tc>
        <w:tc>
          <w:tcPr>
            <w:tcW w:w="1615" w:type="dxa"/>
            <w:vMerge w:val="restart"/>
            <w:tcBorders>
              <w:top w:val="single" w:sz="4" w:space="0" w:color="000000"/>
              <w:left w:val="single" w:sz="4" w:space="0" w:color="000000"/>
              <w:right w:val="single" w:sz="4" w:space="0" w:color="000000"/>
            </w:tcBorders>
          </w:tcPr>
          <w:p>
            <w:pPr/>
          </w:p>
        </w:tc>
      </w:tr>
      <w:tr>
        <w:trPr>
          <w:trHeight w:val="312" w:hRule="exact"/>
        </w:trPr>
        <w:tc>
          <w:tcPr>
            <w:tcW w:w="1685" w:type="dxa"/>
            <w:tcBorders>
              <w:top w:val="nil" w:sz="6" w:space="0" w:color="auto"/>
              <w:left w:val="single" w:sz="4" w:space="0" w:color="000000"/>
              <w:bottom w:val="nil" w:sz="6" w:space="0" w:color="auto"/>
              <w:right w:val="single" w:sz="4" w:space="0" w:color="000000"/>
            </w:tcBorders>
          </w:tcPr>
          <w:p>
            <w:pPr/>
          </w:p>
        </w:tc>
        <w:tc>
          <w:tcPr>
            <w:tcW w:w="1551"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325,265.06</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nil" w:sz="6" w:space="0" w:color="auto"/>
              <w:left w:val="single" w:sz="4" w:space="0" w:color="000000"/>
              <w:bottom w:val="nil" w:sz="6" w:space="0" w:color="auto"/>
              <w:right w:val="single" w:sz="4" w:space="0" w:color="000000"/>
            </w:tcBorders>
          </w:tcPr>
          <w:p>
            <w:pPr/>
          </w:p>
        </w:tc>
        <w:tc>
          <w:tcPr>
            <w:tcW w:w="1615" w:type="dxa"/>
            <w:vMerge/>
            <w:tcBorders>
              <w:left w:val="single" w:sz="4" w:space="0" w:color="000000"/>
              <w:right w:val="single" w:sz="4" w:space="0" w:color="000000"/>
            </w:tcBorders>
          </w:tcPr>
          <w:p>
            <w:pPr/>
          </w:p>
        </w:tc>
      </w:tr>
      <w:tr>
        <w:trPr>
          <w:trHeight w:val="624"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187,893,044.46</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27,438,354.16</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97,773,949.91</w:t>
            </w:r>
            <w:r>
              <w:rPr>
                <w:rFonts w:ascii="宋体" w:hAnsi="宋体" w:cs="宋体" w:eastAsia="宋体" w:hint="default"/>
                <w:sz w:val="18"/>
                <w:szCs w:val="18"/>
              </w:rPr>
              <w:t>；</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41.97%</w:t>
            </w:r>
          </w:p>
        </w:tc>
        <w:tc>
          <w:tcPr>
            <w:tcW w:w="1615" w:type="dxa"/>
            <w:vMerge/>
            <w:tcBorders>
              <w:left w:val="single" w:sz="4" w:space="0" w:color="000000"/>
              <w:right w:val="single" w:sz="4" w:space="0" w:color="000000"/>
            </w:tcBorders>
          </w:tcPr>
          <w:p>
            <w:pPr/>
          </w:p>
        </w:tc>
      </w:tr>
      <w:tr>
        <w:trPr>
          <w:trHeight w:val="317" w:hRule="exact"/>
        </w:trPr>
        <w:tc>
          <w:tcPr>
            <w:tcW w:w="1685" w:type="dxa"/>
            <w:tcBorders>
              <w:top w:val="nil" w:sz="6" w:space="0" w:color="auto"/>
              <w:left w:val="single" w:sz="4" w:space="0" w:color="000000"/>
              <w:bottom w:val="nil" w:sz="6" w:space="0" w:color="auto"/>
              <w:right w:val="single" w:sz="4" w:space="0" w:color="000000"/>
            </w:tcBorders>
          </w:tcPr>
          <w:p>
            <w:pPr/>
          </w:p>
        </w:tc>
        <w:tc>
          <w:tcPr>
            <w:tcW w:w="1551"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nil" w:sz="6" w:space="0" w:color="auto"/>
              <w:left w:val="single" w:sz="4" w:space="0" w:color="000000"/>
              <w:bottom w:val="nil" w:sz="6" w:space="0" w:color="auto"/>
              <w:right w:val="single" w:sz="4" w:space="0" w:color="000000"/>
            </w:tcBorders>
          </w:tcPr>
          <w:p>
            <w:pPr/>
          </w:p>
        </w:tc>
        <w:tc>
          <w:tcPr>
            <w:tcW w:w="1615" w:type="dxa"/>
            <w:vMerge/>
            <w:tcBorders>
              <w:left w:val="single" w:sz="4" w:space="0" w:color="000000"/>
              <w:right w:val="single" w:sz="4" w:space="0" w:color="000000"/>
            </w:tcBorders>
          </w:tcPr>
          <w:p>
            <w:pPr/>
          </w:p>
        </w:tc>
      </w:tr>
      <w:tr>
        <w:trPr>
          <w:trHeight w:val="348"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62,355,475.33</w:t>
            </w:r>
          </w:p>
        </w:tc>
        <w:tc>
          <w:tcPr>
            <w:tcW w:w="1616" w:type="dxa"/>
            <w:tcBorders>
              <w:top w:val="nil" w:sz="6" w:space="0" w:color="auto"/>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113,471,397.60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12,104.91</w:t>
            </w:r>
          </w:p>
        </w:tc>
        <w:tc>
          <w:tcPr>
            <w:tcW w:w="1616"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left="2" w:right="-54"/>
              <w:jc w:val="left"/>
              <w:rPr>
                <w:rFonts w:ascii="宋体" w:hAnsi="宋体" w:cs="宋体" w:eastAsia="宋体" w:hint="default"/>
                <w:sz w:val="20"/>
                <w:szCs w:val="20"/>
              </w:rPr>
            </w:pPr>
            <w:r>
              <w:rPr>
                <w:rFonts w:ascii="宋体" w:hAnsi="宋体" w:cs="宋体" w:eastAsia="宋体" w:hint="default"/>
                <w:position w:val="-5"/>
                <w:sz w:val="20"/>
                <w:szCs w:val="20"/>
              </w:rPr>
              <w:pict>
                <v:group style="width:80.350pt;height:15.6pt;mso-position-horizontal-relative:char;mso-position-vertical-relative:line" coordorigin="0,0" coordsize="1607,312">
                  <v:group style="position:absolute;left:0;top:0;width:1607;height:312" coordorigin="0,0" coordsize="1607,312">
                    <v:shape style="position:absolute;left:0;top:0;width:1607;height:312" coordorigin="0,0" coordsize="1607,312" path="m0,312l1606,312,1606,0,0,0,0,312xe" filled="true" fillcolor="#ffffff" stroked="false">
                      <v:path arrowok="t"/>
                      <v:fill type="solid"/>
                    </v:shape>
                  </v:group>
                </v:group>
              </w:pict>
            </w:r>
            <w:r>
              <w:rPr>
                <w:rFonts w:ascii="宋体" w:hAnsi="宋体" w:cs="宋体" w:eastAsia="宋体" w:hint="default"/>
                <w:position w:val="-5"/>
                <w:sz w:val="20"/>
                <w:szCs w:val="20"/>
              </w:rPr>
            </w:r>
          </w:p>
        </w:tc>
        <w:tc>
          <w:tcPr>
            <w:tcW w:w="1615" w:type="dxa"/>
            <w:vMerge w:val="restart"/>
            <w:tcBorders>
              <w:top w:val="single" w:sz="4" w:space="0" w:color="000000"/>
              <w:left w:val="single" w:sz="4" w:space="0" w:color="000000"/>
              <w:right w:val="single" w:sz="4" w:space="0" w:color="000000"/>
            </w:tcBorders>
          </w:tcPr>
          <w:p>
            <w:pPr/>
          </w:p>
        </w:tc>
      </w:tr>
      <w:tr>
        <w:trPr>
          <w:trHeight w:val="317"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44,600,000.00</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9.96%</w:t>
            </w:r>
          </w:p>
        </w:tc>
        <w:tc>
          <w:tcPr>
            <w:tcW w:w="1615" w:type="dxa"/>
            <w:vMerge/>
            <w:tcBorders>
              <w:left w:val="single" w:sz="4" w:space="0" w:color="000000"/>
              <w:right w:val="single" w:sz="4" w:space="0" w:color="000000"/>
            </w:tcBorders>
          </w:tcPr>
          <w:p>
            <w:pPr/>
          </w:p>
        </w:tc>
      </w:tr>
      <w:tr>
        <w:trPr>
          <w:trHeight w:val="348"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44,587,895.09</w:t>
            </w:r>
          </w:p>
        </w:tc>
        <w:tc>
          <w:tcPr>
            <w:tcW w:w="1616" w:type="dxa"/>
            <w:tcBorders>
              <w:top w:val="nil" w:sz="6" w:space="0" w:color="auto"/>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23,618,975.00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5,492,259.50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375,075,676.56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83.79%</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1"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0" w:right="0"/>
              <w:jc w:val="left"/>
              <w:rPr>
                <w:rFonts w:ascii="Times New Roman" w:hAnsi="Times New Roman" w:cs="Times New Roman" w:eastAsia="Times New Roman" w:hint="default"/>
                <w:sz w:val="18"/>
                <w:szCs w:val="18"/>
              </w:rPr>
            </w:pPr>
            <w:r>
              <w:rPr>
                <w:rFonts w:ascii="Times New Roman"/>
                <w:sz w:val="18"/>
              </w:rPr>
              <w:t>5,492,259.50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月银行回单</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796,536,030.34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796,536,030.34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786,913,030.34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786,913,030.34</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3,490,457.68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3,490,457.68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7,908,743.79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7,908,743.79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800,026,488.02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800,026,488.02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794,821,774.13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794,821,774.13</w:t>
            </w: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166"/>
        <w:gridCol w:w="4712"/>
        <w:gridCol w:w="1213"/>
        <w:gridCol w:w="1214"/>
      </w:tblGrid>
      <w:tr>
        <w:trPr>
          <w:trHeight w:val="394"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9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p>
        </w:tc>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62" w:right="0"/>
              <w:jc w:val="left"/>
              <w:rPr>
                <w:rFonts w:ascii="宋体" w:hAnsi="宋体" w:cs="宋体" w:eastAsia="宋体" w:hint="default"/>
                <w:sz w:val="18"/>
                <w:szCs w:val="18"/>
              </w:rPr>
            </w:pPr>
            <w:r>
              <w:rPr>
                <w:rFonts w:ascii="宋体" w:hAnsi="宋体" w:cs="宋体" w:eastAsia="宋体" w:hint="default"/>
                <w:sz w:val="18"/>
                <w:szCs w:val="18"/>
              </w:rPr>
              <w:t>减值准备期末</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上海政通信息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武汉智慧政通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北京数字政通 智能泊车技术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北京数字智通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111,986,000.0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116,366,000.00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克拉玛依数字 政通科技有限 责任公司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政通智慧城市 运营科技有限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焦作市市民健 康促进服务有 限责任公司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保定金迪地下 管线探测工程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556,426,730.3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556,426,730.34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江西政通城运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37,500,300.00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37,500,300.00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福建政通城运 信息科技有限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湖北鄂东智城 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5,242,000.00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5,242,000.00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长沙政通康拓 科技有限责任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保定政运恒通 信息技术有限 责任公司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786,913,030.3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9,623,000.00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796,536,030.34</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北京通通 易联科技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7,908,743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-4,418,28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3,490,457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四川省数 聚汇智科 技有限责 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7,908,743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-4,418,28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3,490,457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7,908,743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-4,418,28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3,490,457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b/>
          <w:bCs/>
          <w:spacing w:val="-16"/>
          <w:sz w:val="21"/>
          <w:szCs w:val="21"/>
        </w:rPr>
        <w:t> </w:t>
      </w:r>
      <w:r>
        <w:rPr>
          <w:rFonts w:ascii="宋体" w:hAnsi="宋体" w:cs="宋体" w:eastAsia="宋体" w:hint="default"/>
          <w:b/>
          <w:bCs/>
          <w:sz w:val="21"/>
          <w:szCs w:val="21"/>
        </w:rPr>
        <w:t>：四川省数聚汇智科技有限责任公司认缴出资</w:t>
      </w:r>
      <w:r>
        <w:rPr>
          <w:rFonts w:ascii="Times New Roman" w:hAnsi="Times New Roman" w:cs="Times New Roman" w:eastAsia="Times New Roman" w:hint="default"/>
          <w:b/>
          <w:bCs/>
          <w:sz w:val="21"/>
          <w:szCs w:val="21"/>
        </w:rPr>
        <w:t>2,000,000.00</w:t>
      </w:r>
      <w:r>
        <w:rPr>
          <w:rFonts w:ascii="宋体" w:hAnsi="宋体" w:cs="宋体" w:eastAsia="宋体" w:hint="default"/>
          <w:b/>
          <w:bCs/>
          <w:sz w:val="21"/>
          <w:szCs w:val="21"/>
        </w:rPr>
        <w:t>元，未实缴。</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7"/>
          <w:szCs w:val="27"/>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853,569,137.05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591,274,181.17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957,739,837.74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706,096,061.84</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5,107,132.72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1,658,669.21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5,240,278.17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1,658,678.70</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858,676,269.77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592,932,850.38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962,980,115.91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707,754,740.54</w:t>
            </w:r>
          </w:p>
        </w:tc>
      </w:tr>
    </w:tbl>
    <w:p>
      <w:pPr>
        <w:spacing w:before="49"/>
        <w:ind w:left="152" w:right="110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before="19"/>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营业收入整体情况</w:t>
      </w:r>
    </w:p>
    <w:p>
      <w:pPr>
        <w:spacing w:line="240" w:lineRule="auto" w:before="8"/>
        <w:rPr>
          <w:rFonts w:ascii="宋体" w:hAnsi="宋体" w:cs="宋体" w:eastAsia="宋体" w:hint="default"/>
          <w:sz w:val="2"/>
          <w:szCs w:val="2"/>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440.75pt;height:.75pt;mso-position-horizontal-relative:char;mso-position-vertical-relative:line" coordorigin="0,0" coordsize="8815,15">
            <v:group style="position:absolute;left:7;top:7;width:2564;height:2" coordorigin="7,7" coordsize="2564,2">
              <v:shape style="position:absolute;left:7;top:7;width:2564;height:2" coordorigin="7,7" coordsize="2564,0" path="m7,7l2571,7e" filled="false" stroked="true" strokeweight=".72003pt" strokecolor="#000000">
                <v:path arrowok="t"/>
              </v:shape>
            </v:group>
            <v:group style="position:absolute;left:2571;top:7;width:15;height:2" coordorigin="2571,7" coordsize="15,2">
              <v:shape style="position:absolute;left:2571;top:7;width:15;height:2" coordorigin="2571,7" coordsize="15,0" path="m2571,7l2585,7e" filled="false" stroked="true" strokeweight=".72003pt" strokecolor="#000000">
                <v:path arrowok="t"/>
              </v:shape>
            </v:group>
            <v:group style="position:absolute;left:2585;top:7;width:2475;height:2" coordorigin="2585,7" coordsize="2475,2">
              <v:shape style="position:absolute;left:2585;top:7;width:2475;height:2" coordorigin="2585,7" coordsize="2475,0" path="m2585,7l5060,7e" filled="false" stroked="true" strokeweight=".72003pt" strokecolor="#000000">
                <v:path arrowok="t"/>
              </v:shape>
            </v:group>
            <v:group style="position:absolute;left:5060;top:7;width:15;height:2" coordorigin="5060,7" coordsize="15,2">
              <v:shape style="position:absolute;left:5060;top:7;width:15;height:2" coordorigin="5060,7" coordsize="15,0" path="m5060,7l5075,7e" filled="false" stroked="true" strokeweight=".72003pt" strokecolor="#000000">
                <v:path arrowok="t"/>
              </v:shape>
            </v:group>
            <v:group style="position:absolute;left:5075;top:7;width:65;height:2" coordorigin="5075,7" coordsize="65,2">
              <v:shape style="position:absolute;left:5075;top:7;width:65;height:2" coordorigin="5075,7" coordsize="65,0" path="m5075,7l5139,7e" filled="false" stroked="true" strokeweight=".72003pt" strokecolor="#000000">
                <v:path arrowok="t"/>
              </v:shape>
            </v:group>
            <v:group style="position:absolute;left:5139;top:7;width:15;height:2" coordorigin="5139,7" coordsize="15,2">
              <v:shape style="position:absolute;left:5139;top:7;width:15;height:2" coordorigin="5139,7" coordsize="15,0" path="m5139,7l5154,7e" filled="false" stroked="true" strokeweight=".72003pt" strokecolor="#000000">
                <v:path arrowok="t"/>
              </v:shape>
            </v:group>
            <v:group style="position:absolute;left:5154;top:7;width:2396;height:2" coordorigin="5154,7" coordsize="2396,2">
              <v:shape style="position:absolute;left:5154;top:7;width:2396;height:2" coordorigin="5154,7" coordsize="2396,0" path="m5154,7l7549,7e" filled="false" stroked="true" strokeweight=".72003pt" strokecolor="#000000">
                <v:path arrowok="t"/>
              </v:shape>
            </v:group>
            <v:group style="position:absolute;left:7549;top:7;width:15;height:2" coordorigin="7549,7" coordsize="15,2">
              <v:shape style="position:absolute;left:7549;top:7;width:15;height:2" coordorigin="7549,7" coordsize="15,0" path="m7549,7l7564,7e" filled="false" stroked="true" strokeweight=".72003pt" strokecolor="#000000">
                <v:path arrowok="t"/>
              </v:shape>
            </v:group>
            <v:group style="position:absolute;left:7564;top:7;width:1244;height:2" coordorigin="7564,7" coordsize="1244,2">
              <v:shape style="position:absolute;left:7564;top:7;width:1244;height:2" coordorigin="7564,7" coordsize="1244,0" path="m7564,7l8807,7e" filled="false" stroked="true" strokeweight=".72003pt" strokecolor="#000000">
                <v:path arrowok="t"/>
              </v:shape>
            </v:group>
          </v:group>
        </w:pict>
      </w:r>
      <w:r>
        <w:rPr>
          <w:rFonts w:ascii="宋体" w:hAnsi="宋体" w:cs="宋体" w:eastAsia="宋体" w:hint="default"/>
          <w:sz w:val="2"/>
          <w:szCs w:val="2"/>
        </w:rPr>
      </w:r>
    </w:p>
    <w:p>
      <w:pPr>
        <w:tabs>
          <w:tab w:pos="3691" w:val="left" w:leader="none"/>
          <w:tab w:pos="6221" w:val="left" w:leader="none"/>
          <w:tab w:pos="8223" w:val="left" w:leader="none"/>
        </w:tabs>
        <w:spacing w:before="14"/>
        <w:ind w:left="164" w:right="110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tab/>
      </w:r>
      <w:r>
        <w:rPr>
          <w:rFonts w:ascii="宋体" w:hAnsi="宋体" w:cs="宋体" w:eastAsia="宋体" w:hint="default"/>
          <w:sz w:val="18"/>
          <w:szCs w:val="18"/>
          <w:u w:val="single" w:color="000000"/>
        </w:rPr>
        <w:t>同比增减</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
        <w:rPr>
          <w:rFonts w:ascii="宋体" w:hAnsi="宋体" w:cs="宋体" w:eastAsia="宋体"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2547"/>
        <w:gridCol w:w="1511"/>
        <w:gridCol w:w="1080"/>
        <w:gridCol w:w="1356"/>
        <w:gridCol w:w="1396"/>
        <w:gridCol w:w="970"/>
      </w:tblGrid>
      <w:tr>
        <w:trPr>
          <w:trHeight w:val="660" w:hRule="exact"/>
        </w:trPr>
        <w:tc>
          <w:tcPr>
            <w:tcW w:w="2547" w:type="dxa"/>
            <w:tcBorders>
              <w:top w:val="single" w:sz="6" w:space="0" w:color="000000"/>
              <w:left w:val="nil" w:sz="6" w:space="0" w:color="auto"/>
              <w:bottom w:val="single" w:sz="6" w:space="0" w:color="000000"/>
              <w:right w:val="nil" w:sz="6" w:space="0" w:color="auto"/>
            </w:tcBorders>
          </w:tcPr>
          <w:p>
            <w:pP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18"/>
              <w:ind w:left="119" w:right="0"/>
              <w:jc w:val="left"/>
              <w:rPr>
                <w:rFonts w:ascii="宋体" w:hAnsi="宋体" w:cs="宋体" w:eastAsia="宋体" w:hint="default"/>
                <w:sz w:val="18"/>
                <w:szCs w:val="18"/>
              </w:rPr>
            </w:pPr>
            <w:r>
              <w:rPr>
                <w:rFonts w:ascii="宋体" w:hAnsi="宋体" w:cs="宋体" w:eastAsia="宋体" w:hint="default"/>
                <w:sz w:val="18"/>
                <w:szCs w:val="18"/>
              </w:rPr>
              <w:t>占营业收入</w:t>
            </w:r>
          </w:p>
          <w:p>
            <w:pPr>
              <w:pStyle w:val="TableParagraph"/>
              <w:spacing w:line="240" w:lineRule="auto" w:before="76"/>
              <w:ind w:left="659"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18"/>
              <w:ind w:right="170"/>
              <w:jc w:val="right"/>
              <w:rPr>
                <w:rFonts w:ascii="宋体" w:hAnsi="宋体" w:cs="宋体" w:eastAsia="宋体" w:hint="default"/>
                <w:sz w:val="18"/>
                <w:szCs w:val="18"/>
              </w:rPr>
            </w:pPr>
            <w:r>
              <w:rPr>
                <w:rFonts w:ascii="宋体" w:hAnsi="宋体" w:cs="宋体" w:eastAsia="宋体" w:hint="default"/>
                <w:sz w:val="18"/>
                <w:szCs w:val="18"/>
              </w:rPr>
              <w:t>金额</w:t>
            </w:r>
          </w:p>
        </w:tc>
        <w:tc>
          <w:tcPr>
            <w:tcW w:w="1396" w:type="dxa"/>
            <w:tcBorders>
              <w:top w:val="single" w:sz="6" w:space="0" w:color="000000"/>
              <w:left w:val="nil" w:sz="6" w:space="0" w:color="auto"/>
              <w:bottom w:val="single" w:sz="6" w:space="0" w:color="000000"/>
              <w:right w:val="nil" w:sz="6" w:space="0" w:color="auto"/>
            </w:tcBorders>
          </w:tcPr>
          <w:p>
            <w:pPr>
              <w:pStyle w:val="TableParagraph"/>
              <w:spacing w:line="240" w:lineRule="auto" w:before="18"/>
              <w:ind w:left="172" w:right="0"/>
              <w:jc w:val="left"/>
              <w:rPr>
                <w:rFonts w:ascii="宋体" w:hAnsi="宋体" w:cs="宋体" w:eastAsia="宋体" w:hint="default"/>
                <w:sz w:val="18"/>
                <w:szCs w:val="18"/>
              </w:rPr>
            </w:pPr>
            <w:r>
              <w:rPr>
                <w:rFonts w:ascii="宋体" w:hAnsi="宋体" w:cs="宋体" w:eastAsia="宋体" w:hint="default"/>
                <w:sz w:val="18"/>
                <w:szCs w:val="18"/>
              </w:rPr>
              <w:t>占营业收入</w:t>
            </w:r>
          </w:p>
          <w:p>
            <w:pPr>
              <w:pStyle w:val="TableParagraph"/>
              <w:spacing w:line="240" w:lineRule="auto" w:before="76"/>
              <w:ind w:left="712" w:right="0"/>
              <w:jc w:val="left"/>
              <w:rPr>
                <w:rFonts w:ascii="宋体" w:hAnsi="宋体" w:cs="宋体" w:eastAsia="宋体" w:hint="default"/>
                <w:sz w:val="18"/>
                <w:szCs w:val="18"/>
              </w:rPr>
            </w:pPr>
            <w:r>
              <w:rPr>
                <w:rFonts w:ascii="宋体" w:hAnsi="宋体" w:cs="宋体" w:eastAsia="宋体" w:hint="default"/>
                <w:sz w:val="18"/>
                <w:szCs w:val="18"/>
              </w:rPr>
              <w:t>比重</w:t>
            </w:r>
          </w:p>
        </w:tc>
        <w:tc>
          <w:tcPr>
            <w:tcW w:w="970"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23"/>
              <w:jc w:val="right"/>
              <w:rPr>
                <w:rFonts w:ascii="Times New Roman" w:hAnsi="Times New Roman" w:cs="Times New Roman" w:eastAsia="Times New Roman" w:hint="default"/>
                <w:sz w:val="18"/>
                <w:szCs w:val="18"/>
              </w:rPr>
            </w:pPr>
            <w:r>
              <w:rPr>
                <w:rFonts w:ascii="Times New Roman"/>
                <w:spacing w:val="-1"/>
                <w:sz w:val="18"/>
              </w:rPr>
              <w:t>858,676,269.77</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7"/>
              <w:jc w:val="right"/>
              <w:rPr>
                <w:rFonts w:ascii="Times New Roman" w:hAnsi="Times New Roman" w:cs="Times New Roman" w:eastAsia="Times New Roman" w:hint="default"/>
                <w:sz w:val="18"/>
                <w:szCs w:val="18"/>
              </w:rPr>
            </w:pPr>
            <w:r>
              <w:rPr>
                <w:rFonts w:ascii="Times New Roman"/>
                <w:spacing w:val="-1"/>
                <w:sz w:val="18"/>
              </w:rPr>
              <w:t>100.00%</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71"/>
              <w:jc w:val="right"/>
              <w:rPr>
                <w:rFonts w:ascii="Times New Roman" w:hAnsi="Times New Roman" w:cs="Times New Roman" w:eastAsia="Times New Roman" w:hint="default"/>
                <w:sz w:val="18"/>
                <w:szCs w:val="18"/>
              </w:rPr>
            </w:pPr>
            <w:r>
              <w:rPr>
                <w:rFonts w:ascii="Times New Roman"/>
                <w:spacing w:val="-1"/>
                <w:sz w:val="18"/>
              </w:rPr>
              <w:t>962,980,115.91</w:t>
            </w:r>
          </w:p>
        </w:tc>
        <w:tc>
          <w:tcPr>
            <w:tcW w:w="139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21"/>
              <w:jc w:val="right"/>
              <w:rPr>
                <w:rFonts w:ascii="Times New Roman" w:hAnsi="Times New Roman" w:cs="Times New Roman" w:eastAsia="Times New Roman" w:hint="default"/>
                <w:sz w:val="18"/>
                <w:szCs w:val="18"/>
              </w:rPr>
            </w:pPr>
            <w:r>
              <w:rPr>
                <w:rFonts w:ascii="Times New Roman"/>
                <w:spacing w:val="-1"/>
                <w:sz w:val="18"/>
              </w:rPr>
              <w:t>100.00%</w:t>
            </w:r>
          </w:p>
        </w:tc>
        <w:tc>
          <w:tcPr>
            <w:tcW w:w="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0"/>
              <w:jc w:val="right"/>
              <w:rPr>
                <w:rFonts w:ascii="Times New Roman" w:hAnsi="Times New Roman" w:cs="Times New Roman" w:eastAsia="Times New Roman" w:hint="default"/>
                <w:sz w:val="18"/>
                <w:szCs w:val="18"/>
              </w:rPr>
            </w:pPr>
            <w:r>
              <w:rPr>
                <w:rFonts w:ascii="Times New Roman"/>
                <w:sz w:val="18"/>
              </w:rPr>
              <w:t>-10.83%</w:t>
            </w:r>
          </w:p>
        </w:tc>
      </w:tr>
      <w:tr>
        <w:trPr>
          <w:trHeight w:val="348"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511" w:type="dxa"/>
            <w:tcBorders>
              <w:top w:val="single" w:sz="6" w:space="0" w:color="000000"/>
              <w:left w:val="nil" w:sz="6" w:space="0" w:color="auto"/>
              <w:bottom w:val="single" w:sz="6" w:space="0" w:color="000000"/>
              <w:right w:val="nil" w:sz="6" w:space="0" w:color="auto"/>
            </w:tcBorders>
          </w:tcPr>
          <w:p>
            <w:pPr/>
          </w:p>
        </w:tc>
        <w:tc>
          <w:tcPr>
            <w:tcW w:w="1080" w:type="dxa"/>
            <w:tcBorders>
              <w:top w:val="single" w:sz="6" w:space="0" w:color="000000"/>
              <w:left w:val="nil" w:sz="6" w:space="0" w:color="auto"/>
              <w:bottom w:val="single" w:sz="6" w:space="0" w:color="000000"/>
              <w:right w:val="nil" w:sz="6" w:space="0" w:color="auto"/>
            </w:tcBorders>
          </w:tcPr>
          <w:p>
            <w:pPr/>
          </w:p>
        </w:tc>
        <w:tc>
          <w:tcPr>
            <w:tcW w:w="1356" w:type="dxa"/>
            <w:tcBorders>
              <w:top w:val="single" w:sz="6" w:space="0" w:color="000000"/>
              <w:left w:val="nil" w:sz="6" w:space="0" w:color="auto"/>
              <w:bottom w:val="single" w:sz="6" w:space="0" w:color="000000"/>
              <w:right w:val="nil" w:sz="6" w:space="0" w:color="auto"/>
            </w:tcBorders>
          </w:tcPr>
          <w:p>
            <w:pPr/>
          </w:p>
        </w:tc>
        <w:tc>
          <w:tcPr>
            <w:tcW w:w="1396" w:type="dxa"/>
            <w:tcBorders>
              <w:top w:val="single" w:sz="6" w:space="0" w:color="000000"/>
              <w:left w:val="nil" w:sz="6" w:space="0" w:color="auto"/>
              <w:bottom w:val="single" w:sz="6" w:space="0" w:color="000000"/>
              <w:right w:val="nil" w:sz="6" w:space="0" w:color="auto"/>
            </w:tcBorders>
          </w:tcPr>
          <w:p>
            <w:pPr/>
          </w:p>
        </w:tc>
        <w:tc>
          <w:tcPr>
            <w:tcW w:w="970"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智慧城市管理领域</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23"/>
              <w:jc w:val="right"/>
              <w:rPr>
                <w:rFonts w:ascii="Times New Roman" w:hAnsi="Times New Roman" w:cs="Times New Roman" w:eastAsia="Times New Roman" w:hint="default"/>
                <w:sz w:val="18"/>
                <w:szCs w:val="18"/>
              </w:rPr>
            </w:pPr>
            <w:r>
              <w:rPr>
                <w:rFonts w:ascii="Times New Roman"/>
                <w:spacing w:val="-1"/>
                <w:sz w:val="18"/>
              </w:rPr>
              <w:t>852,953,657.45</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z w:val="18"/>
              </w:rPr>
              <w:t>99.33%</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71"/>
              <w:jc w:val="right"/>
              <w:rPr>
                <w:rFonts w:ascii="Times New Roman" w:hAnsi="Times New Roman" w:cs="Times New Roman" w:eastAsia="Times New Roman" w:hint="default"/>
                <w:sz w:val="18"/>
                <w:szCs w:val="18"/>
              </w:rPr>
            </w:pPr>
            <w:r>
              <w:rPr>
                <w:rFonts w:ascii="Times New Roman"/>
                <w:spacing w:val="-1"/>
                <w:sz w:val="18"/>
              </w:rPr>
              <w:t>938,340,971.28</w:t>
            </w:r>
          </w:p>
        </w:tc>
        <w:tc>
          <w:tcPr>
            <w:tcW w:w="139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18"/>
              <w:jc w:val="right"/>
              <w:rPr>
                <w:rFonts w:ascii="Times New Roman" w:hAnsi="Times New Roman" w:cs="Times New Roman" w:eastAsia="Times New Roman" w:hint="default"/>
                <w:sz w:val="18"/>
                <w:szCs w:val="18"/>
              </w:rPr>
            </w:pPr>
            <w:r>
              <w:rPr>
                <w:rFonts w:ascii="Times New Roman"/>
                <w:sz w:val="18"/>
              </w:rPr>
              <w:t>97.44%</w:t>
            </w:r>
          </w:p>
        </w:tc>
        <w:tc>
          <w:tcPr>
            <w:tcW w:w="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-9.10%</w:t>
            </w:r>
          </w:p>
        </w:tc>
      </w:tr>
      <w:tr>
        <w:trPr>
          <w:trHeight w:val="348"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国土资源管理与城市规划领域</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23"/>
              <w:jc w:val="right"/>
              <w:rPr>
                <w:rFonts w:ascii="Times New Roman" w:hAnsi="Times New Roman" w:cs="Times New Roman" w:eastAsia="Times New Roman" w:hint="default"/>
                <w:sz w:val="18"/>
                <w:szCs w:val="18"/>
              </w:rPr>
            </w:pPr>
            <w:r>
              <w:rPr>
                <w:rFonts w:ascii="Times New Roman"/>
                <w:spacing w:val="-1"/>
                <w:sz w:val="18"/>
              </w:rPr>
              <w:t>5,722,612.32</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57"/>
              <w:jc w:val="right"/>
              <w:rPr>
                <w:rFonts w:ascii="Times New Roman" w:hAnsi="Times New Roman" w:cs="Times New Roman" w:eastAsia="Times New Roman" w:hint="default"/>
                <w:sz w:val="18"/>
                <w:szCs w:val="18"/>
              </w:rPr>
            </w:pPr>
            <w:r>
              <w:rPr>
                <w:rFonts w:ascii="Times New Roman"/>
                <w:sz w:val="18"/>
              </w:rPr>
              <w:t>0.67%</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70"/>
              <w:jc w:val="right"/>
              <w:rPr>
                <w:rFonts w:ascii="Times New Roman" w:hAnsi="Times New Roman" w:cs="Times New Roman" w:eastAsia="Times New Roman" w:hint="default"/>
                <w:sz w:val="18"/>
                <w:szCs w:val="18"/>
              </w:rPr>
            </w:pPr>
            <w:r>
              <w:rPr>
                <w:rFonts w:ascii="Times New Roman"/>
                <w:spacing w:val="-1"/>
                <w:sz w:val="18"/>
              </w:rPr>
              <w:t>24,639,144.63</w:t>
            </w:r>
          </w:p>
        </w:tc>
        <w:tc>
          <w:tcPr>
            <w:tcW w:w="139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20"/>
              <w:jc w:val="right"/>
              <w:rPr>
                <w:rFonts w:ascii="Times New Roman" w:hAnsi="Times New Roman" w:cs="Times New Roman" w:eastAsia="Times New Roman" w:hint="default"/>
                <w:sz w:val="18"/>
                <w:szCs w:val="18"/>
              </w:rPr>
            </w:pPr>
            <w:r>
              <w:rPr>
                <w:rFonts w:ascii="Times New Roman"/>
                <w:sz w:val="18"/>
              </w:rPr>
              <w:t>2.56%</w:t>
            </w:r>
          </w:p>
        </w:tc>
        <w:tc>
          <w:tcPr>
            <w:tcW w:w="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z w:val="18"/>
              </w:rPr>
              <w:t>-76.77%</w:t>
            </w:r>
          </w:p>
        </w:tc>
      </w:tr>
      <w:tr>
        <w:trPr>
          <w:trHeight w:val="348"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511" w:type="dxa"/>
            <w:tcBorders>
              <w:top w:val="single" w:sz="6" w:space="0" w:color="000000"/>
              <w:left w:val="nil" w:sz="6" w:space="0" w:color="auto"/>
              <w:bottom w:val="single" w:sz="6" w:space="0" w:color="000000"/>
              <w:right w:val="nil" w:sz="6" w:space="0" w:color="auto"/>
            </w:tcBorders>
          </w:tcPr>
          <w:p>
            <w:pPr/>
          </w:p>
        </w:tc>
        <w:tc>
          <w:tcPr>
            <w:tcW w:w="1080" w:type="dxa"/>
            <w:tcBorders>
              <w:top w:val="single" w:sz="6" w:space="0" w:color="000000"/>
              <w:left w:val="nil" w:sz="6" w:space="0" w:color="auto"/>
              <w:bottom w:val="single" w:sz="6" w:space="0" w:color="000000"/>
              <w:right w:val="nil" w:sz="6" w:space="0" w:color="auto"/>
            </w:tcBorders>
          </w:tcPr>
          <w:p>
            <w:pPr/>
          </w:p>
        </w:tc>
        <w:tc>
          <w:tcPr>
            <w:tcW w:w="1356" w:type="dxa"/>
            <w:tcBorders>
              <w:top w:val="single" w:sz="6" w:space="0" w:color="000000"/>
              <w:left w:val="nil" w:sz="6" w:space="0" w:color="auto"/>
              <w:bottom w:val="single" w:sz="6" w:space="0" w:color="000000"/>
              <w:right w:val="nil" w:sz="6" w:space="0" w:color="auto"/>
            </w:tcBorders>
          </w:tcPr>
          <w:p>
            <w:pPr/>
          </w:p>
        </w:tc>
        <w:tc>
          <w:tcPr>
            <w:tcW w:w="1396" w:type="dxa"/>
            <w:tcBorders>
              <w:top w:val="single" w:sz="6" w:space="0" w:color="000000"/>
              <w:left w:val="nil" w:sz="6" w:space="0" w:color="auto"/>
              <w:bottom w:val="single" w:sz="6" w:space="0" w:color="000000"/>
              <w:right w:val="nil" w:sz="6" w:space="0" w:color="auto"/>
            </w:tcBorders>
          </w:tcPr>
          <w:p>
            <w:pPr/>
          </w:p>
        </w:tc>
        <w:tc>
          <w:tcPr>
            <w:tcW w:w="970"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23"/>
              <w:jc w:val="right"/>
              <w:rPr>
                <w:rFonts w:ascii="Times New Roman" w:hAnsi="Times New Roman" w:cs="Times New Roman" w:eastAsia="Times New Roman" w:hint="default"/>
                <w:sz w:val="18"/>
                <w:szCs w:val="18"/>
              </w:rPr>
            </w:pPr>
            <w:r>
              <w:rPr>
                <w:rFonts w:ascii="Times New Roman"/>
                <w:spacing w:val="-1"/>
                <w:sz w:val="18"/>
              </w:rPr>
              <w:t>445,226,279.95</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z w:val="18"/>
              </w:rPr>
              <w:t>51.85%</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71"/>
              <w:jc w:val="right"/>
              <w:rPr>
                <w:rFonts w:ascii="Times New Roman" w:hAnsi="Times New Roman" w:cs="Times New Roman" w:eastAsia="Times New Roman" w:hint="default"/>
                <w:sz w:val="18"/>
                <w:szCs w:val="18"/>
              </w:rPr>
            </w:pPr>
            <w:r>
              <w:rPr>
                <w:rFonts w:ascii="Times New Roman"/>
                <w:spacing w:val="-1"/>
                <w:sz w:val="18"/>
              </w:rPr>
              <w:t>463,759,623.30</w:t>
            </w:r>
          </w:p>
        </w:tc>
        <w:tc>
          <w:tcPr>
            <w:tcW w:w="139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18"/>
              <w:jc w:val="right"/>
              <w:rPr>
                <w:rFonts w:ascii="Times New Roman" w:hAnsi="Times New Roman" w:cs="Times New Roman" w:eastAsia="Times New Roman" w:hint="default"/>
                <w:sz w:val="18"/>
                <w:szCs w:val="18"/>
              </w:rPr>
            </w:pPr>
            <w:r>
              <w:rPr>
                <w:rFonts w:ascii="Times New Roman"/>
                <w:sz w:val="18"/>
              </w:rPr>
              <w:t>48.16%</w:t>
            </w:r>
          </w:p>
        </w:tc>
        <w:tc>
          <w:tcPr>
            <w:tcW w:w="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-4.00%</w:t>
            </w:r>
          </w:p>
        </w:tc>
      </w:tr>
      <w:tr>
        <w:trPr>
          <w:trHeight w:val="348"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223"/>
              <w:jc w:val="right"/>
              <w:rPr>
                <w:rFonts w:ascii="Times New Roman" w:hAnsi="Times New Roman" w:cs="Times New Roman" w:eastAsia="Times New Roman" w:hint="default"/>
                <w:sz w:val="18"/>
                <w:szCs w:val="18"/>
              </w:rPr>
            </w:pPr>
            <w:r>
              <w:rPr>
                <w:rFonts w:ascii="Times New Roman"/>
                <w:spacing w:val="-1"/>
                <w:sz w:val="18"/>
              </w:rPr>
              <w:t>88,677,638.63</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55"/>
              <w:jc w:val="right"/>
              <w:rPr>
                <w:rFonts w:ascii="Times New Roman" w:hAnsi="Times New Roman" w:cs="Times New Roman" w:eastAsia="Times New Roman" w:hint="default"/>
                <w:sz w:val="18"/>
                <w:szCs w:val="18"/>
              </w:rPr>
            </w:pPr>
            <w:r>
              <w:rPr>
                <w:rFonts w:ascii="Times New Roman"/>
                <w:sz w:val="18"/>
              </w:rPr>
              <w:t>10.33%</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183,174,685.56</w:t>
            </w:r>
          </w:p>
        </w:tc>
        <w:tc>
          <w:tcPr>
            <w:tcW w:w="1396"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18"/>
              <w:jc w:val="right"/>
              <w:rPr>
                <w:rFonts w:ascii="Times New Roman" w:hAnsi="Times New Roman" w:cs="Times New Roman" w:eastAsia="Times New Roman" w:hint="default"/>
                <w:sz w:val="18"/>
                <w:szCs w:val="18"/>
              </w:rPr>
            </w:pPr>
            <w:r>
              <w:rPr>
                <w:rFonts w:ascii="Times New Roman"/>
                <w:sz w:val="18"/>
              </w:rPr>
              <w:t>19.02%</w:t>
            </w:r>
          </w:p>
        </w:tc>
        <w:tc>
          <w:tcPr>
            <w:tcW w:w="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z w:val="18"/>
              </w:rPr>
              <w:t>-51.59%</w:t>
            </w:r>
          </w:p>
        </w:tc>
      </w:tr>
      <w:tr>
        <w:trPr>
          <w:trHeight w:val="346"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23"/>
              <w:jc w:val="right"/>
              <w:rPr>
                <w:rFonts w:ascii="Times New Roman" w:hAnsi="Times New Roman" w:cs="Times New Roman" w:eastAsia="Times New Roman" w:hint="default"/>
                <w:sz w:val="18"/>
                <w:szCs w:val="18"/>
              </w:rPr>
            </w:pPr>
            <w:r>
              <w:rPr>
                <w:rFonts w:ascii="Times New Roman"/>
                <w:spacing w:val="-1"/>
                <w:sz w:val="18"/>
              </w:rPr>
              <w:t>324,772,351.19</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z w:val="18"/>
              </w:rPr>
              <w:t>37.82%</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71"/>
              <w:jc w:val="right"/>
              <w:rPr>
                <w:rFonts w:ascii="Times New Roman" w:hAnsi="Times New Roman" w:cs="Times New Roman" w:eastAsia="Times New Roman" w:hint="default"/>
                <w:sz w:val="18"/>
                <w:szCs w:val="18"/>
              </w:rPr>
            </w:pPr>
            <w:r>
              <w:rPr>
                <w:rFonts w:ascii="Times New Roman"/>
                <w:spacing w:val="-1"/>
                <w:sz w:val="18"/>
              </w:rPr>
              <w:t>316,045,807.05</w:t>
            </w:r>
          </w:p>
        </w:tc>
        <w:tc>
          <w:tcPr>
            <w:tcW w:w="139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18"/>
              <w:jc w:val="right"/>
              <w:rPr>
                <w:rFonts w:ascii="Times New Roman" w:hAnsi="Times New Roman" w:cs="Times New Roman" w:eastAsia="Times New Roman" w:hint="default"/>
                <w:sz w:val="18"/>
                <w:szCs w:val="18"/>
              </w:rPr>
            </w:pPr>
            <w:r>
              <w:rPr>
                <w:rFonts w:ascii="Times New Roman"/>
                <w:sz w:val="18"/>
              </w:rPr>
              <w:t>32.82%</w:t>
            </w:r>
          </w:p>
        </w:tc>
        <w:tc>
          <w:tcPr>
            <w:tcW w:w="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2.76%</w:t>
            </w:r>
          </w:p>
        </w:tc>
      </w:tr>
      <w:tr>
        <w:trPr>
          <w:trHeight w:val="348"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511" w:type="dxa"/>
            <w:tcBorders>
              <w:top w:val="single" w:sz="6" w:space="0" w:color="000000"/>
              <w:left w:val="nil" w:sz="6" w:space="0" w:color="auto"/>
              <w:bottom w:val="single" w:sz="6" w:space="0" w:color="000000"/>
              <w:right w:val="nil" w:sz="6" w:space="0" w:color="auto"/>
            </w:tcBorders>
          </w:tcPr>
          <w:p>
            <w:pPr/>
          </w:p>
        </w:tc>
        <w:tc>
          <w:tcPr>
            <w:tcW w:w="1080" w:type="dxa"/>
            <w:tcBorders>
              <w:top w:val="single" w:sz="6" w:space="0" w:color="000000"/>
              <w:left w:val="nil" w:sz="6" w:space="0" w:color="auto"/>
              <w:bottom w:val="single" w:sz="6" w:space="0" w:color="000000"/>
              <w:right w:val="nil" w:sz="6" w:space="0" w:color="auto"/>
            </w:tcBorders>
          </w:tcPr>
          <w:p>
            <w:pPr/>
          </w:p>
        </w:tc>
        <w:tc>
          <w:tcPr>
            <w:tcW w:w="1356" w:type="dxa"/>
            <w:tcBorders>
              <w:top w:val="single" w:sz="6" w:space="0" w:color="000000"/>
              <w:left w:val="nil" w:sz="6" w:space="0" w:color="auto"/>
              <w:bottom w:val="single" w:sz="6" w:space="0" w:color="000000"/>
              <w:right w:val="nil" w:sz="6" w:space="0" w:color="auto"/>
            </w:tcBorders>
          </w:tcPr>
          <w:p>
            <w:pPr/>
          </w:p>
        </w:tc>
        <w:tc>
          <w:tcPr>
            <w:tcW w:w="1396" w:type="dxa"/>
            <w:tcBorders>
              <w:top w:val="single" w:sz="6" w:space="0" w:color="000000"/>
              <w:left w:val="nil" w:sz="6" w:space="0" w:color="auto"/>
              <w:bottom w:val="single" w:sz="6" w:space="0" w:color="000000"/>
              <w:right w:val="nil" w:sz="6" w:space="0" w:color="auto"/>
            </w:tcBorders>
          </w:tcPr>
          <w:p>
            <w:pPr/>
          </w:p>
        </w:tc>
        <w:tc>
          <w:tcPr>
            <w:tcW w:w="970"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254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47"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222"/>
              <w:jc w:val="right"/>
              <w:rPr>
                <w:rFonts w:ascii="Times New Roman" w:hAnsi="Times New Roman" w:cs="Times New Roman" w:eastAsia="Times New Roman" w:hint="default"/>
                <w:sz w:val="18"/>
                <w:szCs w:val="18"/>
              </w:rPr>
            </w:pPr>
            <w:r>
              <w:rPr>
                <w:rFonts w:ascii="Times New Roman"/>
                <w:spacing w:val="-1"/>
                <w:sz w:val="18"/>
              </w:rPr>
              <w:t>438,143,713.83</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55"/>
              <w:jc w:val="right"/>
              <w:rPr>
                <w:rFonts w:ascii="Times New Roman" w:hAnsi="Times New Roman" w:cs="Times New Roman" w:eastAsia="Times New Roman" w:hint="default"/>
                <w:sz w:val="18"/>
                <w:szCs w:val="18"/>
              </w:rPr>
            </w:pPr>
            <w:r>
              <w:rPr>
                <w:rFonts w:ascii="Times New Roman"/>
                <w:sz w:val="18"/>
              </w:rPr>
              <w:t>51.03%</w:t>
            </w: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71"/>
              <w:jc w:val="right"/>
              <w:rPr>
                <w:rFonts w:ascii="Times New Roman" w:hAnsi="Times New Roman" w:cs="Times New Roman" w:eastAsia="Times New Roman" w:hint="default"/>
                <w:sz w:val="18"/>
                <w:szCs w:val="18"/>
              </w:rPr>
            </w:pPr>
            <w:r>
              <w:rPr>
                <w:rFonts w:ascii="Times New Roman"/>
                <w:spacing w:val="-1"/>
                <w:sz w:val="18"/>
              </w:rPr>
              <w:t>451,475,082.91</w:t>
            </w:r>
          </w:p>
        </w:tc>
        <w:tc>
          <w:tcPr>
            <w:tcW w:w="1396"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18"/>
              <w:jc w:val="right"/>
              <w:rPr>
                <w:rFonts w:ascii="Times New Roman" w:hAnsi="Times New Roman" w:cs="Times New Roman" w:eastAsia="Times New Roman" w:hint="default"/>
                <w:sz w:val="18"/>
                <w:szCs w:val="18"/>
              </w:rPr>
            </w:pPr>
            <w:r>
              <w:rPr>
                <w:rFonts w:ascii="Times New Roman"/>
                <w:sz w:val="18"/>
              </w:rPr>
              <w:t>46.88%</w:t>
            </w:r>
          </w:p>
        </w:tc>
        <w:tc>
          <w:tcPr>
            <w:tcW w:w="97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-2.95%</w:t>
            </w:r>
          </w:p>
        </w:tc>
      </w:tr>
      <w:tr>
        <w:trPr>
          <w:trHeight w:val="488" w:hRule="exact"/>
        </w:trPr>
        <w:tc>
          <w:tcPr>
            <w:tcW w:w="254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11"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223"/>
              <w:jc w:val="right"/>
              <w:rPr>
                <w:rFonts w:ascii="Times New Roman" w:hAnsi="Times New Roman" w:cs="Times New Roman" w:eastAsia="Times New Roman" w:hint="default"/>
                <w:sz w:val="18"/>
                <w:szCs w:val="18"/>
              </w:rPr>
            </w:pPr>
            <w:r>
              <w:rPr>
                <w:rFonts w:ascii="Times New Roman"/>
                <w:spacing w:val="-1"/>
                <w:sz w:val="18"/>
              </w:rPr>
              <w:t>420,532,555.94</w:t>
            </w:r>
          </w:p>
        </w:tc>
        <w:tc>
          <w:tcPr>
            <w:tcW w:w="1080"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55"/>
              <w:jc w:val="right"/>
              <w:rPr>
                <w:rFonts w:ascii="Times New Roman" w:hAnsi="Times New Roman" w:cs="Times New Roman" w:eastAsia="Times New Roman" w:hint="default"/>
                <w:sz w:val="18"/>
                <w:szCs w:val="18"/>
              </w:rPr>
            </w:pPr>
            <w:r>
              <w:rPr>
                <w:rFonts w:ascii="Times New Roman"/>
                <w:sz w:val="18"/>
              </w:rPr>
              <w:t>48.97%</w:t>
            </w:r>
          </w:p>
        </w:tc>
        <w:tc>
          <w:tcPr>
            <w:tcW w:w="1356"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511,505,033.00</w:t>
            </w:r>
          </w:p>
        </w:tc>
        <w:tc>
          <w:tcPr>
            <w:tcW w:w="1396"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318"/>
              <w:jc w:val="right"/>
              <w:rPr>
                <w:rFonts w:ascii="Times New Roman" w:hAnsi="Times New Roman" w:cs="Times New Roman" w:eastAsia="Times New Roman" w:hint="default"/>
                <w:sz w:val="18"/>
                <w:szCs w:val="18"/>
              </w:rPr>
            </w:pPr>
            <w:r>
              <w:rPr>
                <w:rFonts w:ascii="Times New Roman"/>
                <w:sz w:val="18"/>
              </w:rPr>
              <w:t>53.12%</w:t>
            </w:r>
          </w:p>
        </w:tc>
        <w:tc>
          <w:tcPr>
            <w:tcW w:w="970"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z w:val="18"/>
              </w:rPr>
              <w:t>-17.79%</w:t>
            </w:r>
          </w:p>
        </w:tc>
      </w:tr>
      <w:tr>
        <w:trPr>
          <w:trHeight w:val="806" w:hRule="exact"/>
        </w:trPr>
        <w:tc>
          <w:tcPr>
            <w:tcW w:w="40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按客户归集的本期前五名营业收入情况</w:t>
            </w:r>
          </w:p>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项目名称</w:t>
            </w:r>
            <w:r>
              <w:rPr>
                <w:rFonts w:ascii="宋体" w:hAnsi="宋体" w:cs="宋体" w:eastAsia="宋体" w:hint="default"/>
                <w:sz w:val="18"/>
                <w:szCs w:val="18"/>
              </w:rPr>
            </w:r>
          </w:p>
        </w:tc>
        <w:tc>
          <w:tcPr>
            <w:tcW w:w="243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236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占营业收入比重</w:t>
            </w:r>
            <w:r>
              <w:rPr>
                <w:rFonts w:ascii="宋体" w:hAnsi="宋体" w:cs="宋体" w:eastAsia="宋体" w:hint="default"/>
                <w:sz w:val="18"/>
                <w:szCs w:val="18"/>
              </w:rPr>
            </w:r>
          </w:p>
        </w:tc>
      </w:tr>
      <w:tr>
        <w:trPr>
          <w:trHeight w:val="337" w:hRule="exact"/>
        </w:trPr>
        <w:tc>
          <w:tcPr>
            <w:tcW w:w="40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4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229" w:right="0"/>
              <w:jc w:val="left"/>
              <w:rPr>
                <w:rFonts w:ascii="Times New Roman" w:hAnsi="Times New Roman" w:cs="Times New Roman" w:eastAsia="Times New Roman" w:hint="default"/>
                <w:sz w:val="18"/>
                <w:szCs w:val="18"/>
              </w:rPr>
            </w:pPr>
            <w:r>
              <w:rPr>
                <w:rFonts w:ascii="Times New Roman"/>
                <w:sz w:val="18"/>
              </w:rPr>
              <w:t>21,803,206.35</w:t>
            </w:r>
          </w:p>
        </w:tc>
        <w:tc>
          <w:tcPr>
            <w:tcW w:w="2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sz w:val="18"/>
              </w:rPr>
              <w:t>2.54%</w:t>
            </w:r>
          </w:p>
        </w:tc>
      </w:tr>
      <w:tr>
        <w:trPr>
          <w:trHeight w:val="331" w:hRule="exact"/>
        </w:trPr>
        <w:tc>
          <w:tcPr>
            <w:tcW w:w="40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9" w:right="0"/>
              <w:jc w:val="left"/>
              <w:rPr>
                <w:rFonts w:ascii="Times New Roman" w:hAnsi="Times New Roman" w:cs="Times New Roman" w:eastAsia="Times New Roman" w:hint="default"/>
                <w:sz w:val="18"/>
                <w:szCs w:val="18"/>
              </w:rPr>
            </w:pPr>
            <w:r>
              <w:rPr>
                <w:rFonts w:ascii="Times New Roman"/>
                <w:sz w:val="18"/>
              </w:rPr>
              <w:t>20,561,075.26</w:t>
            </w:r>
          </w:p>
        </w:tc>
        <w:tc>
          <w:tcPr>
            <w:tcW w:w="2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z w:val="18"/>
              </w:rPr>
              <w:t>2.39%</w:t>
            </w:r>
          </w:p>
        </w:tc>
      </w:tr>
      <w:tr>
        <w:trPr>
          <w:trHeight w:val="331" w:hRule="exact"/>
        </w:trPr>
        <w:tc>
          <w:tcPr>
            <w:tcW w:w="40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9" w:right="0"/>
              <w:jc w:val="left"/>
              <w:rPr>
                <w:rFonts w:ascii="Times New Roman" w:hAnsi="Times New Roman" w:cs="Times New Roman" w:eastAsia="Times New Roman" w:hint="default"/>
                <w:sz w:val="18"/>
                <w:szCs w:val="18"/>
              </w:rPr>
            </w:pPr>
            <w:r>
              <w:rPr>
                <w:rFonts w:ascii="Times New Roman"/>
                <w:sz w:val="18"/>
              </w:rPr>
              <w:t>17,407,522.08</w:t>
            </w:r>
          </w:p>
        </w:tc>
        <w:tc>
          <w:tcPr>
            <w:tcW w:w="2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z w:val="18"/>
              </w:rPr>
              <w:t>2.03%</w:t>
            </w:r>
          </w:p>
        </w:tc>
      </w:tr>
      <w:tr>
        <w:trPr>
          <w:trHeight w:val="333" w:hRule="exact"/>
        </w:trPr>
        <w:tc>
          <w:tcPr>
            <w:tcW w:w="40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9" w:right="0"/>
              <w:jc w:val="left"/>
              <w:rPr>
                <w:rFonts w:ascii="Times New Roman" w:hAnsi="Times New Roman" w:cs="Times New Roman" w:eastAsia="Times New Roman" w:hint="default"/>
                <w:sz w:val="18"/>
                <w:szCs w:val="18"/>
              </w:rPr>
            </w:pPr>
            <w:r>
              <w:rPr>
                <w:rFonts w:ascii="Times New Roman"/>
                <w:sz w:val="18"/>
              </w:rPr>
              <w:t>12,261,539.81</w:t>
            </w:r>
          </w:p>
        </w:tc>
        <w:tc>
          <w:tcPr>
            <w:tcW w:w="2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z w:val="18"/>
              </w:rPr>
              <w:t>1.43%</w:t>
            </w:r>
          </w:p>
        </w:tc>
      </w:tr>
      <w:tr>
        <w:trPr>
          <w:trHeight w:val="333" w:hRule="exact"/>
        </w:trPr>
        <w:tc>
          <w:tcPr>
            <w:tcW w:w="40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4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1229" w:right="0"/>
              <w:jc w:val="left"/>
              <w:rPr>
                <w:rFonts w:ascii="Times New Roman" w:hAnsi="Times New Roman" w:cs="Times New Roman" w:eastAsia="Times New Roman" w:hint="default"/>
                <w:sz w:val="18"/>
                <w:szCs w:val="18"/>
              </w:rPr>
            </w:pPr>
            <w:r>
              <w:rPr>
                <w:rFonts w:ascii="Times New Roman"/>
                <w:sz w:val="18"/>
              </w:rPr>
              <w:t>11,264,668.18</w:t>
            </w:r>
          </w:p>
        </w:tc>
        <w:tc>
          <w:tcPr>
            <w:tcW w:w="2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1.31%</w:t>
            </w:r>
          </w:p>
        </w:tc>
      </w:tr>
      <w:tr>
        <w:trPr>
          <w:trHeight w:val="361" w:hRule="exact"/>
        </w:trPr>
        <w:tc>
          <w:tcPr>
            <w:tcW w:w="40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22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83,298,011.68</w:t>
            </w:r>
            <w:r>
              <w:rPr>
                <w:rFonts w:ascii="Times New Roman"/>
                <w:sz w:val="18"/>
              </w:rPr>
            </w:r>
          </w:p>
        </w:tc>
        <w:tc>
          <w:tcPr>
            <w:tcW w:w="23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9.70%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-4,418,286.11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-1,783,391.80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-1,875,346.05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-4,418,286.11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-3,658,737.85</w:t>
            </w:r>
          </w:p>
        </w:tc>
      </w:tr>
    </w:tbl>
    <w:p>
      <w:pPr>
        <w:spacing w:line="240" w:lineRule="auto" w:before="1"/>
        <w:rPr>
          <w:rFonts w:ascii="宋体" w:hAnsi="宋体" w:cs="宋体" w:eastAsia="宋体" w:hint="default"/>
          <w:sz w:val="18"/>
          <w:szCs w:val="18"/>
        </w:rPr>
      </w:pPr>
    </w:p>
    <w:p>
      <w:pPr>
        <w:pStyle w:val="Heading2"/>
        <w:spacing w:line="240" w:lineRule="auto" w:before="26"/>
        <w:ind w:right="1104"/>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-144,755.77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4,250,718.40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420,103.42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-133,505.19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945,121.60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111,963.12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3,335,476.14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0.30</w:t>
            </w:r>
          </w:p>
        </w:tc>
      </w:tr>
    </w:tbl>
    <w:p>
      <w:pPr>
        <w:spacing w:line="240" w:lineRule="auto" w:before="3"/>
        <w:rPr>
          <w:rFonts w:ascii="宋体" w:hAnsi="宋体" w:cs="宋体" w:eastAsia="宋体" w:hint="default"/>
          <w:b/>
          <w:bCs/>
          <w:sz w:val="19"/>
          <w:szCs w:val="19"/>
        </w:rPr>
      </w:pPr>
    </w:p>
    <w:p>
      <w:pPr>
        <w:spacing w:before="36"/>
        <w:ind w:left="152" w:right="1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04"/>
        <w:jc w:val="left"/>
        <w:rPr>
          <w:b w:val="0"/>
          <w:bCs w:val="0"/>
        </w:rPr>
      </w:pPr>
      <w:bookmarkStart w:name="_bookmark12" w:id="13"/>
      <w:bookmarkEnd w:id="13"/>
      <w:r>
        <w:rPr>
          <w:b w:val="0"/>
          <w:bCs w:val="0"/>
        </w:rPr>
      </w:r>
      <w:r>
        <w:rPr/>
        <w:t>第十三节备查文件目录</w:t>
      </w:r>
      <w:r>
        <w:rPr>
          <w:b w:val="0"/>
          <w:bCs w:val="0"/>
        </w:rPr>
      </w:r>
    </w:p>
    <w:p>
      <w:pPr>
        <w:spacing w:line="240" w:lineRule="auto" w:before="0"/>
        <w:rPr>
          <w:rFonts w:ascii="宋体" w:hAnsi="宋体" w:cs="宋体" w:eastAsia="宋体" w:hint="default"/>
          <w:b/>
          <w:bCs/>
          <w:sz w:val="45"/>
          <w:szCs w:val="45"/>
        </w:rPr>
      </w:pPr>
    </w:p>
    <w:p>
      <w:pPr>
        <w:pStyle w:val="BodyText"/>
        <w:spacing w:line="357" w:lineRule="auto" w:before="0"/>
        <w:ind w:right="986" w:firstLine="480"/>
        <w:jc w:val="left"/>
      </w:pPr>
      <w:r>
        <w:rPr>
          <w:spacing w:val="-3"/>
        </w:rPr>
        <w:t>一、载有公司法定代表人、主管会计工作负责人、公司会计机构负责人（会计主管人员）</w:t>
      </w:r>
      <w:r>
        <w:rPr/>
        <w:t> 签名并盖章的财务报表。</w:t>
      </w:r>
    </w:p>
    <w:p>
      <w:pPr>
        <w:pStyle w:val="BodyText"/>
        <w:spacing w:line="357" w:lineRule="auto"/>
        <w:ind w:left="633" w:right="986"/>
        <w:jc w:val="left"/>
      </w:pPr>
      <w:r>
        <w:rPr/>
        <w:t>二、载有会计师事务所盖章、注册会计师签名并盖章的审计报告原件。 </w:t>
      </w:r>
      <w:r>
        <w:rPr>
          <w:spacing w:val="-3"/>
        </w:rPr>
        <w:t>三、报告期内在中国证监会指定网站上公开披露过的所有公司文件的正本及公告的原稿。</w:t>
      </w:r>
      <w:r>
        <w:rPr>
          <w:spacing w:val="-85"/>
        </w:rPr>
        <w:t> </w:t>
      </w:r>
      <w:r>
        <w:rPr>
          <w:spacing w:val="-85"/>
        </w:rPr>
      </w:r>
      <w:r>
        <w:rPr/>
        <w:t>四、经公司法定代表人签名的</w:t>
      </w:r>
      <w:r>
        <w:rPr>
          <w:rFonts w:ascii="宋体" w:hAnsi="宋体" w:cs="宋体" w:eastAsia="宋体" w:hint="default"/>
        </w:rPr>
        <w:t>2019</w:t>
      </w:r>
      <w:r>
        <w:rPr/>
        <w:t>年度报告文件原件。</w:t>
      </w:r>
    </w:p>
    <w:p>
      <w:pPr>
        <w:pStyle w:val="BodyText"/>
        <w:spacing w:line="357" w:lineRule="auto"/>
        <w:ind w:left="633" w:right="5473"/>
        <w:jc w:val="left"/>
      </w:pPr>
      <w:r>
        <w:rPr/>
        <w:t>五、其他相关资料。 六、以上备查文件的备置地点：公司证券部。</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176" type="#_x0000_t75" stroked="false">
          <v:imagedata r:id="rId1" o:title=""/>
        </v:shape>
      </w:pict>
    </w:r>
    <w:r>
      <w:rPr/>
      <w:pict>
        <v:shape style="position:absolute;margin-left:533.099976pt;margin-top:795.637939pt;width:6.5pt;height:11pt;mso-position-horizontal-relative:page;mso-position-vertical-relative:page;z-index:-1046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128" type="#_x0000_t75" stroked="false">
          <v:imagedata r:id="rId1" o:title=""/>
        </v:shape>
      </w:pict>
    </w:r>
    <w:r>
      <w:rPr/>
      <w:pict>
        <v:shape style="position:absolute;margin-left:527.659973pt;margin-top:781.957947pt;width:13.15pt;height:11pt;mso-position-horizontal-relative:page;mso-position-vertical-relative:page;z-index:-1046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080" type="#_x0000_t75" stroked="false">
          <v:imagedata r:id="rId1" o:title=""/>
        </v:shape>
      </w:pict>
    </w:r>
    <w:r>
      <w:rPr/>
      <w:pict>
        <v:shape style="position:absolute;margin-left:524.099976pt;margin-top:781.957947pt;width:15.7pt;height:11pt;mso-position-horizontal-relative:page;mso-position-vertical-relative:page;z-index:-1046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6032" type="#_x0000_t75" stroked="false">
          <v:imagedata r:id="rId1" o:title=""/>
        </v:shape>
      </w:pict>
    </w:r>
    <w:r>
      <w:rPr/>
      <w:pict>
        <v:shape style="position:absolute;margin-left:523.099976pt;margin-top:781.957947pt;width:17.7pt;height:11pt;mso-position-horizontal-relative:page;mso-position-vertical-relative:page;z-index:-1046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5984" type="#_x0000_t75" stroked="false">
          <v:imagedata r:id="rId1" o:title=""/>
        </v:shape>
      </w:pict>
    </w:r>
    <w:r>
      <w:rPr/>
      <w:pict>
        <v:shape style="position:absolute;margin-left:523.460022pt;margin-top:781.957947pt;width:17.3pt;height:11pt;mso-position-horizontal-relative:page;mso-position-vertical-relative:page;z-index:-1045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5936" type="#_x0000_t75" stroked="false">
          <v:imagedata r:id="rId1" o:title=""/>
        </v:shape>
      </w:pict>
    </w:r>
    <w:r>
      <w:rPr/>
      <w:pict>
        <v:shape style="position:absolute;margin-left:523.099976pt;margin-top:781.957947pt;width:17.7pt;height:11pt;mso-position-horizontal-relative:page;mso-position-vertical-relative:page;z-index:-1045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5888" type="#_x0000_t75" stroked="false">
          <v:imagedata r:id="rId1" o:title=""/>
        </v:shape>
      </w:pict>
    </w:r>
    <w:r>
      <w:rPr/>
      <w:pict>
        <v:shape style="position:absolute;margin-left:524.099976pt;margin-top:781.957947pt;width:15.7pt;height:11pt;mso-position-horizontal-relative:page;mso-position-vertical-relative:page;z-index:-1045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5840" type="#_x0000_t75" stroked="false">
          <v:imagedata r:id="rId1" o:title=""/>
        </v:shape>
      </w:pict>
    </w:r>
    <w:r>
      <w:rPr/>
      <w:pict>
        <v:shape style="position:absolute;margin-left:523.099976pt;margin-top:781.957947pt;width:17.7pt;height:11pt;mso-position-horizontal-relative:page;mso-position-vertical-relative:page;z-index:-1045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046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宋体" w:hAnsi="宋体" w:eastAsia="宋体"/>
      <w:b/>
      <w:bCs/>
      <w:sz w:val="24"/>
      <w:szCs w:val="24"/>
    </w:rPr>
  </w:style>
  <w:style w:styleId="BodyText" w:type="paragraph">
    <w:name w:val="Body Text"/>
    <w:basedOn w:val="Normal"/>
    <w:uiPriority w:val="1"/>
    <w:qFormat/>
    <w:pPr>
      <w:spacing w:before="36"/>
      <w:ind w:left="15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egova.com.cn/" TargetMode="External"/><Relationship Id="rId10" Type="http://schemas.openxmlformats.org/officeDocument/2006/relationships/hyperlink" Target="mailto:egova@egova.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hyperlink" Target="http://www.cninfo.com/"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yperlink" Target="http://law.esnai.com/search_result.asp?Department=402"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北京数字政通科技股份有限公司</dc:creator>
  <dc:title>北京数字政通科技股份有限公司2019年年度报告全文</dc:title>
  <dcterms:created xsi:type="dcterms:W3CDTF">2020-05-19T12:49:46Z</dcterms:created>
  <dcterms:modified xsi:type="dcterms:W3CDTF">2020-05-19T12:49:46Z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2010</vt:lpwstr>
  </property>
  <property fmtid="{D5CDD505-2E9C-101B-9397-08002B2CF9AE}" pid="4" name="LastSaved">
    <vt:filetime>2020-05-19T00:00:00Z</vt:filetime>
  </property>
</Properties>
</file>