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1459" w:line="1" w:lineRule="exact"/>
      </w:pPr>
    </w:p>
    <w:p>
      <w:pPr>
        <w:widowControl w:val="0"/>
        <w:jc w:val="center"/>
        <w:rPr>
          <w:sz w:val="2"/>
          <w:szCs w:val="2"/>
        </w:rPr>
      </w:pPr>
      <w:r>
        <w:drawing>
          <wp:inline>
            <wp:extent cx="5382895" cy="216408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5382895" cy="2164080"/>
                    </a:xfrm>
                    <a:prstGeom prst="rect"/>
                  </pic:spPr>
                </pic:pic>
              </a:graphicData>
            </a:graphic>
          </wp:inline>
        </w:drawing>
      </w:r>
    </w:p>
    <w:p>
      <w:pPr>
        <w:widowControl w:val="0"/>
        <w:spacing w:after="219" w:line="1" w:lineRule="exact"/>
      </w:pPr>
    </w:p>
    <w:p>
      <w:pPr>
        <w:pStyle w:val="Style2"/>
        <w:keepNext w:val="0"/>
        <w:keepLines w:val="0"/>
        <w:widowControl w:val="0"/>
        <w:shd w:val="clear" w:color="auto" w:fill="auto"/>
        <w:bidi w:val="0"/>
        <w:spacing w:before="0" w:after="400" w:line="240" w:lineRule="auto"/>
        <w:ind w:left="0" w:right="0" w:firstLine="0"/>
        <w:jc w:val="center"/>
        <w:rPr>
          <w:sz w:val="36"/>
          <w:szCs w:val="36"/>
        </w:rPr>
      </w:pPr>
      <w:r>
        <w:rPr>
          <w:b/>
          <w:bCs/>
          <w:color w:val="000000"/>
          <w:spacing w:val="0"/>
          <w:w w:val="100"/>
          <w:position w:val="0"/>
          <w:sz w:val="36"/>
          <w:szCs w:val="36"/>
        </w:rPr>
        <w:t>北京数字政通科技股份有限公司</w:t>
      </w:r>
    </w:p>
    <w:p>
      <w:pPr>
        <w:pStyle w:val="Style2"/>
        <w:keepNext w:val="0"/>
        <w:keepLines w:val="0"/>
        <w:widowControl w:val="0"/>
        <w:shd w:val="clear" w:color="auto" w:fill="auto"/>
        <w:bidi w:val="0"/>
        <w:spacing w:before="0" w:after="40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598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2022-013</w:t>
      </w:r>
    </w:p>
    <w:p>
      <w:pPr>
        <w:pStyle w:val="Style2"/>
        <w:keepNext w:val="0"/>
        <w:keepLines w:val="0"/>
        <w:widowControl w:val="0"/>
        <w:shd w:val="clear" w:color="auto" w:fill="auto"/>
        <w:bidi w:val="0"/>
        <w:spacing w:before="0" w:after="40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8"/>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bookmarkStart w:id="3" w:name="bookmark3"/>
      <w:r>
        <w:rPr>
          <w:color w:val="000000"/>
          <w:spacing w:val="0"/>
          <w:w w:val="100"/>
          <w:position w:val="0"/>
        </w:rPr>
        <w:t>第一节重要提示、目录和释义</w:t>
      </w:r>
      <w:bookmarkEnd w:id="1"/>
      <w:bookmarkEnd w:id="2"/>
      <w:bookmarkEnd w:id="3"/>
      <w:bookmarkEnd w:id="0"/>
    </w:p>
    <w:p>
      <w:pPr>
        <w:pStyle w:val="Style10"/>
        <w:keepNext w:val="0"/>
        <w:keepLines w:val="0"/>
        <w:widowControl w:val="0"/>
        <w:shd w:val="clear" w:color="auto" w:fill="auto"/>
        <w:bidi w:val="0"/>
        <w:spacing w:before="0" w:after="100" w:line="626" w:lineRule="exact"/>
        <w:ind w:left="0" w:right="0"/>
        <w:jc w:val="both"/>
      </w:pPr>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10"/>
        <w:keepNext w:val="0"/>
        <w:keepLines w:val="0"/>
        <w:widowControl w:val="0"/>
        <w:shd w:val="clear" w:color="auto" w:fill="auto"/>
        <w:bidi w:val="0"/>
        <w:spacing w:before="0" w:after="100" w:line="586" w:lineRule="exact"/>
        <w:ind w:left="0" w:right="0"/>
        <w:jc w:val="both"/>
      </w:pPr>
      <w:r>
        <w:rPr>
          <w:color w:val="000000"/>
          <w:spacing w:val="0"/>
          <w:w w:val="100"/>
          <w:position w:val="0"/>
        </w:rPr>
        <w:t>公司负责人吴强华、主管会计工作负责人冯长浩及会计机构负责人（会计主 管人员）向华声明：保证本年度报告中财务报告的真实、准确、完整。</w:t>
      </w:r>
    </w:p>
    <w:p>
      <w:pPr>
        <w:pStyle w:val="Style10"/>
        <w:keepNext w:val="0"/>
        <w:keepLines w:val="0"/>
        <w:widowControl w:val="0"/>
        <w:shd w:val="clear" w:color="auto" w:fill="auto"/>
        <w:bidi w:val="0"/>
        <w:spacing w:before="0" w:after="100" w:line="623" w:lineRule="exact"/>
        <w:ind w:left="0" w:right="0"/>
        <w:jc w:val="both"/>
      </w:pPr>
      <w:r>
        <w:rPr>
          <w:color w:val="000000"/>
          <w:spacing w:val="0"/>
          <w:w w:val="100"/>
          <w:position w:val="0"/>
        </w:rPr>
        <w:t>所有董事均已出席了审议本报告的董事会会议。</w:t>
      </w:r>
    </w:p>
    <w:p>
      <w:pPr>
        <w:pStyle w:val="Style10"/>
        <w:keepNext w:val="0"/>
        <w:keepLines w:val="0"/>
        <w:widowControl w:val="0"/>
        <w:shd w:val="clear" w:color="auto" w:fill="auto"/>
        <w:bidi w:val="0"/>
        <w:spacing w:before="0" w:after="0" w:line="623" w:lineRule="exact"/>
        <w:ind w:left="0" w:right="0"/>
        <w:jc w:val="both"/>
      </w:pPr>
      <w:r>
        <w:rPr>
          <w:color w:val="000000"/>
          <w:spacing w:val="0"/>
          <w:w w:val="100"/>
          <w:position w:val="0"/>
        </w:rPr>
        <w:t>依赖政府采购风险：公司产品主要是各级政府（部、省、市、区、县政府） 的数字化城市管理平台以及国土、规划等政府主管部门的专用管理信息系统。 客户定位于各级政府（部、省、市、区、县政府）部门，虽然街道乡镇、部分 大型企业也是公司的目标用户，但目前公司销售收入主要来源于政府采购，项 目均通过各级政府招投标过程获得。面对尚不明朗的宏观经济形势，地方政府 和行业主管部门可能存在财政紧缩、推迟或减少对电子政务系统的投入，未来 将会对公司的经营产生一定影响。</w:t>
      </w:r>
    </w:p>
    <w:p>
      <w:pPr>
        <w:pStyle w:val="Style10"/>
        <w:keepNext w:val="0"/>
        <w:keepLines w:val="0"/>
        <w:widowControl w:val="0"/>
        <w:shd w:val="clear" w:color="auto" w:fill="auto"/>
        <w:bidi w:val="0"/>
        <w:spacing w:before="0" w:after="100" w:line="623" w:lineRule="exact"/>
        <w:ind w:left="0" w:right="0"/>
        <w:jc w:val="both"/>
      </w:pPr>
      <w:r>
        <w:rPr>
          <w:color w:val="000000"/>
          <w:spacing w:val="0"/>
          <w:w w:val="100"/>
          <w:position w:val="0"/>
        </w:rPr>
        <w:t>市场竞争加剧的风险：公司在传统数字城市管理领域有着较强的市场竞争 力，但随着智慧城市建设的高速发展，数字政通的业务也在不断延伸，将不可 避免地与更多规模和实力更强的行业公司进行竞争，市场竞争呈逐步加剧的态 势，如果公司在发展过程中不能持续保持技术领先优势以及不断提升市场营销 和本地化服务能力，将有可能面临市场份额下滑，技术、服务能力被竞争对手 超越的风险，同时可能会存在导致毛利率下降的风险。</w:t>
      </w:r>
    </w:p>
    <w:p>
      <w:pPr>
        <w:pStyle w:val="Style10"/>
        <w:keepNext w:val="0"/>
        <w:keepLines w:val="0"/>
        <w:widowControl w:val="0"/>
        <w:shd w:val="clear" w:color="auto" w:fill="auto"/>
        <w:bidi w:val="0"/>
        <w:spacing w:before="0" w:line="624" w:lineRule="exact"/>
        <w:ind w:left="0" w:right="0"/>
        <w:jc w:val="both"/>
      </w:pPr>
      <w:r>
        <w:rPr>
          <w:color w:val="000000"/>
          <w:spacing w:val="0"/>
          <w:w w:val="100"/>
          <w:position w:val="0"/>
        </w:rPr>
        <w:t>核心技术人员流失风险：软件行业属于智力密集型行业，核心技术人员对 公司的产品创新、持续发展起着关键的作用，核心技术人员的稳定对公司的发 展具有重要影响。经过多年发展，公司现已拥有一支高素质的技术人员队伍， 为了吸引和稳定现有核心技术团队，公司已建立完善的知识管理体系，采取了 一系列吸引和稳定核心技术人员的措施，包括实施股权激励计划，提高核心技 术人员福利待遇、增加培训机会、创造良好的工作和文化氛围等，努力维护技 术团队的稳定发展，但考虑到软件行业技术变革速度快、人员流动率偏高的特 点，未来如果公司的核心技术团队流失率过高，将不利于公司各项经营目标的 实现，对公司未来发展将产生不利影响。</w:t>
      </w:r>
    </w:p>
    <w:p>
      <w:pPr>
        <w:pStyle w:val="Style10"/>
        <w:keepNext w:val="0"/>
        <w:keepLines w:val="0"/>
        <w:widowControl w:val="0"/>
        <w:shd w:val="clear" w:color="auto" w:fill="auto"/>
        <w:bidi w:val="0"/>
        <w:spacing w:before="0" w:after="0" w:line="631" w:lineRule="exact"/>
        <w:ind w:left="0" w:right="0"/>
        <w:jc w:val="both"/>
        <w:sectPr>
          <w:footnotePr>
            <w:pos w:val="pageBottom"/>
            <w:numFmt w:val="decimal"/>
            <w:numRestart w:val="continuous"/>
          </w:footnotePr>
          <w:pgSz w:w="11900" w:h="16840"/>
          <w:pgMar w:top="1249" w:right="991" w:bottom="1993" w:left="1084" w:header="0" w:footer="3" w:gutter="0"/>
          <w:cols w:space="720"/>
          <w:noEndnote/>
          <w:rtlGutter w:val="0"/>
          <w:docGrid w:linePitch="360"/>
        </w:sectPr>
      </w:pPr>
      <w:r>
        <w:rPr>
          <w:color w:val="000000"/>
          <w:spacing w:val="0"/>
          <w:w w:val="100"/>
          <w:position w:val="0"/>
        </w:rPr>
        <w:t>公司经本次董事会审议通过的利润分配预案为：以496,178,465为基数，向 全体股东每10股派发现金红利</w:t>
      </w:r>
      <w:r>
        <w:rPr>
          <w:color w:val="000000"/>
          <w:spacing w:val="0"/>
          <w:w w:val="100"/>
          <w:position w:val="0"/>
        </w:rPr>
        <w:t>0.45</w:t>
      </w:r>
      <w:r>
        <w:rPr>
          <w:color w:val="000000"/>
          <w:spacing w:val="0"/>
          <w:w w:val="100"/>
          <w:position w:val="0"/>
        </w:rPr>
        <w:t>元（含税），送红股0股（含税），以资本 公积金向全体股东每10股转增0股。</w:t>
      </w:r>
    </w:p>
    <w:p>
      <w:pPr>
        <w:pStyle w:val="Style2"/>
        <w:keepNext w:val="0"/>
        <w:keepLines w:val="0"/>
        <w:widowControl w:val="0"/>
        <w:shd w:val="clear" w:color="auto" w:fill="auto"/>
        <w:bidi w:val="0"/>
        <w:spacing w:before="0" w:after="1580" w:line="240" w:lineRule="auto"/>
        <w:ind w:left="0" w:right="0" w:firstLine="0"/>
        <w:jc w:val="center"/>
        <w:rPr>
          <w:sz w:val="36"/>
          <w:szCs w:val="36"/>
        </w:rPr>
      </w:pPr>
      <w:r>
        <w:rPr>
          <w:b/>
          <w:bCs/>
          <w:color w:val="000000"/>
          <w:spacing w:val="0"/>
          <w:w w:val="100"/>
          <w:position w:val="0"/>
          <w:sz w:val="36"/>
          <w:szCs w:val="36"/>
        </w:rPr>
        <w:t>目录</w:t>
      </w:r>
    </w:p>
    <w:p>
      <w:pPr>
        <w:pStyle w:val="Style12"/>
        <w:keepNext w:val="0"/>
        <w:keepLines w:val="0"/>
        <w:widowControl w:val="0"/>
        <w:shd w:val="clear" w:color="auto" w:fill="auto"/>
        <w:tabs>
          <w:tab w:leader="dot" w:pos="9633" w:val="right"/>
        </w:tabs>
        <w:bidi w:val="0"/>
        <w:spacing w:before="0" w:line="240" w:lineRule="auto"/>
        <w:ind w:left="0" w:right="0"/>
        <w:jc w:val="both"/>
      </w:pPr>
      <w:r>
        <w:fldChar w:fldCharType="begin"/>
        <w:instrText xml:space="preserve"> TOC \o "1-5" \h \z </w:instrText>
        <w:fldChar w:fldCharType="separate"/>
      </w:r>
      <w:hyperlink w:anchor="bookmark2"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color w:val="000000"/>
            <w:spacing w:val="0"/>
            <w:w w:val="100"/>
            <w:position w:val="0"/>
            <w:sz w:val="24"/>
            <w:szCs w:val="24"/>
          </w:rPr>
          <w:t>2</w:t>
        </w:r>
      </w:hyperlink>
    </w:p>
    <w:p>
      <w:pPr>
        <w:pStyle w:val="Style12"/>
        <w:keepNext w:val="0"/>
        <w:keepLines w:val="0"/>
        <w:widowControl w:val="0"/>
        <w:shd w:val="clear" w:color="auto" w:fill="auto"/>
        <w:tabs>
          <w:tab w:leader="dot" w:pos="9633" w:val="right"/>
        </w:tabs>
        <w:bidi w:val="0"/>
        <w:spacing w:before="0" w:line="240" w:lineRule="auto"/>
        <w:ind w:left="0" w:right="0"/>
        <w:jc w:val="both"/>
      </w:pPr>
      <w:hyperlink w:anchor="bookmark11"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color w:val="000000"/>
            <w:spacing w:val="0"/>
            <w:w w:val="100"/>
            <w:position w:val="0"/>
            <w:sz w:val="24"/>
            <w:szCs w:val="24"/>
          </w:rPr>
          <w:t>7</w:t>
        </w:r>
      </w:hyperlink>
    </w:p>
    <w:p>
      <w:pPr>
        <w:pStyle w:val="Style12"/>
        <w:keepNext w:val="0"/>
        <w:keepLines w:val="0"/>
        <w:widowControl w:val="0"/>
        <w:shd w:val="clear" w:color="auto" w:fill="auto"/>
        <w:tabs>
          <w:tab w:leader="dot" w:pos="9633" w:val="right"/>
        </w:tabs>
        <w:bidi w:val="0"/>
        <w:spacing w:before="0" w:line="240" w:lineRule="auto"/>
        <w:ind w:left="0" w:right="0"/>
        <w:jc w:val="both"/>
      </w:pPr>
      <w:hyperlink w:anchor="bookmark54" w:tooltip="Current Document">
        <w:r>
          <w:rPr>
            <w:color w:val="000000"/>
            <w:spacing w:val="0"/>
            <w:w w:val="100"/>
            <w:position w:val="0"/>
            <w:sz w:val="24"/>
            <w:szCs w:val="24"/>
          </w:rPr>
          <w:t>第三节管理层讨论与分析</w:t>
        </w:r>
        <w:r>
          <w:rPr>
            <w:color w:val="000000"/>
            <w:spacing w:val="0"/>
            <w:w w:val="100"/>
            <w:position w:val="0"/>
            <w:sz w:val="24"/>
            <w:szCs w:val="24"/>
          </w:rPr>
          <w:tab/>
        </w:r>
        <w:r>
          <w:rPr>
            <w:color w:val="000000"/>
            <w:spacing w:val="0"/>
            <w:w w:val="100"/>
            <w:position w:val="0"/>
            <w:sz w:val="24"/>
            <w:szCs w:val="24"/>
          </w:rPr>
          <w:t>11</w:t>
        </w:r>
      </w:hyperlink>
    </w:p>
    <w:p>
      <w:pPr>
        <w:pStyle w:val="Style12"/>
        <w:keepNext w:val="0"/>
        <w:keepLines w:val="0"/>
        <w:widowControl w:val="0"/>
        <w:shd w:val="clear" w:color="auto" w:fill="auto"/>
        <w:tabs>
          <w:tab w:leader="dot" w:pos="9633" w:val="right"/>
        </w:tabs>
        <w:bidi w:val="0"/>
        <w:spacing w:before="0" w:line="240" w:lineRule="auto"/>
        <w:ind w:left="0" w:right="0"/>
        <w:jc w:val="both"/>
      </w:pPr>
      <w:hyperlink w:anchor="bookmark263" w:tooltip="Current Document">
        <w:r>
          <w:rPr>
            <w:color w:val="000000"/>
            <w:spacing w:val="0"/>
            <w:w w:val="100"/>
            <w:position w:val="0"/>
            <w:sz w:val="24"/>
            <w:szCs w:val="24"/>
          </w:rPr>
          <w:t>第四节公司治理</w:t>
        </w:r>
        <w:r>
          <w:rPr>
            <w:color w:val="000000"/>
            <w:spacing w:val="0"/>
            <w:w w:val="100"/>
            <w:position w:val="0"/>
            <w:sz w:val="24"/>
            <w:szCs w:val="24"/>
          </w:rPr>
          <w:tab/>
        </w:r>
        <w:r>
          <w:rPr>
            <w:color w:val="000000"/>
            <w:spacing w:val="0"/>
            <w:w w:val="100"/>
            <w:position w:val="0"/>
            <w:sz w:val="24"/>
            <w:szCs w:val="24"/>
          </w:rPr>
          <w:t>54</w:t>
        </w:r>
      </w:hyperlink>
    </w:p>
    <w:p>
      <w:pPr>
        <w:pStyle w:val="Style12"/>
        <w:keepNext w:val="0"/>
        <w:keepLines w:val="0"/>
        <w:widowControl w:val="0"/>
        <w:shd w:val="clear" w:color="auto" w:fill="auto"/>
        <w:tabs>
          <w:tab w:leader="dot" w:pos="9633" w:val="right"/>
        </w:tabs>
        <w:bidi w:val="0"/>
        <w:spacing w:before="0" w:line="240" w:lineRule="auto"/>
        <w:ind w:left="0" w:right="0"/>
        <w:jc w:val="both"/>
      </w:pPr>
      <w:hyperlink w:anchor="bookmark429" w:tooltip="Current Document">
        <w:r>
          <w:rPr>
            <w:color w:val="000000"/>
            <w:spacing w:val="0"/>
            <w:w w:val="100"/>
            <w:position w:val="0"/>
            <w:sz w:val="24"/>
            <w:szCs w:val="24"/>
          </w:rPr>
          <w:t>第五节环境和社会责任</w:t>
        </w:r>
        <w:r>
          <w:rPr>
            <w:color w:val="000000"/>
            <w:spacing w:val="0"/>
            <w:w w:val="100"/>
            <w:position w:val="0"/>
            <w:sz w:val="24"/>
            <w:szCs w:val="24"/>
          </w:rPr>
          <w:tab/>
        </w:r>
        <w:r>
          <w:rPr>
            <w:color w:val="000000"/>
            <w:spacing w:val="0"/>
            <w:w w:val="100"/>
            <w:position w:val="0"/>
            <w:sz w:val="24"/>
            <w:szCs w:val="24"/>
          </w:rPr>
          <w:t>74</w:t>
        </w:r>
      </w:hyperlink>
    </w:p>
    <w:p>
      <w:pPr>
        <w:pStyle w:val="Style12"/>
        <w:keepNext w:val="0"/>
        <w:keepLines w:val="0"/>
        <w:widowControl w:val="0"/>
        <w:shd w:val="clear" w:color="auto" w:fill="auto"/>
        <w:tabs>
          <w:tab w:leader="dot" w:pos="9633" w:val="right"/>
        </w:tabs>
        <w:bidi w:val="0"/>
        <w:spacing w:before="0" w:line="240" w:lineRule="auto"/>
        <w:ind w:left="0" w:right="0"/>
        <w:jc w:val="both"/>
      </w:pPr>
      <w:hyperlink w:anchor="bookmark448" w:tooltip="Current Document">
        <w:r>
          <w:rPr>
            <w:color w:val="000000"/>
            <w:spacing w:val="0"/>
            <w:w w:val="100"/>
            <w:position w:val="0"/>
            <w:sz w:val="24"/>
            <w:szCs w:val="24"/>
          </w:rPr>
          <w:t>第六节重要事项</w:t>
        </w:r>
        <w:r>
          <w:rPr>
            <w:color w:val="000000"/>
            <w:spacing w:val="0"/>
            <w:w w:val="100"/>
            <w:position w:val="0"/>
            <w:sz w:val="24"/>
            <w:szCs w:val="24"/>
          </w:rPr>
          <w:tab/>
        </w:r>
        <w:r>
          <w:rPr>
            <w:color w:val="000000"/>
            <w:spacing w:val="0"/>
            <w:w w:val="100"/>
            <w:position w:val="0"/>
            <w:sz w:val="24"/>
            <w:szCs w:val="24"/>
          </w:rPr>
          <w:t>76</w:t>
        </w:r>
      </w:hyperlink>
    </w:p>
    <w:p>
      <w:pPr>
        <w:pStyle w:val="Style12"/>
        <w:keepNext w:val="0"/>
        <w:keepLines w:val="0"/>
        <w:widowControl w:val="0"/>
        <w:shd w:val="clear" w:color="auto" w:fill="auto"/>
        <w:tabs>
          <w:tab w:leader="dot" w:pos="9633" w:val="right"/>
        </w:tabs>
        <w:bidi w:val="0"/>
        <w:spacing w:before="0" w:line="240" w:lineRule="auto"/>
        <w:ind w:left="0" w:right="0"/>
        <w:jc w:val="both"/>
      </w:pPr>
      <w:hyperlink w:anchor="bookmark592" w:tooltip="Current Document">
        <w:r>
          <w:rPr>
            <w:color w:val="000000"/>
            <w:spacing w:val="0"/>
            <w:w w:val="100"/>
            <w:position w:val="0"/>
            <w:sz w:val="24"/>
            <w:szCs w:val="24"/>
          </w:rPr>
          <w:t>第七节股份变动及股东情况</w:t>
        </w:r>
        <w:r>
          <w:rPr>
            <w:color w:val="000000"/>
            <w:spacing w:val="0"/>
            <w:w w:val="100"/>
            <w:position w:val="0"/>
            <w:sz w:val="24"/>
            <w:szCs w:val="24"/>
          </w:rPr>
          <w:tab/>
        </w:r>
        <w:r>
          <w:rPr>
            <w:color w:val="000000"/>
            <w:spacing w:val="0"/>
            <w:w w:val="100"/>
            <w:position w:val="0"/>
            <w:sz w:val="24"/>
            <w:szCs w:val="24"/>
          </w:rPr>
          <w:t>87</w:t>
        </w:r>
      </w:hyperlink>
    </w:p>
    <w:p>
      <w:pPr>
        <w:pStyle w:val="Style12"/>
        <w:keepNext w:val="0"/>
        <w:keepLines w:val="0"/>
        <w:widowControl w:val="0"/>
        <w:shd w:val="clear" w:color="auto" w:fill="auto"/>
        <w:tabs>
          <w:tab w:leader="dot" w:pos="9633" w:val="right"/>
        </w:tabs>
        <w:bidi w:val="0"/>
        <w:spacing w:before="0" w:line="240" w:lineRule="auto"/>
        <w:ind w:left="0" w:right="0"/>
        <w:jc w:val="both"/>
      </w:pPr>
      <w:hyperlink w:anchor="bookmark663" w:tooltip="Current Document">
        <w:r>
          <w:rPr>
            <w:color w:val="000000"/>
            <w:spacing w:val="0"/>
            <w:w w:val="100"/>
            <w:position w:val="0"/>
            <w:sz w:val="24"/>
            <w:szCs w:val="24"/>
          </w:rPr>
          <w:t>第八节优先股相关情况</w:t>
        </w:r>
        <w:r>
          <w:rPr>
            <w:color w:val="000000"/>
            <w:spacing w:val="0"/>
            <w:w w:val="100"/>
            <w:position w:val="0"/>
            <w:sz w:val="24"/>
            <w:szCs w:val="24"/>
          </w:rPr>
          <w:tab/>
        </w:r>
        <w:r>
          <w:rPr>
            <w:color w:val="000000"/>
            <w:spacing w:val="0"/>
            <w:w w:val="100"/>
            <w:position w:val="0"/>
            <w:sz w:val="24"/>
            <w:szCs w:val="24"/>
          </w:rPr>
          <w:t>94</w:t>
        </w:r>
      </w:hyperlink>
    </w:p>
    <w:p>
      <w:pPr>
        <w:pStyle w:val="Style12"/>
        <w:keepNext w:val="0"/>
        <w:keepLines w:val="0"/>
        <w:widowControl w:val="0"/>
        <w:shd w:val="clear" w:color="auto" w:fill="auto"/>
        <w:tabs>
          <w:tab w:leader="dot" w:pos="9633" w:val="right"/>
        </w:tabs>
        <w:bidi w:val="0"/>
        <w:spacing w:before="0" w:line="240" w:lineRule="auto"/>
        <w:ind w:left="0" w:right="0"/>
        <w:jc w:val="both"/>
      </w:pPr>
      <w:hyperlink w:anchor="bookmark667" w:tooltip="Current Document">
        <w:r>
          <w:rPr>
            <w:color w:val="000000"/>
            <w:spacing w:val="0"/>
            <w:w w:val="100"/>
            <w:position w:val="0"/>
            <w:sz w:val="24"/>
            <w:szCs w:val="24"/>
          </w:rPr>
          <w:t>第九节债券相关情况</w:t>
        </w:r>
        <w:r>
          <w:rPr>
            <w:color w:val="000000"/>
            <w:spacing w:val="0"/>
            <w:w w:val="100"/>
            <w:position w:val="0"/>
            <w:sz w:val="24"/>
            <w:szCs w:val="24"/>
          </w:rPr>
          <w:tab/>
        </w:r>
        <w:r>
          <w:rPr>
            <w:color w:val="000000"/>
            <w:spacing w:val="0"/>
            <w:w w:val="100"/>
            <w:position w:val="0"/>
            <w:sz w:val="24"/>
            <w:szCs w:val="24"/>
          </w:rPr>
          <w:t>95</w:t>
        </w:r>
      </w:hyperlink>
    </w:p>
    <w:p>
      <w:pPr>
        <w:pStyle w:val="Style12"/>
        <w:keepNext w:val="0"/>
        <w:keepLines w:val="0"/>
        <w:widowControl w:val="0"/>
        <w:shd w:val="clear" w:color="auto" w:fill="auto"/>
        <w:tabs>
          <w:tab w:leader="dot" w:pos="9633" w:val="right"/>
        </w:tabs>
        <w:bidi w:val="0"/>
        <w:spacing w:before="0" w:line="240" w:lineRule="auto"/>
        <w:ind w:left="0" w:right="0"/>
        <w:jc w:val="both"/>
        <w:sectPr>
          <w:footnotePr>
            <w:pos w:val="pageBottom"/>
            <w:numFmt w:val="decimal"/>
            <w:numRestart w:val="continuous"/>
          </w:footnotePr>
          <w:pgSz w:w="11900" w:h="16840"/>
          <w:pgMar w:top="2857" w:right="1107" w:bottom="2857" w:left="1107" w:header="0" w:footer="3" w:gutter="0"/>
          <w:cols w:space="720"/>
          <w:noEndnote/>
          <w:rtlGutter w:val="0"/>
          <w:docGrid w:linePitch="360"/>
        </w:sectPr>
      </w:pPr>
      <w:hyperlink w:anchor="bookmark671" w:tooltip="Current Document">
        <w:r>
          <w:rPr>
            <w:color w:val="000000"/>
            <w:spacing w:val="0"/>
            <w:w w:val="100"/>
            <w:position w:val="0"/>
            <w:sz w:val="24"/>
            <w:szCs w:val="24"/>
          </w:rPr>
          <w:t>第十节财务报告</w:t>
        </w:r>
        <w:r>
          <w:rPr>
            <w:color w:val="000000"/>
            <w:spacing w:val="0"/>
            <w:w w:val="100"/>
            <w:position w:val="0"/>
            <w:sz w:val="24"/>
            <w:szCs w:val="24"/>
          </w:rPr>
          <w:tab/>
        </w:r>
        <w:r>
          <w:rPr>
            <w:color w:val="000000"/>
            <w:spacing w:val="0"/>
            <w:w w:val="100"/>
            <w:position w:val="0"/>
            <w:sz w:val="24"/>
            <w:szCs w:val="24"/>
          </w:rPr>
          <w:t>96</w:t>
        </w:r>
      </w:hyperlink>
      <w:r>
        <w:fldChar w:fldCharType="end"/>
      </w:r>
    </w:p>
    <w:p>
      <w:pPr>
        <w:pStyle w:val="Style2"/>
        <w:keepNext w:val="0"/>
        <w:keepLines w:val="0"/>
        <w:widowControl w:val="0"/>
        <w:shd w:val="clear" w:color="auto" w:fill="auto"/>
        <w:bidi w:val="0"/>
        <w:spacing w:before="900" w:after="860" w:line="240" w:lineRule="auto"/>
        <w:ind w:left="0" w:right="0" w:firstLine="0"/>
        <w:jc w:val="center"/>
        <w:rPr>
          <w:sz w:val="32"/>
          <w:szCs w:val="32"/>
        </w:rPr>
      </w:pPr>
      <w:r>
        <w:rPr>
          <w:b/>
          <w:bCs/>
          <w:color w:val="000000"/>
          <w:spacing w:val="0"/>
          <w:w w:val="100"/>
          <w:position w:val="0"/>
          <w:sz w:val="32"/>
          <w:szCs w:val="32"/>
        </w:rPr>
        <w:t>备查文件目录</w:t>
      </w:r>
    </w:p>
    <w:p>
      <w:pPr>
        <w:pStyle w:val="Style14"/>
        <w:keepNext w:val="0"/>
        <w:keepLines w:val="0"/>
        <w:widowControl w:val="0"/>
        <w:shd w:val="clear" w:color="auto" w:fill="auto"/>
        <w:tabs>
          <w:tab w:pos="430" w:val="left"/>
        </w:tabs>
        <w:bidi w:val="0"/>
        <w:spacing w:before="0" w:after="140" w:line="240" w:lineRule="auto"/>
        <w:ind w:left="0" w:right="0" w:firstLine="0"/>
        <w:jc w:val="left"/>
      </w:pPr>
      <w:bookmarkStart w:id="4" w:name="bookmark4"/>
      <w:r>
        <w:rPr>
          <w:color w:val="000000"/>
          <w:spacing w:val="0"/>
          <w:w w:val="100"/>
          <w:position w:val="0"/>
        </w:rPr>
        <w:t>一</w:t>
      </w:r>
      <w:bookmarkEnd w:id="4"/>
      <w:r>
        <w:rPr>
          <w:color w:val="000000"/>
          <w:spacing w:val="0"/>
          <w:w w:val="100"/>
          <w:position w:val="0"/>
        </w:rPr>
        <w:t>、</w:t>
        <w:tab/>
        <w:t>载有公司法定代表人、主管会计工作负责人、公司会计机构负责人（会计主管人员）签名并盖章的财务报表。</w:t>
      </w:r>
    </w:p>
    <w:p>
      <w:pPr>
        <w:pStyle w:val="Style14"/>
        <w:keepNext w:val="0"/>
        <w:keepLines w:val="0"/>
        <w:widowControl w:val="0"/>
        <w:shd w:val="clear" w:color="auto" w:fill="auto"/>
        <w:tabs>
          <w:tab w:pos="430" w:val="left"/>
        </w:tabs>
        <w:bidi w:val="0"/>
        <w:spacing w:before="0" w:after="140" w:line="240" w:lineRule="auto"/>
        <w:ind w:left="0" w:right="0" w:firstLine="0"/>
        <w:jc w:val="left"/>
      </w:pPr>
      <w:bookmarkStart w:id="5" w:name="bookmark5"/>
      <w:r>
        <w:rPr>
          <w:color w:val="000000"/>
          <w:spacing w:val="0"/>
          <w:w w:val="100"/>
          <w:position w:val="0"/>
        </w:rPr>
        <w:t>二</w:t>
      </w:r>
      <w:bookmarkEnd w:id="5"/>
      <w:r>
        <w:rPr>
          <w:color w:val="000000"/>
          <w:spacing w:val="0"/>
          <w:w w:val="100"/>
          <w:position w:val="0"/>
        </w:rPr>
        <w:t>、</w:t>
        <w:tab/>
        <w:t>报告期内在中国证监会指定网站上公开披露过的所有公司文件的正本及公告的原稿。</w:t>
      </w:r>
    </w:p>
    <w:p>
      <w:pPr>
        <w:pStyle w:val="Style14"/>
        <w:keepNext w:val="0"/>
        <w:keepLines w:val="0"/>
        <w:widowControl w:val="0"/>
        <w:shd w:val="clear" w:color="auto" w:fill="auto"/>
        <w:tabs>
          <w:tab w:pos="430" w:val="left"/>
        </w:tabs>
        <w:bidi w:val="0"/>
        <w:spacing w:before="0" w:after="140" w:line="240" w:lineRule="auto"/>
        <w:ind w:left="0" w:right="0" w:firstLine="0"/>
        <w:jc w:val="left"/>
      </w:pPr>
      <w:bookmarkStart w:id="6" w:name="bookmark6"/>
      <w:r>
        <w:rPr>
          <w:color w:val="000000"/>
          <w:spacing w:val="0"/>
          <w:w w:val="100"/>
          <w:position w:val="0"/>
        </w:rPr>
        <w:t>三</w:t>
      </w:r>
      <w:bookmarkEnd w:id="6"/>
      <w:r>
        <w:rPr>
          <w:color w:val="000000"/>
          <w:spacing w:val="0"/>
          <w:w w:val="100"/>
          <w:position w:val="0"/>
        </w:rPr>
        <w:t>、</w:t>
        <w:tab/>
        <w:t>经公司法定代表人签名的</w:t>
      </w:r>
      <w:r>
        <w:rPr>
          <w:rFonts w:ascii="Times New Roman" w:eastAsia="Times New Roman" w:hAnsi="Times New Roman" w:cs="Times New Roman"/>
          <w:color w:val="000000"/>
          <w:spacing w:val="0"/>
          <w:w w:val="100"/>
          <w:position w:val="0"/>
        </w:rPr>
        <w:t>2021</w:t>
      </w:r>
      <w:r>
        <w:rPr>
          <w:color w:val="000000"/>
          <w:spacing w:val="0"/>
          <w:w w:val="100"/>
          <w:position w:val="0"/>
        </w:rPr>
        <w:t>年度报告文件原件。</w:t>
      </w:r>
    </w:p>
    <w:p>
      <w:pPr>
        <w:pStyle w:val="Style14"/>
        <w:keepNext w:val="0"/>
        <w:keepLines w:val="0"/>
        <w:widowControl w:val="0"/>
        <w:shd w:val="clear" w:color="auto" w:fill="auto"/>
        <w:tabs>
          <w:tab w:pos="430" w:val="left"/>
        </w:tabs>
        <w:bidi w:val="0"/>
        <w:spacing w:before="0" w:after="140" w:line="240" w:lineRule="auto"/>
        <w:ind w:left="0" w:right="0" w:firstLine="0"/>
        <w:jc w:val="left"/>
      </w:pPr>
      <w:bookmarkStart w:id="7" w:name="bookmark7"/>
      <w:r>
        <w:rPr>
          <w:color w:val="000000"/>
          <w:spacing w:val="0"/>
          <w:w w:val="100"/>
          <w:position w:val="0"/>
        </w:rPr>
        <w:t>四</w:t>
      </w:r>
      <w:bookmarkEnd w:id="7"/>
      <w:r>
        <w:rPr>
          <w:color w:val="000000"/>
          <w:spacing w:val="0"/>
          <w:w w:val="100"/>
          <w:position w:val="0"/>
        </w:rPr>
        <w:t>、</w:t>
        <w:tab/>
        <w:t>其他相关资料。</w:t>
      </w:r>
    </w:p>
    <w:p>
      <w:pPr>
        <w:pStyle w:val="Style14"/>
        <w:keepNext w:val="0"/>
        <w:keepLines w:val="0"/>
        <w:widowControl w:val="0"/>
        <w:shd w:val="clear" w:color="auto" w:fill="auto"/>
        <w:tabs>
          <w:tab w:pos="430" w:val="left"/>
        </w:tabs>
        <w:bidi w:val="0"/>
        <w:spacing w:before="0" w:after="140" w:line="240" w:lineRule="auto"/>
        <w:ind w:left="0" w:right="0" w:firstLine="0"/>
        <w:jc w:val="left"/>
      </w:pPr>
      <w:bookmarkStart w:id="8" w:name="bookmark8"/>
      <w:r>
        <w:rPr>
          <w:color w:val="000000"/>
          <w:spacing w:val="0"/>
          <w:w w:val="100"/>
          <w:position w:val="0"/>
        </w:rPr>
        <w:t>五</w:t>
      </w:r>
      <w:bookmarkEnd w:id="8"/>
      <w:r>
        <w:rPr>
          <w:color w:val="000000"/>
          <w:spacing w:val="0"/>
          <w:w w:val="100"/>
          <w:position w:val="0"/>
        </w:rPr>
        <w:t>、</w:t>
        <w:tab/>
        <w:t>以上备查文件的备置地点：公司董事会秘书办公室。</w:t>
      </w:r>
      <w:r>
        <w:br w:type="page"/>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24"/>
        <w:gridCol w:w="542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公司、本公司、数字政通、发行人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北京数字政通科技股份有限公司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中国证监会、证监会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中华人民共和国证券监督管理委员会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交易所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中华人民共和国公司法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上市规则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深圳证券交易所创业板股票上市规则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北京数字政通科技股份有限公司章程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北京数字政通科技股份有限公司董事会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北京数字政通科技股份有限公司监事会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北京数字政通科技股份有限公司股东大会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数字智通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北京数字智通科技有限公司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北京数字政通智能泊车技术有限公司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小爱科技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重庆小爱科技有限公司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金迪管线</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保定金迪地下管线探测工程有限公司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金迪科仪</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保定金迪科学仪器有限公司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金迪科技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保定市金迪科技开发有限公司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政通智慧城市运营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政通智慧城市运营科技有限公司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天健源达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北京天健源达科技有限公司</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通通停车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北京通通易联科技有限公司</w:t>
            </w:r>
          </w:p>
        </w:tc>
      </w:tr>
    </w:tbl>
    <w:p>
      <w:pPr>
        <w:spacing w:lineRule="exact" w:line="1"/>
        <w:rPr>
          <w:sz w:val="2"/>
          <w:szCs w:val="2"/>
        </w:rPr>
      </w:pPr>
      <w:r>
        <w:br w:type="page"/>
      </w:r>
    </w:p>
    <w:p>
      <w:pPr>
        <w:pStyle w:val="Style8"/>
        <w:keepNext/>
        <w:keepLines/>
        <w:widowControl w:val="0"/>
        <w:shd w:val="clear" w:color="auto" w:fill="auto"/>
        <w:bidi w:val="0"/>
        <w:spacing w:before="0" w:after="540" w:line="240" w:lineRule="auto"/>
        <w:ind w:left="0" w:right="0" w:firstLine="0"/>
        <w:jc w:val="center"/>
      </w:pPr>
      <w:bookmarkStart w:id="10" w:name="bookmark10"/>
      <w:bookmarkStart w:id="11" w:name="bookmark11"/>
      <w:bookmarkStart w:id="12" w:name="bookmark12"/>
      <w:bookmarkStart w:id="9" w:name="bookmark9"/>
      <w:r>
        <w:rPr>
          <w:color w:val="000000"/>
          <w:spacing w:val="0"/>
          <w:w w:val="100"/>
          <w:position w:val="0"/>
        </w:rPr>
        <w:t>第二节公司简介和主要财务指标</w:t>
      </w:r>
      <w:bookmarkEnd w:id="10"/>
      <w:bookmarkEnd w:id="11"/>
      <w:bookmarkEnd w:id="12"/>
      <w:bookmarkEnd w:id="9"/>
    </w:p>
    <w:p>
      <w:pPr>
        <w:pStyle w:val="Style19"/>
        <w:keepNext/>
        <w:keepLines/>
        <w:widowControl w:val="0"/>
        <w:shd w:val="clear" w:color="auto" w:fill="auto"/>
        <w:bidi w:val="0"/>
        <w:spacing w:before="0" w:line="240" w:lineRule="auto"/>
        <w:ind w:left="0" w:right="0" w:firstLine="240"/>
        <w:jc w:val="left"/>
      </w:pPr>
      <w:bookmarkStart w:id="13" w:name="bookmark13"/>
      <w:bookmarkStart w:id="14" w:name="bookmark14"/>
      <w:bookmarkStart w:id="15" w:name="bookmark15"/>
      <w:r>
        <w:rPr>
          <w:color w:val="000000"/>
          <w:spacing w:val="0"/>
          <w:w w:val="100"/>
          <w:position w:val="0"/>
          <w:sz w:val="24"/>
          <w:szCs w:val="24"/>
        </w:rPr>
        <w:t>、公司信息</w:t>
      </w:r>
      <w:bookmarkEnd w:id="13"/>
      <w:bookmarkEnd w:id="14"/>
      <w:bookmarkEnd w:id="15"/>
    </w:p>
    <w:tbl>
      <w:tblPr>
        <w:tblOverlap w:val="never"/>
        <w:jc w:val="center"/>
        <w:tblLayout w:type="fixed"/>
      </w:tblPr>
      <w:tblGrid>
        <w:gridCol w:w="2290"/>
        <w:gridCol w:w="729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890" w:val="left"/>
                <w:tab w:pos="5054" w:val="left"/>
              </w:tabs>
              <w:bidi w:val="0"/>
              <w:spacing w:before="0" w:after="0" w:line="240" w:lineRule="auto"/>
              <w:ind w:left="0" w:right="0" w:firstLine="0"/>
              <w:jc w:val="left"/>
              <w:rPr>
                <w:sz w:val="18"/>
                <w:szCs w:val="18"/>
              </w:rPr>
            </w:pPr>
            <w:r>
              <w:rPr>
                <w:color w:val="000000"/>
                <w:spacing w:val="0"/>
                <w:w w:val="100"/>
                <w:position w:val="0"/>
                <w:sz w:val="18"/>
                <w:szCs w:val="18"/>
              </w:rPr>
              <w:t>数字政通</w:t>
              <w:tab/>
              <w:t>股票代码</w:t>
              <w:tab/>
            </w:r>
            <w:r>
              <w:rPr>
                <w:rFonts w:ascii="Times New Roman" w:eastAsia="Times New Roman" w:hAnsi="Times New Roman" w:cs="Times New Roman"/>
                <w:color w:val="000000"/>
                <w:spacing w:val="0"/>
                <w:w w:val="100"/>
                <w:position w:val="0"/>
                <w:sz w:val="18"/>
                <w:szCs w:val="18"/>
              </w:rPr>
              <w:t>300075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北京数字政通科技股份有限公司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数字政通</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Beijing eGOVA Co.,Ltd</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eGOVA</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吴强华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北京市海淀区西直门大街</w:t>
            </w:r>
            <w:r>
              <w:rPr>
                <w:rFonts w:ascii="Times New Roman" w:eastAsia="Times New Roman" w:hAnsi="Times New Roman" w:cs="Times New Roman"/>
                <w:color w:val="000000"/>
                <w:spacing w:val="0"/>
                <w:w w:val="100"/>
                <w:position w:val="0"/>
                <w:sz w:val="18"/>
                <w:szCs w:val="18"/>
              </w:rPr>
              <w:t>32</w:t>
            </w:r>
            <w:r>
              <w:rPr>
                <w:color w:val="000000"/>
                <w:spacing w:val="0"/>
                <w:w w:val="100"/>
                <w:position w:val="0"/>
                <w:sz w:val="18"/>
                <w:szCs w:val="18"/>
              </w:rPr>
              <w:t>号枫蓝国际中心</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座</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层</w:t>
            </w:r>
            <w:r>
              <w:rPr>
                <w:rFonts w:ascii="Times New Roman" w:eastAsia="Times New Roman" w:hAnsi="Times New Roman" w:cs="Times New Roman"/>
                <w:color w:val="000000"/>
                <w:spacing w:val="0"/>
                <w:w w:val="100"/>
                <w:position w:val="0"/>
                <w:sz w:val="18"/>
                <w:szCs w:val="18"/>
              </w:rPr>
              <w:t>1805</w:t>
            </w:r>
            <w:r>
              <w:rPr>
                <w:color w:val="000000"/>
                <w:spacing w:val="0"/>
                <w:w w:val="100"/>
                <w:position w:val="0"/>
                <w:sz w:val="18"/>
                <w:szCs w:val="18"/>
              </w:rPr>
              <w:t>室</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报告期内无变化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北京市海淀区中关村软件园</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号楼国际软件大厦三区</w:t>
            </w:r>
            <w:r>
              <w:rPr>
                <w:rFonts w:ascii="Times New Roman" w:eastAsia="Times New Roman" w:hAnsi="Times New Roman" w:cs="Times New Roman"/>
                <w:color w:val="000000"/>
                <w:spacing w:val="0"/>
                <w:w w:val="100"/>
                <w:position w:val="0"/>
                <w:sz w:val="18"/>
                <w:szCs w:val="18"/>
              </w:rPr>
              <w:t>101</w:t>
            </w:r>
            <w:r>
              <w:rPr>
                <w:color w:val="000000"/>
                <w:spacing w:val="0"/>
                <w:w w:val="100"/>
                <w:position w:val="0"/>
                <w:sz w:val="18"/>
                <w:szCs w:val="18"/>
              </w:rPr>
              <w:t>室</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"http://www.egova" </w:instrText>
            </w:r>
            <w:r>
              <w:fldChar w:fldCharType="separate"/>
            </w:r>
            <w:r>
              <w:rPr>
                <w:rFonts w:ascii="Times New Roman" w:eastAsia="Times New Roman" w:hAnsi="Times New Roman" w:cs="Times New Roman"/>
                <w:color w:val="000000"/>
                <w:spacing w:val="0"/>
                <w:w w:val="100"/>
                <w:position w:val="0"/>
                <w:sz w:val="18"/>
                <w:szCs w:val="18"/>
              </w:rPr>
              <w:t>www.egova</w:t>
            </w:r>
            <w:r>
              <w:fldChar w:fldCharType="end"/>
            </w:r>
            <w:r>
              <w:rPr>
                <w:rFonts w:ascii="Times New Roman" w:eastAsia="Times New Roman" w:hAnsi="Times New Roman" w:cs="Times New Roman"/>
                <w:color w:val="000000"/>
                <w:spacing w:val="0"/>
                <w:w w:val="100"/>
                <w:position w:val="0"/>
                <w:sz w:val="18"/>
                <w:szCs w:val="18"/>
              </w:rPr>
              <w:t>. com. cn</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"mailto:egova@egova.com.cn" </w:instrText>
            </w:r>
            <w:r>
              <w:fldChar w:fldCharType="separate"/>
            </w:r>
            <w:r>
              <w:rPr>
                <w:rFonts w:ascii="Times New Roman" w:eastAsia="Times New Roman" w:hAnsi="Times New Roman" w:cs="Times New Roman"/>
                <w:color w:val="000000"/>
                <w:spacing w:val="0"/>
                <w:w w:val="100"/>
                <w:position w:val="0"/>
                <w:sz w:val="18"/>
                <w:szCs w:val="18"/>
              </w:rPr>
              <w:t>egova@egova.com.cn</w:t>
            </w:r>
            <w:r>
              <w:fldChar w:fldCharType="end"/>
            </w:r>
          </w:p>
        </w:tc>
      </w:tr>
    </w:tbl>
    <w:p>
      <w:pPr>
        <w:widowControl w:val="0"/>
        <w:spacing w:after="319" w:line="1" w:lineRule="exact"/>
      </w:pPr>
    </w:p>
    <w:p>
      <w:pPr>
        <w:pStyle w:val="Style19"/>
        <w:keepNext/>
        <w:keepLines/>
        <w:widowControl w:val="0"/>
        <w:shd w:val="clear" w:color="auto" w:fill="auto"/>
        <w:bidi w:val="0"/>
        <w:spacing w:before="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sz w:val="24"/>
          <w:szCs w:val="24"/>
        </w:rPr>
        <w:t>二</w:t>
      </w:r>
      <w:bookmarkEnd w:id="18"/>
      <w:r>
        <w:rPr>
          <w:color w:val="000000"/>
          <w:spacing w:val="0"/>
          <w:w w:val="100"/>
          <w:position w:val="0"/>
          <w:sz w:val="24"/>
          <w:szCs w:val="24"/>
        </w:rPr>
        <w:t>、联系人和联系方式</w:t>
      </w:r>
      <w:bookmarkEnd w:id="16"/>
      <w:bookmarkEnd w:id="17"/>
      <w:bookmarkEnd w:id="19"/>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邱鲁闽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许菲</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北京市海淀区中关村软件园</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号楼国际 软件大厦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北京市海淀区中关村软件园</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号楼国际 软件大厦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010-56161618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010-56161618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010-56161688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010-56161688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"mailto:egova@egova.com.cn" </w:instrText>
            </w:r>
            <w:r>
              <w:fldChar w:fldCharType="separate"/>
            </w:r>
            <w:r>
              <w:rPr>
                <w:rFonts w:ascii="Times New Roman" w:eastAsia="Times New Roman" w:hAnsi="Times New Roman" w:cs="Times New Roman"/>
                <w:color w:val="000000"/>
                <w:spacing w:val="0"/>
                <w:w w:val="100"/>
                <w:position w:val="0"/>
                <w:sz w:val="18"/>
                <w:szCs w:val="18"/>
              </w:rPr>
              <w:t>egova@egova.com.cn</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egova@egova. com. cn</w:t>
            </w:r>
          </w:p>
        </w:tc>
      </w:tr>
    </w:tbl>
    <w:p>
      <w:pPr>
        <w:widowControl w:val="0"/>
        <w:spacing w:after="319" w:line="1" w:lineRule="exact"/>
      </w:pPr>
    </w:p>
    <w:p>
      <w:pPr>
        <w:pStyle w:val="Style19"/>
        <w:keepNext/>
        <w:keepLines/>
        <w:widowControl w:val="0"/>
        <w:shd w:val="clear" w:color="auto" w:fill="auto"/>
        <w:bidi w:val="0"/>
        <w:spacing w:before="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sz w:val="24"/>
          <w:szCs w:val="24"/>
        </w:rPr>
        <w:t>三</w:t>
      </w:r>
      <w:bookmarkEnd w:id="22"/>
      <w:r>
        <w:rPr>
          <w:color w:val="000000"/>
          <w:spacing w:val="0"/>
          <w:w w:val="100"/>
          <w:position w:val="0"/>
          <w:sz w:val="24"/>
          <w:szCs w:val="24"/>
        </w:rPr>
        <w:t>、信息披露及备置地点</w:t>
      </w:r>
      <w:bookmarkEnd w:id="20"/>
      <w:bookmarkEnd w:id="21"/>
      <w:bookmarkEnd w:id="23"/>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深圳证券交易所：</w:t>
            </w:r>
            <w:r>
              <w:rPr>
                <w:rFonts w:ascii="Times New Roman" w:eastAsia="Times New Roman" w:hAnsi="Times New Roman" w:cs="Times New Roman"/>
                <w:color w:val="000000"/>
                <w:spacing w:val="0"/>
                <w:w w:val="100"/>
                <w:position w:val="0"/>
                <w:sz w:val="18"/>
                <w:szCs w:val="18"/>
              </w:rPr>
              <w:t>http://www.szse.cn</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《证券日报》《证券时报》巨潮资讯网：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公司证券部</w:t>
            </w:r>
          </w:p>
        </w:tc>
      </w:tr>
    </w:tbl>
    <w:p>
      <w:pPr>
        <w:spacing w:lineRule="exact" w:line="1"/>
        <w:rPr>
          <w:sz w:val="2"/>
          <w:szCs w:val="2"/>
        </w:rPr>
      </w:pPr>
      <w:r>
        <w:br w:type="page"/>
      </w:r>
    </w:p>
    <w:p>
      <w:pPr>
        <w:pStyle w:val="Style19"/>
        <w:keepNext/>
        <w:keepLines/>
        <w:widowControl w:val="0"/>
        <w:shd w:val="clear" w:color="auto" w:fill="auto"/>
        <w:bidi w:val="0"/>
        <w:spacing w:before="0" w:after="36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sz w:val="24"/>
          <w:szCs w:val="24"/>
        </w:rPr>
        <w:t>四</w:t>
      </w:r>
      <w:bookmarkEnd w:id="26"/>
      <w:r>
        <w:rPr>
          <w:color w:val="000000"/>
          <w:spacing w:val="0"/>
          <w:w w:val="100"/>
          <w:position w:val="0"/>
          <w:sz w:val="24"/>
          <w:szCs w:val="24"/>
        </w:rPr>
        <w:t>、其他有关资料</w:t>
      </w:r>
      <w:bookmarkEnd w:id="24"/>
      <w:bookmarkEnd w:id="25"/>
      <w:bookmarkEnd w:id="27"/>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上会会计师事务所（特殊普通合伙）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上海市静安区威海路</w:t>
            </w:r>
            <w:r>
              <w:rPr>
                <w:rFonts w:ascii="Times New Roman" w:eastAsia="Times New Roman" w:hAnsi="Times New Roman" w:cs="Times New Roman"/>
                <w:color w:val="000000"/>
                <w:spacing w:val="0"/>
                <w:w w:val="100"/>
                <w:position w:val="0"/>
                <w:sz w:val="18"/>
                <w:szCs w:val="18"/>
              </w:rPr>
              <w:t>755</w:t>
            </w:r>
            <w:r>
              <w:rPr>
                <w:color w:val="000000"/>
                <w:spacing w:val="0"/>
                <w:w w:val="100"/>
                <w:position w:val="0"/>
                <w:sz w:val="18"/>
                <w:szCs w:val="18"/>
              </w:rPr>
              <w:t>号</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层</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王芳山、张琳</w:t>
            </w:r>
          </w:p>
        </w:tc>
      </w:tr>
    </w:tbl>
    <w:p>
      <w:pPr>
        <w:widowControl w:val="0"/>
        <w:spacing w:after="99" w:line="1" w:lineRule="exact"/>
      </w:pP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公司聘请的报告期内履行持续督导职责的保荐机构</w:t>
      </w:r>
    </w:p>
    <w:p>
      <w:pPr>
        <w:pStyle w:val="Style1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持续督导期间</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民生证券股份有限公司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中国（上海）自由贸易试验区 浦明路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高强、扶林</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bl>
    <w:p>
      <w:pPr>
        <w:widowControl w:val="0"/>
        <w:spacing w:after="99" w:line="1" w:lineRule="exact"/>
      </w:pP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公司聘请的报告期内履行持续督导职责的财务顾问</w:t>
      </w:r>
    </w:p>
    <w:p>
      <w:pPr>
        <w:pStyle w:val="Style1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keepLines/>
        <w:widowControl w:val="0"/>
        <w:shd w:val="clear" w:color="auto" w:fill="auto"/>
        <w:bidi w:val="0"/>
        <w:spacing w:before="0" w:after="36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sz w:val="24"/>
          <w:szCs w:val="24"/>
        </w:rPr>
        <w:t>五</w:t>
      </w:r>
      <w:bookmarkEnd w:id="30"/>
      <w:r>
        <w:rPr>
          <w:color w:val="000000"/>
          <w:spacing w:val="0"/>
          <w:w w:val="100"/>
          <w:position w:val="0"/>
          <w:sz w:val="24"/>
          <w:szCs w:val="24"/>
        </w:rPr>
        <w:t>、主要会计数据和财务指标</w:t>
      </w:r>
      <w:bookmarkEnd w:id="28"/>
      <w:bookmarkEnd w:id="29"/>
      <w:bookmarkEnd w:id="31"/>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公司是否需追溯调整或重述以前年度会计数据</w:t>
      </w:r>
    </w:p>
    <w:p>
      <w:pPr>
        <w:pStyle w:val="Style1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626"/>
        <w:gridCol w:w="1738"/>
        <w:gridCol w:w="1738"/>
        <w:gridCol w:w="1738"/>
        <w:gridCol w:w="174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1,480,608,704.87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1,413,997,067.60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1,257,538,949.54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归属于上市公司股东的净利润</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206,715,406.82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158,660,177.22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130,702,321.60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归属于上市公司股东的扣除非经 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182,474,752.53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148,373,063.06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127,366,845.46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经营活动产生的现金流量净额</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101,677,891.38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225,694,815.35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183,788,142.62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4,364,664,153.56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4,057,269,438.91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3,109,817,326.14</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归属于上市公司股东的净资产</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3,484,366,497.68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3,103,335,938.92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12.28%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2,354,372,357.19</w:t>
            </w:r>
          </w:p>
        </w:tc>
      </w:tr>
    </w:tbl>
    <w:p>
      <w:pPr>
        <w:pStyle w:val="Style14"/>
        <w:keepNext w:val="0"/>
        <w:keepLines w:val="0"/>
        <w:widowControl w:val="0"/>
        <w:shd w:val="clear" w:color="auto" w:fill="auto"/>
        <w:bidi w:val="0"/>
        <w:spacing w:before="0" w:after="10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4"/>
        <w:keepNext w:val="0"/>
        <w:keepLines w:val="0"/>
        <w:widowControl w:val="0"/>
        <w:shd w:val="clear" w:color="auto" w:fill="auto"/>
        <w:bidi w:val="0"/>
        <w:spacing w:before="0" w:after="100" w:line="317" w:lineRule="exact"/>
        <w:ind w:left="0" w:right="0" w:firstLine="0"/>
        <w:jc w:val="left"/>
      </w:pPr>
      <w:r>
        <w:rPr>
          <w:color w:val="000000"/>
          <w:spacing w:val="0"/>
          <w:w w:val="100"/>
          <w:position w:val="0"/>
        </w:rPr>
        <w:t>扣除非经常损益前后的净利润孰低者为负值</w:t>
      </w:r>
    </w:p>
    <w:p>
      <w:pPr>
        <w:pStyle w:val="Style14"/>
        <w:keepNext w:val="0"/>
        <w:keepLines w:val="0"/>
        <w:widowControl w:val="0"/>
        <w:shd w:val="clear" w:color="auto" w:fill="auto"/>
        <w:bidi w:val="0"/>
        <w:spacing w:before="0" w:after="10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4"/>
        <w:keepNext w:val="0"/>
        <w:keepLines w:val="0"/>
        <w:widowControl w:val="0"/>
        <w:shd w:val="clear" w:color="auto" w:fill="auto"/>
        <w:bidi w:val="0"/>
        <w:spacing w:before="0" w:line="317" w:lineRule="exact"/>
        <w:ind w:left="0" w:right="0" w:firstLine="0"/>
        <w:jc w:val="both"/>
      </w:pPr>
      <w:r>
        <w:rPr>
          <w:color w:val="000000"/>
          <w:spacing w:val="0"/>
          <w:w w:val="100"/>
          <w:position w:val="0"/>
        </w:rPr>
        <w:t>公司报告期末至年度报告披露日股本是否因发行新股、增发、配股、股权激励行权、回购等原因发生变化且影响所有者权益 金额</w:t>
      </w:r>
    </w:p>
    <w:p>
      <w:pPr>
        <w:pStyle w:val="Style1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tbl>
      <w:tblPr>
        <w:tblOverlap w:val="never"/>
        <w:jc w:val="center"/>
        <w:tblLayout w:type="fixed"/>
      </w:tblPr>
      <w:tblGrid>
        <w:gridCol w:w="4531"/>
        <w:gridCol w:w="505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支付的优先股股利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支付的永续债利息（元）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用最新股本计算的全面摊薄每股收益（元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0.4166</w:t>
            </w:r>
          </w:p>
        </w:tc>
      </w:tr>
    </w:tbl>
    <w:p>
      <w:pPr>
        <w:widowControl w:val="0"/>
        <w:spacing w:after="339" w:line="1" w:lineRule="exact"/>
      </w:pPr>
    </w:p>
    <w:p>
      <w:pPr>
        <w:pStyle w:val="Style19"/>
        <w:keepNext/>
        <w:keepLines/>
        <w:widowControl w:val="0"/>
        <w:shd w:val="clear" w:color="auto" w:fill="auto"/>
        <w:bidi w:val="0"/>
        <w:spacing w:before="0" w:after="340" w:line="240" w:lineRule="auto"/>
        <w:ind w:left="0" w:right="0" w:firstLine="0"/>
        <w:jc w:val="both"/>
      </w:pPr>
      <w:bookmarkStart w:id="32" w:name="bookmark32"/>
      <w:bookmarkStart w:id="33" w:name="bookmark33"/>
      <w:bookmarkStart w:id="34" w:name="bookmark34"/>
      <w:bookmarkStart w:id="35" w:name="bookmark35"/>
      <w:r>
        <w:rPr>
          <w:color w:val="000000"/>
          <w:spacing w:val="0"/>
          <w:w w:val="100"/>
          <w:position w:val="0"/>
          <w:sz w:val="24"/>
          <w:szCs w:val="24"/>
        </w:rPr>
        <w:t>六</w:t>
      </w:r>
      <w:bookmarkEnd w:id="34"/>
      <w:r>
        <w:rPr>
          <w:color w:val="000000"/>
          <w:spacing w:val="0"/>
          <w:w w:val="100"/>
          <w:position w:val="0"/>
          <w:sz w:val="24"/>
          <w:szCs w:val="24"/>
        </w:rPr>
        <w:t>、分季度主要财务指标</w:t>
      </w:r>
      <w:bookmarkEnd w:id="32"/>
      <w:bookmarkEnd w:id="33"/>
      <w:bookmarkEnd w:id="35"/>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223,640,771.29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440,210,894.48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324,306,200.83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492,450,838.27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26,588,416.12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83,433,870.42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4,764,181.31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91,928,938.97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26,353,673.74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80,112,273.99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1,211,317.13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74,797,487.67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-145,075,309.93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-370,848.61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-54,572,156.97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301,696,206.89</w:t>
            </w:r>
          </w:p>
        </w:tc>
      </w:tr>
    </w:tbl>
    <w:p>
      <w:pPr>
        <w:widowControl w:val="0"/>
        <w:spacing w:after="119" w:line="1" w:lineRule="exact"/>
      </w:pP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14"/>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9"/>
        <w:keepNext/>
        <w:keepLines/>
        <w:widowControl w:val="0"/>
        <w:shd w:val="clear" w:color="auto" w:fill="auto"/>
        <w:tabs>
          <w:tab w:pos="517" w:val="left"/>
        </w:tabs>
        <w:bidi w:val="0"/>
        <w:spacing w:before="0" w:after="340" w:line="240" w:lineRule="auto"/>
        <w:ind w:left="0" w:right="0" w:firstLine="0"/>
        <w:jc w:val="both"/>
      </w:pPr>
      <w:bookmarkStart w:id="36" w:name="bookmark36"/>
      <w:bookmarkStart w:id="37" w:name="bookmark37"/>
      <w:bookmarkStart w:id="38" w:name="bookmark38"/>
      <w:bookmarkStart w:id="39" w:name="bookmark39"/>
      <w:r>
        <w:rPr>
          <w:color w:val="000000"/>
          <w:spacing w:val="0"/>
          <w:w w:val="100"/>
          <w:position w:val="0"/>
          <w:sz w:val="24"/>
          <w:szCs w:val="24"/>
        </w:rPr>
        <w:t>七</w:t>
      </w:r>
      <w:bookmarkEnd w:id="38"/>
      <w:r>
        <w:rPr>
          <w:color w:val="000000"/>
          <w:spacing w:val="0"/>
          <w:w w:val="100"/>
          <w:position w:val="0"/>
          <w:sz w:val="24"/>
          <w:szCs w:val="24"/>
        </w:rPr>
        <w:t>、</w:t>
        <w:tab/>
        <w:t>境内外会计准则下会计数据差异</w:t>
      </w:r>
      <w:bookmarkEnd w:id="36"/>
      <w:bookmarkEnd w:id="37"/>
      <w:bookmarkEnd w:id="39"/>
    </w:p>
    <w:p>
      <w:pPr>
        <w:pStyle w:val="Style24"/>
        <w:keepNext/>
        <w:keepLines/>
        <w:widowControl w:val="0"/>
        <w:shd w:val="clear" w:color="auto" w:fill="auto"/>
        <w:tabs>
          <w:tab w:pos="410" w:val="left"/>
        </w:tabs>
        <w:bidi w:val="0"/>
        <w:spacing w:before="0" w:line="240" w:lineRule="auto"/>
        <w:ind w:left="0" w:right="0" w:firstLine="0"/>
        <w:jc w:val="both"/>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1</w:t>
      </w:r>
      <w:bookmarkEnd w:id="42"/>
      <w:r>
        <w:rPr>
          <w:color w:val="000000"/>
          <w:spacing w:val="0"/>
          <w:w w:val="100"/>
          <w:position w:val="0"/>
        </w:rPr>
        <w:t>、</w:t>
        <w:tab/>
        <w:t>同时按照国际会计准则与按照中国会计准则披露的财务报告中净利润和净资产差异情况</w:t>
      </w:r>
      <w:bookmarkEnd w:id="40"/>
      <w:bookmarkEnd w:id="41"/>
      <w:bookmarkEnd w:id="43"/>
    </w:p>
    <w:p>
      <w:pPr>
        <w:pStyle w:val="Style1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4"/>
        <w:keepNext/>
        <w:keepLines/>
        <w:widowControl w:val="0"/>
        <w:shd w:val="clear" w:color="auto" w:fill="auto"/>
        <w:tabs>
          <w:tab w:pos="410" w:val="left"/>
        </w:tabs>
        <w:bidi w:val="0"/>
        <w:spacing w:before="0" w:line="240" w:lineRule="auto"/>
        <w:ind w:left="0" w:right="0" w:firstLine="0"/>
        <w:jc w:val="both"/>
      </w:pPr>
      <w:bookmarkStart w:id="44" w:name="bookmark44"/>
      <w:bookmarkStart w:id="45" w:name="bookmark45"/>
      <w:bookmarkStart w:id="46" w:name="bookmark46"/>
      <w:bookmarkStart w:id="47" w:name="bookmark47"/>
      <w:r>
        <w:rPr>
          <w:rFonts w:ascii="Times New Roman" w:eastAsia="Times New Roman" w:hAnsi="Times New Roman" w:cs="Times New Roman"/>
          <w:color w:val="000000"/>
          <w:spacing w:val="0"/>
          <w:w w:val="100"/>
          <w:position w:val="0"/>
        </w:rPr>
        <w:t>2</w:t>
      </w:r>
      <w:bookmarkEnd w:id="46"/>
      <w:r>
        <w:rPr>
          <w:color w:val="000000"/>
          <w:spacing w:val="0"/>
          <w:w w:val="100"/>
          <w:position w:val="0"/>
        </w:rPr>
        <w:t>、</w:t>
        <w:tab/>
        <w:t>同时按照境外会计准则与按照中国会计准则披露的财务报告中净利润和净资产差异情况</w:t>
      </w:r>
      <w:bookmarkEnd w:id="44"/>
      <w:bookmarkEnd w:id="45"/>
      <w:bookmarkEnd w:id="47"/>
    </w:p>
    <w:p>
      <w:pPr>
        <w:pStyle w:val="Style1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19"/>
        <w:keepNext/>
        <w:keepLines/>
        <w:widowControl w:val="0"/>
        <w:shd w:val="clear" w:color="auto" w:fill="auto"/>
        <w:tabs>
          <w:tab w:pos="517" w:val="left"/>
        </w:tabs>
        <w:bidi w:val="0"/>
        <w:spacing w:before="0" w:after="340" w:line="240" w:lineRule="auto"/>
        <w:ind w:left="0" w:right="0" w:firstLine="0"/>
        <w:jc w:val="both"/>
      </w:pPr>
      <w:bookmarkStart w:id="48" w:name="bookmark48"/>
      <w:bookmarkStart w:id="49" w:name="bookmark49"/>
      <w:bookmarkStart w:id="50" w:name="bookmark50"/>
      <w:bookmarkStart w:id="51" w:name="bookmark51"/>
      <w:r>
        <w:rPr>
          <w:color w:val="000000"/>
          <w:spacing w:val="0"/>
          <w:w w:val="100"/>
          <w:position w:val="0"/>
          <w:sz w:val="24"/>
          <w:szCs w:val="24"/>
        </w:rPr>
        <w:t>八</w:t>
      </w:r>
      <w:bookmarkEnd w:id="50"/>
      <w:r>
        <w:rPr>
          <w:color w:val="000000"/>
          <w:spacing w:val="0"/>
          <w:w w:val="100"/>
          <w:position w:val="0"/>
          <w:sz w:val="24"/>
          <w:szCs w:val="24"/>
        </w:rPr>
        <w:t>、</w:t>
        <w:tab/>
        <w:t>非经常性损益项目及金额</w:t>
      </w:r>
      <w:bookmarkEnd w:id="48"/>
      <w:bookmarkEnd w:id="49"/>
      <w:bookmarkEnd w:id="51"/>
    </w:p>
    <w:p>
      <w:pPr>
        <w:pStyle w:val="Style1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17"/>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6,845,258.19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-144,755.77</w:t>
            </w: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计入当期损益的政府补助（与公司正常经 营业务密切相关，符合国家政策规定、按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4,050,369.56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5,823,001.26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4,250,718.40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17"/>
        <w:gridCol w:w="1522"/>
        <w:gridCol w:w="1718"/>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照一定标准定额或定量持续享受的政府补 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2,023,223.64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420,103.42</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24,847,156.68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169,742.06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64,965.79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-2,203,848.29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-133,505.19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4,505,014.54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2,253,570.58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945,121.60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211,001.07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116,692.12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111,963.12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24,240,654.29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10,287,114.16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3,335,476.14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4"/>
        <w:keepNext w:val="0"/>
        <w:keepLines w:val="0"/>
        <w:widowControl w:val="0"/>
        <w:shd w:val="clear" w:color="auto" w:fill="auto"/>
        <w:bidi w:val="0"/>
        <w:spacing w:before="0" w:line="312" w:lineRule="exact"/>
        <w:ind w:left="0" w:right="0" w:firstLine="0"/>
        <w:jc w:val="both"/>
      </w:pPr>
      <w:r>
        <w:rPr>
          <w:color w:val="000000"/>
          <w:spacing w:val="0"/>
          <w:w w:val="100"/>
          <w:position w:val="0"/>
        </w:rPr>
        <w:t>其他符合非经常性损益定义的损益项目的具体情况：</w:t>
      </w:r>
    </w:p>
    <w:p>
      <w:pPr>
        <w:pStyle w:val="Style1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公司不存在其他符合非经常性损益定义的损益项目的具体情况。</w:t>
      </w:r>
    </w:p>
    <w:p>
      <w:pPr>
        <w:pStyle w:val="Style14"/>
        <w:keepNext w:val="0"/>
        <w:keepLines w:val="0"/>
        <w:widowControl w:val="0"/>
        <w:shd w:val="clear" w:color="auto" w:fill="auto"/>
        <w:bidi w:val="0"/>
        <w:spacing w:before="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1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line="307" w:lineRule="exact"/>
        <w:ind w:left="0" w:right="0" w:firstLine="0"/>
        <w:jc w:val="both"/>
        <w:sectPr>
          <w:footnotePr>
            <w:pos w:val="pageBottom"/>
            <w:numFmt w:val="decimal"/>
            <w:numRestart w:val="continuous"/>
          </w:footnotePr>
          <w:pgSz w:w="11900" w:h="16840"/>
          <w:pgMar w:top="1378" w:right="1118" w:bottom="1522" w:left="1095"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 为经常性损益的项目的情形。</w:t>
      </w:r>
    </w:p>
    <w:p>
      <w:pPr>
        <w:pStyle w:val="Style8"/>
        <w:keepNext/>
        <w:keepLines/>
        <w:widowControl w:val="0"/>
        <w:shd w:val="clear" w:color="auto" w:fill="auto"/>
        <w:bidi w:val="0"/>
        <w:spacing w:before="580" w:after="340" w:line="240" w:lineRule="auto"/>
        <w:ind w:left="0" w:right="0" w:firstLine="0"/>
        <w:jc w:val="center"/>
      </w:pPr>
      <w:bookmarkStart w:id="52" w:name="bookmark52"/>
      <w:bookmarkStart w:id="53" w:name="bookmark53"/>
      <w:bookmarkStart w:id="54" w:name="bookmark54"/>
      <w:bookmarkStart w:id="55" w:name="bookmark55"/>
      <w:r>
        <w:rPr>
          <w:color w:val="000000"/>
          <w:spacing w:val="0"/>
          <w:w w:val="100"/>
          <w:position w:val="0"/>
        </w:rPr>
        <w:t>第三节管理层讨论与分析</w:t>
      </w:r>
      <w:bookmarkEnd w:id="53"/>
      <w:bookmarkEnd w:id="54"/>
      <w:bookmarkEnd w:id="55"/>
      <w:bookmarkEnd w:id="52"/>
    </w:p>
    <w:p>
      <w:pPr>
        <w:pStyle w:val="Style19"/>
        <w:keepNext/>
        <w:keepLines/>
        <w:widowControl w:val="0"/>
        <w:shd w:val="clear" w:color="auto" w:fill="auto"/>
        <w:bidi w:val="0"/>
        <w:spacing w:before="0" w:after="120" w:line="469" w:lineRule="exact"/>
        <w:ind w:left="0" w:right="0" w:firstLine="0"/>
        <w:jc w:val="both"/>
      </w:pPr>
      <w:bookmarkStart w:id="56" w:name="bookmark56"/>
      <w:bookmarkStart w:id="57" w:name="bookmark57"/>
      <w:bookmarkStart w:id="58" w:name="bookmark58"/>
      <w:bookmarkStart w:id="59" w:name="bookmark59"/>
      <w:r>
        <w:rPr>
          <w:color w:val="000000"/>
          <w:spacing w:val="0"/>
          <w:w w:val="100"/>
          <w:position w:val="0"/>
          <w:sz w:val="24"/>
          <w:szCs w:val="24"/>
        </w:rPr>
        <w:t>一</w:t>
      </w:r>
      <w:bookmarkEnd w:id="58"/>
      <w:r>
        <w:rPr>
          <w:color w:val="000000"/>
          <w:spacing w:val="0"/>
          <w:w w:val="100"/>
          <w:position w:val="0"/>
          <w:sz w:val="24"/>
          <w:szCs w:val="24"/>
        </w:rPr>
        <w:t>、报告期内公司所处行业情况</w:t>
      </w:r>
      <w:bookmarkEnd w:id="56"/>
      <w:bookmarkEnd w:id="57"/>
      <w:bookmarkEnd w:id="59"/>
    </w:p>
    <w:p>
      <w:pPr>
        <w:pStyle w:val="Style14"/>
        <w:keepNext w:val="0"/>
        <w:keepLines w:val="0"/>
        <w:widowControl w:val="0"/>
        <w:shd w:val="clear" w:color="auto" w:fill="auto"/>
        <w:bidi w:val="0"/>
        <w:spacing w:before="0" w:after="0" w:line="461" w:lineRule="exact"/>
        <w:ind w:left="520" w:right="0" w:hanging="520"/>
        <w:jc w:val="left"/>
        <w:rPr>
          <w:sz w:val="24"/>
          <w:szCs w:val="24"/>
        </w:rPr>
      </w:pPr>
      <w:r>
        <w:rPr>
          <w:color w:val="000000"/>
          <w:spacing w:val="0"/>
          <w:w w:val="100"/>
          <w:position w:val="0"/>
          <w:sz w:val="18"/>
          <w:szCs w:val="18"/>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 xml:space="preserve">的披露要求 </w:t>
      </w:r>
      <w:r>
        <w:rPr>
          <w:b/>
          <w:bCs/>
          <w:color w:val="000000"/>
          <w:spacing w:val="0"/>
          <w:w w:val="100"/>
          <w:position w:val="0"/>
          <w:sz w:val="24"/>
          <w:szCs w:val="24"/>
        </w:rPr>
        <w:t>（一）不断做强做优做大数字经济，以“数字之实”护“经济之稳”</w:t>
      </w:r>
    </w:p>
    <w:p>
      <w:pPr>
        <w:pStyle w:val="Style59"/>
        <w:keepNext w:val="0"/>
        <w:keepLines w:val="0"/>
        <w:widowControl w:val="0"/>
        <w:shd w:val="clear" w:color="auto" w:fill="auto"/>
        <w:bidi w:val="0"/>
        <w:spacing w:before="0" w:after="0" w:line="469" w:lineRule="exact"/>
        <w:ind w:left="0" w:right="0" w:firstLine="520"/>
        <w:jc w:val="both"/>
      </w:pPr>
      <w:r>
        <w:rPr>
          <w:color w:val="000000"/>
          <w:spacing w:val="0"/>
          <w:w w:val="100"/>
          <w:position w:val="0"/>
          <w:sz w:val="24"/>
          <w:szCs w:val="24"/>
        </w:rPr>
        <w:t>2021年对公司的发展是具有十分重要意义的一年。一方面，公司与全国人民一起克 服新冠疫情带来的不利影响努力保生产促就业，另一方面，公司紧紧抓住行业发展的机遇 期加快发展业务。报告期内，公司的主营业务受到一系列国家重要的政策文件和发展规划 的支持，2021年12月国务院印发《“十四五”数字经济发展规划》（以下简称《规划》）， 明确了 “十四五”时期推动数字经济健康发展的指导思想、基本原则、发展目标、重点任 务和保障措施。</w:t>
      </w:r>
    </w:p>
    <w:p>
      <w:pPr>
        <w:pStyle w:val="Style59"/>
        <w:keepNext w:val="0"/>
        <w:keepLines w:val="0"/>
        <w:widowControl w:val="0"/>
        <w:shd w:val="clear" w:color="auto" w:fill="auto"/>
        <w:bidi w:val="0"/>
        <w:spacing w:before="0" w:after="0" w:line="469" w:lineRule="exact"/>
        <w:ind w:left="0" w:right="0" w:firstLine="520"/>
        <w:jc w:val="both"/>
      </w:pPr>
      <w:r>
        <w:rPr>
          <w:color w:val="000000"/>
          <w:spacing w:val="0"/>
          <w:w w:val="100"/>
          <w:position w:val="0"/>
          <w:sz w:val="24"/>
          <w:szCs w:val="24"/>
        </w:rPr>
        <w:t>《规划》以习近平新时代中国特色社会主义思想为指导，全面贯彻党的十九大和十九 届历次全会精神，立足新发展阶段，完整、准确、全面贯彻新发展理念，构建新发展格局， 推动高质量发展，统筹发展和安全，统筹国内和国际，以数据为关键要素，以数字技术与 实体经济深度融合为主线，加强数字基础设施建设，完善数字经济治理体系，协同推进数 字产业化和产业数字化，赋能传统产业转型升级，培育新产业新业态新模式，不断做强做 优做大我国数字经济，为构建数字中国提供有力支撑。</w:t>
      </w:r>
    </w:p>
    <w:p>
      <w:pPr>
        <w:pStyle w:val="Style59"/>
        <w:keepNext w:val="0"/>
        <w:keepLines w:val="0"/>
        <w:widowControl w:val="0"/>
        <w:shd w:val="clear" w:color="auto" w:fill="auto"/>
        <w:bidi w:val="0"/>
        <w:spacing w:before="0" w:after="0" w:line="469" w:lineRule="exact"/>
        <w:ind w:left="0" w:right="0" w:firstLine="520"/>
        <w:jc w:val="both"/>
      </w:pPr>
      <w:r>
        <w:rPr>
          <w:color w:val="000000"/>
          <w:spacing w:val="0"/>
          <w:w w:val="100"/>
          <w:position w:val="0"/>
          <w:sz w:val="24"/>
          <w:szCs w:val="24"/>
        </w:rPr>
        <w:t>《规划》明确坚持“创新引领、融合发展，应用牵引、数据赋能，公平竞争、安全有 序，系统推进、协同高效”的原则。到2025年，数字经济核心产业增加值占国内生产总 值比重达到10%，数据要素市场体系初步建立，产业数字化转型迈上新台阶，数字产业化 水平显著提升，数字化公共服务更加普惠均等，数字经济治理体系更加完善。展望2035 年，力争形成统一公平、竞争有序、成熟完备的数字经济现代市场体系，数字经济发展水 平位居世界前列。</w:t>
      </w:r>
    </w:p>
    <w:p>
      <w:pPr>
        <w:pStyle w:val="Style59"/>
        <w:keepNext w:val="0"/>
        <w:keepLines w:val="0"/>
        <w:widowControl w:val="0"/>
        <w:shd w:val="clear" w:color="auto" w:fill="auto"/>
        <w:bidi w:val="0"/>
        <w:spacing w:before="0" w:after="0" w:line="469" w:lineRule="exact"/>
        <w:ind w:left="0" w:right="0" w:firstLine="520"/>
        <w:jc w:val="both"/>
      </w:pPr>
      <w:r>
        <w:rPr>
          <w:color w:val="000000"/>
          <w:spacing w:val="0"/>
          <w:w w:val="100"/>
          <w:position w:val="0"/>
          <w:sz w:val="24"/>
          <w:szCs w:val="24"/>
        </w:rPr>
        <w:t xml:space="preserve">公司一直深耕于中国新型智慧城市、城市治理及产业数字化的建设和运营领域，面对 有利的政策环境和市场形势，公司决心紧紧抓住数字经济发展这条主线，瞄准数字经济核 心应用、平台软件及大数据、人工智能、自动驾驶、元宇宙等前瞻性技术领域，利用我国 超大规模市场优势，不断投入数字技术基础研发力量，加强面向多元化应用场景的技术融 合和产品创新，构建新一代信息技术集成创新和融合应用，加快平台化、定制化、轻量化 </w:t>
      </w:r>
      <w:r>
        <w:rPr>
          <w:color w:val="000000"/>
          <w:spacing w:val="0"/>
          <w:w w:val="100"/>
          <w:position w:val="0"/>
          <w:sz w:val="24"/>
          <w:szCs w:val="24"/>
        </w:rPr>
        <w:t>服务模式，为促进全国数字经济健康稳定发展努力做出自己的贡献。</w:t>
      </w:r>
    </w:p>
    <w:p>
      <w:pPr>
        <w:pStyle w:val="Style59"/>
        <w:keepNext w:val="0"/>
        <w:keepLines w:val="0"/>
        <w:widowControl w:val="0"/>
        <w:shd w:val="clear" w:color="auto" w:fill="auto"/>
        <w:bidi w:val="0"/>
        <w:spacing w:before="0" w:after="0" w:line="469" w:lineRule="exact"/>
        <w:ind w:left="0" w:right="0" w:firstLine="480"/>
        <w:jc w:val="both"/>
      </w:pPr>
      <w:r>
        <w:rPr>
          <w:b/>
          <w:bCs/>
          <w:color w:val="000000"/>
          <w:spacing w:val="0"/>
          <w:w w:val="100"/>
          <w:position w:val="0"/>
          <w:sz w:val="24"/>
          <w:szCs w:val="24"/>
        </w:rPr>
        <w:t>（二）各主营业务所处行业情况</w:t>
      </w:r>
    </w:p>
    <w:p>
      <w:pPr>
        <w:pStyle w:val="Style59"/>
        <w:keepNext w:val="0"/>
        <w:keepLines w:val="0"/>
        <w:widowControl w:val="0"/>
        <w:shd w:val="clear" w:color="auto" w:fill="auto"/>
        <w:tabs>
          <w:tab w:pos="843" w:val="left"/>
        </w:tabs>
        <w:bidi w:val="0"/>
        <w:spacing w:before="0" w:after="0" w:line="469" w:lineRule="exact"/>
        <w:ind w:left="0" w:right="0" w:firstLine="480"/>
        <w:jc w:val="both"/>
      </w:pPr>
      <w:bookmarkStart w:id="60" w:name="bookmark60"/>
      <w:r>
        <w:rPr>
          <w:b/>
          <w:bCs/>
          <w:color w:val="000000"/>
          <w:spacing w:val="0"/>
          <w:w w:val="100"/>
          <w:position w:val="0"/>
          <w:sz w:val="24"/>
          <w:szCs w:val="24"/>
        </w:rPr>
        <w:t>1</w:t>
      </w:r>
      <w:bookmarkEnd w:id="60"/>
      <w:r>
        <w:rPr>
          <w:b/>
          <w:bCs/>
          <w:color w:val="000000"/>
          <w:spacing w:val="0"/>
          <w:w w:val="100"/>
          <w:position w:val="0"/>
          <w:sz w:val="24"/>
          <w:szCs w:val="24"/>
        </w:rPr>
        <w:t>、</w:t>
        <w:tab/>
        <w:t>城市综合管理服务平台业务</w:t>
      </w:r>
    </w:p>
    <w:p>
      <w:pPr>
        <w:pStyle w:val="Style59"/>
        <w:keepNext w:val="0"/>
        <w:keepLines w:val="0"/>
        <w:widowControl w:val="0"/>
        <w:shd w:val="clear" w:color="auto" w:fill="auto"/>
        <w:bidi w:val="0"/>
        <w:spacing w:before="0" w:after="0" w:line="469" w:lineRule="exact"/>
        <w:ind w:left="0" w:right="0" w:firstLine="500"/>
        <w:jc w:val="both"/>
      </w:pPr>
      <w:r>
        <w:rPr>
          <w:color w:val="000000"/>
          <w:spacing w:val="0"/>
          <w:w w:val="100"/>
          <w:position w:val="0"/>
          <w:sz w:val="24"/>
          <w:szCs w:val="24"/>
        </w:rPr>
        <w:t>进入“十四五”时期，为贯彻落实党中央国务院关于统筹城市发展与安全、加强城市风 险防控的决策部署，住房和城乡建设部决定在城市综合管理服务平台建设基础上，以城市运 行管理“一网统管”为目标，围绕城市运行安全高效健康、城市管理干净整洁有序、为民服 务精准精细精致，以物联网、大数据、人工智能、</w:t>
      </w:r>
      <w:r>
        <w:rPr>
          <w:color w:val="000000"/>
          <w:spacing w:val="0"/>
          <w:w w:val="100"/>
          <w:position w:val="0"/>
          <w:sz w:val="24"/>
          <w:szCs w:val="24"/>
        </w:rPr>
        <w:t>5G</w:t>
      </w:r>
      <w:r>
        <w:rPr>
          <w:color w:val="000000"/>
          <w:spacing w:val="0"/>
          <w:w w:val="100"/>
          <w:position w:val="0"/>
          <w:sz w:val="24"/>
          <w:szCs w:val="24"/>
        </w:rPr>
        <w:t>移动通信等前沿技术为支撑，整合城市 运行管理服务相关信息系统，汇聚共享数据资源，加快现有信息化系统的迭代升级，构建城 市运行管理服务平台“一张网”，加强对城市运行管理服务状况的实时监测、动态分析、统 筹协调、指挥监督和综合评价，不断增强人民群众的获得感、幸福感、安全感。</w:t>
      </w:r>
    </w:p>
    <w:p>
      <w:pPr>
        <w:pStyle w:val="Style59"/>
        <w:keepNext w:val="0"/>
        <w:keepLines w:val="0"/>
        <w:widowControl w:val="0"/>
        <w:shd w:val="clear" w:color="auto" w:fill="auto"/>
        <w:bidi w:val="0"/>
        <w:spacing w:before="0" w:after="0" w:line="469" w:lineRule="exact"/>
        <w:ind w:left="0" w:right="0" w:firstLine="500"/>
        <w:jc w:val="both"/>
      </w:pPr>
      <w:r>
        <w:rPr>
          <w:color w:val="000000"/>
          <w:spacing w:val="0"/>
          <w:w w:val="100"/>
          <w:position w:val="0"/>
          <w:sz w:val="24"/>
          <w:szCs w:val="24"/>
        </w:rPr>
        <w:t>报告期内，国家出台了一系列政策文件，指导各地以数字化城市管理平台为基础，加快 建设城市运行管理服务平台，提高城市科学化精细化智能化治理水平。城市运行管理服务平 台是城市化进程到现在的高质量发展阶段，城市管理工作不断转型及创新的最新成果，是城 市综合管理服务平台的升级与创新，是运用数字技术推动城市管理手段、管理模式、管理理 念创新的重要载体，对促进城市高质量发展、推动城市治理体系和治理能力现代化具有重要 意义。</w:t>
      </w:r>
    </w:p>
    <w:p>
      <w:pPr>
        <w:pStyle w:val="Style59"/>
        <w:keepNext w:val="0"/>
        <w:keepLines w:val="0"/>
        <w:widowControl w:val="0"/>
        <w:shd w:val="clear" w:color="auto" w:fill="auto"/>
        <w:bidi w:val="0"/>
        <w:spacing w:before="0" w:after="0" w:line="469" w:lineRule="exact"/>
        <w:ind w:left="0" w:right="0" w:firstLine="500"/>
        <w:jc w:val="both"/>
      </w:pPr>
      <w:r>
        <w:rPr>
          <w:color w:val="000000"/>
          <w:spacing w:val="0"/>
          <w:w w:val="100"/>
          <w:position w:val="0"/>
          <w:sz w:val="24"/>
          <w:szCs w:val="24"/>
        </w:rPr>
        <w:t>2021年12月，住房和城乡建设部发布《关于全面加快建设城市运行管理平台的通知》， 提出全面加快建设城市运行管理服务平台，推动城市运行管理“一网统管。”明确要求2022 年底前，直辖市、省会城市、计划单列市及部分地级城市建成城市运管服平台，有条件的省、 自治区建成省级城市运管服平台。2023年底前，所有省、自治区建成省级城市运管服平台， 地级以上城市基本建成城市运管服平台。2025年底前，城市运行管理“一网统管”体制机制 基本完善，城市运行效率和风险防控能力明显增强，城市科学化精细化智能化治理水平大幅 提升。</w:t>
      </w:r>
    </w:p>
    <w:p>
      <w:pPr>
        <w:pStyle w:val="Style59"/>
        <w:keepNext w:val="0"/>
        <w:keepLines w:val="0"/>
        <w:widowControl w:val="0"/>
        <w:shd w:val="clear" w:color="auto" w:fill="auto"/>
        <w:bidi w:val="0"/>
        <w:spacing w:before="0" w:after="0" w:line="469" w:lineRule="exact"/>
        <w:ind w:left="0" w:right="0" w:firstLine="500"/>
        <w:jc w:val="both"/>
      </w:pPr>
      <w:r>
        <w:rPr>
          <w:color w:val="000000"/>
          <w:spacing w:val="0"/>
          <w:w w:val="100"/>
          <w:position w:val="0"/>
          <w:sz w:val="24"/>
          <w:szCs w:val="24"/>
        </w:rPr>
        <w:t>数字政通将科学、务实的提供城市运行、管理、服务一体化的数字治理解决方案，以新 技术、新理念、新模式为各地政府治理赋能，以求更好地助力政府提升数字治理能力，促进 城市治理现代化和数字经济发展。</w:t>
      </w:r>
    </w:p>
    <w:p>
      <w:pPr>
        <w:pStyle w:val="Style59"/>
        <w:keepNext w:val="0"/>
        <w:keepLines w:val="0"/>
        <w:widowControl w:val="0"/>
        <w:shd w:val="clear" w:color="auto" w:fill="auto"/>
        <w:tabs>
          <w:tab w:pos="843" w:val="left"/>
        </w:tabs>
        <w:bidi w:val="0"/>
        <w:spacing w:before="0" w:after="0" w:line="469" w:lineRule="exact"/>
        <w:ind w:left="0" w:right="0" w:firstLine="500"/>
        <w:jc w:val="both"/>
      </w:pPr>
      <w:bookmarkStart w:id="61" w:name="bookmark61"/>
      <w:r>
        <w:rPr>
          <w:b/>
          <w:bCs/>
          <w:color w:val="000000"/>
          <w:spacing w:val="0"/>
          <w:w w:val="100"/>
          <w:position w:val="0"/>
          <w:sz w:val="24"/>
          <w:szCs w:val="24"/>
        </w:rPr>
        <w:t>2</w:t>
      </w:r>
      <w:bookmarkEnd w:id="61"/>
      <w:r>
        <w:rPr>
          <w:b/>
          <w:bCs/>
          <w:color w:val="000000"/>
          <w:spacing w:val="0"/>
          <w:w w:val="100"/>
          <w:position w:val="0"/>
          <w:sz w:val="24"/>
          <w:szCs w:val="24"/>
        </w:rPr>
        <w:t>、</w:t>
        <w:tab/>
        <w:t>市域社会治理平台业务</w:t>
      </w:r>
    </w:p>
    <w:p>
      <w:pPr>
        <w:pStyle w:val="Style59"/>
        <w:keepNext w:val="0"/>
        <w:keepLines w:val="0"/>
        <w:widowControl w:val="0"/>
        <w:shd w:val="clear" w:color="auto" w:fill="auto"/>
        <w:bidi w:val="0"/>
        <w:spacing w:before="0" w:after="0" w:line="469" w:lineRule="exact"/>
        <w:ind w:left="0" w:right="0" w:firstLine="500"/>
        <w:jc w:val="both"/>
      </w:pPr>
      <w:r>
        <w:rPr>
          <w:color w:val="000000"/>
          <w:spacing w:val="0"/>
          <w:w w:val="100"/>
          <w:position w:val="0"/>
          <w:sz w:val="24"/>
          <w:szCs w:val="24"/>
        </w:rPr>
        <w:t xml:space="preserve">在疫情背景之下，社会治理现代化成为现阶段各地党委政府高度重视、积极谋划、认真 推进的政治任务和高质发展的最佳保障，只有全面建设社会治理现代化才能更好预防化解社 </w:t>
      </w:r>
      <w:r>
        <w:rPr>
          <w:color w:val="000000"/>
          <w:spacing w:val="0"/>
          <w:w w:val="100"/>
          <w:position w:val="0"/>
          <w:sz w:val="24"/>
          <w:szCs w:val="24"/>
        </w:rPr>
        <w:t>会矛盾纠纷，更好促进治理理念、治理体系与治理能力的全面提升，更好实现国家长治久安。</w:t>
      </w:r>
    </w:p>
    <w:p>
      <w:pPr>
        <w:pStyle w:val="Style59"/>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中央政法委多次召开市域社会治理现代化试点工作交流会，中央政法委秘书长陈一新强 调，坚持以习近平新时代中国特色社会主义思想为指导，学习贯彻党的十九届六中全会精神， 按照市域社会治理现代化试点分类推进的安排，推动智治在市域社会治理现代化中发挥重要 支撑作用；进一步防范化解市域政治安全、社会治安、社会矛盾、公共安全、网络安全“五 类风险”，以实际行动迎接党的二十大胜利召开。</w:t>
      </w:r>
    </w:p>
    <w:p>
      <w:pPr>
        <w:pStyle w:val="Style59"/>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基于目前社会治理现代化的中央要求以及结合各地政法机关面对城乡基层治理基础薄弱 的现实，坚持实战应用、补短克难、务实创新、以点破面，以实战为导向建设符合时代要求 社会治理体系，着力探索符合时代要求、满足人民期盼、服务“六稳”“六保”大局，体现 当地特色的社会治理现代化新路子成为社会治理的时代答卷。围绕治理体系和治理能力现代 化的总目标，充分利用大数据、物联网、人工智能等新技术，不断构建集自治、法治、德治 于一体，能够有效联动公安、民政、司法等相关部门，提高重大安全风险预警、基层矛盾及 时化解、实战效能出色的平安政法社会治理智能工作平台成为当前行业之应、市场之需。</w:t>
      </w:r>
    </w:p>
    <w:p>
      <w:pPr>
        <w:pStyle w:val="Style59"/>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数字政通将积极响应规划，不断投入数字技术基础研发力量，加强面向多元化应用场景 的技术融合和产品创新，构建新一代信息技术集成创新和融合应用，加快平台化、定制化、 轻量化服务模式，打造区域标杆项目，为各地政府治理能力现代化和治理体系现代化赋能， 支撑社会治理数字化转型提供经验支撑和可复制可推广的落地做法。</w:t>
      </w:r>
    </w:p>
    <w:p>
      <w:pPr>
        <w:pStyle w:val="Style59"/>
        <w:keepNext w:val="0"/>
        <w:keepLines w:val="0"/>
        <w:widowControl w:val="0"/>
        <w:shd w:val="clear" w:color="auto" w:fill="auto"/>
        <w:bidi w:val="0"/>
        <w:spacing w:before="0" w:after="0" w:line="468" w:lineRule="exact"/>
        <w:ind w:left="0" w:right="0" w:firstLine="480"/>
        <w:jc w:val="both"/>
      </w:pPr>
      <w:bookmarkStart w:id="62" w:name="bookmark62"/>
      <w:r>
        <w:rPr>
          <w:b/>
          <w:bCs/>
          <w:color w:val="000000"/>
          <w:spacing w:val="0"/>
          <w:w w:val="100"/>
          <w:position w:val="0"/>
          <w:sz w:val="24"/>
          <w:szCs w:val="24"/>
        </w:rPr>
        <w:t>3</w:t>
      </w:r>
      <w:bookmarkEnd w:id="62"/>
      <w:r>
        <w:rPr>
          <w:b/>
          <w:bCs/>
          <w:color w:val="000000"/>
          <w:spacing w:val="0"/>
          <w:w w:val="100"/>
          <w:position w:val="0"/>
          <w:sz w:val="24"/>
          <w:szCs w:val="24"/>
        </w:rPr>
        <w:t>、城市大数据综合运营服务业务</w:t>
      </w:r>
    </w:p>
    <w:p>
      <w:pPr>
        <w:pStyle w:val="Style59"/>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党的十九大提出：“政府以‘委托代理’的方式与社会承购方在社会公共服务购买方面 所缔结的契约关系，能够有效地盘活社会富余资源，不断地促进政府公共服务管理能力的提 升。”由此可见，创新政府购买公共服务的机制与方法，对于转变政府管理职能及释放政府 管理改革红利，具有极强的战略意义与实践价值。因此积极推进政府购买公共服务将是各级 政府加快转变政府职能，改善公共服务品质，促进社会组织发展的重要内容，城市公共服务 领域将迎来政府和社会资本合作的新起点。</w:t>
      </w:r>
    </w:p>
    <w:p>
      <w:pPr>
        <w:pStyle w:val="Style59"/>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 xml:space="preserve">伴随数字经济的发展，城市管理工作逐渐向精细化、综合化方向发展，对各部门的协调 配合能力和数据联通能力提出了更高要求。在这一背景下“多网合一”、“一网统管”等管 理模式应运而生。城市管理市场化运营所涉及的环卫、市政、园林、停车等行业同样面临转 型升级的局面，“大运营”、“城市运营大管家”、“智慧运营平台”的概念和布局层出不 穷；物联网、通信、云计算、大数据等技术逐步与城市运营的各行各业深度融合，城市运营 </w:t>
      </w:r>
      <w:r>
        <w:rPr>
          <w:color w:val="000000"/>
          <w:spacing w:val="0"/>
          <w:w w:val="100"/>
          <w:position w:val="0"/>
          <w:sz w:val="24"/>
          <w:szCs w:val="24"/>
        </w:rPr>
        <w:t>服务市场呈现出一体化、网格化、智能化、精细化的发展趋势。</w:t>
      </w:r>
    </w:p>
    <w:p>
      <w:pPr>
        <w:pStyle w:val="Style59"/>
        <w:keepNext w:val="0"/>
        <w:keepLines w:val="0"/>
        <w:widowControl w:val="0"/>
        <w:shd w:val="clear" w:color="auto" w:fill="auto"/>
        <w:bidi w:val="0"/>
        <w:spacing w:before="0" w:after="0" w:line="470" w:lineRule="exact"/>
        <w:ind w:left="0" w:right="0" w:firstLine="500"/>
        <w:jc w:val="both"/>
      </w:pPr>
      <w:r>
        <w:rPr>
          <w:color w:val="000000"/>
          <w:spacing w:val="0"/>
          <w:w w:val="100"/>
          <w:position w:val="0"/>
          <w:sz w:val="24"/>
          <w:szCs w:val="24"/>
        </w:rPr>
        <w:t>数字政通依托自身的信息高效收集与获取效率，构建了具有公司特色的城市大数据信息 采集服务模式，深耕城市服务，打造了多个样板服务项目案例。</w:t>
      </w:r>
    </w:p>
    <w:p>
      <w:pPr>
        <w:pStyle w:val="Style59"/>
        <w:keepNext w:val="0"/>
        <w:keepLines w:val="0"/>
        <w:widowControl w:val="0"/>
        <w:shd w:val="clear" w:color="auto" w:fill="auto"/>
        <w:bidi w:val="0"/>
        <w:spacing w:before="0" w:after="0" w:line="470" w:lineRule="exact"/>
        <w:ind w:left="0" w:right="0" w:firstLine="500"/>
        <w:jc w:val="both"/>
      </w:pPr>
      <w:bookmarkStart w:id="63" w:name="bookmark63"/>
      <w:r>
        <w:rPr>
          <w:b/>
          <w:bCs/>
          <w:color w:val="000000"/>
          <w:spacing w:val="0"/>
          <w:w w:val="100"/>
          <w:position w:val="0"/>
          <w:sz w:val="24"/>
          <w:szCs w:val="24"/>
        </w:rPr>
        <w:t>4</w:t>
      </w:r>
      <w:bookmarkEnd w:id="63"/>
      <w:r>
        <w:rPr>
          <w:b/>
          <w:bCs/>
          <w:color w:val="000000"/>
          <w:spacing w:val="0"/>
          <w:w w:val="100"/>
          <w:position w:val="0"/>
          <w:sz w:val="24"/>
          <w:szCs w:val="24"/>
        </w:rPr>
        <w:t>、城市市政排水管网智慧监管平台业务</w:t>
      </w:r>
    </w:p>
    <w:p>
      <w:pPr>
        <w:pStyle w:val="Style59"/>
        <w:keepNext w:val="0"/>
        <w:keepLines w:val="0"/>
        <w:widowControl w:val="0"/>
        <w:shd w:val="clear" w:color="auto" w:fill="auto"/>
        <w:bidi w:val="0"/>
        <w:spacing w:before="0" w:after="0" w:line="470" w:lineRule="exact"/>
        <w:ind w:left="0" w:right="0" w:firstLine="500"/>
        <w:jc w:val="both"/>
      </w:pPr>
      <w:r>
        <w:rPr>
          <w:color w:val="222222"/>
          <w:spacing w:val="0"/>
          <w:w w:val="100"/>
          <w:position w:val="0"/>
          <w:sz w:val="24"/>
          <w:szCs w:val="24"/>
        </w:rPr>
        <w:t>2021年4月25日，国务院办公厅印发《国务院办公厅关于加强城市内涝治理的实施 意见》（国办发〔2021 ） 11号）提出“加快推进城市内涝治理，加强排水设施建设，提 升城市防洪排涝能力，用统筹的方式、系统的方法解决城市内涝问题”。2021年6月6 日，国家发展改革委、住房城市建设部印发《“十四五”城镇污水处理及资源化利用发展 规划》（发改环资〔2021） 827号），提出“深入贯彻习近平生态文明思想，加强生态环 境保护，积极推进城镇污水处理领域补短板、强弱项工作，全面提升污水收集处理及资源 化利用能力水平”。</w:t>
      </w:r>
    </w:p>
    <w:p>
      <w:pPr>
        <w:pStyle w:val="Style59"/>
        <w:keepNext w:val="0"/>
        <w:keepLines w:val="0"/>
        <w:widowControl w:val="0"/>
        <w:shd w:val="clear" w:color="auto" w:fill="auto"/>
        <w:bidi w:val="0"/>
        <w:spacing w:before="0" w:after="0" w:line="470" w:lineRule="exact"/>
        <w:ind w:left="0" w:right="0" w:firstLine="500"/>
        <w:jc w:val="both"/>
      </w:pPr>
      <w:r>
        <w:rPr>
          <w:color w:val="222222"/>
          <w:spacing w:val="0"/>
          <w:w w:val="100"/>
          <w:position w:val="0"/>
          <w:sz w:val="24"/>
          <w:szCs w:val="24"/>
        </w:rPr>
        <w:t>在供水业务方面，公司致力于供水管网漏控和修复，多措并举降低产销差。2021年 10月，多部委联合印发《“十四五”节水型社会建设规划》，要求持续实施国家节水行 动，加快推进节水型社会建设，对未来供水行业的发展具有指导和刚性约束作用。住房和 城乡建设部办公厅、国家发展改革委办公厅印发《关于加强公共供水管网漏损控制的通 知》。《通知》要求到2025年，全国城市公共供水管网漏损率力争控制在9%以内，逐步 实现供水网格化、精细化管理，逐步提高城市供水管网漏损的信息化、智慧化管理水平， 加大投入力度，加强供水管网建设、改造、运行维护资金保障。</w:t>
      </w:r>
    </w:p>
    <w:p>
      <w:pPr>
        <w:pStyle w:val="Style59"/>
        <w:keepNext w:val="0"/>
        <w:keepLines w:val="0"/>
        <w:widowControl w:val="0"/>
        <w:shd w:val="clear" w:color="auto" w:fill="auto"/>
        <w:bidi w:val="0"/>
        <w:spacing w:before="0" w:after="0" w:line="470" w:lineRule="exact"/>
        <w:ind w:left="0" w:right="0" w:firstLine="500"/>
        <w:jc w:val="both"/>
      </w:pPr>
      <w:r>
        <w:rPr>
          <w:color w:val="222222"/>
          <w:spacing w:val="0"/>
          <w:w w:val="100"/>
          <w:position w:val="0"/>
          <w:sz w:val="24"/>
          <w:szCs w:val="24"/>
        </w:rPr>
        <w:t>在燃气业务方面，2021年11月24日，国务院安委会印发了《全国城镇燃气安全专 项整治工作方案》，部署在全国范围内开展为期一年</w:t>
      </w:r>
      <w:r>
        <w:rPr>
          <w:color w:val="222222"/>
          <w:spacing w:val="0"/>
          <w:w w:val="100"/>
          <w:position w:val="0"/>
          <w:sz w:val="24"/>
          <w:szCs w:val="24"/>
        </w:rPr>
        <w:t>（2021.11-2022.12）</w:t>
      </w:r>
      <w:r>
        <w:rPr>
          <w:color w:val="222222"/>
          <w:spacing w:val="0"/>
          <w:w w:val="100"/>
          <w:position w:val="0"/>
          <w:sz w:val="24"/>
          <w:szCs w:val="24"/>
        </w:rPr>
        <w:t>的城镇燃气安全 排查整治工作，全面排查整治燃气安全隐患问题，有效防范化解重大安全风险，坚决遏制 燃气事故多发势头，要求围绕当前制约燃气安全的突出问题，狠抓燃气安全隐患排查整治 和安全责任落实。2022年1月，住房和城乡建设部印发紧急通知，部署各地切实加强燃 气行业安全监管。通知要求，深刻吸取事故教训，清醒认识当前燃气安全面临的严峻形势， 扎实推进燃气安全专项整治工作，严格落实《全国城镇燃气安全专项整治工作方案》要求， 加快完善细化本地区专项整治工作实施方案、落实措施，确保燃气安全专项整治工作取得 实效。</w:t>
      </w:r>
    </w:p>
    <w:p>
      <w:pPr>
        <w:pStyle w:val="Style59"/>
        <w:keepNext w:val="0"/>
        <w:keepLines w:val="0"/>
        <w:widowControl w:val="0"/>
        <w:shd w:val="clear" w:color="auto" w:fill="auto"/>
        <w:bidi w:val="0"/>
        <w:spacing w:before="0" w:after="0" w:line="470" w:lineRule="exact"/>
        <w:ind w:left="0" w:right="0" w:firstLine="500"/>
        <w:jc w:val="both"/>
      </w:pPr>
      <w:r>
        <w:rPr>
          <w:color w:val="222222"/>
          <w:spacing w:val="0"/>
          <w:w w:val="100"/>
          <w:position w:val="0"/>
          <w:sz w:val="24"/>
          <w:szCs w:val="24"/>
        </w:rPr>
        <w:t xml:space="preserve">同时，全国各地省、市均已下发相关政策文件，全国各地污水提质增效、城市内涝治 理、供水管网漏损控制、燃气安全监管、地下市政基础设施普查及综合管理、地下管网普 </w:t>
      </w:r>
      <w:r>
        <w:rPr>
          <w:color w:val="222222"/>
          <w:spacing w:val="0"/>
          <w:w w:val="100"/>
          <w:position w:val="0"/>
          <w:sz w:val="24"/>
          <w:szCs w:val="24"/>
        </w:rPr>
        <w:t>查及信息化建设开启新的浪潮。</w:t>
      </w:r>
    </w:p>
    <w:p>
      <w:pPr>
        <w:pStyle w:val="Style59"/>
        <w:keepNext w:val="0"/>
        <w:keepLines w:val="0"/>
        <w:widowControl w:val="0"/>
        <w:shd w:val="clear" w:color="auto" w:fill="auto"/>
        <w:bidi w:val="0"/>
        <w:spacing w:before="0" w:after="0" w:line="467" w:lineRule="exact"/>
        <w:ind w:left="0" w:right="0" w:firstLine="480"/>
        <w:jc w:val="both"/>
      </w:pPr>
      <w:bookmarkStart w:id="64" w:name="bookmark64"/>
      <w:r>
        <w:rPr>
          <w:b/>
          <w:bCs/>
          <w:color w:val="000000"/>
          <w:spacing w:val="0"/>
          <w:w w:val="100"/>
          <w:position w:val="0"/>
          <w:sz w:val="24"/>
          <w:szCs w:val="24"/>
        </w:rPr>
        <w:t>5</w:t>
      </w:r>
      <w:bookmarkEnd w:id="64"/>
      <w:r>
        <w:rPr>
          <w:b/>
          <w:bCs/>
          <w:color w:val="000000"/>
          <w:spacing w:val="0"/>
          <w:w w:val="100"/>
          <w:position w:val="0"/>
          <w:sz w:val="24"/>
          <w:szCs w:val="24"/>
        </w:rPr>
        <w:t>、元宇宙平台业务</w:t>
      </w:r>
    </w:p>
    <w:p>
      <w:pPr>
        <w:pStyle w:val="Style59"/>
        <w:keepNext w:val="0"/>
        <w:keepLines w:val="0"/>
        <w:widowControl w:val="0"/>
        <w:shd w:val="clear" w:color="auto" w:fill="auto"/>
        <w:bidi w:val="0"/>
        <w:spacing w:before="0" w:after="0" w:line="467" w:lineRule="exact"/>
        <w:ind w:left="0" w:right="0" w:firstLine="500"/>
        <w:jc w:val="left"/>
      </w:pPr>
      <w:r>
        <w:rPr>
          <w:color w:val="000000"/>
          <w:spacing w:val="0"/>
          <w:w w:val="100"/>
          <w:position w:val="0"/>
          <w:sz w:val="24"/>
          <w:szCs w:val="24"/>
        </w:rPr>
        <w:t>元宇宙是数字经济发展背景下高度数字化、交互体感化、数字交易化、实现不同领域 数字虚拟与现实交互的综合“统筹”，在政务领域则是高度数字挛生交互的“一网统管”， 现有“智慧城市”发展的数字挛生模型是政务元宇宙的初级体现。根据清华大学新媒体研 究中心近期发布的《2020 — 2021元宇宙发展研究报告》上所说，2021年成为“元宇宙元年。 我国不断出台政策引导和扶持区块链、数字挛生等元宇宙相关技术的发展。</w:t>
      </w:r>
    </w:p>
    <w:p>
      <w:pPr>
        <w:pStyle w:val="Style59"/>
        <w:keepNext w:val="0"/>
        <w:keepLines w:val="0"/>
        <w:widowControl w:val="0"/>
        <w:shd w:val="clear" w:color="auto" w:fill="auto"/>
        <w:bidi w:val="0"/>
        <w:spacing w:before="0" w:after="220" w:line="467" w:lineRule="exact"/>
        <w:ind w:left="0" w:right="0" w:firstLine="500"/>
        <w:jc w:val="left"/>
      </w:pPr>
      <w:r>
        <w:rPr>
          <w:color w:val="000000"/>
          <w:spacing w:val="0"/>
          <w:w w:val="100"/>
          <w:position w:val="0"/>
          <w:sz w:val="24"/>
          <w:szCs w:val="24"/>
        </w:rPr>
        <w:t>数字政通深耕城市管理二十余载，积累了大量城市管理数据经验与模式规范，同时为满 足技术支撑，具备了数字挛生、区块链、</w:t>
      </w:r>
      <w:r>
        <w:rPr>
          <w:color w:val="000000"/>
          <w:spacing w:val="0"/>
          <w:w w:val="100"/>
          <w:position w:val="0"/>
          <w:sz w:val="24"/>
          <w:szCs w:val="24"/>
        </w:rPr>
        <w:t>AI、</w:t>
      </w:r>
      <w:r>
        <w:rPr>
          <w:color w:val="000000"/>
          <w:spacing w:val="0"/>
          <w:w w:val="100"/>
          <w:position w:val="0"/>
          <w:sz w:val="24"/>
          <w:szCs w:val="24"/>
        </w:rPr>
        <w:t>大数据、物联网等相关技术储备和业务发展方 向，与元宇宙技术有很多的共同点和连接点，具备一定的开展元宇宙技术研发和应用的基础。 公司将在已有业务模式的基础上，持续探索、完善自身业务模式，探寻更为广阔的业务空间。</w:t>
      </w:r>
    </w:p>
    <w:p>
      <w:pPr>
        <w:pStyle w:val="Style19"/>
        <w:keepNext/>
        <w:keepLines/>
        <w:widowControl w:val="0"/>
        <w:shd w:val="clear" w:color="auto" w:fill="auto"/>
        <w:bidi w:val="0"/>
        <w:spacing w:before="0" w:after="220" w:line="470" w:lineRule="exact"/>
        <w:ind w:left="0" w:right="0" w:firstLine="0"/>
        <w:jc w:val="left"/>
      </w:pPr>
      <w:bookmarkStart w:id="65" w:name="bookmark65"/>
      <w:bookmarkStart w:id="66" w:name="bookmark66"/>
      <w:bookmarkStart w:id="67" w:name="bookmark67"/>
      <w:bookmarkStart w:id="68" w:name="bookmark68"/>
      <w:r>
        <w:rPr>
          <w:color w:val="000000"/>
          <w:spacing w:val="0"/>
          <w:w w:val="100"/>
          <w:position w:val="0"/>
          <w:sz w:val="24"/>
          <w:szCs w:val="24"/>
        </w:rPr>
        <w:t>二</w:t>
      </w:r>
      <w:bookmarkEnd w:id="67"/>
      <w:r>
        <w:rPr>
          <w:color w:val="000000"/>
          <w:spacing w:val="0"/>
          <w:w w:val="100"/>
          <w:position w:val="0"/>
          <w:sz w:val="24"/>
          <w:szCs w:val="24"/>
        </w:rPr>
        <w:t>、报告期内公司从事的主要业务</w:t>
      </w:r>
      <w:bookmarkEnd w:id="65"/>
      <w:bookmarkEnd w:id="66"/>
      <w:bookmarkEnd w:id="68"/>
    </w:p>
    <w:p>
      <w:pPr>
        <w:pStyle w:val="Style19"/>
        <w:keepNext/>
        <w:keepLines/>
        <w:widowControl w:val="0"/>
        <w:shd w:val="clear" w:color="auto" w:fill="auto"/>
        <w:tabs>
          <w:tab w:pos="836" w:val="left"/>
        </w:tabs>
        <w:bidi w:val="0"/>
        <w:spacing w:before="0" w:after="0" w:line="470" w:lineRule="exact"/>
        <w:ind w:left="0" w:right="0" w:firstLine="500"/>
        <w:jc w:val="both"/>
      </w:pPr>
      <w:bookmarkStart w:id="65" w:name="bookmark65"/>
      <w:bookmarkStart w:id="66" w:name="bookmark66"/>
      <w:bookmarkStart w:id="69" w:name="bookmark69"/>
      <w:r>
        <w:rPr>
          <w:color w:val="000000"/>
          <w:spacing w:val="0"/>
          <w:w w:val="100"/>
          <w:position w:val="0"/>
          <w:sz w:val="24"/>
          <w:szCs w:val="24"/>
        </w:rPr>
        <w:t>1</w:t>
      </w:r>
      <w:bookmarkEnd w:id="69"/>
      <w:r>
        <w:rPr>
          <w:color w:val="000000"/>
          <w:spacing w:val="0"/>
          <w:w w:val="100"/>
          <w:position w:val="0"/>
          <w:sz w:val="24"/>
          <w:szCs w:val="24"/>
        </w:rPr>
        <w:t>、</w:t>
        <w:tab/>
        <w:t>城市综合管理服务平台业务</w:t>
      </w:r>
      <w:bookmarkEnd w:id="65"/>
      <w:bookmarkEnd w:id="66"/>
    </w:p>
    <w:p>
      <w:pPr>
        <w:pStyle w:val="Style59"/>
        <w:keepNext w:val="0"/>
        <w:keepLines w:val="0"/>
        <w:widowControl w:val="0"/>
        <w:shd w:val="clear" w:color="auto" w:fill="auto"/>
        <w:bidi w:val="0"/>
        <w:spacing w:before="0" w:after="0" w:line="470" w:lineRule="exact"/>
        <w:ind w:left="0" w:right="0" w:firstLine="500"/>
        <w:jc w:val="both"/>
      </w:pPr>
      <w:r>
        <w:rPr>
          <w:color w:val="000000"/>
          <w:spacing w:val="0"/>
          <w:w w:val="100"/>
          <w:position w:val="0"/>
          <w:sz w:val="24"/>
          <w:szCs w:val="24"/>
        </w:rPr>
        <w:t>数字政通已发展成为我国网格化管理领域的领军企业。是模式创立者、标准制定者以及 行业建设者。城市综合管理服务平台是基于现有数字化城市管理信息系统，纵向对接省级平 台、国家平台的相关应用系统，联通县（市、区）平台，横向整合或共享城市管理相关部门 数据资源，统筹协调、指挥调度、监督考核和综合评价全市城市综合管理服务工作的信息平 台。公司已承建全国200余个地级以上城市、1000余个区（县级市、县）的数字化城市管理 信息平台，在行业内处于绝对领先的市场地位，在新一轮城市综合管理服务平台建设浪潮中， 数字政通将依托全国数字化城市管理的建设基础，打造新标杆，树立新样板，继续发挥市场 引领作用。</w:t>
      </w:r>
    </w:p>
    <w:p>
      <w:pPr>
        <w:pStyle w:val="Style59"/>
        <w:keepNext w:val="0"/>
        <w:keepLines w:val="0"/>
        <w:widowControl w:val="0"/>
        <w:shd w:val="clear" w:color="auto" w:fill="auto"/>
        <w:bidi w:val="0"/>
        <w:spacing w:before="0" w:after="0" w:line="470" w:lineRule="exact"/>
        <w:ind w:left="0" w:right="0" w:firstLine="500"/>
        <w:jc w:val="both"/>
      </w:pPr>
      <w:r>
        <w:rPr>
          <w:color w:val="000000"/>
          <w:spacing w:val="0"/>
          <w:w w:val="100"/>
          <w:position w:val="0"/>
          <w:sz w:val="24"/>
          <w:szCs w:val="24"/>
        </w:rPr>
        <w:t>公司始终秉承“以技术创新驱动城市管理模式创新、管理手段创新”的理念，打造以新 技术、新应用为引领的城市综合管理服务平台，一方面加强人工智能、大数据、物联网、三 维仿真、区块链等新技术的基础研发，迭代升级新智信、云鹰等基础产品，另一方面，强化 市政公用、市容环卫、园林绿化、户外广告、工地渣土、城管执法等城市管理行业应用，完 善城市综合管理智能化应用场景。</w:t>
      </w:r>
    </w:p>
    <w:p>
      <w:pPr>
        <w:pStyle w:val="Style59"/>
        <w:keepNext w:val="0"/>
        <w:keepLines w:val="0"/>
        <w:widowControl w:val="0"/>
        <w:shd w:val="clear" w:color="auto" w:fill="auto"/>
        <w:tabs>
          <w:tab w:pos="836" w:val="left"/>
        </w:tabs>
        <w:bidi w:val="0"/>
        <w:spacing w:before="0" w:after="0" w:line="470" w:lineRule="exact"/>
        <w:ind w:left="0" w:right="0" w:firstLine="480"/>
        <w:jc w:val="left"/>
      </w:pPr>
      <w:bookmarkStart w:id="70" w:name="bookmark70"/>
      <w:r>
        <w:rPr>
          <w:b/>
          <w:bCs/>
          <w:color w:val="000000"/>
          <w:spacing w:val="0"/>
          <w:w w:val="100"/>
          <w:position w:val="0"/>
          <w:sz w:val="24"/>
          <w:szCs w:val="24"/>
        </w:rPr>
        <w:t>2</w:t>
      </w:r>
      <w:bookmarkEnd w:id="70"/>
      <w:r>
        <w:rPr>
          <w:b/>
          <w:bCs/>
          <w:color w:val="000000"/>
          <w:spacing w:val="0"/>
          <w:w w:val="100"/>
          <w:position w:val="0"/>
          <w:sz w:val="24"/>
          <w:szCs w:val="24"/>
        </w:rPr>
        <w:t>、</w:t>
        <w:tab/>
        <w:t>城市综合运行服务平台（一网统管平台）业务</w:t>
      </w:r>
    </w:p>
    <w:p>
      <w:pPr>
        <w:pStyle w:val="Style59"/>
        <w:keepNext w:val="0"/>
        <w:keepLines w:val="0"/>
        <w:widowControl w:val="0"/>
        <w:shd w:val="clear" w:color="auto" w:fill="auto"/>
        <w:bidi w:val="0"/>
        <w:spacing w:before="0" w:after="0" w:line="470" w:lineRule="exact"/>
        <w:ind w:left="0" w:right="0" w:firstLine="500"/>
        <w:jc w:val="both"/>
      </w:pPr>
      <w:r>
        <w:rPr>
          <w:color w:val="000000"/>
          <w:spacing w:val="0"/>
          <w:w w:val="100"/>
          <w:position w:val="0"/>
          <w:sz w:val="24"/>
          <w:szCs w:val="24"/>
        </w:rPr>
        <w:t>数字政通一网统管解决方案综合运用实时在线的数据以及互联网、大数据、云计算和人 工智能等现代科技的手段，来帮助城市治理者及时精准地发现问题、对接需求、研判形势、</w:t>
        <w:br w:type="page"/>
      </w:r>
      <w:r>
        <w:rPr>
          <w:color w:val="000000"/>
          <w:spacing w:val="0"/>
          <w:w w:val="100"/>
          <w:position w:val="0"/>
          <w:sz w:val="24"/>
          <w:szCs w:val="24"/>
        </w:rPr>
        <w:t>预防风险，在最低层级、最早时间，以相对最小成本，解决最突出问题，取得最佳综合效应， 达到线上线下协同高效处置一件事，实现城市运行的生命体征感知、应急指挥调度、宏观决 策指挥、事件预测预警以及“城市病”源头治理，形成“全时段、全区域、自动化、多途径” 的事件预警网络和协同治理体系，为城市运行和治理提供决策依据，致力于助力各地政府的 治理能力现代化和治理体系现代化。</w:t>
      </w:r>
    </w:p>
    <w:p>
      <w:pPr>
        <w:pStyle w:val="Style59"/>
        <w:keepNext w:val="0"/>
        <w:keepLines w:val="0"/>
        <w:widowControl w:val="0"/>
        <w:shd w:val="clear" w:color="auto" w:fill="auto"/>
        <w:bidi w:val="0"/>
        <w:spacing w:before="0" w:after="0" w:line="469" w:lineRule="exact"/>
        <w:ind w:left="0" w:right="0" w:firstLine="460"/>
        <w:jc w:val="both"/>
      </w:pPr>
      <w:r>
        <w:rPr>
          <w:color w:val="000000"/>
          <w:spacing w:val="0"/>
          <w:w w:val="100"/>
          <w:position w:val="0"/>
          <w:sz w:val="24"/>
          <w:szCs w:val="24"/>
        </w:rPr>
        <w:t>数字政通一网统管以城市运行中心为运作实体，以城市运行体制机制为保障，以整合城 市数据要素为基础，以一网统管事项清单为准则，以城市治理应用场景为核心，构建</w:t>
      </w:r>
      <w:r>
        <w:rPr>
          <w:color w:val="000000"/>
          <w:spacing w:val="0"/>
          <w:w w:val="100"/>
          <w:position w:val="0"/>
          <w:sz w:val="24"/>
          <w:szCs w:val="24"/>
        </w:rPr>
        <w:t xml:space="preserve">“1+1+1+N” </w:t>
      </w:r>
      <w:r>
        <w:rPr>
          <w:color w:val="000000"/>
          <w:spacing w:val="0"/>
          <w:w w:val="100"/>
          <w:position w:val="0"/>
          <w:sz w:val="24"/>
          <w:szCs w:val="24"/>
        </w:rPr>
        <w:t>的方案架构：</w:t>
      </w:r>
    </w:p>
    <w:p>
      <w:pPr>
        <w:widowControl w:val="0"/>
        <w:spacing w:line="1" w:lineRule="exact"/>
      </w:pPr>
      <w:r>
        <mc:AlternateContent>
          <mc:Choice Requires="wps">
            <w:drawing>
              <wp:anchor distT="1292225" distB="1197610" distL="0" distR="0" simplePos="0" relativeHeight="125829378" behindDoc="0" locked="0" layoutInCell="1" allowOverlap="1">
                <wp:simplePos x="0" y="0"/>
                <wp:positionH relativeFrom="page">
                  <wp:posOffset>1035050</wp:posOffset>
                </wp:positionH>
                <wp:positionV relativeFrom="paragraph">
                  <wp:posOffset>1292225</wp:posOffset>
                </wp:positionV>
                <wp:extent cx="109855" cy="565785"/>
                <wp:wrapTopAndBottom/>
                <wp:docPr id="2" name="Shape 2"/>
                <a:graphic xmlns:a="http://schemas.openxmlformats.org/drawingml/2006/main">
                  <a:graphicData uri="http://schemas.microsoft.com/office/word/2010/wordprocessingShape">
                    <wps:wsp>
                      <wps:cNvSpPr txBox="1"/>
                      <wps:spPr>
                        <a:xfrm>
                          <a:ext cx="109855" cy="56578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安全保障体系</w:t>
                            </w:r>
                          </w:p>
                        </w:txbxContent>
                      </wps:txbx>
                      <wps:bodyPr upright="1" vert="eaVert"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81.5pt;margin-top:101.75pt;width:8.6500000000000004pt;height:44.550000000000004pt;z-index:-125829375;mso-wrap-distance-left:0;mso-wrap-distance-top:101.75pt;mso-wrap-distance-right:0;mso-wrap-distance-bottom:94.299999999999997pt;mso-position-horizontal-relative:page" filled="f" stroked="f">
                <v:textbox style="layout-flow:vertical-ideographic"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安全保障体系</w:t>
                      </w:r>
                    </w:p>
                  </w:txbxContent>
                </v:textbox>
                <w10:wrap type="topAndBottom" anchorx="page"/>
              </v:shape>
            </w:pict>
          </mc:Fallback>
        </mc:AlternateContent>
      </w:r>
      <w:r>
        <mc:AlternateContent>
          <mc:Choice Requires="wps">
            <w:drawing>
              <wp:anchor distT="1289685" distB="1200150" distL="0" distR="0" simplePos="0" relativeHeight="125829380" behindDoc="0" locked="0" layoutInCell="1" allowOverlap="1">
                <wp:simplePos x="0" y="0"/>
                <wp:positionH relativeFrom="page">
                  <wp:posOffset>1195070</wp:posOffset>
                </wp:positionH>
                <wp:positionV relativeFrom="paragraph">
                  <wp:posOffset>1289685</wp:posOffset>
                </wp:positionV>
                <wp:extent cx="112395" cy="565785"/>
                <wp:wrapTopAndBottom/>
                <wp:docPr id="4" name="Shape 4"/>
                <a:graphic xmlns:a="http://schemas.openxmlformats.org/drawingml/2006/main">
                  <a:graphicData uri="http://schemas.microsoft.com/office/word/2010/wordprocessingShape">
                    <wps:wsp>
                      <wps:cNvSpPr txBox="1"/>
                      <wps:spPr>
                        <a:xfrm>
                          <a:ext cx="112395" cy="56578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标准规范体系</w:t>
                            </w:r>
                          </w:p>
                        </w:txbxContent>
                      </wps:txbx>
                      <wps:bodyPr upright="1" vert="eaVert" lIns="0" tIns="0" rIns="0" bIns="0">
                        <a:noAutoFit/>
                      </wps:bodyPr>
                    </wps:wsp>
                  </a:graphicData>
                </a:graphic>
              </wp:anchor>
            </w:drawing>
          </mc:Choice>
          <mc:Fallback>
            <w:pict>
              <v:shape id="_x0000_s1030" type="#_x0000_t202" style="position:absolute;margin-left:94.100000000000009pt;margin-top:101.55pt;width:8.8499999999999996pt;height:44.550000000000004pt;z-index:-125829373;mso-wrap-distance-left:0;mso-wrap-distance-top:101.55pt;mso-wrap-distance-right:0;mso-wrap-distance-bottom:94.5pt;mso-position-horizontal-relative:page" filled="f" stroked="f">
                <v:textbox style="layout-flow:vertical-ideographic"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标准规范体系</w:t>
                      </w:r>
                    </w:p>
                  </w:txbxContent>
                </v:textbox>
                <w10:wrap type="topAndBottom" anchorx="page"/>
              </v:shape>
            </w:pict>
          </mc:Fallback>
        </mc:AlternateContent>
      </w:r>
      <w:r>
        <w:drawing>
          <wp:anchor distT="139700" distB="1799590" distL="251460" distR="0" simplePos="0" relativeHeight="125829382" behindDoc="0" locked="0" layoutInCell="1" allowOverlap="1">
            <wp:simplePos x="0" y="0"/>
            <wp:positionH relativeFrom="page">
              <wp:posOffset>1630045</wp:posOffset>
            </wp:positionH>
            <wp:positionV relativeFrom="paragraph">
              <wp:posOffset>139700</wp:posOffset>
            </wp:positionV>
            <wp:extent cx="4260850" cy="1115695"/>
            <wp:wrapTopAndBottom/>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7"/>
                    <a:stretch/>
                  </pic:blipFill>
                  <pic:spPr>
                    <a:xfrm>
                      <a:ext cx="4260850" cy="111569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1378585</wp:posOffset>
                </wp:positionH>
                <wp:positionV relativeFrom="paragraph">
                  <wp:posOffset>297180</wp:posOffset>
                </wp:positionV>
                <wp:extent cx="188595" cy="248920"/>
                <wp:wrapNone/>
                <wp:docPr id="8" name="Shape 8"/>
                <a:graphic xmlns:a="http://schemas.openxmlformats.org/drawingml/2006/main">
                  <a:graphicData uri="http://schemas.microsoft.com/office/word/2010/wordprocessingShape">
                    <wps:wsp>
                      <wps:cNvSpPr txBox="1"/>
                      <wps:spPr>
                        <a:xfrm>
                          <a:ext cx="188595" cy="24892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b/>
                                <w:bCs/>
                                <w:color w:val="B4080D"/>
                                <w:spacing w:val="0"/>
                                <w:w w:val="100"/>
                                <w:position w:val="0"/>
                              </w:rPr>
                              <w:t>市脑</w:t>
                            </w:r>
                          </w:p>
                          <w:p>
                            <w:pPr>
                              <w:pStyle w:val="Style29"/>
                              <w:keepNext w:val="0"/>
                              <w:keepLines w:val="0"/>
                              <w:widowControl w:val="0"/>
                              <w:shd w:val="clear" w:color="auto" w:fill="auto"/>
                              <w:bidi w:val="0"/>
                              <w:spacing w:before="0" w:after="0" w:line="240" w:lineRule="auto"/>
                              <w:ind w:left="0" w:right="0" w:firstLine="0"/>
                              <w:jc w:val="left"/>
                            </w:pPr>
                            <w:r>
                              <w:rPr>
                                <w:b/>
                                <w:bCs/>
                                <w:color w:val="B4080D"/>
                                <w:spacing w:val="0"/>
                                <w:w w:val="100"/>
                                <w:position w:val="0"/>
                              </w:rPr>
                              <w:t>城大</w:t>
                            </w:r>
                          </w:p>
                        </w:txbxContent>
                      </wps:txbx>
                      <wps:bodyPr upright="1" vert="eaVert" lIns="0" tIns="0" rIns="0" bIns="0">
                        <a:noAutoFit/>
                      </wps:bodyPr>
                    </wps:wsp>
                  </a:graphicData>
                </a:graphic>
              </wp:anchor>
            </w:drawing>
          </mc:Choice>
          <mc:Fallback>
            <w:pict>
              <v:shape id="_x0000_s1034" type="#_x0000_t202" style="position:absolute;margin-left:108.55pt;margin-top:23.400000000000002pt;width:14.85pt;height:19.600000000000001pt;z-index:251657729;mso-wrap-distance-left:0;mso-wrap-distance-right:0;mso-position-horizontal-relative:page" filled="f" stroked="f">
                <v:textbox style="layout-flow:vertical-ideographic" inset="0,0,0,0">
                  <w:txbxContent>
                    <w:p>
                      <w:pPr>
                        <w:pStyle w:val="Style29"/>
                        <w:keepNext w:val="0"/>
                        <w:keepLines w:val="0"/>
                        <w:widowControl w:val="0"/>
                        <w:shd w:val="clear" w:color="auto" w:fill="auto"/>
                        <w:bidi w:val="0"/>
                        <w:spacing w:before="0" w:after="0" w:line="240" w:lineRule="auto"/>
                        <w:ind w:left="0" w:right="0" w:firstLine="0"/>
                        <w:jc w:val="left"/>
                      </w:pPr>
                      <w:r>
                        <w:rPr>
                          <w:b/>
                          <w:bCs/>
                          <w:color w:val="B4080D"/>
                          <w:spacing w:val="0"/>
                          <w:w w:val="100"/>
                          <w:position w:val="0"/>
                        </w:rPr>
                        <w:t>市脑</w:t>
                      </w:r>
                    </w:p>
                    <w:p>
                      <w:pPr>
                        <w:pStyle w:val="Style29"/>
                        <w:keepNext w:val="0"/>
                        <w:keepLines w:val="0"/>
                        <w:widowControl w:val="0"/>
                        <w:shd w:val="clear" w:color="auto" w:fill="auto"/>
                        <w:bidi w:val="0"/>
                        <w:spacing w:before="0" w:after="0" w:line="240" w:lineRule="auto"/>
                        <w:ind w:left="0" w:right="0" w:firstLine="0"/>
                        <w:jc w:val="left"/>
                      </w:pPr>
                      <w:r>
                        <w:rPr>
                          <w:b/>
                          <w:bCs/>
                          <w:color w:val="B4080D"/>
                          <w:spacing w:val="0"/>
                          <w:w w:val="100"/>
                          <w:position w:val="0"/>
                        </w:rPr>
                        <w:t>城大</w:t>
                      </w:r>
                    </w:p>
                  </w:txbxContent>
                </v:textbox>
                <w10:wrap anchorx="page"/>
              </v:shape>
            </w:pict>
          </mc:Fallback>
        </mc:AlternateContent>
      </w:r>
      <w:r>
        <mc:AlternateContent>
          <mc:Choice Requires="wps">
            <w:drawing>
              <wp:anchor distT="805180" distB="1889125" distL="262255" distR="0" simplePos="0" relativeHeight="125829383" behindDoc="0" locked="0" layoutInCell="1" allowOverlap="1">
                <wp:simplePos x="0" y="0"/>
                <wp:positionH relativeFrom="page">
                  <wp:posOffset>1653540</wp:posOffset>
                </wp:positionH>
                <wp:positionV relativeFrom="paragraph">
                  <wp:posOffset>805180</wp:posOffset>
                </wp:positionV>
                <wp:extent cx="1354455" cy="361315"/>
                <wp:wrapTopAndBottom/>
                <wp:docPr id="10" name="Shape 10"/>
                <a:graphic xmlns:a="http://schemas.openxmlformats.org/drawingml/2006/main">
                  <a:graphicData uri="http://schemas.microsoft.com/office/word/2010/wordprocessingShape">
                    <wps:wsp>
                      <wps:cNvSpPr txBox="1"/>
                      <wps:spPr>
                        <a:xfrm>
                          <a:ext cx="1354455" cy="361315"/>
                        </a:xfrm>
                        <a:prstGeom prst="rect"/>
                        <a:noFill/>
                      </wps:spPr>
                      <wps:txbx>
                        <w:txbxContent>
                          <w:tbl>
                            <w:tblPr>
                              <w:tblOverlap w:val="never"/>
                              <w:jc w:val="left"/>
                              <w:tblLayout w:type="fixed"/>
                            </w:tblPr>
                            <w:tblGrid>
                              <w:gridCol w:w="1065"/>
                              <w:gridCol w:w="1069"/>
                            </w:tblGrid>
                            <w:tr>
                              <w:trPr>
                                <w:tblHeader/>
                                <w:trHeight w:val="128" w:hRule="exact"/>
                              </w:trPr>
                              <w:tc>
                                <w:tcPr>
                                  <w:tcBorders/>
                                  <w:shd w:val="clear" w:color="auto" w:fill="0371C2"/>
                                  <w:vAlign w:val="bottom"/>
                                </w:tcPr>
                                <w:p>
                                  <w:pPr>
                                    <w:pStyle w:val="Style2"/>
                                    <w:keepNext w:val="0"/>
                                    <w:keepLines w:val="0"/>
                                    <w:widowControl w:val="0"/>
                                    <w:pBdr>
                                      <w:top w:val="single" w:sz="0" w:space="0" w:color="0271C2"/>
                                      <w:left w:val="single" w:sz="0" w:space="0" w:color="0271C2"/>
                                      <w:bottom w:val="single" w:sz="0" w:space="0" w:color="0271C2"/>
                                      <w:right w:val="single" w:sz="0" w:space="0" w:color="0271C2"/>
                                    </w:pBdr>
                                    <w:shd w:val="clear" w:color="auto" w:fill="0271C2"/>
                                    <w:bidi w:val="0"/>
                                    <w:spacing w:before="0" w:after="0" w:line="240" w:lineRule="auto"/>
                                    <w:ind w:left="0" w:right="0" w:firstLine="0"/>
                                    <w:jc w:val="center"/>
                                    <w:rPr>
                                      <w:sz w:val="8"/>
                                      <w:szCs w:val="8"/>
                                    </w:rPr>
                                  </w:pPr>
                                  <w:r>
                                    <w:rPr>
                                      <w:rFonts w:ascii="SimHei" w:eastAsia="SimHei" w:hAnsi="SimHei" w:cs="SimHei"/>
                                      <w:color w:val="D5EDF4"/>
                                      <w:spacing w:val="0"/>
                                      <w:w w:val="100"/>
                                      <w:position w:val="0"/>
                                      <w:sz w:val="8"/>
                                      <w:szCs w:val="8"/>
                                    </w:rPr>
                                    <w:t>智慧城管</w:t>
                                  </w:r>
                                </w:p>
                              </w:tc>
                              <w:tc>
                                <w:tcPr>
                                  <w:tcBorders/>
                                  <w:shd w:val="clear" w:color="auto" w:fill="0371C2"/>
                                  <w:vAlign w:val="bottom"/>
                                </w:tcPr>
                                <w:p>
                                  <w:pPr>
                                    <w:pStyle w:val="Style2"/>
                                    <w:keepNext w:val="0"/>
                                    <w:keepLines w:val="0"/>
                                    <w:widowControl w:val="0"/>
                                    <w:pBdr>
                                      <w:top w:val="single" w:sz="0" w:space="0" w:color="0271C2"/>
                                      <w:left w:val="single" w:sz="0" w:space="0" w:color="0271C2"/>
                                      <w:bottom w:val="single" w:sz="0" w:space="0" w:color="0271C2"/>
                                      <w:right w:val="single" w:sz="0" w:space="0" w:color="0271C2"/>
                                    </w:pBdr>
                                    <w:shd w:val="clear" w:color="auto" w:fill="0271C2"/>
                                    <w:bidi w:val="0"/>
                                    <w:spacing w:before="0" w:after="0" w:line="240" w:lineRule="auto"/>
                                    <w:ind w:left="0" w:right="0" w:firstLine="0"/>
                                    <w:jc w:val="center"/>
                                    <w:rPr>
                                      <w:sz w:val="8"/>
                                      <w:szCs w:val="8"/>
                                    </w:rPr>
                                  </w:pPr>
                                  <w:r>
                                    <w:rPr>
                                      <w:rFonts w:ascii="SimHei" w:eastAsia="SimHei" w:hAnsi="SimHei" w:cs="SimHei"/>
                                      <w:color w:val="FFFFFF"/>
                                      <w:spacing w:val="0"/>
                                      <w:w w:val="100"/>
                                      <w:position w:val="0"/>
                                      <w:sz w:val="8"/>
                                      <w:szCs w:val="8"/>
                                    </w:rPr>
                                    <w:t>社会彼</w:t>
                                  </w:r>
                                </w:p>
                              </w:tc>
                            </w:tr>
                            <w:tr>
                              <w:trPr>
                                <w:trHeight w:val="441" w:hRule="exact"/>
                              </w:trPr>
                              <w:tc>
                                <w:tcPr>
                                  <w:tcBorders/>
                                  <w:shd w:val="clear" w:color="auto" w:fill="0371C2"/>
                                  <w:vAlign w:val="bottom"/>
                                </w:tcPr>
                                <w:p>
                                  <w:pPr>
                                    <w:pStyle w:val="Style2"/>
                                    <w:keepNext w:val="0"/>
                                    <w:keepLines w:val="0"/>
                                    <w:widowControl w:val="0"/>
                                    <w:pBdr>
                                      <w:top w:val="single" w:sz="0" w:space="0" w:color="0271C2"/>
                                      <w:left w:val="single" w:sz="0" w:space="0" w:color="0271C2"/>
                                      <w:bottom w:val="single" w:sz="0" w:space="0" w:color="0271C2"/>
                                      <w:right w:val="single" w:sz="0" w:space="0" w:color="0271C2"/>
                                    </w:pBdr>
                                    <w:shd w:val="clear" w:color="auto" w:fill="0271C2"/>
                                    <w:bidi w:val="0"/>
                                    <w:spacing w:before="0" w:after="0" w:line="144" w:lineRule="exact"/>
                                    <w:ind w:left="0" w:right="0" w:firstLine="500"/>
                                    <w:jc w:val="left"/>
                                    <w:rPr>
                                      <w:sz w:val="8"/>
                                      <w:szCs w:val="8"/>
                                    </w:rPr>
                                  </w:pPr>
                                  <w:r>
                                    <w:rPr>
                                      <w:rFonts w:ascii="SimHei" w:eastAsia="SimHei" w:hAnsi="SimHei" w:cs="SimHei"/>
                                      <w:color w:val="D5EDF4"/>
                                      <w:spacing w:val="0"/>
                                      <w:w w:val="100"/>
                                      <w:position w:val="0"/>
                                      <w:sz w:val="8"/>
                                      <w:szCs w:val="8"/>
                                    </w:rPr>
                                    <w:t>执法</w:t>
                                  </w:r>
                                </w:p>
                                <w:p>
                                  <w:pPr>
                                    <w:pStyle w:val="Style2"/>
                                    <w:keepNext w:val="0"/>
                                    <w:keepLines w:val="0"/>
                                    <w:widowControl w:val="0"/>
                                    <w:pBdr>
                                      <w:top w:val="single" w:sz="0" w:space="0" w:color="0271C2"/>
                                      <w:left w:val="single" w:sz="0" w:space="0" w:color="0271C2"/>
                                      <w:bottom w:val="single" w:sz="0" w:space="0" w:color="0271C2"/>
                                      <w:right w:val="single" w:sz="0" w:space="0" w:color="0271C2"/>
                                    </w:pBdr>
                                    <w:shd w:val="clear" w:color="auto" w:fill="0271C2"/>
                                    <w:bidi w:val="0"/>
                                    <w:spacing w:before="0" w:after="0" w:line="144" w:lineRule="exact"/>
                                    <w:ind w:left="0" w:right="0" w:firstLine="0"/>
                                    <w:jc w:val="center"/>
                                    <w:rPr>
                                      <w:sz w:val="8"/>
                                      <w:szCs w:val="8"/>
                                    </w:rPr>
                                  </w:pPr>
                                  <w:r>
                                    <w:rPr>
                                      <w:rFonts w:ascii="SimHei" w:eastAsia="SimHei" w:hAnsi="SimHei" w:cs="SimHei"/>
                                      <w:color w:val="D5EDF4"/>
                                      <w:spacing w:val="0"/>
                                      <w:w w:val="100"/>
                                      <w:position w:val="0"/>
                                      <w:sz w:val="8"/>
                                      <w:szCs w:val="8"/>
                                    </w:rPr>
                                    <w:t>司法行瞰避督 设</w:t>
                                  </w:r>
                                </w:p>
                              </w:tc>
                              <w:tc>
                                <w:tcPr>
                                  <w:tcBorders/>
                                  <w:shd w:val="clear" w:color="auto" w:fill="0371C2"/>
                                  <w:vAlign w:val="bottom"/>
                                </w:tcPr>
                                <w:p>
                                  <w:pPr>
                                    <w:pStyle w:val="Style2"/>
                                    <w:keepNext w:val="0"/>
                                    <w:keepLines w:val="0"/>
                                    <w:widowControl w:val="0"/>
                                    <w:pBdr>
                                      <w:top w:val="single" w:sz="0" w:space="0" w:color="0271C2"/>
                                      <w:left w:val="single" w:sz="0" w:space="0" w:color="0271C2"/>
                                      <w:bottom w:val="single" w:sz="0" w:space="0" w:color="0271C2"/>
                                      <w:right w:val="single" w:sz="0" w:space="0" w:color="0271C2"/>
                                    </w:pBdr>
                                    <w:shd w:val="clear" w:color="auto" w:fill="0271C2"/>
                                    <w:bidi w:val="0"/>
                                    <w:spacing w:before="0" w:after="180" w:line="240" w:lineRule="auto"/>
                                    <w:ind w:left="0" w:right="0" w:firstLine="340"/>
                                    <w:jc w:val="left"/>
                                    <w:rPr>
                                      <w:sz w:val="8"/>
                                      <w:szCs w:val="8"/>
                                    </w:rPr>
                                  </w:pPr>
                                  <w:r>
                                    <w:rPr>
                                      <w:rFonts w:ascii="SimHei" w:eastAsia="SimHei" w:hAnsi="SimHei" w:cs="SimHei"/>
                                      <w:color w:val="D5EDF4"/>
                                      <w:spacing w:val="0"/>
                                      <w:w w:val="100"/>
                                      <w:position w:val="0"/>
                                      <w:sz w:val="8"/>
                                      <w:szCs w:val="8"/>
                                    </w:rPr>
                                    <w:t>智慧</w:t>
                                  </w:r>
                                </w:p>
                                <w:p>
                                  <w:pPr>
                                    <w:pStyle w:val="Style2"/>
                                    <w:keepNext w:val="0"/>
                                    <w:keepLines w:val="0"/>
                                    <w:widowControl w:val="0"/>
                                    <w:pBdr>
                                      <w:top w:val="single" w:sz="0" w:space="0" w:color="0271C2"/>
                                      <w:left w:val="single" w:sz="0" w:space="0" w:color="0271C2"/>
                                      <w:bottom w:val="single" w:sz="0" w:space="0" w:color="0271C2"/>
                                      <w:right w:val="single" w:sz="0" w:space="0" w:color="0271C2"/>
                                    </w:pBdr>
                                    <w:shd w:val="clear" w:color="auto" w:fill="0271C2"/>
                                    <w:bidi w:val="0"/>
                                    <w:spacing w:before="0" w:after="0" w:line="240" w:lineRule="auto"/>
                                    <w:ind w:left="0" w:right="0" w:firstLine="0"/>
                                    <w:jc w:val="center"/>
                                    <w:rPr>
                                      <w:sz w:val="8"/>
                                      <w:szCs w:val="8"/>
                                    </w:rPr>
                                  </w:pPr>
                                  <w:r>
                                    <w:rPr>
                                      <w:rFonts w:ascii="SimHei" w:eastAsia="SimHei" w:hAnsi="SimHei" w:cs="SimHei"/>
                                      <w:color w:val="D5EDF4"/>
                                      <w:spacing w:val="0"/>
                                      <w:w w:val="100"/>
                                      <w:position w:val="0"/>
                                      <w:sz w:val="8"/>
                                      <w:szCs w:val="8"/>
                                    </w:rPr>
                                    <w:t>智慧疑</w:t>
                                  </w:r>
                                </w:p>
                              </w:tc>
                            </w:tr>
                          </w:tbl>
                          <w:p>
                            <w:pPr>
                              <w:widowControl w:val="0"/>
                              <w:spacing w:line="1" w:lineRule="exact"/>
                            </w:pPr>
                          </w:p>
                        </w:txbxContent>
                      </wps:txbx>
                      <wps:bodyPr lIns="0" tIns="0" rIns="0" bIns="0">
                        <a:noAutoFit/>
                      </wps:bodyPr>
                    </wps:wsp>
                  </a:graphicData>
                </a:graphic>
              </wp:anchor>
            </w:drawing>
          </mc:Choice>
          <mc:Fallback>
            <w:pict>
              <v:shape id="_x0000_s1036" type="#_x0000_t202" style="position:absolute;margin-left:130.19999999999999pt;margin-top:63.399999999999999pt;width:106.65000000000001pt;height:28.449999999999999pt;z-index:-125829370;mso-wrap-distance-left:20.650000000000002pt;mso-wrap-distance-top:63.399999999999999pt;mso-wrap-distance-right:0;mso-wrap-distance-bottom:148.75pt;mso-position-horizontal-relative:page" filled="f" stroked="f">
                <v:textbox inset="0,0,0,0">
                  <w:txbxContent>
                    <w:tbl>
                      <w:tblPr>
                        <w:tblOverlap w:val="never"/>
                        <w:jc w:val="left"/>
                        <w:tblLayout w:type="fixed"/>
                      </w:tblPr>
                      <w:tblGrid>
                        <w:gridCol w:w="1065"/>
                        <w:gridCol w:w="1069"/>
                      </w:tblGrid>
                      <w:tr>
                        <w:trPr>
                          <w:tblHeader/>
                          <w:trHeight w:val="128" w:hRule="exact"/>
                        </w:trPr>
                        <w:tc>
                          <w:tcPr>
                            <w:tcBorders/>
                            <w:shd w:val="clear" w:color="auto" w:fill="0371C2"/>
                            <w:vAlign w:val="bottom"/>
                          </w:tcPr>
                          <w:p>
                            <w:pPr>
                              <w:pStyle w:val="Style2"/>
                              <w:keepNext w:val="0"/>
                              <w:keepLines w:val="0"/>
                              <w:widowControl w:val="0"/>
                              <w:pBdr>
                                <w:top w:val="single" w:sz="0" w:space="0" w:color="0271C2"/>
                                <w:left w:val="single" w:sz="0" w:space="0" w:color="0271C2"/>
                                <w:bottom w:val="single" w:sz="0" w:space="0" w:color="0271C2"/>
                                <w:right w:val="single" w:sz="0" w:space="0" w:color="0271C2"/>
                              </w:pBdr>
                              <w:shd w:val="clear" w:color="auto" w:fill="0271C2"/>
                              <w:bidi w:val="0"/>
                              <w:spacing w:before="0" w:after="0" w:line="240" w:lineRule="auto"/>
                              <w:ind w:left="0" w:right="0" w:firstLine="0"/>
                              <w:jc w:val="center"/>
                              <w:rPr>
                                <w:sz w:val="8"/>
                                <w:szCs w:val="8"/>
                              </w:rPr>
                            </w:pPr>
                            <w:r>
                              <w:rPr>
                                <w:rFonts w:ascii="SimHei" w:eastAsia="SimHei" w:hAnsi="SimHei" w:cs="SimHei"/>
                                <w:color w:val="D5EDF4"/>
                                <w:spacing w:val="0"/>
                                <w:w w:val="100"/>
                                <w:position w:val="0"/>
                                <w:sz w:val="8"/>
                                <w:szCs w:val="8"/>
                              </w:rPr>
                              <w:t>智慧城管</w:t>
                            </w:r>
                          </w:p>
                        </w:tc>
                        <w:tc>
                          <w:tcPr>
                            <w:tcBorders/>
                            <w:shd w:val="clear" w:color="auto" w:fill="0371C2"/>
                            <w:vAlign w:val="bottom"/>
                          </w:tcPr>
                          <w:p>
                            <w:pPr>
                              <w:pStyle w:val="Style2"/>
                              <w:keepNext w:val="0"/>
                              <w:keepLines w:val="0"/>
                              <w:widowControl w:val="0"/>
                              <w:pBdr>
                                <w:top w:val="single" w:sz="0" w:space="0" w:color="0271C2"/>
                                <w:left w:val="single" w:sz="0" w:space="0" w:color="0271C2"/>
                                <w:bottom w:val="single" w:sz="0" w:space="0" w:color="0271C2"/>
                                <w:right w:val="single" w:sz="0" w:space="0" w:color="0271C2"/>
                              </w:pBdr>
                              <w:shd w:val="clear" w:color="auto" w:fill="0271C2"/>
                              <w:bidi w:val="0"/>
                              <w:spacing w:before="0" w:after="0" w:line="240" w:lineRule="auto"/>
                              <w:ind w:left="0" w:right="0" w:firstLine="0"/>
                              <w:jc w:val="center"/>
                              <w:rPr>
                                <w:sz w:val="8"/>
                                <w:szCs w:val="8"/>
                              </w:rPr>
                            </w:pPr>
                            <w:r>
                              <w:rPr>
                                <w:rFonts w:ascii="SimHei" w:eastAsia="SimHei" w:hAnsi="SimHei" w:cs="SimHei"/>
                                <w:color w:val="FFFFFF"/>
                                <w:spacing w:val="0"/>
                                <w:w w:val="100"/>
                                <w:position w:val="0"/>
                                <w:sz w:val="8"/>
                                <w:szCs w:val="8"/>
                              </w:rPr>
                              <w:t>社会彼</w:t>
                            </w:r>
                          </w:p>
                        </w:tc>
                      </w:tr>
                      <w:tr>
                        <w:trPr>
                          <w:trHeight w:val="441" w:hRule="exact"/>
                        </w:trPr>
                        <w:tc>
                          <w:tcPr>
                            <w:tcBorders/>
                            <w:shd w:val="clear" w:color="auto" w:fill="0371C2"/>
                            <w:vAlign w:val="bottom"/>
                          </w:tcPr>
                          <w:p>
                            <w:pPr>
                              <w:pStyle w:val="Style2"/>
                              <w:keepNext w:val="0"/>
                              <w:keepLines w:val="0"/>
                              <w:widowControl w:val="0"/>
                              <w:pBdr>
                                <w:top w:val="single" w:sz="0" w:space="0" w:color="0271C2"/>
                                <w:left w:val="single" w:sz="0" w:space="0" w:color="0271C2"/>
                                <w:bottom w:val="single" w:sz="0" w:space="0" w:color="0271C2"/>
                                <w:right w:val="single" w:sz="0" w:space="0" w:color="0271C2"/>
                              </w:pBdr>
                              <w:shd w:val="clear" w:color="auto" w:fill="0271C2"/>
                              <w:bidi w:val="0"/>
                              <w:spacing w:before="0" w:after="0" w:line="144" w:lineRule="exact"/>
                              <w:ind w:left="0" w:right="0" w:firstLine="500"/>
                              <w:jc w:val="left"/>
                              <w:rPr>
                                <w:sz w:val="8"/>
                                <w:szCs w:val="8"/>
                              </w:rPr>
                            </w:pPr>
                            <w:r>
                              <w:rPr>
                                <w:rFonts w:ascii="SimHei" w:eastAsia="SimHei" w:hAnsi="SimHei" w:cs="SimHei"/>
                                <w:color w:val="D5EDF4"/>
                                <w:spacing w:val="0"/>
                                <w:w w:val="100"/>
                                <w:position w:val="0"/>
                                <w:sz w:val="8"/>
                                <w:szCs w:val="8"/>
                              </w:rPr>
                              <w:t>执法</w:t>
                            </w:r>
                          </w:p>
                          <w:p>
                            <w:pPr>
                              <w:pStyle w:val="Style2"/>
                              <w:keepNext w:val="0"/>
                              <w:keepLines w:val="0"/>
                              <w:widowControl w:val="0"/>
                              <w:pBdr>
                                <w:top w:val="single" w:sz="0" w:space="0" w:color="0271C2"/>
                                <w:left w:val="single" w:sz="0" w:space="0" w:color="0271C2"/>
                                <w:bottom w:val="single" w:sz="0" w:space="0" w:color="0271C2"/>
                                <w:right w:val="single" w:sz="0" w:space="0" w:color="0271C2"/>
                              </w:pBdr>
                              <w:shd w:val="clear" w:color="auto" w:fill="0271C2"/>
                              <w:bidi w:val="0"/>
                              <w:spacing w:before="0" w:after="0" w:line="144" w:lineRule="exact"/>
                              <w:ind w:left="0" w:right="0" w:firstLine="0"/>
                              <w:jc w:val="center"/>
                              <w:rPr>
                                <w:sz w:val="8"/>
                                <w:szCs w:val="8"/>
                              </w:rPr>
                            </w:pPr>
                            <w:r>
                              <w:rPr>
                                <w:rFonts w:ascii="SimHei" w:eastAsia="SimHei" w:hAnsi="SimHei" w:cs="SimHei"/>
                                <w:color w:val="D5EDF4"/>
                                <w:spacing w:val="0"/>
                                <w:w w:val="100"/>
                                <w:position w:val="0"/>
                                <w:sz w:val="8"/>
                                <w:szCs w:val="8"/>
                              </w:rPr>
                              <w:t>司法行瞰避督 设</w:t>
                            </w:r>
                          </w:p>
                        </w:tc>
                        <w:tc>
                          <w:tcPr>
                            <w:tcBorders/>
                            <w:shd w:val="clear" w:color="auto" w:fill="0371C2"/>
                            <w:vAlign w:val="bottom"/>
                          </w:tcPr>
                          <w:p>
                            <w:pPr>
                              <w:pStyle w:val="Style2"/>
                              <w:keepNext w:val="0"/>
                              <w:keepLines w:val="0"/>
                              <w:widowControl w:val="0"/>
                              <w:pBdr>
                                <w:top w:val="single" w:sz="0" w:space="0" w:color="0271C2"/>
                                <w:left w:val="single" w:sz="0" w:space="0" w:color="0271C2"/>
                                <w:bottom w:val="single" w:sz="0" w:space="0" w:color="0271C2"/>
                                <w:right w:val="single" w:sz="0" w:space="0" w:color="0271C2"/>
                              </w:pBdr>
                              <w:shd w:val="clear" w:color="auto" w:fill="0271C2"/>
                              <w:bidi w:val="0"/>
                              <w:spacing w:before="0" w:after="180" w:line="240" w:lineRule="auto"/>
                              <w:ind w:left="0" w:right="0" w:firstLine="340"/>
                              <w:jc w:val="left"/>
                              <w:rPr>
                                <w:sz w:val="8"/>
                                <w:szCs w:val="8"/>
                              </w:rPr>
                            </w:pPr>
                            <w:r>
                              <w:rPr>
                                <w:rFonts w:ascii="SimHei" w:eastAsia="SimHei" w:hAnsi="SimHei" w:cs="SimHei"/>
                                <w:color w:val="D5EDF4"/>
                                <w:spacing w:val="0"/>
                                <w:w w:val="100"/>
                                <w:position w:val="0"/>
                                <w:sz w:val="8"/>
                                <w:szCs w:val="8"/>
                              </w:rPr>
                              <w:t>智慧</w:t>
                            </w:r>
                          </w:p>
                          <w:p>
                            <w:pPr>
                              <w:pStyle w:val="Style2"/>
                              <w:keepNext w:val="0"/>
                              <w:keepLines w:val="0"/>
                              <w:widowControl w:val="0"/>
                              <w:pBdr>
                                <w:top w:val="single" w:sz="0" w:space="0" w:color="0271C2"/>
                                <w:left w:val="single" w:sz="0" w:space="0" w:color="0271C2"/>
                                <w:bottom w:val="single" w:sz="0" w:space="0" w:color="0271C2"/>
                                <w:right w:val="single" w:sz="0" w:space="0" w:color="0271C2"/>
                              </w:pBdr>
                              <w:shd w:val="clear" w:color="auto" w:fill="0271C2"/>
                              <w:bidi w:val="0"/>
                              <w:spacing w:before="0" w:after="0" w:line="240" w:lineRule="auto"/>
                              <w:ind w:left="0" w:right="0" w:firstLine="0"/>
                              <w:jc w:val="center"/>
                              <w:rPr>
                                <w:sz w:val="8"/>
                                <w:szCs w:val="8"/>
                              </w:rPr>
                            </w:pPr>
                            <w:r>
                              <w:rPr>
                                <w:rFonts w:ascii="SimHei" w:eastAsia="SimHei" w:hAnsi="SimHei" w:cs="SimHei"/>
                                <w:color w:val="D5EDF4"/>
                                <w:spacing w:val="0"/>
                                <w:w w:val="100"/>
                                <w:position w:val="0"/>
                                <w:sz w:val="8"/>
                                <w:szCs w:val="8"/>
                              </w:rPr>
                              <w:t>智慧疑</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1391285</wp:posOffset>
                </wp:positionH>
                <wp:positionV relativeFrom="paragraph">
                  <wp:posOffset>786765</wp:posOffset>
                </wp:positionV>
                <wp:extent cx="186055" cy="248920"/>
                <wp:wrapNone/>
                <wp:docPr id="12" name="Shape 12"/>
                <a:graphic xmlns:a="http://schemas.openxmlformats.org/drawingml/2006/main">
                  <a:graphicData uri="http://schemas.microsoft.com/office/word/2010/wordprocessingShape">
                    <wps:wsp>
                      <wps:cNvSpPr txBox="1"/>
                      <wps:spPr>
                        <a:xfrm>
                          <a:ext cx="186055" cy="248920"/>
                        </a:xfrm>
                        <a:prstGeom prst="rect"/>
                        <a:noFill/>
                      </wps:spPr>
                      <wps:txbx>
                        <w:txbxContent>
                          <w:p>
                            <w:pPr>
                              <w:pStyle w:val="Style34"/>
                              <w:keepNext w:val="0"/>
                              <w:keepLines w:val="0"/>
                              <w:widowControl w:val="0"/>
                              <w:shd w:val="clear" w:color="auto" w:fill="auto"/>
                              <w:bidi w:val="0"/>
                              <w:spacing w:before="0" w:after="0"/>
                              <w:ind w:left="0" w:right="0" w:firstLine="0"/>
                              <w:jc w:val="left"/>
                            </w:pPr>
                            <w:r>
                              <w:rPr>
                                <w:spacing w:val="0"/>
                                <w:w w:val="100"/>
                                <w:position w:val="0"/>
                              </w:rPr>
                              <w:t>业用 行应</w:t>
                            </w:r>
                          </w:p>
                        </w:txbxContent>
                      </wps:txbx>
                      <wps:bodyPr upright="1" vert="eaVert" lIns="0" tIns="0" rIns="0" bIns="0">
                        <a:noAutoFit/>
                      </wps:bodyPr>
                    </wps:wsp>
                  </a:graphicData>
                </a:graphic>
              </wp:anchor>
            </w:drawing>
          </mc:Choice>
          <mc:Fallback>
            <w:pict>
              <v:shape id="_x0000_s1038" type="#_x0000_t202" style="position:absolute;margin-left:109.55pt;margin-top:61.950000000000003pt;width:14.65pt;height:19.600000000000001pt;z-index:251657731;mso-wrap-distance-left:0;mso-wrap-distance-right:0;mso-position-horizontal-relative:page" filled="f" stroked="f">
                <v:textbox style="layout-flow:vertical-ideographic" inset="0,0,0,0">
                  <w:txbxContent>
                    <w:p>
                      <w:pPr>
                        <w:pStyle w:val="Style34"/>
                        <w:keepNext w:val="0"/>
                        <w:keepLines w:val="0"/>
                        <w:widowControl w:val="0"/>
                        <w:shd w:val="clear" w:color="auto" w:fill="auto"/>
                        <w:bidi w:val="0"/>
                        <w:spacing w:before="0" w:after="0"/>
                        <w:ind w:left="0" w:right="0" w:firstLine="0"/>
                        <w:jc w:val="left"/>
                      </w:pPr>
                      <w:r>
                        <w:rPr>
                          <w:spacing w:val="0"/>
                          <w:w w:val="100"/>
                          <w:position w:val="0"/>
                        </w:rPr>
                        <w:t>业用 行应</w:t>
                      </w:r>
                    </w:p>
                  </w:txbxContent>
                </v:textbox>
                <w10:wrap anchorx="page"/>
              </v:shape>
            </w:pict>
          </mc:Fallback>
        </mc:AlternateContent>
      </w:r>
      <w:r>
        <mc:AlternateContent>
          <mc:Choice Requires="wps">
            <w:drawing>
              <wp:anchor distT="802640" distB="1891665" distL="0" distR="0" simplePos="0" relativeHeight="125829385" behindDoc="0" locked="0" layoutInCell="1" allowOverlap="1">
                <wp:simplePos x="0" y="0"/>
                <wp:positionH relativeFrom="page">
                  <wp:posOffset>3107690</wp:posOffset>
                </wp:positionH>
                <wp:positionV relativeFrom="paragraph">
                  <wp:posOffset>802640</wp:posOffset>
                </wp:positionV>
                <wp:extent cx="1354455" cy="361315"/>
                <wp:wrapTopAndBottom/>
                <wp:docPr id="14" name="Shape 14"/>
                <a:graphic xmlns:a="http://schemas.openxmlformats.org/drawingml/2006/main">
                  <a:graphicData uri="http://schemas.microsoft.com/office/word/2010/wordprocessingShape">
                    <wps:wsp>
                      <wps:cNvSpPr txBox="1"/>
                      <wps:spPr>
                        <a:xfrm>
                          <a:ext cx="1354455" cy="361315"/>
                        </a:xfrm>
                        <a:prstGeom prst="rect"/>
                        <a:noFill/>
                      </wps:spPr>
                      <wps:txbx>
                        <w:txbxContent>
                          <w:tbl>
                            <w:tblPr>
                              <w:tblOverlap w:val="never"/>
                              <w:jc w:val="left"/>
                              <w:tblLayout w:type="fixed"/>
                            </w:tblPr>
                            <w:tblGrid>
                              <w:gridCol w:w="1069"/>
                              <w:gridCol w:w="1065"/>
                            </w:tblGrid>
                            <w:tr>
                              <w:trPr>
                                <w:tblHeader/>
                                <w:trHeight w:val="136" w:hRule="exact"/>
                              </w:trPr>
                              <w:tc>
                                <w:tcPr>
                                  <w:tcBorders/>
                                  <w:shd w:val="clear" w:color="auto" w:fill="0371C2"/>
                                  <w:vAlign w:val="top"/>
                                </w:tcPr>
                                <w:p>
                                  <w:pPr>
                                    <w:pStyle w:val="Style2"/>
                                    <w:keepNext w:val="0"/>
                                    <w:keepLines w:val="0"/>
                                    <w:widowControl w:val="0"/>
                                    <w:pBdr>
                                      <w:top w:val="single" w:sz="0" w:space="0" w:color="0372C2"/>
                                      <w:left w:val="single" w:sz="0" w:space="0" w:color="0372C2"/>
                                      <w:bottom w:val="single" w:sz="0" w:space="0" w:color="0372C2"/>
                                      <w:right w:val="single" w:sz="0" w:space="0" w:color="0372C2"/>
                                    </w:pBdr>
                                    <w:shd w:val="clear" w:color="auto" w:fill="0372C2"/>
                                    <w:bidi w:val="0"/>
                                    <w:spacing w:before="0" w:after="0" w:line="240" w:lineRule="auto"/>
                                    <w:ind w:left="0" w:right="0" w:firstLine="0"/>
                                    <w:jc w:val="center"/>
                                    <w:rPr>
                                      <w:sz w:val="8"/>
                                      <w:szCs w:val="8"/>
                                    </w:rPr>
                                  </w:pPr>
                                  <w:r>
                                    <w:rPr>
                                      <w:rFonts w:ascii="Times New Roman" w:eastAsia="Times New Roman" w:hAnsi="Times New Roman" w:cs="Times New Roman"/>
                                      <w:b/>
                                      <w:bCs/>
                                      <w:color w:val="FFFFFF"/>
                                      <w:spacing w:val="0"/>
                                      <w:w w:val="100"/>
                                      <w:position w:val="0"/>
                                      <w:sz w:val="8"/>
                                      <w:szCs w:val="8"/>
                                    </w:rPr>
                                    <w:t>12345</w:t>
                                  </w:r>
                                  <w:r>
                                    <w:rPr>
                                      <w:rFonts w:ascii="SimHei" w:eastAsia="SimHei" w:hAnsi="SimHei" w:cs="SimHei"/>
                                      <w:color w:val="FFFFFF"/>
                                      <w:spacing w:val="0"/>
                                      <w:w w:val="100"/>
                                      <w:position w:val="0"/>
                                      <w:sz w:val="8"/>
                                      <w:szCs w:val="8"/>
                                    </w:rPr>
                                    <w:t>热线业务</w:t>
                                  </w:r>
                                </w:p>
                              </w:tc>
                              <w:tc>
                                <w:tcPr>
                                  <w:tcBorders/>
                                  <w:shd w:val="clear" w:color="auto" w:fill="0371C2"/>
                                  <w:vAlign w:val="top"/>
                                </w:tcPr>
                                <w:p>
                                  <w:pPr>
                                    <w:pStyle w:val="Style2"/>
                                    <w:keepNext w:val="0"/>
                                    <w:keepLines w:val="0"/>
                                    <w:widowControl w:val="0"/>
                                    <w:pBdr>
                                      <w:top w:val="single" w:sz="0" w:space="0" w:color="0271C2"/>
                                      <w:left w:val="single" w:sz="0" w:space="0" w:color="0271C2"/>
                                      <w:bottom w:val="single" w:sz="0" w:space="0" w:color="0271C2"/>
                                      <w:right w:val="single" w:sz="0" w:space="0" w:color="0271C2"/>
                                    </w:pBdr>
                                    <w:shd w:val="clear" w:color="auto" w:fill="0271C2"/>
                                    <w:bidi w:val="0"/>
                                    <w:spacing w:before="0" w:after="0" w:line="240" w:lineRule="auto"/>
                                    <w:ind w:left="0" w:right="0" w:firstLine="520"/>
                                    <w:jc w:val="left"/>
                                    <w:rPr>
                                      <w:sz w:val="8"/>
                                      <w:szCs w:val="8"/>
                                    </w:rPr>
                                  </w:pPr>
                                  <w:r>
                                    <w:rPr>
                                      <w:rFonts w:ascii="SimHei" w:eastAsia="SimHei" w:hAnsi="SimHei" w:cs="SimHei"/>
                                      <w:color w:val="D5EDF4"/>
                                      <w:spacing w:val="0"/>
                                      <w:w w:val="100"/>
                                      <w:position w:val="0"/>
                                      <w:sz w:val="8"/>
                                      <w:szCs w:val="8"/>
                                    </w:rPr>
                                    <w:t>能</w:t>
                                  </w:r>
                                  <w:r>
                                    <w:rPr>
                                      <w:rFonts w:ascii="Times New Roman" w:eastAsia="Times New Roman" w:hAnsi="Times New Roman" w:cs="Times New Roman"/>
                                      <w:b/>
                                      <w:bCs/>
                                      <w:color w:val="D5EDF4"/>
                                      <w:spacing w:val="0"/>
                                      <w:w w:val="100"/>
                                      <w:position w:val="0"/>
                                      <w:sz w:val="8"/>
                                      <w:szCs w:val="8"/>
                                    </w:rPr>
                                    <w:t>mi</w:t>
                                  </w:r>
                                </w:p>
                              </w:tc>
                            </w:tr>
                            <w:tr>
                              <w:trPr>
                                <w:trHeight w:val="149" w:hRule="exact"/>
                              </w:trPr>
                              <w:tc>
                                <w:tcPr>
                                  <w:tcBorders/>
                                  <w:shd w:val="clear" w:color="auto" w:fill="0371C2"/>
                                  <w:vAlign w:val="bottom"/>
                                </w:tcPr>
                                <w:p>
                                  <w:pPr>
                                    <w:pStyle w:val="Style2"/>
                                    <w:keepNext w:val="0"/>
                                    <w:keepLines w:val="0"/>
                                    <w:widowControl w:val="0"/>
                                    <w:pBdr>
                                      <w:top w:val="single" w:sz="0" w:space="0" w:color="0271C2"/>
                                      <w:left w:val="single" w:sz="0" w:space="0" w:color="0271C2"/>
                                      <w:bottom w:val="single" w:sz="0" w:space="0" w:color="0271C2"/>
                                      <w:right w:val="single" w:sz="0" w:space="0" w:color="0271C2"/>
                                    </w:pBdr>
                                    <w:shd w:val="clear" w:color="auto" w:fill="0271C2"/>
                                    <w:bidi w:val="0"/>
                                    <w:spacing w:before="0" w:after="0" w:line="240" w:lineRule="auto"/>
                                    <w:ind w:left="0" w:right="0" w:firstLine="680"/>
                                    <w:jc w:val="left"/>
                                    <w:rPr>
                                      <w:sz w:val="8"/>
                                      <w:szCs w:val="8"/>
                                    </w:rPr>
                                  </w:pPr>
                                  <w:r>
                                    <w:rPr>
                                      <w:rFonts w:ascii="SimHei" w:eastAsia="SimHei" w:hAnsi="SimHei" w:cs="SimHei"/>
                                      <w:color w:val="D5EDF4"/>
                                      <w:spacing w:val="0"/>
                                      <w:w w:val="100"/>
                                      <w:position w:val="0"/>
                                      <w:sz w:val="8"/>
                                      <w:szCs w:val="8"/>
                                    </w:rPr>
                                    <w:t>析</w:t>
                                  </w:r>
                                </w:p>
                              </w:tc>
                              <w:tc>
                                <w:tcPr>
                                  <w:tcBorders>
                                    <w:top w:val="single" w:sz="4"/>
                                  </w:tcBorders>
                                  <w:shd w:val="clear" w:color="auto" w:fill="0371C2"/>
                                  <w:vAlign w:val="bottom"/>
                                </w:tcPr>
                                <w:p>
                                  <w:pPr>
                                    <w:pStyle w:val="Style2"/>
                                    <w:keepNext w:val="0"/>
                                    <w:keepLines w:val="0"/>
                                    <w:widowControl w:val="0"/>
                                    <w:pBdr>
                                      <w:top w:val="single" w:sz="0" w:space="0" w:color="0171C2"/>
                                      <w:left w:val="single" w:sz="0" w:space="0" w:color="0171C2"/>
                                      <w:bottom w:val="single" w:sz="0" w:space="0" w:color="0171C2"/>
                                      <w:right w:val="single" w:sz="0" w:space="0" w:color="0171C2"/>
                                    </w:pBdr>
                                    <w:shd w:val="clear" w:color="auto" w:fill="0171C2"/>
                                    <w:bidi w:val="0"/>
                                    <w:spacing w:before="0" w:after="0" w:line="240" w:lineRule="auto"/>
                                    <w:ind w:left="0" w:right="0" w:firstLine="340"/>
                                    <w:jc w:val="left"/>
                                    <w:rPr>
                                      <w:sz w:val="8"/>
                                      <w:szCs w:val="8"/>
                                    </w:rPr>
                                  </w:pPr>
                                  <w:r>
                                    <w:rPr>
                                      <w:rFonts w:ascii="SimHei" w:eastAsia="SimHei" w:hAnsi="SimHei" w:cs="SimHei"/>
                                      <w:color w:val="D5EDF4"/>
                                      <w:spacing w:val="0"/>
                                      <w:w w:val="100"/>
                                      <w:position w:val="0"/>
                                      <w:sz w:val="8"/>
                                      <w:szCs w:val="8"/>
                                    </w:rPr>
                                    <w:t>智慧环卫</w:t>
                                  </w:r>
                                </w:p>
                              </w:tc>
                            </w:tr>
                            <w:tr>
                              <w:trPr>
                                <w:trHeight w:val="140" w:hRule="exact"/>
                              </w:trPr>
                              <w:tc>
                                <w:tcPr>
                                  <w:tcBorders/>
                                  <w:shd w:val="clear" w:color="auto" w:fill="0371C2"/>
                                  <w:vAlign w:val="top"/>
                                </w:tcPr>
                                <w:p>
                                  <w:pPr>
                                    <w:pStyle w:val="Style2"/>
                                    <w:keepNext w:val="0"/>
                                    <w:keepLines w:val="0"/>
                                    <w:widowControl w:val="0"/>
                                    <w:pBdr>
                                      <w:top w:val="single" w:sz="0" w:space="0" w:color="0271C3"/>
                                      <w:left w:val="single" w:sz="0" w:space="0" w:color="0271C3"/>
                                      <w:bottom w:val="single" w:sz="0" w:space="0" w:color="0271C3"/>
                                      <w:right w:val="single" w:sz="0" w:space="0" w:color="0271C3"/>
                                    </w:pBdr>
                                    <w:shd w:val="clear" w:color="auto" w:fill="0271C3"/>
                                    <w:bidi w:val="0"/>
                                    <w:spacing w:before="0" w:after="0" w:line="240" w:lineRule="auto"/>
                                    <w:ind w:left="0" w:right="0" w:firstLine="340"/>
                                    <w:jc w:val="left"/>
                                    <w:rPr>
                                      <w:sz w:val="8"/>
                                      <w:szCs w:val="8"/>
                                    </w:rPr>
                                  </w:pPr>
                                  <w:r>
                                    <w:rPr>
                                      <w:rFonts w:ascii="SimHei" w:eastAsia="SimHei" w:hAnsi="SimHei" w:cs="SimHei"/>
                                      <w:color w:val="FFFFFF"/>
                                      <w:spacing w:val="0"/>
                                      <w:w w:val="100"/>
                                      <w:position w:val="0"/>
                                      <w:sz w:val="8"/>
                                      <w:szCs w:val="8"/>
                                    </w:rPr>
                                    <w:t>园脚化</w:t>
                                  </w:r>
                                </w:p>
                              </w:tc>
                              <w:tc>
                                <w:tcPr>
                                  <w:tcBorders/>
                                  <w:shd w:val="clear" w:color="auto" w:fill="0371C2"/>
                                  <w:vAlign w:val="top"/>
                                </w:tcPr>
                                <w:p>
                                  <w:pPr>
                                    <w:pStyle w:val="Style2"/>
                                    <w:keepNext w:val="0"/>
                                    <w:keepLines w:val="0"/>
                                    <w:widowControl w:val="0"/>
                                    <w:pBdr>
                                      <w:top w:val="single" w:sz="0" w:space="0" w:color="0271C3"/>
                                      <w:left w:val="single" w:sz="0" w:space="0" w:color="0271C3"/>
                                      <w:bottom w:val="single" w:sz="0" w:space="0" w:color="0271C3"/>
                                      <w:right w:val="single" w:sz="0" w:space="0" w:color="0271C3"/>
                                    </w:pBdr>
                                    <w:shd w:val="clear" w:color="auto" w:fill="0271C3"/>
                                    <w:bidi w:val="0"/>
                                    <w:spacing w:before="0" w:after="0" w:line="240" w:lineRule="auto"/>
                                    <w:ind w:left="0" w:right="0" w:firstLine="340"/>
                                    <w:jc w:val="left"/>
                                    <w:rPr>
                                      <w:sz w:val="8"/>
                                      <w:szCs w:val="8"/>
                                    </w:rPr>
                                  </w:pPr>
                                  <w:r>
                                    <w:rPr>
                                      <w:rFonts w:ascii="SimHei" w:eastAsia="SimHei" w:hAnsi="SimHei" w:cs="SimHei"/>
                                      <w:color w:val="D5EDF4"/>
                                      <w:spacing w:val="0"/>
                                      <w:w w:val="100"/>
                                      <w:position w:val="0"/>
                                      <w:sz w:val="8"/>
                                      <w:szCs w:val="8"/>
                                    </w:rPr>
                                    <w:t>门前三包</w:t>
                                  </w:r>
                                </w:p>
                              </w:tc>
                            </w:tr>
                            <w:tr>
                              <w:trPr>
                                <w:trHeight w:val="144" w:hRule="exact"/>
                              </w:trPr>
                              <w:tc>
                                <w:tcPr>
                                  <w:tcBorders/>
                                  <w:shd w:val="clear" w:color="auto" w:fill="0371C2"/>
                                  <w:vAlign w:val="bottom"/>
                                </w:tcPr>
                                <w:p>
                                  <w:pPr>
                                    <w:pStyle w:val="Style2"/>
                                    <w:keepNext w:val="0"/>
                                    <w:keepLines w:val="0"/>
                                    <w:widowControl w:val="0"/>
                                    <w:pBdr>
                                      <w:top w:val="single" w:sz="0" w:space="0" w:color="0271C2"/>
                                      <w:left w:val="single" w:sz="0" w:space="0" w:color="0271C2"/>
                                      <w:bottom w:val="single" w:sz="0" w:space="0" w:color="0271C2"/>
                                      <w:right w:val="single" w:sz="0" w:space="0" w:color="0271C2"/>
                                    </w:pBdr>
                                    <w:shd w:val="clear" w:color="auto" w:fill="0271C2"/>
                                    <w:bidi w:val="0"/>
                                    <w:spacing w:before="0" w:after="0" w:line="240" w:lineRule="auto"/>
                                    <w:ind w:left="0" w:right="0" w:firstLine="340"/>
                                    <w:jc w:val="left"/>
                                    <w:rPr>
                                      <w:sz w:val="8"/>
                                      <w:szCs w:val="8"/>
                                    </w:rPr>
                                  </w:pPr>
                                  <w:r>
                                    <w:rPr>
                                      <w:rFonts w:ascii="SimHei" w:eastAsia="SimHei" w:hAnsi="SimHei" w:cs="SimHei"/>
                                      <w:color w:val="FFFFFF"/>
                                      <w:spacing w:val="0"/>
                                      <w:w w:val="100"/>
                                      <w:position w:val="0"/>
                                      <w:sz w:val="8"/>
                                      <w:szCs w:val="8"/>
                                    </w:rPr>
                                    <w:t>畋分类</w:t>
                                  </w:r>
                                </w:p>
                              </w:tc>
                              <w:tc>
                                <w:tcPr>
                                  <w:tcBorders/>
                                  <w:shd w:val="clear" w:color="auto" w:fill="0371C2"/>
                                  <w:vAlign w:val="bottom"/>
                                </w:tcPr>
                                <w:p>
                                  <w:pPr>
                                    <w:pStyle w:val="Style2"/>
                                    <w:keepNext w:val="0"/>
                                    <w:keepLines w:val="0"/>
                                    <w:widowControl w:val="0"/>
                                    <w:pBdr>
                                      <w:top w:val="single" w:sz="0" w:space="0" w:color="0272C3"/>
                                      <w:left w:val="single" w:sz="0" w:space="0" w:color="0272C3"/>
                                      <w:bottom w:val="single" w:sz="0" w:space="0" w:color="0272C3"/>
                                      <w:right w:val="single" w:sz="0" w:space="0" w:color="0272C3"/>
                                    </w:pBdr>
                                    <w:shd w:val="clear" w:color="auto" w:fill="0272C3"/>
                                    <w:bidi w:val="0"/>
                                    <w:spacing w:before="0" w:after="0" w:line="240" w:lineRule="auto"/>
                                    <w:ind w:left="0" w:right="0" w:firstLine="220"/>
                                    <w:jc w:val="left"/>
                                    <w:rPr>
                                      <w:sz w:val="8"/>
                                      <w:szCs w:val="8"/>
                                    </w:rPr>
                                  </w:pPr>
                                  <w:r>
                                    <w:rPr>
                                      <w:rFonts w:ascii="SimHei" w:eastAsia="SimHei" w:hAnsi="SimHei" w:cs="SimHei"/>
                                      <w:color w:val="FFFFFF"/>
                                      <w:spacing w:val="0"/>
                                      <w:w w:val="100"/>
                                      <w:position w:val="0"/>
                                      <w:sz w:val="8"/>
                                      <w:szCs w:val="8"/>
                                    </w:rPr>
                                    <w:t>网</w:t>
                                  </w:r>
                                </w:p>
                              </w:tc>
                            </w:tr>
                          </w:tbl>
                          <w:p>
                            <w:pPr>
                              <w:widowControl w:val="0"/>
                              <w:spacing w:line="1" w:lineRule="exact"/>
                            </w:pPr>
                          </w:p>
                        </w:txbxContent>
                      </wps:txbx>
                      <wps:bodyPr lIns="0" tIns="0" rIns="0" bIns="0">
                        <a:noAutoFit/>
                      </wps:bodyPr>
                    </wps:wsp>
                  </a:graphicData>
                </a:graphic>
              </wp:anchor>
            </w:drawing>
          </mc:Choice>
          <mc:Fallback>
            <w:pict>
              <v:shape id="_x0000_s1040" type="#_x0000_t202" style="position:absolute;margin-left:244.70000000000002pt;margin-top:63.200000000000003pt;width:106.65000000000001pt;height:28.449999999999999pt;z-index:-125829368;mso-wrap-distance-left:0;mso-wrap-distance-top:63.200000000000003pt;mso-wrap-distance-right:0;mso-wrap-distance-bottom:148.95000000000002pt;mso-position-horizontal-relative:page" filled="f" stroked="f">
                <v:textbox inset="0,0,0,0">
                  <w:txbxContent>
                    <w:tbl>
                      <w:tblPr>
                        <w:tblOverlap w:val="never"/>
                        <w:jc w:val="left"/>
                        <w:tblLayout w:type="fixed"/>
                      </w:tblPr>
                      <w:tblGrid>
                        <w:gridCol w:w="1069"/>
                        <w:gridCol w:w="1065"/>
                      </w:tblGrid>
                      <w:tr>
                        <w:trPr>
                          <w:tblHeader/>
                          <w:trHeight w:val="136" w:hRule="exact"/>
                        </w:trPr>
                        <w:tc>
                          <w:tcPr>
                            <w:tcBorders/>
                            <w:shd w:val="clear" w:color="auto" w:fill="0371C2"/>
                            <w:vAlign w:val="top"/>
                          </w:tcPr>
                          <w:p>
                            <w:pPr>
                              <w:pStyle w:val="Style2"/>
                              <w:keepNext w:val="0"/>
                              <w:keepLines w:val="0"/>
                              <w:widowControl w:val="0"/>
                              <w:pBdr>
                                <w:top w:val="single" w:sz="0" w:space="0" w:color="0372C2"/>
                                <w:left w:val="single" w:sz="0" w:space="0" w:color="0372C2"/>
                                <w:bottom w:val="single" w:sz="0" w:space="0" w:color="0372C2"/>
                                <w:right w:val="single" w:sz="0" w:space="0" w:color="0372C2"/>
                              </w:pBdr>
                              <w:shd w:val="clear" w:color="auto" w:fill="0372C2"/>
                              <w:bidi w:val="0"/>
                              <w:spacing w:before="0" w:after="0" w:line="240" w:lineRule="auto"/>
                              <w:ind w:left="0" w:right="0" w:firstLine="0"/>
                              <w:jc w:val="center"/>
                              <w:rPr>
                                <w:sz w:val="8"/>
                                <w:szCs w:val="8"/>
                              </w:rPr>
                            </w:pPr>
                            <w:r>
                              <w:rPr>
                                <w:rFonts w:ascii="Times New Roman" w:eastAsia="Times New Roman" w:hAnsi="Times New Roman" w:cs="Times New Roman"/>
                                <w:b/>
                                <w:bCs/>
                                <w:color w:val="FFFFFF"/>
                                <w:spacing w:val="0"/>
                                <w:w w:val="100"/>
                                <w:position w:val="0"/>
                                <w:sz w:val="8"/>
                                <w:szCs w:val="8"/>
                              </w:rPr>
                              <w:t>12345</w:t>
                            </w:r>
                            <w:r>
                              <w:rPr>
                                <w:rFonts w:ascii="SimHei" w:eastAsia="SimHei" w:hAnsi="SimHei" w:cs="SimHei"/>
                                <w:color w:val="FFFFFF"/>
                                <w:spacing w:val="0"/>
                                <w:w w:val="100"/>
                                <w:position w:val="0"/>
                                <w:sz w:val="8"/>
                                <w:szCs w:val="8"/>
                              </w:rPr>
                              <w:t>热线业务</w:t>
                            </w:r>
                          </w:p>
                        </w:tc>
                        <w:tc>
                          <w:tcPr>
                            <w:tcBorders/>
                            <w:shd w:val="clear" w:color="auto" w:fill="0371C2"/>
                            <w:vAlign w:val="top"/>
                          </w:tcPr>
                          <w:p>
                            <w:pPr>
                              <w:pStyle w:val="Style2"/>
                              <w:keepNext w:val="0"/>
                              <w:keepLines w:val="0"/>
                              <w:widowControl w:val="0"/>
                              <w:pBdr>
                                <w:top w:val="single" w:sz="0" w:space="0" w:color="0271C2"/>
                                <w:left w:val="single" w:sz="0" w:space="0" w:color="0271C2"/>
                                <w:bottom w:val="single" w:sz="0" w:space="0" w:color="0271C2"/>
                                <w:right w:val="single" w:sz="0" w:space="0" w:color="0271C2"/>
                              </w:pBdr>
                              <w:shd w:val="clear" w:color="auto" w:fill="0271C2"/>
                              <w:bidi w:val="0"/>
                              <w:spacing w:before="0" w:after="0" w:line="240" w:lineRule="auto"/>
                              <w:ind w:left="0" w:right="0" w:firstLine="520"/>
                              <w:jc w:val="left"/>
                              <w:rPr>
                                <w:sz w:val="8"/>
                                <w:szCs w:val="8"/>
                              </w:rPr>
                            </w:pPr>
                            <w:r>
                              <w:rPr>
                                <w:rFonts w:ascii="SimHei" w:eastAsia="SimHei" w:hAnsi="SimHei" w:cs="SimHei"/>
                                <w:color w:val="D5EDF4"/>
                                <w:spacing w:val="0"/>
                                <w:w w:val="100"/>
                                <w:position w:val="0"/>
                                <w:sz w:val="8"/>
                                <w:szCs w:val="8"/>
                              </w:rPr>
                              <w:t>能</w:t>
                            </w:r>
                            <w:r>
                              <w:rPr>
                                <w:rFonts w:ascii="Times New Roman" w:eastAsia="Times New Roman" w:hAnsi="Times New Roman" w:cs="Times New Roman"/>
                                <w:b/>
                                <w:bCs/>
                                <w:color w:val="D5EDF4"/>
                                <w:spacing w:val="0"/>
                                <w:w w:val="100"/>
                                <w:position w:val="0"/>
                                <w:sz w:val="8"/>
                                <w:szCs w:val="8"/>
                              </w:rPr>
                              <w:t>mi</w:t>
                            </w:r>
                          </w:p>
                        </w:tc>
                      </w:tr>
                      <w:tr>
                        <w:trPr>
                          <w:trHeight w:val="149" w:hRule="exact"/>
                        </w:trPr>
                        <w:tc>
                          <w:tcPr>
                            <w:tcBorders/>
                            <w:shd w:val="clear" w:color="auto" w:fill="0371C2"/>
                            <w:vAlign w:val="bottom"/>
                          </w:tcPr>
                          <w:p>
                            <w:pPr>
                              <w:pStyle w:val="Style2"/>
                              <w:keepNext w:val="0"/>
                              <w:keepLines w:val="0"/>
                              <w:widowControl w:val="0"/>
                              <w:pBdr>
                                <w:top w:val="single" w:sz="0" w:space="0" w:color="0271C2"/>
                                <w:left w:val="single" w:sz="0" w:space="0" w:color="0271C2"/>
                                <w:bottom w:val="single" w:sz="0" w:space="0" w:color="0271C2"/>
                                <w:right w:val="single" w:sz="0" w:space="0" w:color="0271C2"/>
                              </w:pBdr>
                              <w:shd w:val="clear" w:color="auto" w:fill="0271C2"/>
                              <w:bidi w:val="0"/>
                              <w:spacing w:before="0" w:after="0" w:line="240" w:lineRule="auto"/>
                              <w:ind w:left="0" w:right="0" w:firstLine="680"/>
                              <w:jc w:val="left"/>
                              <w:rPr>
                                <w:sz w:val="8"/>
                                <w:szCs w:val="8"/>
                              </w:rPr>
                            </w:pPr>
                            <w:r>
                              <w:rPr>
                                <w:rFonts w:ascii="SimHei" w:eastAsia="SimHei" w:hAnsi="SimHei" w:cs="SimHei"/>
                                <w:color w:val="D5EDF4"/>
                                <w:spacing w:val="0"/>
                                <w:w w:val="100"/>
                                <w:position w:val="0"/>
                                <w:sz w:val="8"/>
                                <w:szCs w:val="8"/>
                              </w:rPr>
                              <w:t>析</w:t>
                            </w:r>
                          </w:p>
                        </w:tc>
                        <w:tc>
                          <w:tcPr>
                            <w:tcBorders>
                              <w:top w:val="single" w:sz="4"/>
                            </w:tcBorders>
                            <w:shd w:val="clear" w:color="auto" w:fill="0371C2"/>
                            <w:vAlign w:val="bottom"/>
                          </w:tcPr>
                          <w:p>
                            <w:pPr>
                              <w:pStyle w:val="Style2"/>
                              <w:keepNext w:val="0"/>
                              <w:keepLines w:val="0"/>
                              <w:widowControl w:val="0"/>
                              <w:pBdr>
                                <w:top w:val="single" w:sz="0" w:space="0" w:color="0171C2"/>
                                <w:left w:val="single" w:sz="0" w:space="0" w:color="0171C2"/>
                                <w:bottom w:val="single" w:sz="0" w:space="0" w:color="0171C2"/>
                                <w:right w:val="single" w:sz="0" w:space="0" w:color="0171C2"/>
                              </w:pBdr>
                              <w:shd w:val="clear" w:color="auto" w:fill="0171C2"/>
                              <w:bidi w:val="0"/>
                              <w:spacing w:before="0" w:after="0" w:line="240" w:lineRule="auto"/>
                              <w:ind w:left="0" w:right="0" w:firstLine="340"/>
                              <w:jc w:val="left"/>
                              <w:rPr>
                                <w:sz w:val="8"/>
                                <w:szCs w:val="8"/>
                              </w:rPr>
                            </w:pPr>
                            <w:r>
                              <w:rPr>
                                <w:rFonts w:ascii="SimHei" w:eastAsia="SimHei" w:hAnsi="SimHei" w:cs="SimHei"/>
                                <w:color w:val="D5EDF4"/>
                                <w:spacing w:val="0"/>
                                <w:w w:val="100"/>
                                <w:position w:val="0"/>
                                <w:sz w:val="8"/>
                                <w:szCs w:val="8"/>
                              </w:rPr>
                              <w:t>智慧环卫</w:t>
                            </w:r>
                          </w:p>
                        </w:tc>
                      </w:tr>
                      <w:tr>
                        <w:trPr>
                          <w:trHeight w:val="140" w:hRule="exact"/>
                        </w:trPr>
                        <w:tc>
                          <w:tcPr>
                            <w:tcBorders/>
                            <w:shd w:val="clear" w:color="auto" w:fill="0371C2"/>
                            <w:vAlign w:val="top"/>
                          </w:tcPr>
                          <w:p>
                            <w:pPr>
                              <w:pStyle w:val="Style2"/>
                              <w:keepNext w:val="0"/>
                              <w:keepLines w:val="0"/>
                              <w:widowControl w:val="0"/>
                              <w:pBdr>
                                <w:top w:val="single" w:sz="0" w:space="0" w:color="0271C3"/>
                                <w:left w:val="single" w:sz="0" w:space="0" w:color="0271C3"/>
                                <w:bottom w:val="single" w:sz="0" w:space="0" w:color="0271C3"/>
                                <w:right w:val="single" w:sz="0" w:space="0" w:color="0271C3"/>
                              </w:pBdr>
                              <w:shd w:val="clear" w:color="auto" w:fill="0271C3"/>
                              <w:bidi w:val="0"/>
                              <w:spacing w:before="0" w:after="0" w:line="240" w:lineRule="auto"/>
                              <w:ind w:left="0" w:right="0" w:firstLine="340"/>
                              <w:jc w:val="left"/>
                              <w:rPr>
                                <w:sz w:val="8"/>
                                <w:szCs w:val="8"/>
                              </w:rPr>
                            </w:pPr>
                            <w:r>
                              <w:rPr>
                                <w:rFonts w:ascii="SimHei" w:eastAsia="SimHei" w:hAnsi="SimHei" w:cs="SimHei"/>
                                <w:color w:val="FFFFFF"/>
                                <w:spacing w:val="0"/>
                                <w:w w:val="100"/>
                                <w:position w:val="0"/>
                                <w:sz w:val="8"/>
                                <w:szCs w:val="8"/>
                              </w:rPr>
                              <w:t>园脚化</w:t>
                            </w:r>
                          </w:p>
                        </w:tc>
                        <w:tc>
                          <w:tcPr>
                            <w:tcBorders/>
                            <w:shd w:val="clear" w:color="auto" w:fill="0371C2"/>
                            <w:vAlign w:val="top"/>
                          </w:tcPr>
                          <w:p>
                            <w:pPr>
                              <w:pStyle w:val="Style2"/>
                              <w:keepNext w:val="0"/>
                              <w:keepLines w:val="0"/>
                              <w:widowControl w:val="0"/>
                              <w:pBdr>
                                <w:top w:val="single" w:sz="0" w:space="0" w:color="0271C3"/>
                                <w:left w:val="single" w:sz="0" w:space="0" w:color="0271C3"/>
                                <w:bottom w:val="single" w:sz="0" w:space="0" w:color="0271C3"/>
                                <w:right w:val="single" w:sz="0" w:space="0" w:color="0271C3"/>
                              </w:pBdr>
                              <w:shd w:val="clear" w:color="auto" w:fill="0271C3"/>
                              <w:bidi w:val="0"/>
                              <w:spacing w:before="0" w:after="0" w:line="240" w:lineRule="auto"/>
                              <w:ind w:left="0" w:right="0" w:firstLine="340"/>
                              <w:jc w:val="left"/>
                              <w:rPr>
                                <w:sz w:val="8"/>
                                <w:szCs w:val="8"/>
                              </w:rPr>
                            </w:pPr>
                            <w:r>
                              <w:rPr>
                                <w:rFonts w:ascii="SimHei" w:eastAsia="SimHei" w:hAnsi="SimHei" w:cs="SimHei"/>
                                <w:color w:val="D5EDF4"/>
                                <w:spacing w:val="0"/>
                                <w:w w:val="100"/>
                                <w:position w:val="0"/>
                                <w:sz w:val="8"/>
                                <w:szCs w:val="8"/>
                              </w:rPr>
                              <w:t>门前三包</w:t>
                            </w:r>
                          </w:p>
                        </w:tc>
                      </w:tr>
                      <w:tr>
                        <w:trPr>
                          <w:trHeight w:val="144" w:hRule="exact"/>
                        </w:trPr>
                        <w:tc>
                          <w:tcPr>
                            <w:tcBorders/>
                            <w:shd w:val="clear" w:color="auto" w:fill="0371C2"/>
                            <w:vAlign w:val="bottom"/>
                          </w:tcPr>
                          <w:p>
                            <w:pPr>
                              <w:pStyle w:val="Style2"/>
                              <w:keepNext w:val="0"/>
                              <w:keepLines w:val="0"/>
                              <w:widowControl w:val="0"/>
                              <w:pBdr>
                                <w:top w:val="single" w:sz="0" w:space="0" w:color="0271C2"/>
                                <w:left w:val="single" w:sz="0" w:space="0" w:color="0271C2"/>
                                <w:bottom w:val="single" w:sz="0" w:space="0" w:color="0271C2"/>
                                <w:right w:val="single" w:sz="0" w:space="0" w:color="0271C2"/>
                              </w:pBdr>
                              <w:shd w:val="clear" w:color="auto" w:fill="0271C2"/>
                              <w:bidi w:val="0"/>
                              <w:spacing w:before="0" w:after="0" w:line="240" w:lineRule="auto"/>
                              <w:ind w:left="0" w:right="0" w:firstLine="340"/>
                              <w:jc w:val="left"/>
                              <w:rPr>
                                <w:sz w:val="8"/>
                                <w:szCs w:val="8"/>
                              </w:rPr>
                            </w:pPr>
                            <w:r>
                              <w:rPr>
                                <w:rFonts w:ascii="SimHei" w:eastAsia="SimHei" w:hAnsi="SimHei" w:cs="SimHei"/>
                                <w:color w:val="FFFFFF"/>
                                <w:spacing w:val="0"/>
                                <w:w w:val="100"/>
                                <w:position w:val="0"/>
                                <w:sz w:val="8"/>
                                <w:szCs w:val="8"/>
                              </w:rPr>
                              <w:t>畋分类</w:t>
                            </w:r>
                          </w:p>
                        </w:tc>
                        <w:tc>
                          <w:tcPr>
                            <w:tcBorders/>
                            <w:shd w:val="clear" w:color="auto" w:fill="0371C2"/>
                            <w:vAlign w:val="bottom"/>
                          </w:tcPr>
                          <w:p>
                            <w:pPr>
                              <w:pStyle w:val="Style2"/>
                              <w:keepNext w:val="0"/>
                              <w:keepLines w:val="0"/>
                              <w:widowControl w:val="0"/>
                              <w:pBdr>
                                <w:top w:val="single" w:sz="0" w:space="0" w:color="0272C3"/>
                                <w:left w:val="single" w:sz="0" w:space="0" w:color="0272C3"/>
                                <w:bottom w:val="single" w:sz="0" w:space="0" w:color="0272C3"/>
                                <w:right w:val="single" w:sz="0" w:space="0" w:color="0272C3"/>
                              </w:pBdr>
                              <w:shd w:val="clear" w:color="auto" w:fill="0272C3"/>
                              <w:bidi w:val="0"/>
                              <w:spacing w:before="0" w:after="0" w:line="240" w:lineRule="auto"/>
                              <w:ind w:left="0" w:right="0" w:firstLine="220"/>
                              <w:jc w:val="left"/>
                              <w:rPr>
                                <w:sz w:val="8"/>
                                <w:szCs w:val="8"/>
                              </w:rPr>
                            </w:pPr>
                            <w:r>
                              <w:rPr>
                                <w:rFonts w:ascii="SimHei" w:eastAsia="SimHei" w:hAnsi="SimHei" w:cs="SimHei"/>
                                <w:color w:val="FFFFFF"/>
                                <w:spacing w:val="0"/>
                                <w:w w:val="100"/>
                                <w:position w:val="0"/>
                                <w:sz w:val="8"/>
                                <w:szCs w:val="8"/>
                              </w:rPr>
                              <w:t>网</w:t>
                            </w:r>
                          </w:p>
                        </w:tc>
                      </w:tr>
                    </w:tbl>
                    <w:p>
                      <w:pPr>
                        <w:widowControl w:val="0"/>
                        <w:spacing w:line="1" w:lineRule="exact"/>
                      </w:pPr>
                    </w:p>
                  </w:txbxContent>
                </v:textbox>
                <w10:wrap type="topAndBottom" anchorx="page"/>
              </v:shape>
            </w:pict>
          </mc:Fallback>
        </mc:AlternateContent>
      </w:r>
      <w:r>
        <w:drawing>
          <wp:anchor distT="1256030" distB="1194435" distL="230505" distR="332740" simplePos="0" relativeHeight="125829387" behindDoc="0" locked="0" layoutInCell="1" allowOverlap="1">
            <wp:simplePos x="0" y="0"/>
            <wp:positionH relativeFrom="page">
              <wp:posOffset>1626870</wp:posOffset>
            </wp:positionH>
            <wp:positionV relativeFrom="paragraph">
              <wp:posOffset>1256030</wp:posOffset>
            </wp:positionV>
            <wp:extent cx="4285615" cy="603250"/>
            <wp:wrapTopAndBottom/>
            <wp:docPr id="16" name="Shape 16"/>
            <a:graphic xmlns:a="http://schemas.openxmlformats.org/drawingml/2006/main">
              <a:graphicData uri="http://schemas.openxmlformats.org/drawingml/2006/picture">
                <pic:pic xmlns:pic="http://schemas.openxmlformats.org/drawingml/2006/picture">
                  <pic:nvPicPr>
                    <pic:cNvPr id="17" name="Picture box 17"/>
                    <pic:cNvPicPr/>
                  </pic:nvPicPr>
                  <pic:blipFill>
                    <a:blip r:embed="rId9"/>
                    <a:stretch/>
                  </pic:blipFill>
                  <pic:spPr>
                    <a:xfrm>
                      <a:ext cx="4285615" cy="60325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3531870</wp:posOffset>
                </wp:positionH>
                <wp:positionV relativeFrom="paragraph">
                  <wp:posOffset>1908175</wp:posOffset>
                </wp:positionV>
                <wp:extent cx="492760" cy="112395"/>
                <wp:wrapNone/>
                <wp:docPr id="18" name="Shape 18"/>
                <a:graphic xmlns:a="http://schemas.openxmlformats.org/drawingml/2006/main">
                  <a:graphicData uri="http://schemas.microsoft.com/office/word/2010/wordprocessingShape">
                    <wps:wsp>
                      <wps:cNvSpPr txBox="1"/>
                      <wps:spPr>
                        <a:xfrm>
                          <a:ext cx="492760" cy="112395"/>
                        </a:xfrm>
                        <a:prstGeom prst="rect"/>
                        <a:noFill/>
                      </wps:spPr>
                      <wps:txbx>
                        <w:txbxContent>
                          <w:p>
                            <w:pPr>
                              <w:pStyle w:val="Style38"/>
                              <w:keepNext w:val="0"/>
                              <w:keepLines w:val="0"/>
                              <w:widowControl w:val="0"/>
                              <w:pBdr>
                                <w:top w:val="single" w:sz="0" w:space="0" w:color="0271C2"/>
                                <w:left w:val="single" w:sz="0" w:space="31" w:color="0271C2"/>
                                <w:bottom w:val="single" w:sz="0" w:space="0" w:color="0271C2"/>
                                <w:right w:val="single" w:sz="0" w:space="31" w:color="0271C2"/>
                              </w:pBdr>
                              <w:shd w:val="clear" w:color="auto" w:fill="0271C2"/>
                              <w:bidi w:val="0"/>
                              <w:spacing w:before="0" w:after="0" w:line="240" w:lineRule="auto"/>
                              <w:ind w:left="0" w:right="0" w:firstLine="0"/>
                              <w:jc w:val="left"/>
                              <w:rPr>
                                <w:sz w:val="11"/>
                                <w:szCs w:val="11"/>
                              </w:rPr>
                            </w:pPr>
                            <w:r>
                              <w:rPr>
                                <w:rFonts w:ascii="SimHei" w:eastAsia="SimHei" w:hAnsi="SimHei" w:cs="SimHei"/>
                                <w:color w:val="FFFFFF"/>
                                <w:spacing w:val="0"/>
                                <w:w w:val="100"/>
                                <w:position w:val="0"/>
                                <w:sz w:val="11"/>
                                <w:szCs w:val="11"/>
                              </w:rPr>
                              <w:t>技术创新中台</w:t>
                            </w:r>
                          </w:p>
                        </w:txbxContent>
                      </wps:txbx>
                      <wps:bodyPr lIns="0" tIns="0" rIns="0" bIns="0">
                        <a:noAutoFit/>
                      </wps:bodyPr>
                    </wps:wsp>
                  </a:graphicData>
                </a:graphic>
              </wp:anchor>
            </w:drawing>
          </mc:Choice>
          <mc:Fallback>
            <w:pict>
              <v:shape id="_x0000_s1044" type="#_x0000_t202" style="position:absolute;margin-left:278.10000000000002pt;margin-top:150.25pt;width:38.800000000000004pt;height:8.8499999999999996pt;z-index:251657733;mso-wrap-distance-left:0;mso-wrap-distance-right:0;mso-position-horizontal-relative:page" filled="f" stroked="f">
                <v:textbox inset="0,0,0,0">
                  <w:txbxContent>
                    <w:p>
                      <w:pPr>
                        <w:pStyle w:val="Style38"/>
                        <w:keepNext w:val="0"/>
                        <w:keepLines w:val="0"/>
                        <w:widowControl w:val="0"/>
                        <w:pBdr>
                          <w:top w:val="single" w:sz="0" w:space="0" w:color="0271C2"/>
                          <w:left w:val="single" w:sz="0" w:space="31" w:color="0271C2"/>
                          <w:bottom w:val="single" w:sz="0" w:space="0" w:color="0271C2"/>
                          <w:right w:val="single" w:sz="0" w:space="31" w:color="0271C2"/>
                        </w:pBdr>
                        <w:shd w:val="clear" w:color="auto" w:fill="0271C2"/>
                        <w:bidi w:val="0"/>
                        <w:spacing w:before="0" w:after="0" w:line="240" w:lineRule="auto"/>
                        <w:ind w:left="0" w:right="0" w:firstLine="0"/>
                        <w:jc w:val="left"/>
                        <w:rPr>
                          <w:sz w:val="11"/>
                          <w:szCs w:val="11"/>
                        </w:rPr>
                      </w:pPr>
                      <w:r>
                        <w:rPr>
                          <w:rFonts w:ascii="SimHei" w:eastAsia="SimHei" w:hAnsi="SimHei" w:cs="SimHei"/>
                          <w:color w:val="FFFFFF"/>
                          <w:spacing w:val="0"/>
                          <w:w w:val="100"/>
                          <w:position w:val="0"/>
                          <w:sz w:val="11"/>
                          <w:szCs w:val="11"/>
                        </w:rPr>
                        <w:t>技术创新中台</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1894205</wp:posOffset>
                </wp:positionH>
                <wp:positionV relativeFrom="paragraph">
                  <wp:posOffset>1457960</wp:posOffset>
                </wp:positionV>
                <wp:extent cx="314325" cy="93980"/>
                <wp:wrapNone/>
                <wp:docPr id="20" name="Shape 20"/>
                <a:graphic xmlns:a="http://schemas.openxmlformats.org/drawingml/2006/main">
                  <a:graphicData uri="http://schemas.microsoft.com/office/word/2010/wordprocessingShape">
                    <wps:wsp>
                      <wps:cNvSpPr txBox="1"/>
                      <wps:spPr>
                        <a:xfrm>
                          <a:ext cx="314325" cy="93980"/>
                        </a:xfrm>
                        <a:prstGeom prst="rect"/>
                        <a:noFill/>
                      </wps:spPr>
                      <wps:txbx>
                        <w:txbxContent>
                          <w:p>
                            <w:pPr>
                              <w:pStyle w:val="Style38"/>
                              <w:keepNext w:val="0"/>
                              <w:keepLines w:val="0"/>
                              <w:widowControl w:val="0"/>
                              <w:pBdr>
                                <w:top w:val="single" w:sz="0" w:space="0" w:color="0572C4"/>
                                <w:left w:val="single" w:sz="0" w:space="31" w:color="0572C4"/>
                                <w:bottom w:val="single" w:sz="0" w:space="0" w:color="0572C4"/>
                                <w:right w:val="single" w:sz="0" w:space="31" w:color="0572C4"/>
                              </w:pBdr>
                              <w:shd w:val="clear" w:color="auto" w:fill="0572C4"/>
                              <w:bidi w:val="0"/>
                              <w:spacing w:before="0" w:after="0" w:line="240" w:lineRule="auto"/>
                              <w:ind w:left="0" w:right="0" w:firstLine="0"/>
                              <w:jc w:val="left"/>
                              <w:rPr>
                                <w:sz w:val="8"/>
                                <w:szCs w:val="8"/>
                              </w:rPr>
                            </w:pPr>
                            <w:r>
                              <w:rPr>
                                <w:rFonts w:ascii="Times New Roman" w:eastAsia="Times New Roman" w:hAnsi="Times New Roman" w:cs="Times New Roman"/>
                                <w:b/>
                                <w:bCs/>
                                <w:color w:val="FFFFFF"/>
                                <w:spacing w:val="0"/>
                                <w:w w:val="100"/>
                                <w:position w:val="0"/>
                                <w:sz w:val="8"/>
                                <w:szCs w:val="8"/>
                              </w:rPr>
                              <w:t>AI</w:t>
                            </w:r>
                            <w:r>
                              <w:rPr>
                                <w:rFonts w:ascii="SimHei" w:eastAsia="SimHei" w:hAnsi="SimHei" w:cs="SimHei"/>
                                <w:color w:val="D5EDF4"/>
                                <w:spacing w:val="0"/>
                                <w:w w:val="100"/>
                                <w:position w:val="0"/>
                                <w:sz w:val="8"/>
                                <w:szCs w:val="8"/>
                              </w:rPr>
                              <w:t>醐事件</w:t>
                            </w:r>
                          </w:p>
                        </w:txbxContent>
                      </wps:txbx>
                      <wps:bodyPr lIns="0" tIns="0" rIns="0" bIns="0">
                        <a:noAutoFit/>
                      </wps:bodyPr>
                    </wps:wsp>
                  </a:graphicData>
                </a:graphic>
              </wp:anchor>
            </w:drawing>
          </mc:Choice>
          <mc:Fallback>
            <w:pict>
              <v:shape id="_x0000_s1046" type="#_x0000_t202" style="position:absolute;margin-left:149.15000000000001pt;margin-top:114.8pt;width:24.75pt;height:7.4000000000000004pt;z-index:251657735;mso-wrap-distance-left:0;mso-wrap-distance-right:0;mso-position-horizontal-relative:page" filled="f" stroked="f">
                <v:textbox inset="0,0,0,0">
                  <w:txbxContent>
                    <w:p>
                      <w:pPr>
                        <w:pStyle w:val="Style38"/>
                        <w:keepNext w:val="0"/>
                        <w:keepLines w:val="0"/>
                        <w:widowControl w:val="0"/>
                        <w:pBdr>
                          <w:top w:val="single" w:sz="0" w:space="0" w:color="0572C4"/>
                          <w:left w:val="single" w:sz="0" w:space="31" w:color="0572C4"/>
                          <w:bottom w:val="single" w:sz="0" w:space="0" w:color="0572C4"/>
                          <w:right w:val="single" w:sz="0" w:space="31" w:color="0572C4"/>
                        </w:pBdr>
                        <w:shd w:val="clear" w:color="auto" w:fill="0572C4"/>
                        <w:bidi w:val="0"/>
                        <w:spacing w:before="0" w:after="0" w:line="240" w:lineRule="auto"/>
                        <w:ind w:left="0" w:right="0" w:firstLine="0"/>
                        <w:jc w:val="left"/>
                        <w:rPr>
                          <w:sz w:val="8"/>
                          <w:szCs w:val="8"/>
                        </w:rPr>
                      </w:pPr>
                      <w:r>
                        <w:rPr>
                          <w:rFonts w:ascii="Times New Roman" w:eastAsia="Times New Roman" w:hAnsi="Times New Roman" w:cs="Times New Roman"/>
                          <w:b/>
                          <w:bCs/>
                          <w:color w:val="FFFFFF"/>
                          <w:spacing w:val="0"/>
                          <w:w w:val="100"/>
                          <w:position w:val="0"/>
                          <w:sz w:val="8"/>
                          <w:szCs w:val="8"/>
                        </w:rPr>
                        <w:t>AI</w:t>
                      </w:r>
                      <w:r>
                        <w:rPr>
                          <w:rFonts w:ascii="SimHei" w:eastAsia="SimHei" w:hAnsi="SimHei" w:cs="SimHei"/>
                          <w:color w:val="D5EDF4"/>
                          <w:spacing w:val="0"/>
                          <w:w w:val="100"/>
                          <w:position w:val="0"/>
                          <w:sz w:val="8"/>
                          <w:szCs w:val="8"/>
                        </w:rPr>
                        <w:t>醐事件</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1815465</wp:posOffset>
                </wp:positionH>
                <wp:positionV relativeFrom="paragraph">
                  <wp:posOffset>1638300</wp:posOffset>
                </wp:positionV>
                <wp:extent cx="471805" cy="91440"/>
                <wp:wrapNone/>
                <wp:docPr id="22" name="Shape 22"/>
                <a:graphic xmlns:a="http://schemas.openxmlformats.org/drawingml/2006/main">
                  <a:graphicData uri="http://schemas.microsoft.com/office/word/2010/wordprocessingShape">
                    <wps:wsp>
                      <wps:cNvSpPr txBox="1"/>
                      <wps:spPr>
                        <a:xfrm>
                          <a:ext cx="471805" cy="91440"/>
                        </a:xfrm>
                        <a:prstGeom prst="rect"/>
                        <a:noFill/>
                      </wps:spPr>
                      <wps:txbx>
                        <w:txbxContent>
                          <w:p>
                            <w:pPr>
                              <w:pStyle w:val="Style38"/>
                              <w:keepNext w:val="0"/>
                              <w:keepLines w:val="0"/>
                              <w:widowControl w:val="0"/>
                              <w:pBdr>
                                <w:top w:val="single" w:sz="0" w:space="0" w:color="076CB6"/>
                                <w:left w:val="single" w:sz="0" w:space="31" w:color="076CB6"/>
                                <w:bottom w:val="single" w:sz="0" w:space="0" w:color="076CB6"/>
                                <w:right w:val="single" w:sz="0" w:space="31" w:color="076CB6"/>
                              </w:pBdr>
                              <w:shd w:val="clear" w:color="auto" w:fill="076CB6"/>
                              <w:bidi w:val="0"/>
                              <w:spacing w:before="0" w:after="0" w:line="240" w:lineRule="auto"/>
                              <w:ind w:left="0" w:right="0" w:firstLine="0"/>
                              <w:jc w:val="left"/>
                              <w:rPr>
                                <w:sz w:val="8"/>
                                <w:szCs w:val="8"/>
                              </w:rPr>
                            </w:pPr>
                            <w:r>
                              <w:rPr>
                                <w:rFonts w:ascii="SimHei" w:eastAsia="SimHei" w:hAnsi="SimHei" w:cs="SimHei"/>
                                <w:color w:val="D5EDF4"/>
                                <w:spacing w:val="0"/>
                                <w:w w:val="100"/>
                                <w:position w:val="0"/>
                                <w:sz w:val="8"/>
                                <w:szCs w:val="8"/>
                              </w:rPr>
                              <w:t>椅噱酣能分析</w:t>
                            </w:r>
                          </w:p>
                        </w:txbxContent>
                      </wps:txbx>
                      <wps:bodyPr lIns="0" tIns="0" rIns="0" bIns="0">
                        <a:noAutoFit/>
                      </wps:bodyPr>
                    </wps:wsp>
                  </a:graphicData>
                </a:graphic>
              </wp:anchor>
            </w:drawing>
          </mc:Choice>
          <mc:Fallback>
            <w:pict>
              <v:shape id="_x0000_s1048" type="#_x0000_t202" style="position:absolute;margin-left:142.95000000000002pt;margin-top:129.pt;width:37.149999999999999pt;height:7.2000000000000002pt;z-index:251657737;mso-wrap-distance-left:0;mso-wrap-distance-right:0;mso-position-horizontal-relative:page" filled="f" stroked="f">
                <v:textbox inset="0,0,0,0">
                  <w:txbxContent>
                    <w:p>
                      <w:pPr>
                        <w:pStyle w:val="Style38"/>
                        <w:keepNext w:val="0"/>
                        <w:keepLines w:val="0"/>
                        <w:widowControl w:val="0"/>
                        <w:pBdr>
                          <w:top w:val="single" w:sz="0" w:space="0" w:color="076CB6"/>
                          <w:left w:val="single" w:sz="0" w:space="31" w:color="076CB6"/>
                          <w:bottom w:val="single" w:sz="0" w:space="0" w:color="076CB6"/>
                          <w:right w:val="single" w:sz="0" w:space="31" w:color="076CB6"/>
                        </w:pBdr>
                        <w:shd w:val="clear" w:color="auto" w:fill="076CB6"/>
                        <w:bidi w:val="0"/>
                        <w:spacing w:before="0" w:after="0" w:line="240" w:lineRule="auto"/>
                        <w:ind w:left="0" w:right="0" w:firstLine="0"/>
                        <w:jc w:val="left"/>
                        <w:rPr>
                          <w:sz w:val="8"/>
                          <w:szCs w:val="8"/>
                        </w:rPr>
                      </w:pPr>
                      <w:r>
                        <w:rPr>
                          <w:rFonts w:ascii="SimHei" w:eastAsia="SimHei" w:hAnsi="SimHei" w:cs="SimHei"/>
                          <w:color w:val="D5EDF4"/>
                          <w:spacing w:val="0"/>
                          <w:w w:val="100"/>
                          <w:position w:val="0"/>
                          <w:sz w:val="8"/>
                          <w:szCs w:val="8"/>
                        </w:rPr>
                        <w:t>椅噱酣能分析</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5975985</wp:posOffset>
                </wp:positionH>
                <wp:positionV relativeFrom="paragraph">
                  <wp:posOffset>1290320</wp:posOffset>
                </wp:positionV>
                <wp:extent cx="269875" cy="568325"/>
                <wp:wrapNone/>
                <wp:docPr id="24" name="Shape 24"/>
                <a:graphic xmlns:a="http://schemas.openxmlformats.org/drawingml/2006/main">
                  <a:graphicData uri="http://schemas.microsoft.com/office/word/2010/wordprocessingShape">
                    <wps:wsp>
                      <wps:cNvSpPr txBox="1"/>
                      <wps:spPr>
                        <a:xfrm>
                          <a:ext cx="269875" cy="568325"/>
                        </a:xfrm>
                        <a:prstGeom prst="rect"/>
                        <a:noFill/>
                      </wps:spPr>
                      <wps:txbx>
                        <w:txbxContent>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绩效评估体系</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运营运维体系</w:t>
                            </w:r>
                          </w:p>
                        </w:txbxContent>
                      </wps:txbx>
                      <wps:bodyPr upright="1" vert="eaVert" lIns="0" tIns="0" rIns="0" bIns="0">
                        <a:noAutoFit/>
                      </wps:bodyPr>
                    </wps:wsp>
                  </a:graphicData>
                </a:graphic>
              </wp:anchor>
            </w:drawing>
          </mc:Choice>
          <mc:Fallback>
            <w:pict>
              <v:shape id="_x0000_s1050" type="#_x0000_t202" style="position:absolute;margin-left:470.55000000000001pt;margin-top:101.60000000000001pt;width:21.25pt;height:44.75pt;z-index:251657739;mso-wrap-distance-left:0;mso-wrap-distance-right:0;mso-position-horizontal-relative:page" filled="f" stroked="f">
                <v:textbox style="layout-flow:vertical-ideographic" inset="0,0,0,0">
                  <w:txbxContent>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绩效评估体系</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运营运维体系</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1396365</wp:posOffset>
                </wp:positionH>
                <wp:positionV relativeFrom="paragraph">
                  <wp:posOffset>1452880</wp:posOffset>
                </wp:positionV>
                <wp:extent cx="186055" cy="248920"/>
                <wp:wrapNone/>
                <wp:docPr id="26" name="Shape 26"/>
                <a:graphic xmlns:a="http://schemas.openxmlformats.org/drawingml/2006/main">
                  <a:graphicData uri="http://schemas.microsoft.com/office/word/2010/wordprocessingShape">
                    <wps:wsp>
                      <wps:cNvSpPr txBox="1"/>
                      <wps:spPr>
                        <a:xfrm>
                          <a:ext cx="186055" cy="248920"/>
                        </a:xfrm>
                        <a:prstGeom prst="rect"/>
                        <a:noFill/>
                      </wps:spPr>
                      <wps:txbx>
                        <w:txbxContent>
                          <w:p>
                            <w:pPr>
                              <w:pStyle w:val="Style29"/>
                              <w:keepNext w:val="0"/>
                              <w:keepLines w:val="0"/>
                              <w:widowControl w:val="0"/>
                              <w:shd w:val="clear" w:color="auto" w:fill="auto"/>
                              <w:bidi w:val="0"/>
                              <w:spacing w:before="0" w:after="0" w:line="124" w:lineRule="exact"/>
                              <w:ind w:left="0" w:right="0" w:firstLine="0"/>
                              <w:jc w:val="left"/>
                            </w:pPr>
                            <w:r>
                              <w:rPr>
                                <w:b/>
                                <w:bCs/>
                                <w:color w:val="B4080D"/>
                                <w:spacing w:val="0"/>
                                <w:w w:val="100"/>
                                <w:position w:val="0"/>
                              </w:rPr>
                              <w:t>运台 城平</w:t>
                            </w:r>
                          </w:p>
                        </w:txbxContent>
                      </wps:txbx>
                      <wps:bodyPr upright="1" vert="eaVert" lIns="0" tIns="0" rIns="0" bIns="0">
                        <a:noAutoFit/>
                      </wps:bodyPr>
                    </wps:wsp>
                  </a:graphicData>
                </a:graphic>
              </wp:anchor>
            </w:drawing>
          </mc:Choice>
          <mc:Fallback>
            <w:pict>
              <v:shape id="_x0000_s1052" type="#_x0000_t202" style="position:absolute;margin-left:109.95pt;margin-top:114.40000000000001pt;width:14.65pt;height:19.600000000000001pt;z-index:251657741;mso-wrap-distance-left:0;mso-wrap-distance-right:0;mso-position-horizontal-relative:page" filled="f" stroked="f">
                <v:textbox style="layout-flow:vertical-ideographic" inset="0,0,0,0">
                  <w:txbxContent>
                    <w:p>
                      <w:pPr>
                        <w:pStyle w:val="Style29"/>
                        <w:keepNext w:val="0"/>
                        <w:keepLines w:val="0"/>
                        <w:widowControl w:val="0"/>
                        <w:shd w:val="clear" w:color="auto" w:fill="auto"/>
                        <w:bidi w:val="0"/>
                        <w:spacing w:before="0" w:after="0" w:line="124" w:lineRule="exact"/>
                        <w:ind w:left="0" w:right="0" w:firstLine="0"/>
                        <w:jc w:val="left"/>
                      </w:pPr>
                      <w:r>
                        <w:rPr>
                          <w:b/>
                          <w:bCs/>
                          <w:color w:val="B4080D"/>
                          <w:spacing w:val="0"/>
                          <w:w w:val="100"/>
                          <w:position w:val="0"/>
                        </w:rPr>
                        <w:t>运台 城平</w:t>
                      </w:r>
                    </w:p>
                  </w:txbxContent>
                </v:textbox>
                <w10:wrap anchorx="page"/>
              </v:shape>
            </w:pict>
          </mc:Fallback>
        </mc:AlternateContent>
      </w:r>
      <w:r>
        <w:drawing>
          <wp:anchor distT="1861185" distB="594360" distL="0" distR="0" simplePos="0" relativeHeight="125829388" behindDoc="0" locked="0" layoutInCell="1" allowOverlap="1">
            <wp:simplePos x="0" y="0"/>
            <wp:positionH relativeFrom="page">
              <wp:posOffset>1645285</wp:posOffset>
            </wp:positionH>
            <wp:positionV relativeFrom="paragraph">
              <wp:posOffset>1861185</wp:posOffset>
            </wp:positionV>
            <wp:extent cx="4248785" cy="597535"/>
            <wp:wrapTopAndBottom/>
            <wp:docPr id="28" name="Shape 28"/>
            <a:graphic xmlns:a="http://schemas.openxmlformats.org/drawingml/2006/main">
              <a:graphicData uri="http://schemas.openxmlformats.org/drawingml/2006/picture">
                <pic:pic xmlns:pic="http://schemas.openxmlformats.org/drawingml/2006/picture">
                  <pic:nvPicPr>
                    <pic:cNvPr id="29" name="Picture box 29"/>
                    <pic:cNvPicPr/>
                  </pic:nvPicPr>
                  <pic:blipFill>
                    <a:blip r:embed="rId11"/>
                    <a:stretch/>
                  </pic:blipFill>
                  <pic:spPr>
                    <a:xfrm>
                      <a:ext cx="4248785" cy="597535"/>
                    </a:xfrm>
                    <a:prstGeom prst="rect"/>
                  </pic:spPr>
                </pic:pic>
              </a:graphicData>
            </a:graphic>
          </wp:anchor>
        </w:drawing>
      </w:r>
      <w:r>
        <mc:AlternateContent>
          <mc:Choice Requires="wps">
            <w:drawing>
              <wp:anchor distT="0" distB="0" distL="0" distR="0" simplePos="0" relativeHeight="503316496" behindDoc="0" locked="0" layoutInCell="1" allowOverlap="1">
                <wp:simplePos x="0" y="0"/>
                <wp:positionH relativeFrom="page">
                  <wp:posOffset>3562985</wp:posOffset>
                </wp:positionH>
                <wp:positionV relativeFrom="paragraph">
                  <wp:posOffset>2361565</wp:posOffset>
                </wp:positionV>
                <wp:extent cx="363855" cy="88900"/>
                <wp:wrapNone/>
                <wp:docPr id="30" name="Shape 30"/>
                <a:graphic xmlns:a="http://schemas.openxmlformats.org/drawingml/2006/main">
                  <a:graphicData uri="http://schemas.microsoft.com/office/word/2010/wordprocessingShape">
                    <wps:wsp>
                      <wps:cNvSpPr txBox="1"/>
                      <wps:spPr>
                        <a:xfrm>
                          <a:ext cx="363855" cy="88900"/>
                        </a:xfrm>
                        <a:prstGeom prst="rect"/>
                        <a:noFill/>
                      </wps:spPr>
                      <wps:txbx>
                        <w:txbxContent>
                          <w:p>
                            <w:pPr>
                              <w:pStyle w:val="Style38"/>
                              <w:keepNext w:val="0"/>
                              <w:keepLines w:val="0"/>
                              <w:widowControl w:val="0"/>
                              <w:pBdr>
                                <w:top w:val="single" w:sz="0" w:space="0" w:color="0673C3"/>
                                <w:left w:val="single" w:sz="0" w:space="31" w:color="0673C3"/>
                                <w:bottom w:val="single" w:sz="0" w:space="0" w:color="0673C3"/>
                                <w:right w:val="single" w:sz="0" w:space="31" w:color="0673C3"/>
                              </w:pBdr>
                              <w:shd w:val="clear" w:color="auto" w:fill="0673C3"/>
                              <w:bidi w:val="0"/>
                              <w:spacing w:before="0" w:after="0" w:line="240" w:lineRule="auto"/>
                              <w:ind w:left="0" w:right="0" w:firstLine="0"/>
                              <w:jc w:val="left"/>
                              <w:rPr>
                                <w:sz w:val="8"/>
                                <w:szCs w:val="8"/>
                              </w:rPr>
                            </w:pPr>
                            <w:r>
                              <w:rPr>
                                <w:rFonts w:ascii="SimHei" w:eastAsia="SimHei" w:hAnsi="SimHei" w:cs="SimHei"/>
                                <w:color w:val="FFFFFF"/>
                                <w:spacing w:val="0"/>
                                <w:w w:val="100"/>
                                <w:position w:val="0"/>
                                <w:sz w:val="8"/>
                                <w:szCs w:val="8"/>
                              </w:rPr>
                              <w:t>维服务中心</w:t>
                            </w:r>
                          </w:p>
                        </w:txbxContent>
                      </wps:txbx>
                      <wps:bodyPr lIns="0" tIns="0" rIns="0" bIns="0">
                        <a:noAutoFit/>
                      </wps:bodyPr>
                    </wps:wsp>
                  </a:graphicData>
                </a:graphic>
              </wp:anchor>
            </w:drawing>
          </mc:Choice>
          <mc:Fallback>
            <w:pict>
              <v:shape id="_x0000_s1056" type="#_x0000_t202" style="position:absolute;margin-left:280.55000000000001pt;margin-top:185.95000000000002pt;width:28.650000000000002pt;height:7.pt;z-index:251657743;mso-wrap-distance-left:0;mso-wrap-distance-right:0;mso-position-horizontal-relative:page" filled="f" stroked="f">
                <v:textbox inset="0,0,0,0">
                  <w:txbxContent>
                    <w:p>
                      <w:pPr>
                        <w:pStyle w:val="Style38"/>
                        <w:keepNext w:val="0"/>
                        <w:keepLines w:val="0"/>
                        <w:widowControl w:val="0"/>
                        <w:pBdr>
                          <w:top w:val="single" w:sz="0" w:space="0" w:color="0673C3"/>
                          <w:left w:val="single" w:sz="0" w:space="31" w:color="0673C3"/>
                          <w:bottom w:val="single" w:sz="0" w:space="0" w:color="0673C3"/>
                          <w:right w:val="single" w:sz="0" w:space="31" w:color="0673C3"/>
                        </w:pBdr>
                        <w:shd w:val="clear" w:color="auto" w:fill="0673C3"/>
                        <w:bidi w:val="0"/>
                        <w:spacing w:before="0" w:after="0" w:line="240" w:lineRule="auto"/>
                        <w:ind w:left="0" w:right="0" w:firstLine="0"/>
                        <w:jc w:val="left"/>
                        <w:rPr>
                          <w:sz w:val="8"/>
                          <w:szCs w:val="8"/>
                        </w:rPr>
                      </w:pPr>
                      <w:r>
                        <w:rPr>
                          <w:rFonts w:ascii="SimHei" w:eastAsia="SimHei" w:hAnsi="SimHei" w:cs="SimHei"/>
                          <w:color w:val="FFFFFF"/>
                          <w:spacing w:val="0"/>
                          <w:w w:val="100"/>
                          <w:position w:val="0"/>
                          <w:sz w:val="8"/>
                          <w:szCs w:val="8"/>
                        </w:rPr>
                        <w:t>维服务中心</w:t>
                      </w:r>
                    </w:p>
                  </w:txbxContent>
                </v:textbox>
                <w10:wrap anchorx="page"/>
              </v:shape>
            </w:pict>
          </mc:Fallback>
        </mc:AlternateContent>
      </w:r>
      <w:r>
        <mc:AlternateContent>
          <mc:Choice Requires="wps">
            <w:drawing>
              <wp:anchor distT="2458720" distB="219710" distL="0" distR="0" simplePos="0" relativeHeight="125829389" behindDoc="0" locked="0" layoutInCell="1" allowOverlap="1">
                <wp:simplePos x="0" y="0"/>
                <wp:positionH relativeFrom="page">
                  <wp:posOffset>1645285</wp:posOffset>
                </wp:positionH>
                <wp:positionV relativeFrom="paragraph">
                  <wp:posOffset>2458720</wp:posOffset>
                </wp:positionV>
                <wp:extent cx="4246880" cy="377190"/>
                <wp:wrapTopAndBottom/>
                <wp:docPr id="32" name="Shape 32"/>
                <a:graphic xmlns:a="http://schemas.openxmlformats.org/drawingml/2006/main">
                  <a:graphicData uri="http://schemas.microsoft.com/office/word/2010/wordprocessingShape">
                    <wps:wsp>
                      <wps:cNvSpPr txBox="1"/>
                      <wps:spPr>
                        <a:xfrm>
                          <a:ext cx="4246880" cy="377190"/>
                        </a:xfrm>
                        <a:prstGeom prst="rect"/>
                        <a:noFill/>
                      </wps:spPr>
                      <wps:txbx>
                        <w:txbxContent>
                          <w:tbl>
                            <w:tblPr>
                              <w:tblOverlap w:val="never"/>
                              <w:jc w:val="left"/>
                              <w:tblLayout w:type="fixed"/>
                            </w:tblPr>
                            <w:tblGrid>
                              <w:gridCol w:w="1514"/>
                              <w:gridCol w:w="1374"/>
                              <w:gridCol w:w="1015"/>
                              <w:gridCol w:w="1465"/>
                              <w:gridCol w:w="1320"/>
                            </w:tblGrid>
                            <w:tr>
                              <w:trPr>
                                <w:tblHeader/>
                                <w:trHeight w:val="186" w:hRule="exact"/>
                              </w:trPr>
                              <w:tc>
                                <w:tcPr>
                                  <w:gridSpan w:val="5"/>
                                  <w:tcBorders>
                                    <w:top w:val="single" w:sz="4"/>
                                  </w:tcBorders>
                                  <w:shd w:val="clear" w:color="auto" w:fill="9BDBFC"/>
                                  <w:vAlign w:val="top"/>
                                </w:tcPr>
                                <w:p>
                                  <w:pPr>
                                    <w:widowControl w:val="0"/>
                                    <w:rPr>
                                      <w:sz w:val="10"/>
                                      <w:szCs w:val="10"/>
                                    </w:rPr>
                                  </w:pPr>
                                </w:p>
                              </w:tc>
                            </w:tr>
                            <w:tr>
                              <w:trPr>
                                <w:trHeight w:val="190" w:hRule="exact"/>
                              </w:trPr>
                              <w:tc>
                                <w:tcPr>
                                  <w:tcBorders/>
                                  <w:shd w:val="clear" w:color="auto" w:fill="9BDBFC"/>
                                  <w:vAlign w:val="top"/>
                                </w:tcPr>
                                <w:p>
                                  <w:pPr>
                                    <w:pStyle w:val="Style2"/>
                                    <w:keepNext w:val="0"/>
                                    <w:keepLines w:val="0"/>
                                    <w:widowControl w:val="0"/>
                                    <w:shd w:val="clear" w:color="auto" w:fill="auto"/>
                                    <w:bidi w:val="0"/>
                                    <w:spacing w:before="0" w:after="0" w:line="240" w:lineRule="auto"/>
                                    <w:ind w:left="0" w:right="0" w:firstLine="0"/>
                                    <w:jc w:val="center"/>
                                    <w:rPr>
                                      <w:sz w:val="10"/>
                                      <w:szCs w:val="10"/>
                                    </w:rPr>
                                  </w:pPr>
                                  <w:r>
                                    <w:rPr>
                                      <w:rFonts w:ascii="SimHei" w:eastAsia="SimHei" w:hAnsi="SimHei" w:cs="SimHei"/>
                                      <w:color w:val="0B1928"/>
                                      <w:spacing w:val="0"/>
                                      <w:w w:val="100"/>
                                      <w:position w:val="0"/>
                                      <w:sz w:val="10"/>
                                      <w:szCs w:val="10"/>
                                    </w:rPr>
                                    <w:t>游戏级可视化渲染引擎</w:t>
                                  </w:r>
                                </w:p>
                              </w:tc>
                              <w:tc>
                                <w:tcPr>
                                  <w:gridSpan w:val="2"/>
                                  <w:tcBorders/>
                                  <w:shd w:val="clear" w:color="auto" w:fill="9BDBFC"/>
                                  <w:vAlign w:val="top"/>
                                </w:tcPr>
                                <w:p>
                                  <w:pPr>
                                    <w:pStyle w:val="Style2"/>
                                    <w:keepNext w:val="0"/>
                                    <w:keepLines w:val="0"/>
                                    <w:widowControl w:val="0"/>
                                    <w:shd w:val="clear" w:color="auto" w:fill="auto"/>
                                    <w:bidi w:val="0"/>
                                    <w:spacing w:before="0" w:after="0" w:line="240" w:lineRule="auto"/>
                                    <w:ind w:left="0" w:right="0" w:firstLine="680"/>
                                    <w:jc w:val="left"/>
                                    <w:rPr>
                                      <w:sz w:val="10"/>
                                      <w:szCs w:val="10"/>
                                    </w:rPr>
                                  </w:pPr>
                                  <w:r>
                                    <w:rPr>
                                      <w:rFonts w:ascii="Arial" w:eastAsia="Arial" w:hAnsi="Arial" w:cs="Arial"/>
                                      <w:color w:val="000000"/>
                                      <w:spacing w:val="0"/>
                                      <w:w w:val="100"/>
                                      <w:position w:val="0"/>
                                      <w:sz w:val="10"/>
                                      <w:szCs w:val="10"/>
                                    </w:rPr>
                                    <w:t>CIM</w:t>
                                  </w:r>
                                  <w:r>
                                    <w:rPr>
                                      <w:rFonts w:ascii="SimHei" w:eastAsia="SimHei" w:hAnsi="SimHei" w:cs="SimHei"/>
                                      <w:color w:val="000000"/>
                                      <w:spacing w:val="0"/>
                                      <w:w w:val="100"/>
                                      <w:position w:val="0"/>
                                      <w:sz w:val="10"/>
                                      <w:szCs w:val="10"/>
                                    </w:rPr>
                                    <w:t>数据处理</w:t>
                                  </w:r>
                                </w:p>
                              </w:tc>
                              <w:tc>
                                <w:tcPr>
                                  <w:tcBorders/>
                                  <w:shd w:val="clear" w:color="auto" w:fill="9BDBFC"/>
                                  <w:vAlign w:val="top"/>
                                </w:tcPr>
                                <w:p>
                                  <w:pPr>
                                    <w:pStyle w:val="Style2"/>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B1928"/>
                                      <w:spacing w:val="0"/>
                                      <w:w w:val="100"/>
                                      <w:position w:val="0"/>
                                      <w:sz w:val="10"/>
                                      <w:szCs w:val="10"/>
                                    </w:rPr>
                                    <w:t>CIM</w:t>
                                  </w:r>
                                  <w:r>
                                    <w:rPr>
                                      <w:rFonts w:ascii="SimHei" w:eastAsia="SimHei" w:hAnsi="SimHei" w:cs="SimHei"/>
                                      <w:color w:val="0B1928"/>
                                      <w:spacing w:val="0"/>
                                      <w:w w:val="100"/>
                                      <w:position w:val="0"/>
                                      <w:sz w:val="10"/>
                                      <w:szCs w:val="10"/>
                                    </w:rPr>
                                    <w:t>数据管理</w:t>
                                  </w:r>
                                </w:p>
                              </w:tc>
                              <w:tc>
                                <w:tcPr>
                                  <w:tcBorders/>
                                  <w:shd w:val="clear" w:color="auto" w:fill="9BDBFC"/>
                                  <w:vAlign w:val="top"/>
                                </w:tcPr>
                                <w:p>
                                  <w:pPr>
                                    <w:pStyle w:val="Style2"/>
                                    <w:keepNext w:val="0"/>
                                    <w:keepLines w:val="0"/>
                                    <w:widowControl w:val="0"/>
                                    <w:shd w:val="clear" w:color="auto" w:fill="auto"/>
                                    <w:bidi w:val="0"/>
                                    <w:spacing w:before="0" w:after="0" w:line="240" w:lineRule="auto"/>
                                    <w:ind w:left="0" w:right="0" w:firstLine="280"/>
                                    <w:jc w:val="left"/>
                                    <w:rPr>
                                      <w:sz w:val="10"/>
                                      <w:szCs w:val="10"/>
                                    </w:rPr>
                                  </w:pPr>
                                  <w:r>
                                    <w:rPr>
                                      <w:rFonts w:ascii="Arial" w:eastAsia="Arial" w:hAnsi="Arial" w:cs="Arial"/>
                                      <w:color w:val="000000"/>
                                      <w:spacing w:val="0"/>
                                      <w:w w:val="100"/>
                                      <w:position w:val="0"/>
                                      <w:sz w:val="10"/>
                                      <w:szCs w:val="10"/>
                                    </w:rPr>
                                    <w:t>CIM</w:t>
                                  </w:r>
                                  <w:r>
                                    <w:rPr>
                                      <w:rFonts w:ascii="SimHei" w:eastAsia="SimHei" w:hAnsi="SimHei" w:cs="SimHei"/>
                                      <w:color w:val="0B1928"/>
                                      <w:spacing w:val="0"/>
                                      <w:w w:val="100"/>
                                      <w:position w:val="0"/>
                                      <w:sz w:val="10"/>
                                      <w:szCs w:val="10"/>
                                    </w:rPr>
                                    <w:t>服务共享</w:t>
                                  </w:r>
                                </w:p>
                              </w:tc>
                            </w:tr>
                            <w:tr>
                              <w:trPr>
                                <w:trHeight w:val="219" w:hRule="exact"/>
                              </w:trPr>
                              <w:tc>
                                <w:tcPr>
                                  <w:tcBorders/>
                                  <w:shd w:val="clear" w:color="auto" w:fill="9BDBFC"/>
                                  <w:vAlign w:val="top"/>
                                </w:tcPr>
                                <w:p>
                                  <w:pPr>
                                    <w:pStyle w:val="Style2"/>
                                    <w:keepNext w:val="0"/>
                                    <w:keepLines w:val="0"/>
                                    <w:widowControl w:val="0"/>
                                    <w:shd w:val="clear" w:color="auto" w:fill="auto"/>
                                    <w:bidi w:val="0"/>
                                    <w:spacing w:before="0" w:after="0" w:line="240" w:lineRule="auto"/>
                                    <w:ind w:left="0" w:right="0" w:firstLine="0"/>
                                    <w:jc w:val="center"/>
                                    <w:rPr>
                                      <w:sz w:val="10"/>
                                      <w:szCs w:val="10"/>
                                    </w:rPr>
                                  </w:pPr>
                                  <w:r>
                                    <w:rPr>
                                      <w:rFonts w:ascii="Arial" w:eastAsia="Arial" w:hAnsi="Arial" w:cs="Arial"/>
                                      <w:color w:val="0B1928"/>
                                      <w:spacing w:val="0"/>
                                      <w:w w:val="100"/>
                                      <w:position w:val="0"/>
                                      <w:sz w:val="10"/>
                                      <w:szCs w:val="10"/>
                                    </w:rPr>
                                    <w:t>CIM</w:t>
                                  </w:r>
                                  <w:r>
                                    <w:rPr>
                                      <w:rFonts w:ascii="SimHei" w:eastAsia="SimHei" w:hAnsi="SimHei" w:cs="SimHei"/>
                                      <w:color w:val="0B1928"/>
                                      <w:spacing w:val="0"/>
                                      <w:w w:val="100"/>
                                      <w:position w:val="0"/>
                                      <w:sz w:val="10"/>
                                      <w:szCs w:val="10"/>
                                    </w:rPr>
                                    <w:t>信息展板</w:t>
                                  </w:r>
                                </w:p>
                              </w:tc>
                              <w:tc>
                                <w:tcPr>
                                  <w:tcBorders/>
                                  <w:shd w:val="clear" w:color="auto" w:fill="9BDBFC"/>
                                  <w:vAlign w:val="top"/>
                                </w:tcPr>
                                <w:p>
                                  <w:pPr>
                                    <w:pStyle w:val="Style2"/>
                                    <w:keepNext w:val="0"/>
                                    <w:keepLines w:val="0"/>
                                    <w:widowControl w:val="0"/>
                                    <w:shd w:val="clear" w:color="auto" w:fill="auto"/>
                                    <w:bidi w:val="0"/>
                                    <w:spacing w:before="0" w:after="0" w:line="240" w:lineRule="auto"/>
                                    <w:ind w:left="0" w:right="0" w:firstLine="180"/>
                                    <w:jc w:val="left"/>
                                    <w:rPr>
                                      <w:sz w:val="10"/>
                                      <w:szCs w:val="10"/>
                                    </w:rPr>
                                  </w:pPr>
                                  <w:r>
                                    <w:rPr>
                                      <w:rFonts w:ascii="SimHei" w:eastAsia="SimHei" w:hAnsi="SimHei" w:cs="SimHei"/>
                                      <w:color w:val="0B1928"/>
                                      <w:spacing w:val="0"/>
                                      <w:w w:val="100"/>
                                      <w:position w:val="0"/>
                                      <w:sz w:val="10"/>
                                      <w:szCs w:val="10"/>
                                    </w:rPr>
                                    <w:t>平台运维服务</w:t>
                                  </w:r>
                                </w:p>
                              </w:tc>
                              <w:tc>
                                <w:tcPr>
                                  <w:tcBorders/>
                                  <w:shd w:val="clear" w:color="auto" w:fill="9BDBFC"/>
                                  <w:vAlign w:val="top"/>
                                </w:tcPr>
                                <w:p>
                                  <w:pPr>
                                    <w:pStyle w:val="Style2"/>
                                    <w:keepNext w:val="0"/>
                                    <w:keepLines w:val="0"/>
                                    <w:widowControl w:val="0"/>
                                    <w:shd w:val="clear" w:color="auto" w:fill="auto"/>
                                    <w:bidi w:val="0"/>
                                    <w:spacing w:before="0" w:after="0" w:line="240" w:lineRule="auto"/>
                                    <w:ind w:left="0" w:right="0" w:firstLine="0"/>
                                    <w:jc w:val="center"/>
                                    <w:rPr>
                                      <w:sz w:val="10"/>
                                      <w:szCs w:val="10"/>
                                    </w:rPr>
                                  </w:pPr>
                                  <w:r>
                                    <w:rPr>
                                      <w:rFonts w:ascii="SimHei" w:eastAsia="SimHei" w:hAnsi="SimHei" w:cs="SimHei"/>
                                      <w:color w:val="0B1928"/>
                                      <w:spacing w:val="0"/>
                                      <w:w w:val="100"/>
                                      <w:position w:val="0"/>
                                      <w:sz w:val="10"/>
                                      <w:szCs w:val="10"/>
                                    </w:rPr>
                                    <w:t>统一用户中心</w:t>
                                  </w:r>
                                </w:p>
                              </w:tc>
                              <w:tc>
                                <w:tcPr>
                                  <w:tcBorders/>
                                  <w:shd w:val="clear" w:color="auto" w:fill="9BDBFC"/>
                                  <w:vAlign w:val="top"/>
                                </w:tcPr>
                                <w:p>
                                  <w:pPr>
                                    <w:pStyle w:val="Style2"/>
                                    <w:keepNext w:val="0"/>
                                    <w:keepLines w:val="0"/>
                                    <w:widowControl w:val="0"/>
                                    <w:shd w:val="clear" w:color="auto" w:fill="auto"/>
                                    <w:bidi w:val="0"/>
                                    <w:spacing w:before="0" w:after="0" w:line="240" w:lineRule="auto"/>
                                    <w:ind w:left="0" w:right="0" w:firstLine="540"/>
                                    <w:jc w:val="left"/>
                                    <w:rPr>
                                      <w:sz w:val="10"/>
                                      <w:szCs w:val="10"/>
                                    </w:rPr>
                                  </w:pPr>
                                  <w:r>
                                    <w:rPr>
                                      <w:rFonts w:ascii="SimHei" w:eastAsia="SimHei" w:hAnsi="SimHei" w:cs="SimHei"/>
                                      <w:color w:val="0B1928"/>
                                      <w:spacing w:val="0"/>
                                      <w:w w:val="100"/>
                                      <w:position w:val="0"/>
                                      <w:sz w:val="10"/>
                                      <w:szCs w:val="10"/>
                                    </w:rPr>
                                    <w:t>物联感知监控</w:t>
                                  </w:r>
                                </w:p>
                              </w:tc>
                              <w:tc>
                                <w:tcPr>
                                  <w:tcBorders/>
                                  <w:shd w:val="clear" w:color="auto" w:fill="9BDBFC"/>
                                  <w:vAlign w:val="top"/>
                                </w:tcPr>
                                <w:p>
                                  <w:pPr>
                                    <w:pStyle w:val="Style2"/>
                                    <w:keepNext w:val="0"/>
                                    <w:keepLines w:val="0"/>
                                    <w:widowControl w:val="0"/>
                                    <w:shd w:val="clear" w:color="auto" w:fill="auto"/>
                                    <w:bidi w:val="0"/>
                                    <w:spacing w:before="0" w:after="0" w:line="240" w:lineRule="auto"/>
                                    <w:ind w:left="0" w:right="0" w:firstLine="420"/>
                                    <w:jc w:val="left"/>
                                    <w:rPr>
                                      <w:sz w:val="10"/>
                                      <w:szCs w:val="10"/>
                                    </w:rPr>
                                  </w:pPr>
                                  <w:r>
                                    <w:rPr>
                                      <w:rFonts w:ascii="SimHei" w:eastAsia="SimHei" w:hAnsi="SimHei" w:cs="SimHei"/>
                                      <w:color w:val="0B1928"/>
                                      <w:spacing w:val="0"/>
                                      <w:w w:val="100"/>
                                      <w:position w:val="0"/>
                                      <w:sz w:val="10"/>
                                      <w:szCs w:val="10"/>
                                    </w:rPr>
                                    <w:t>平台开发接口</w:t>
                                  </w:r>
                                </w:p>
                              </w:tc>
                            </w:tr>
                          </w:tbl>
                          <w:p>
                            <w:pPr>
                              <w:widowControl w:val="0"/>
                              <w:spacing w:line="1" w:lineRule="exact"/>
                            </w:pPr>
                          </w:p>
                        </w:txbxContent>
                      </wps:txbx>
                      <wps:bodyPr lIns="0" tIns="0" rIns="0" bIns="0">
                        <a:noAutoFit/>
                      </wps:bodyPr>
                    </wps:wsp>
                  </a:graphicData>
                </a:graphic>
              </wp:anchor>
            </w:drawing>
          </mc:Choice>
          <mc:Fallback>
            <w:pict>
              <v:shape id="_x0000_s1058" type="#_x0000_t202" style="position:absolute;margin-left:129.55000000000001pt;margin-top:193.59999999999999pt;width:334.40000000000003pt;height:29.699999999999999pt;z-index:-125829364;mso-wrap-distance-left:0;mso-wrap-distance-top:193.59999999999999pt;mso-wrap-distance-right:0;mso-wrap-distance-bottom:17.300000000000001pt;mso-position-horizontal-relative:page" filled="f" stroked="f">
                <v:textbox inset="0,0,0,0">
                  <w:txbxContent>
                    <w:tbl>
                      <w:tblPr>
                        <w:tblOverlap w:val="never"/>
                        <w:jc w:val="left"/>
                        <w:tblLayout w:type="fixed"/>
                      </w:tblPr>
                      <w:tblGrid>
                        <w:gridCol w:w="1514"/>
                        <w:gridCol w:w="1374"/>
                        <w:gridCol w:w="1015"/>
                        <w:gridCol w:w="1465"/>
                        <w:gridCol w:w="1320"/>
                      </w:tblGrid>
                      <w:tr>
                        <w:trPr>
                          <w:tblHeader/>
                          <w:trHeight w:val="186" w:hRule="exact"/>
                        </w:trPr>
                        <w:tc>
                          <w:tcPr>
                            <w:gridSpan w:val="5"/>
                            <w:tcBorders>
                              <w:top w:val="single" w:sz="4"/>
                            </w:tcBorders>
                            <w:shd w:val="clear" w:color="auto" w:fill="9BDBFC"/>
                            <w:vAlign w:val="top"/>
                          </w:tcPr>
                          <w:p>
                            <w:pPr>
                              <w:widowControl w:val="0"/>
                              <w:rPr>
                                <w:sz w:val="10"/>
                                <w:szCs w:val="10"/>
                              </w:rPr>
                            </w:pPr>
                          </w:p>
                        </w:tc>
                      </w:tr>
                      <w:tr>
                        <w:trPr>
                          <w:trHeight w:val="190" w:hRule="exact"/>
                        </w:trPr>
                        <w:tc>
                          <w:tcPr>
                            <w:tcBorders/>
                            <w:shd w:val="clear" w:color="auto" w:fill="9BDBFC"/>
                            <w:vAlign w:val="top"/>
                          </w:tcPr>
                          <w:p>
                            <w:pPr>
                              <w:pStyle w:val="Style2"/>
                              <w:keepNext w:val="0"/>
                              <w:keepLines w:val="0"/>
                              <w:widowControl w:val="0"/>
                              <w:shd w:val="clear" w:color="auto" w:fill="auto"/>
                              <w:bidi w:val="0"/>
                              <w:spacing w:before="0" w:after="0" w:line="240" w:lineRule="auto"/>
                              <w:ind w:left="0" w:right="0" w:firstLine="0"/>
                              <w:jc w:val="center"/>
                              <w:rPr>
                                <w:sz w:val="10"/>
                                <w:szCs w:val="10"/>
                              </w:rPr>
                            </w:pPr>
                            <w:r>
                              <w:rPr>
                                <w:rFonts w:ascii="SimHei" w:eastAsia="SimHei" w:hAnsi="SimHei" w:cs="SimHei"/>
                                <w:color w:val="0B1928"/>
                                <w:spacing w:val="0"/>
                                <w:w w:val="100"/>
                                <w:position w:val="0"/>
                                <w:sz w:val="10"/>
                                <w:szCs w:val="10"/>
                              </w:rPr>
                              <w:t>游戏级可视化渲染引擎</w:t>
                            </w:r>
                          </w:p>
                        </w:tc>
                        <w:tc>
                          <w:tcPr>
                            <w:gridSpan w:val="2"/>
                            <w:tcBorders/>
                            <w:shd w:val="clear" w:color="auto" w:fill="9BDBFC"/>
                            <w:vAlign w:val="top"/>
                          </w:tcPr>
                          <w:p>
                            <w:pPr>
                              <w:pStyle w:val="Style2"/>
                              <w:keepNext w:val="0"/>
                              <w:keepLines w:val="0"/>
                              <w:widowControl w:val="0"/>
                              <w:shd w:val="clear" w:color="auto" w:fill="auto"/>
                              <w:bidi w:val="0"/>
                              <w:spacing w:before="0" w:after="0" w:line="240" w:lineRule="auto"/>
                              <w:ind w:left="0" w:right="0" w:firstLine="680"/>
                              <w:jc w:val="left"/>
                              <w:rPr>
                                <w:sz w:val="10"/>
                                <w:szCs w:val="10"/>
                              </w:rPr>
                            </w:pPr>
                            <w:r>
                              <w:rPr>
                                <w:rFonts w:ascii="Arial" w:eastAsia="Arial" w:hAnsi="Arial" w:cs="Arial"/>
                                <w:color w:val="000000"/>
                                <w:spacing w:val="0"/>
                                <w:w w:val="100"/>
                                <w:position w:val="0"/>
                                <w:sz w:val="10"/>
                                <w:szCs w:val="10"/>
                              </w:rPr>
                              <w:t>CIM</w:t>
                            </w:r>
                            <w:r>
                              <w:rPr>
                                <w:rFonts w:ascii="SimHei" w:eastAsia="SimHei" w:hAnsi="SimHei" w:cs="SimHei"/>
                                <w:color w:val="000000"/>
                                <w:spacing w:val="0"/>
                                <w:w w:val="100"/>
                                <w:position w:val="0"/>
                                <w:sz w:val="10"/>
                                <w:szCs w:val="10"/>
                              </w:rPr>
                              <w:t>数据处理</w:t>
                            </w:r>
                          </w:p>
                        </w:tc>
                        <w:tc>
                          <w:tcPr>
                            <w:tcBorders/>
                            <w:shd w:val="clear" w:color="auto" w:fill="9BDBFC"/>
                            <w:vAlign w:val="top"/>
                          </w:tcPr>
                          <w:p>
                            <w:pPr>
                              <w:pStyle w:val="Style2"/>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B1928"/>
                                <w:spacing w:val="0"/>
                                <w:w w:val="100"/>
                                <w:position w:val="0"/>
                                <w:sz w:val="10"/>
                                <w:szCs w:val="10"/>
                              </w:rPr>
                              <w:t>CIM</w:t>
                            </w:r>
                            <w:r>
                              <w:rPr>
                                <w:rFonts w:ascii="SimHei" w:eastAsia="SimHei" w:hAnsi="SimHei" w:cs="SimHei"/>
                                <w:color w:val="0B1928"/>
                                <w:spacing w:val="0"/>
                                <w:w w:val="100"/>
                                <w:position w:val="0"/>
                                <w:sz w:val="10"/>
                                <w:szCs w:val="10"/>
                              </w:rPr>
                              <w:t>数据管理</w:t>
                            </w:r>
                          </w:p>
                        </w:tc>
                        <w:tc>
                          <w:tcPr>
                            <w:tcBorders/>
                            <w:shd w:val="clear" w:color="auto" w:fill="9BDBFC"/>
                            <w:vAlign w:val="top"/>
                          </w:tcPr>
                          <w:p>
                            <w:pPr>
                              <w:pStyle w:val="Style2"/>
                              <w:keepNext w:val="0"/>
                              <w:keepLines w:val="0"/>
                              <w:widowControl w:val="0"/>
                              <w:shd w:val="clear" w:color="auto" w:fill="auto"/>
                              <w:bidi w:val="0"/>
                              <w:spacing w:before="0" w:after="0" w:line="240" w:lineRule="auto"/>
                              <w:ind w:left="0" w:right="0" w:firstLine="280"/>
                              <w:jc w:val="left"/>
                              <w:rPr>
                                <w:sz w:val="10"/>
                                <w:szCs w:val="10"/>
                              </w:rPr>
                            </w:pPr>
                            <w:r>
                              <w:rPr>
                                <w:rFonts w:ascii="Arial" w:eastAsia="Arial" w:hAnsi="Arial" w:cs="Arial"/>
                                <w:color w:val="000000"/>
                                <w:spacing w:val="0"/>
                                <w:w w:val="100"/>
                                <w:position w:val="0"/>
                                <w:sz w:val="10"/>
                                <w:szCs w:val="10"/>
                              </w:rPr>
                              <w:t>CIM</w:t>
                            </w:r>
                            <w:r>
                              <w:rPr>
                                <w:rFonts w:ascii="SimHei" w:eastAsia="SimHei" w:hAnsi="SimHei" w:cs="SimHei"/>
                                <w:color w:val="0B1928"/>
                                <w:spacing w:val="0"/>
                                <w:w w:val="100"/>
                                <w:position w:val="0"/>
                                <w:sz w:val="10"/>
                                <w:szCs w:val="10"/>
                              </w:rPr>
                              <w:t>服务共享</w:t>
                            </w:r>
                          </w:p>
                        </w:tc>
                      </w:tr>
                      <w:tr>
                        <w:trPr>
                          <w:trHeight w:val="219" w:hRule="exact"/>
                        </w:trPr>
                        <w:tc>
                          <w:tcPr>
                            <w:tcBorders/>
                            <w:shd w:val="clear" w:color="auto" w:fill="9BDBFC"/>
                            <w:vAlign w:val="top"/>
                          </w:tcPr>
                          <w:p>
                            <w:pPr>
                              <w:pStyle w:val="Style2"/>
                              <w:keepNext w:val="0"/>
                              <w:keepLines w:val="0"/>
                              <w:widowControl w:val="0"/>
                              <w:shd w:val="clear" w:color="auto" w:fill="auto"/>
                              <w:bidi w:val="0"/>
                              <w:spacing w:before="0" w:after="0" w:line="240" w:lineRule="auto"/>
                              <w:ind w:left="0" w:right="0" w:firstLine="0"/>
                              <w:jc w:val="center"/>
                              <w:rPr>
                                <w:sz w:val="10"/>
                                <w:szCs w:val="10"/>
                              </w:rPr>
                            </w:pPr>
                            <w:r>
                              <w:rPr>
                                <w:rFonts w:ascii="Arial" w:eastAsia="Arial" w:hAnsi="Arial" w:cs="Arial"/>
                                <w:color w:val="0B1928"/>
                                <w:spacing w:val="0"/>
                                <w:w w:val="100"/>
                                <w:position w:val="0"/>
                                <w:sz w:val="10"/>
                                <w:szCs w:val="10"/>
                              </w:rPr>
                              <w:t>CIM</w:t>
                            </w:r>
                            <w:r>
                              <w:rPr>
                                <w:rFonts w:ascii="SimHei" w:eastAsia="SimHei" w:hAnsi="SimHei" w:cs="SimHei"/>
                                <w:color w:val="0B1928"/>
                                <w:spacing w:val="0"/>
                                <w:w w:val="100"/>
                                <w:position w:val="0"/>
                                <w:sz w:val="10"/>
                                <w:szCs w:val="10"/>
                              </w:rPr>
                              <w:t>信息展板</w:t>
                            </w:r>
                          </w:p>
                        </w:tc>
                        <w:tc>
                          <w:tcPr>
                            <w:tcBorders/>
                            <w:shd w:val="clear" w:color="auto" w:fill="9BDBFC"/>
                            <w:vAlign w:val="top"/>
                          </w:tcPr>
                          <w:p>
                            <w:pPr>
                              <w:pStyle w:val="Style2"/>
                              <w:keepNext w:val="0"/>
                              <w:keepLines w:val="0"/>
                              <w:widowControl w:val="0"/>
                              <w:shd w:val="clear" w:color="auto" w:fill="auto"/>
                              <w:bidi w:val="0"/>
                              <w:spacing w:before="0" w:after="0" w:line="240" w:lineRule="auto"/>
                              <w:ind w:left="0" w:right="0" w:firstLine="180"/>
                              <w:jc w:val="left"/>
                              <w:rPr>
                                <w:sz w:val="10"/>
                                <w:szCs w:val="10"/>
                              </w:rPr>
                            </w:pPr>
                            <w:r>
                              <w:rPr>
                                <w:rFonts w:ascii="SimHei" w:eastAsia="SimHei" w:hAnsi="SimHei" w:cs="SimHei"/>
                                <w:color w:val="0B1928"/>
                                <w:spacing w:val="0"/>
                                <w:w w:val="100"/>
                                <w:position w:val="0"/>
                                <w:sz w:val="10"/>
                                <w:szCs w:val="10"/>
                              </w:rPr>
                              <w:t>平台运维服务</w:t>
                            </w:r>
                          </w:p>
                        </w:tc>
                        <w:tc>
                          <w:tcPr>
                            <w:tcBorders/>
                            <w:shd w:val="clear" w:color="auto" w:fill="9BDBFC"/>
                            <w:vAlign w:val="top"/>
                          </w:tcPr>
                          <w:p>
                            <w:pPr>
                              <w:pStyle w:val="Style2"/>
                              <w:keepNext w:val="0"/>
                              <w:keepLines w:val="0"/>
                              <w:widowControl w:val="0"/>
                              <w:shd w:val="clear" w:color="auto" w:fill="auto"/>
                              <w:bidi w:val="0"/>
                              <w:spacing w:before="0" w:after="0" w:line="240" w:lineRule="auto"/>
                              <w:ind w:left="0" w:right="0" w:firstLine="0"/>
                              <w:jc w:val="center"/>
                              <w:rPr>
                                <w:sz w:val="10"/>
                                <w:szCs w:val="10"/>
                              </w:rPr>
                            </w:pPr>
                            <w:r>
                              <w:rPr>
                                <w:rFonts w:ascii="SimHei" w:eastAsia="SimHei" w:hAnsi="SimHei" w:cs="SimHei"/>
                                <w:color w:val="0B1928"/>
                                <w:spacing w:val="0"/>
                                <w:w w:val="100"/>
                                <w:position w:val="0"/>
                                <w:sz w:val="10"/>
                                <w:szCs w:val="10"/>
                              </w:rPr>
                              <w:t>统一用户中心</w:t>
                            </w:r>
                          </w:p>
                        </w:tc>
                        <w:tc>
                          <w:tcPr>
                            <w:tcBorders/>
                            <w:shd w:val="clear" w:color="auto" w:fill="9BDBFC"/>
                            <w:vAlign w:val="top"/>
                          </w:tcPr>
                          <w:p>
                            <w:pPr>
                              <w:pStyle w:val="Style2"/>
                              <w:keepNext w:val="0"/>
                              <w:keepLines w:val="0"/>
                              <w:widowControl w:val="0"/>
                              <w:shd w:val="clear" w:color="auto" w:fill="auto"/>
                              <w:bidi w:val="0"/>
                              <w:spacing w:before="0" w:after="0" w:line="240" w:lineRule="auto"/>
                              <w:ind w:left="0" w:right="0" w:firstLine="540"/>
                              <w:jc w:val="left"/>
                              <w:rPr>
                                <w:sz w:val="10"/>
                                <w:szCs w:val="10"/>
                              </w:rPr>
                            </w:pPr>
                            <w:r>
                              <w:rPr>
                                <w:rFonts w:ascii="SimHei" w:eastAsia="SimHei" w:hAnsi="SimHei" w:cs="SimHei"/>
                                <w:color w:val="0B1928"/>
                                <w:spacing w:val="0"/>
                                <w:w w:val="100"/>
                                <w:position w:val="0"/>
                                <w:sz w:val="10"/>
                                <w:szCs w:val="10"/>
                              </w:rPr>
                              <w:t>物联感知监控</w:t>
                            </w:r>
                          </w:p>
                        </w:tc>
                        <w:tc>
                          <w:tcPr>
                            <w:tcBorders/>
                            <w:shd w:val="clear" w:color="auto" w:fill="9BDBFC"/>
                            <w:vAlign w:val="top"/>
                          </w:tcPr>
                          <w:p>
                            <w:pPr>
                              <w:pStyle w:val="Style2"/>
                              <w:keepNext w:val="0"/>
                              <w:keepLines w:val="0"/>
                              <w:widowControl w:val="0"/>
                              <w:shd w:val="clear" w:color="auto" w:fill="auto"/>
                              <w:bidi w:val="0"/>
                              <w:spacing w:before="0" w:after="0" w:line="240" w:lineRule="auto"/>
                              <w:ind w:left="0" w:right="0" w:firstLine="420"/>
                              <w:jc w:val="left"/>
                              <w:rPr>
                                <w:sz w:val="10"/>
                                <w:szCs w:val="10"/>
                              </w:rPr>
                            </w:pPr>
                            <w:r>
                              <w:rPr>
                                <w:rFonts w:ascii="SimHei" w:eastAsia="SimHei" w:hAnsi="SimHei" w:cs="SimHei"/>
                                <w:color w:val="0B1928"/>
                                <w:spacing w:val="0"/>
                                <w:w w:val="100"/>
                                <w:position w:val="0"/>
                                <w:sz w:val="10"/>
                                <w:szCs w:val="10"/>
                              </w:rPr>
                              <w:t>平台开发接口</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3562985</wp:posOffset>
                </wp:positionH>
                <wp:positionV relativeFrom="paragraph">
                  <wp:posOffset>2128520</wp:posOffset>
                </wp:positionV>
                <wp:extent cx="363855" cy="170180"/>
                <wp:wrapNone/>
                <wp:docPr id="34" name="Shape 34"/>
                <a:graphic xmlns:a="http://schemas.openxmlformats.org/drawingml/2006/main">
                  <a:graphicData uri="http://schemas.microsoft.com/office/word/2010/wordprocessingShape">
                    <wps:wsp>
                      <wps:cNvSpPr txBox="1"/>
                      <wps:spPr>
                        <a:xfrm>
                          <a:ext cx="363855" cy="170180"/>
                        </a:xfrm>
                        <a:prstGeom prst="rect"/>
                        <a:noFill/>
                      </wps:spPr>
                      <wps:txbx>
                        <w:txbxContent>
                          <w:p>
                            <w:pPr>
                              <w:pStyle w:val="Style21"/>
                              <w:keepNext w:val="0"/>
                              <w:keepLines w:val="0"/>
                              <w:widowControl w:val="0"/>
                              <w:pBdr>
                                <w:top w:val="single" w:sz="0" w:space="0" w:color="0673C4"/>
                                <w:left w:val="single" w:sz="0" w:space="31" w:color="0673C4"/>
                                <w:bottom w:val="single" w:sz="0" w:space="0" w:color="0673C4"/>
                                <w:right w:val="single" w:sz="0" w:space="31" w:color="0673C4"/>
                              </w:pBdr>
                              <w:shd w:val="clear" w:color="auto" w:fill="0673C4"/>
                              <w:bidi w:val="0"/>
                              <w:spacing w:before="0" w:after="0" w:line="240" w:lineRule="auto"/>
                              <w:ind w:left="0" w:right="0" w:firstLine="0"/>
                              <w:jc w:val="center"/>
                              <w:rPr>
                                <w:sz w:val="8"/>
                                <w:szCs w:val="8"/>
                              </w:rPr>
                            </w:pPr>
                            <w:r>
                              <w:rPr>
                                <w:rFonts w:ascii="SimHei" w:eastAsia="SimHei" w:hAnsi="SimHei" w:cs="SimHei"/>
                                <w:color w:val="D5EDF4"/>
                                <w:spacing w:val="0"/>
                                <w:w w:val="100"/>
                                <w:position w:val="0"/>
                                <w:sz w:val="8"/>
                                <w:szCs w:val="8"/>
                                <w:u w:val="single"/>
                              </w:rPr>
                              <w:t>瓣接入中心</w:t>
                            </w:r>
                          </w:p>
                          <w:p>
                            <w:pPr>
                              <w:pStyle w:val="Style21"/>
                              <w:keepNext w:val="0"/>
                              <w:keepLines w:val="0"/>
                              <w:widowControl w:val="0"/>
                              <w:pBdr>
                                <w:top w:val="single" w:sz="0" w:space="0" w:color="0673C4"/>
                                <w:left w:val="single" w:sz="0" w:space="31" w:color="0673C4"/>
                                <w:bottom w:val="single" w:sz="0" w:space="0" w:color="0673C4"/>
                                <w:right w:val="single" w:sz="0" w:space="31" w:color="0673C4"/>
                              </w:pBdr>
                              <w:shd w:val="clear" w:color="auto" w:fill="0673C4"/>
                              <w:bidi w:val="0"/>
                              <w:spacing w:before="0" w:after="0" w:line="240" w:lineRule="auto"/>
                              <w:ind w:left="0" w:right="0" w:firstLine="0"/>
                              <w:jc w:val="center"/>
                              <w:rPr>
                                <w:sz w:val="8"/>
                                <w:szCs w:val="8"/>
                              </w:rPr>
                            </w:pPr>
                            <w:r>
                              <w:rPr>
                                <w:rFonts w:ascii="SimHei" w:eastAsia="SimHei" w:hAnsi="SimHei" w:cs="SimHei"/>
                                <w:color w:val="D5EDF4"/>
                                <w:spacing w:val="0"/>
                                <w:w w:val="100"/>
                                <w:position w:val="0"/>
                                <w:sz w:val="8"/>
                                <w:szCs w:val="8"/>
                              </w:rPr>
                              <w:t>析中心</w:t>
                            </w:r>
                          </w:p>
                        </w:txbxContent>
                      </wps:txbx>
                      <wps:bodyPr lIns="0" tIns="0" rIns="0" bIns="0">
                        <a:noAutoFit/>
                      </wps:bodyPr>
                    </wps:wsp>
                  </a:graphicData>
                </a:graphic>
              </wp:anchor>
            </w:drawing>
          </mc:Choice>
          <mc:Fallback>
            <w:pict>
              <v:shape id="_x0000_s1060" type="#_x0000_t202" style="position:absolute;margin-left:280.55000000000001pt;margin-top:167.59999999999999pt;width:28.650000000000002pt;height:13.4pt;z-index:251657745;mso-wrap-distance-left:0;mso-wrap-distance-right:0;mso-position-horizontal-relative:page" filled="f" stroked="f">
                <v:textbox inset="0,0,0,0">
                  <w:txbxContent>
                    <w:p>
                      <w:pPr>
                        <w:pStyle w:val="Style21"/>
                        <w:keepNext w:val="0"/>
                        <w:keepLines w:val="0"/>
                        <w:widowControl w:val="0"/>
                        <w:pBdr>
                          <w:top w:val="single" w:sz="0" w:space="0" w:color="0673C4"/>
                          <w:left w:val="single" w:sz="0" w:space="31" w:color="0673C4"/>
                          <w:bottom w:val="single" w:sz="0" w:space="0" w:color="0673C4"/>
                          <w:right w:val="single" w:sz="0" w:space="31" w:color="0673C4"/>
                        </w:pBdr>
                        <w:shd w:val="clear" w:color="auto" w:fill="0673C4"/>
                        <w:bidi w:val="0"/>
                        <w:spacing w:before="0" w:after="0" w:line="240" w:lineRule="auto"/>
                        <w:ind w:left="0" w:right="0" w:firstLine="0"/>
                        <w:jc w:val="center"/>
                        <w:rPr>
                          <w:sz w:val="8"/>
                          <w:szCs w:val="8"/>
                        </w:rPr>
                      </w:pPr>
                      <w:r>
                        <w:rPr>
                          <w:rFonts w:ascii="SimHei" w:eastAsia="SimHei" w:hAnsi="SimHei" w:cs="SimHei"/>
                          <w:color w:val="D5EDF4"/>
                          <w:spacing w:val="0"/>
                          <w:w w:val="100"/>
                          <w:position w:val="0"/>
                          <w:sz w:val="8"/>
                          <w:szCs w:val="8"/>
                          <w:u w:val="single"/>
                        </w:rPr>
                        <w:t>瓣接入中心</w:t>
                      </w:r>
                    </w:p>
                    <w:p>
                      <w:pPr>
                        <w:pStyle w:val="Style21"/>
                        <w:keepNext w:val="0"/>
                        <w:keepLines w:val="0"/>
                        <w:widowControl w:val="0"/>
                        <w:pBdr>
                          <w:top w:val="single" w:sz="0" w:space="0" w:color="0673C4"/>
                          <w:left w:val="single" w:sz="0" w:space="31" w:color="0673C4"/>
                          <w:bottom w:val="single" w:sz="0" w:space="0" w:color="0673C4"/>
                          <w:right w:val="single" w:sz="0" w:space="31" w:color="0673C4"/>
                        </w:pBdr>
                        <w:shd w:val="clear" w:color="auto" w:fill="0673C4"/>
                        <w:bidi w:val="0"/>
                        <w:spacing w:before="0" w:after="0" w:line="240" w:lineRule="auto"/>
                        <w:ind w:left="0" w:right="0" w:firstLine="0"/>
                        <w:jc w:val="center"/>
                        <w:rPr>
                          <w:sz w:val="8"/>
                          <w:szCs w:val="8"/>
                        </w:rPr>
                      </w:pPr>
                      <w:r>
                        <w:rPr>
                          <w:rFonts w:ascii="SimHei" w:eastAsia="SimHei" w:hAnsi="SimHei" w:cs="SimHei"/>
                          <w:color w:val="D5EDF4"/>
                          <w:spacing w:val="0"/>
                          <w:w w:val="100"/>
                          <w:position w:val="0"/>
                          <w:sz w:val="8"/>
                          <w:szCs w:val="8"/>
                        </w:rPr>
                        <w:t>析中心</w:t>
                      </w:r>
                    </w:p>
                  </w:txbxContent>
                </v:textbox>
                <w10:wrap anchorx="page"/>
              </v:shape>
            </w:pict>
          </mc:Fallback>
        </mc:AlternateContent>
      </w:r>
      <w:r>
        <mc:AlternateContent>
          <mc:Choice Requires="wps">
            <w:drawing>
              <wp:anchor distT="0" distB="0" distL="0" distR="0" simplePos="0" relativeHeight="503316500" behindDoc="0" locked="0" layoutInCell="1" allowOverlap="1">
                <wp:simplePos x="0" y="0"/>
                <wp:positionH relativeFrom="page">
                  <wp:posOffset>2111375</wp:posOffset>
                </wp:positionH>
                <wp:positionV relativeFrom="paragraph">
                  <wp:posOffset>2917190</wp:posOffset>
                </wp:positionV>
                <wp:extent cx="2759075" cy="139065"/>
                <wp:wrapNone/>
                <wp:docPr id="36" name="Shape 36"/>
                <a:graphic xmlns:a="http://schemas.openxmlformats.org/drawingml/2006/main">
                  <a:graphicData uri="http://schemas.microsoft.com/office/word/2010/wordprocessingShape">
                    <wps:wsp>
                      <wps:cNvSpPr txBox="1"/>
                      <wps:spPr>
                        <a:xfrm>
                          <a:ext cx="2759075" cy="139065"/>
                        </a:xfrm>
                        <a:prstGeom prst="rect"/>
                        <a:noFill/>
                      </wps:spPr>
                      <wps:txbx>
                        <w:txbxContent>
                          <w:p>
                            <w:pPr>
                              <w:pStyle w:val="Style21"/>
                              <w:keepNext w:val="0"/>
                              <w:keepLines w:val="0"/>
                              <w:widowControl w:val="0"/>
                              <w:pBdr>
                                <w:top w:val="single" w:sz="0" w:space="0" w:color="0171C2"/>
                                <w:left w:val="single" w:sz="0" w:space="0" w:color="0171C2"/>
                                <w:bottom w:val="single" w:sz="0" w:space="0" w:color="0171C2"/>
                                <w:right w:val="single" w:sz="0" w:space="0" w:color="0171C2"/>
                              </w:pBdr>
                              <w:shd w:val="clear" w:color="auto" w:fill="0171C2"/>
                              <w:tabs>
                                <w:tab w:pos="1085" w:val="left"/>
                                <w:tab w:pos="1923" w:val="left"/>
                                <w:tab w:pos="3066" w:val="left"/>
                                <w:tab w:pos="3907" w:val="left"/>
                              </w:tabs>
                              <w:bidi w:val="0"/>
                              <w:spacing w:before="0" w:after="0" w:line="240" w:lineRule="auto"/>
                              <w:ind w:left="0" w:right="0" w:firstLine="0"/>
                              <w:jc w:val="left"/>
                              <w:rPr>
                                <w:sz w:val="10"/>
                                <w:szCs w:val="10"/>
                              </w:rPr>
                            </w:pPr>
                            <w:r>
                              <w:rPr>
                                <w:rFonts w:ascii="SimHei" w:eastAsia="SimHei" w:hAnsi="SimHei" w:cs="SimHei"/>
                                <w:color w:val="FFFFFF"/>
                                <w:spacing w:val="0"/>
                                <w:w w:val="100"/>
                                <w:position w:val="0"/>
                                <w:sz w:val="10"/>
                                <w:szCs w:val="10"/>
                              </w:rPr>
                              <w:t>计</w:t>
                            </w:r>
                            <w:r>
                              <w:rPr>
                                <w:rFonts w:ascii="SimHei" w:eastAsia="SimHei" w:hAnsi="SimHei" w:cs="SimHei"/>
                                <w:color w:val="D5EDF4"/>
                                <w:spacing w:val="0"/>
                                <w:w w:val="100"/>
                                <w:position w:val="0"/>
                                <w:sz w:val="10"/>
                                <w:szCs w:val="10"/>
                              </w:rPr>
                              <w:t>算资源</w:t>
                              <w:tab/>
                            </w:r>
                            <w:r>
                              <w:rPr>
                                <w:rFonts w:ascii="SimHei" w:eastAsia="SimHei" w:hAnsi="SimHei" w:cs="SimHei"/>
                                <w:color w:val="FFFFFF"/>
                                <w:spacing w:val="0"/>
                                <w:w w:val="100"/>
                                <w:position w:val="0"/>
                                <w:sz w:val="10"/>
                                <w:szCs w:val="10"/>
                              </w:rPr>
                              <w:t>■</w:t>
                              <w:tab/>
                            </w:r>
                            <w:r>
                              <w:rPr>
                                <w:rFonts w:ascii="SimHei" w:eastAsia="SimHei" w:hAnsi="SimHei" w:cs="SimHei"/>
                                <w:color w:val="FFFFFF"/>
                                <w:spacing w:val="0"/>
                                <w:w w:val="100"/>
                                <w:position w:val="0"/>
                                <w:sz w:val="10"/>
                                <w:szCs w:val="10"/>
                              </w:rPr>
                              <w:t>存</w:t>
                            </w:r>
                            <w:r>
                              <w:rPr>
                                <w:rFonts w:ascii="SimHei" w:eastAsia="SimHei" w:hAnsi="SimHei" w:cs="SimHei"/>
                                <w:color w:val="D5EDF4"/>
                                <w:spacing w:val="0"/>
                                <w:w w:val="100"/>
                                <w:position w:val="0"/>
                                <w:sz w:val="10"/>
                                <w:szCs w:val="10"/>
                              </w:rPr>
                              <w:t>储资源</w:t>
                              <w:tab/>
                            </w:r>
                            <w:r>
                              <w:rPr>
                                <w:rFonts w:ascii="Arial" w:eastAsia="Arial" w:hAnsi="Arial" w:cs="Arial"/>
                                <w:color w:val="FFFFFF"/>
                                <w:spacing w:val="0"/>
                                <w:w w:val="100"/>
                                <w:position w:val="0"/>
                                <w:sz w:val="17"/>
                                <w:szCs w:val="17"/>
                              </w:rPr>
                              <w:t>I</w:t>
                              <w:tab/>
                            </w:r>
                            <w:r>
                              <w:rPr>
                                <w:rFonts w:ascii="SimHei" w:eastAsia="SimHei" w:hAnsi="SimHei" w:cs="SimHei"/>
                                <w:color w:val="D5EDF4"/>
                                <w:spacing w:val="0"/>
                                <w:w w:val="100"/>
                                <w:position w:val="0"/>
                                <w:sz w:val="10"/>
                                <w:szCs w:val="10"/>
                              </w:rPr>
                              <w:t>网络资源</w:t>
                            </w:r>
                          </w:p>
                        </w:txbxContent>
                      </wps:txbx>
                      <wps:bodyPr lIns="0" tIns="0" rIns="0" bIns="0">
                        <a:noAutoFit/>
                      </wps:bodyPr>
                    </wps:wsp>
                  </a:graphicData>
                </a:graphic>
              </wp:anchor>
            </w:drawing>
          </mc:Choice>
          <mc:Fallback>
            <w:pict>
              <v:shape id="_x0000_s1062" type="#_x0000_t202" style="position:absolute;margin-left:166.25pt;margin-top:229.70000000000002pt;width:217.25pt;height:10.950000000000001pt;z-index:251657747;mso-wrap-distance-left:0;mso-wrap-distance-right:0;mso-position-horizontal-relative:page" filled="f" stroked="f">
                <v:textbox inset="0,0,0,0">
                  <w:txbxContent>
                    <w:p>
                      <w:pPr>
                        <w:pStyle w:val="Style21"/>
                        <w:keepNext w:val="0"/>
                        <w:keepLines w:val="0"/>
                        <w:widowControl w:val="0"/>
                        <w:pBdr>
                          <w:top w:val="single" w:sz="0" w:space="0" w:color="0171C2"/>
                          <w:left w:val="single" w:sz="0" w:space="0" w:color="0171C2"/>
                          <w:bottom w:val="single" w:sz="0" w:space="0" w:color="0171C2"/>
                          <w:right w:val="single" w:sz="0" w:space="0" w:color="0171C2"/>
                        </w:pBdr>
                        <w:shd w:val="clear" w:color="auto" w:fill="0171C2"/>
                        <w:tabs>
                          <w:tab w:pos="1085" w:val="left"/>
                          <w:tab w:pos="1923" w:val="left"/>
                          <w:tab w:pos="3066" w:val="left"/>
                          <w:tab w:pos="3907" w:val="left"/>
                        </w:tabs>
                        <w:bidi w:val="0"/>
                        <w:spacing w:before="0" w:after="0" w:line="240" w:lineRule="auto"/>
                        <w:ind w:left="0" w:right="0" w:firstLine="0"/>
                        <w:jc w:val="left"/>
                        <w:rPr>
                          <w:sz w:val="10"/>
                          <w:szCs w:val="10"/>
                        </w:rPr>
                      </w:pPr>
                      <w:r>
                        <w:rPr>
                          <w:rFonts w:ascii="SimHei" w:eastAsia="SimHei" w:hAnsi="SimHei" w:cs="SimHei"/>
                          <w:color w:val="FFFFFF"/>
                          <w:spacing w:val="0"/>
                          <w:w w:val="100"/>
                          <w:position w:val="0"/>
                          <w:sz w:val="10"/>
                          <w:szCs w:val="10"/>
                        </w:rPr>
                        <w:t>计</w:t>
                      </w:r>
                      <w:r>
                        <w:rPr>
                          <w:rFonts w:ascii="SimHei" w:eastAsia="SimHei" w:hAnsi="SimHei" w:cs="SimHei"/>
                          <w:color w:val="D5EDF4"/>
                          <w:spacing w:val="0"/>
                          <w:w w:val="100"/>
                          <w:position w:val="0"/>
                          <w:sz w:val="10"/>
                          <w:szCs w:val="10"/>
                        </w:rPr>
                        <w:t>算资源</w:t>
                        <w:tab/>
                      </w:r>
                      <w:r>
                        <w:rPr>
                          <w:rFonts w:ascii="SimHei" w:eastAsia="SimHei" w:hAnsi="SimHei" w:cs="SimHei"/>
                          <w:color w:val="FFFFFF"/>
                          <w:spacing w:val="0"/>
                          <w:w w:val="100"/>
                          <w:position w:val="0"/>
                          <w:sz w:val="10"/>
                          <w:szCs w:val="10"/>
                        </w:rPr>
                        <w:t>■</w:t>
                        <w:tab/>
                      </w:r>
                      <w:r>
                        <w:rPr>
                          <w:rFonts w:ascii="SimHei" w:eastAsia="SimHei" w:hAnsi="SimHei" w:cs="SimHei"/>
                          <w:color w:val="FFFFFF"/>
                          <w:spacing w:val="0"/>
                          <w:w w:val="100"/>
                          <w:position w:val="0"/>
                          <w:sz w:val="10"/>
                          <w:szCs w:val="10"/>
                        </w:rPr>
                        <w:t>存</w:t>
                      </w:r>
                      <w:r>
                        <w:rPr>
                          <w:rFonts w:ascii="SimHei" w:eastAsia="SimHei" w:hAnsi="SimHei" w:cs="SimHei"/>
                          <w:color w:val="D5EDF4"/>
                          <w:spacing w:val="0"/>
                          <w:w w:val="100"/>
                          <w:position w:val="0"/>
                          <w:sz w:val="10"/>
                          <w:szCs w:val="10"/>
                        </w:rPr>
                        <w:t>储资源</w:t>
                        <w:tab/>
                      </w:r>
                      <w:r>
                        <w:rPr>
                          <w:rFonts w:ascii="Arial" w:eastAsia="Arial" w:hAnsi="Arial" w:cs="Arial"/>
                          <w:color w:val="FFFFFF"/>
                          <w:spacing w:val="0"/>
                          <w:w w:val="100"/>
                          <w:position w:val="0"/>
                          <w:sz w:val="17"/>
                          <w:szCs w:val="17"/>
                        </w:rPr>
                        <w:t>I</w:t>
                        <w:tab/>
                      </w:r>
                      <w:r>
                        <w:rPr>
                          <w:rFonts w:ascii="SimHei" w:eastAsia="SimHei" w:hAnsi="SimHei" w:cs="SimHei"/>
                          <w:color w:val="D5EDF4"/>
                          <w:spacing w:val="0"/>
                          <w:w w:val="100"/>
                          <w:position w:val="0"/>
                          <w:sz w:val="10"/>
                          <w:szCs w:val="10"/>
                        </w:rPr>
                        <w:t>网络资源</w:t>
                      </w:r>
                    </w:p>
                  </w:txbxContent>
                </v:textbox>
                <w10:wrap anchorx="page"/>
              </v:shape>
            </w:pict>
          </mc:Fallback>
        </mc:AlternateContent>
      </w:r>
      <w:r>
        <w:drawing>
          <wp:anchor distT="2833370" distB="140970" distL="0" distR="0" simplePos="0" relativeHeight="125829391" behindDoc="0" locked="0" layoutInCell="1" allowOverlap="1">
            <wp:simplePos x="0" y="0"/>
            <wp:positionH relativeFrom="page">
              <wp:posOffset>1645285</wp:posOffset>
            </wp:positionH>
            <wp:positionV relativeFrom="paragraph">
              <wp:posOffset>2833370</wp:posOffset>
            </wp:positionV>
            <wp:extent cx="189230" cy="79375"/>
            <wp:wrapTopAndBottom/>
            <wp:docPr id="38" name="Shape 38"/>
            <a:graphic xmlns:a="http://schemas.openxmlformats.org/drawingml/2006/main">
              <a:graphicData uri="http://schemas.openxmlformats.org/drawingml/2006/picture">
                <pic:pic xmlns:pic="http://schemas.openxmlformats.org/drawingml/2006/picture">
                  <pic:nvPicPr>
                    <pic:cNvPr id="39" name="Picture box 39"/>
                    <pic:cNvPicPr/>
                  </pic:nvPicPr>
                  <pic:blipFill>
                    <a:blip r:embed="rId13"/>
                    <a:stretch/>
                  </pic:blipFill>
                  <pic:spPr>
                    <a:xfrm>
                      <a:ext cx="189230" cy="79375"/>
                    </a:xfrm>
                    <a:prstGeom prst="rect"/>
                  </pic:spPr>
                </pic:pic>
              </a:graphicData>
            </a:graphic>
          </wp:anchor>
        </w:drawing>
      </w:r>
      <w:r>
        <w:drawing>
          <wp:anchor distT="2833370" distB="140970" distL="0" distR="0" simplePos="0" relativeHeight="125829392" behindDoc="0" locked="0" layoutInCell="1" allowOverlap="1">
            <wp:simplePos x="0" y="0"/>
            <wp:positionH relativeFrom="page">
              <wp:posOffset>2479040</wp:posOffset>
            </wp:positionH>
            <wp:positionV relativeFrom="paragraph">
              <wp:posOffset>2833370</wp:posOffset>
            </wp:positionV>
            <wp:extent cx="2907665" cy="79375"/>
            <wp:wrapTopAndBottom/>
            <wp:docPr id="40" name="Shape 40"/>
            <a:graphic xmlns:a="http://schemas.openxmlformats.org/drawingml/2006/main">
              <a:graphicData uri="http://schemas.openxmlformats.org/drawingml/2006/picture">
                <pic:pic xmlns:pic="http://schemas.openxmlformats.org/drawingml/2006/picture">
                  <pic:nvPicPr>
                    <pic:cNvPr id="41" name="Picture box 41"/>
                    <pic:cNvPicPr/>
                  </pic:nvPicPr>
                  <pic:blipFill>
                    <a:blip r:embed="rId15"/>
                    <a:stretch/>
                  </pic:blipFill>
                  <pic:spPr>
                    <a:xfrm>
                      <a:ext cx="2907665" cy="79375"/>
                    </a:xfrm>
                    <a:prstGeom prst="rect"/>
                  </pic:spPr>
                </pic:pic>
              </a:graphicData>
            </a:graphic>
          </wp:anchor>
        </w:drawing>
      </w:r>
    </w:p>
    <w:p>
      <w:pPr>
        <w:pStyle w:val="Style59"/>
        <w:keepNext w:val="0"/>
        <w:keepLines w:val="0"/>
        <w:widowControl w:val="0"/>
        <w:shd w:val="clear" w:color="auto" w:fill="auto"/>
        <w:bidi w:val="0"/>
        <w:spacing w:before="0" w:after="0" w:line="468" w:lineRule="exact"/>
        <w:ind w:left="0" w:right="0" w:firstLine="460"/>
        <w:jc w:val="both"/>
      </w:pPr>
      <w:r>
        <w:rPr>
          <w:color w:val="000000"/>
          <w:spacing w:val="0"/>
          <w:w w:val="100"/>
          <w:position w:val="0"/>
          <w:sz w:val="24"/>
          <w:szCs w:val="24"/>
        </w:rPr>
        <w:t>“1”个城市大脑，一网统揽全局，实现城市运行科学指挥调度：专题汇聚，一脑统筹， 实现城市运行态势全面感知、趋势智能研判；</w:t>
      </w:r>
    </w:p>
    <w:p>
      <w:pPr>
        <w:pStyle w:val="Style59"/>
        <w:keepNext w:val="0"/>
        <w:keepLines w:val="0"/>
        <w:widowControl w:val="0"/>
        <w:shd w:val="clear" w:color="auto" w:fill="auto"/>
        <w:bidi w:val="0"/>
        <w:spacing w:before="0" w:after="0" w:line="468" w:lineRule="exact"/>
        <w:ind w:left="0" w:right="0" w:firstLine="460"/>
        <w:jc w:val="both"/>
      </w:pPr>
      <w:r>
        <w:rPr>
          <w:color w:val="000000"/>
          <w:spacing w:val="0"/>
          <w:w w:val="100"/>
          <w:position w:val="0"/>
          <w:sz w:val="24"/>
          <w:szCs w:val="24"/>
        </w:rPr>
        <w:t>“1”个核心平台，一网统管全城，促进横向协同高效处置：双端结合，重塑业务流程， 打造事件感知敏锐、任务生成智能、指令派发扁平、承接处置高效、评估考核科学的城市运 行管理闭环；</w:t>
      </w:r>
    </w:p>
    <w:p>
      <w:pPr>
        <w:pStyle w:val="Style59"/>
        <w:keepNext w:val="0"/>
        <w:keepLines w:val="0"/>
        <w:widowControl w:val="0"/>
        <w:shd w:val="clear" w:color="auto" w:fill="auto"/>
        <w:bidi w:val="0"/>
        <w:spacing w:before="0" w:after="0" w:line="468" w:lineRule="exact"/>
        <w:ind w:left="0" w:right="0" w:firstLine="460"/>
        <w:jc w:val="both"/>
      </w:pPr>
      <w:r>
        <w:rPr>
          <w:color w:val="000000"/>
          <w:spacing w:val="0"/>
          <w:w w:val="100"/>
          <w:position w:val="0"/>
          <w:sz w:val="24"/>
          <w:szCs w:val="24"/>
        </w:rPr>
        <w:t>“N”</w:t>
      </w:r>
      <w:r>
        <w:rPr>
          <w:color w:val="000000"/>
          <w:spacing w:val="0"/>
          <w:w w:val="100"/>
          <w:position w:val="0"/>
          <w:sz w:val="24"/>
          <w:szCs w:val="24"/>
        </w:rPr>
        <w:t>个行业应用，一网统领行业，提升城市运行行业精细化管理水平：围绕“善政、惠 民、兴业”，按需分配、集约建设，提升城市运行行业精细化管理水平。</w:t>
      </w:r>
    </w:p>
    <w:p>
      <w:pPr>
        <w:pStyle w:val="Style59"/>
        <w:keepNext w:val="0"/>
        <w:keepLines w:val="0"/>
        <w:widowControl w:val="0"/>
        <w:shd w:val="clear" w:color="auto" w:fill="auto"/>
        <w:bidi w:val="0"/>
        <w:spacing w:before="0" w:after="0" w:line="468" w:lineRule="exact"/>
        <w:ind w:left="0" w:right="0" w:firstLine="460"/>
        <w:jc w:val="both"/>
      </w:pPr>
      <w:r>
        <w:rPr>
          <w:color w:val="000000"/>
          <w:spacing w:val="0"/>
          <w:w w:val="100"/>
          <w:position w:val="0"/>
          <w:sz w:val="24"/>
          <w:szCs w:val="24"/>
        </w:rPr>
        <w:t>“1”个数字底座：构建城市运行“一网统管”的业务中台、</w:t>
      </w:r>
      <w:r>
        <w:rPr>
          <w:color w:val="000000"/>
          <w:spacing w:val="0"/>
          <w:w w:val="100"/>
          <w:position w:val="0"/>
          <w:sz w:val="24"/>
          <w:szCs w:val="24"/>
        </w:rPr>
        <w:t>AI</w:t>
      </w:r>
      <w:r>
        <w:rPr>
          <w:color w:val="000000"/>
          <w:spacing w:val="0"/>
          <w:w w:val="100"/>
          <w:position w:val="0"/>
          <w:sz w:val="24"/>
          <w:szCs w:val="24"/>
        </w:rPr>
        <w:t>算法中台、数据中台、 视频中台、</w:t>
      </w:r>
      <w:r>
        <w:rPr>
          <w:color w:val="000000"/>
          <w:spacing w:val="0"/>
          <w:w w:val="100"/>
          <w:position w:val="0"/>
          <w:sz w:val="24"/>
          <w:szCs w:val="24"/>
        </w:rPr>
        <w:t>IOT</w:t>
      </w:r>
      <w:r>
        <w:rPr>
          <w:color w:val="000000"/>
          <w:spacing w:val="0"/>
          <w:w w:val="100"/>
          <w:position w:val="0"/>
          <w:sz w:val="24"/>
          <w:szCs w:val="24"/>
        </w:rPr>
        <w:t>物联网中台以及</w:t>
      </w:r>
      <w:r>
        <w:rPr>
          <w:color w:val="000000"/>
          <w:spacing w:val="0"/>
          <w:w w:val="100"/>
          <w:position w:val="0"/>
          <w:sz w:val="24"/>
          <w:szCs w:val="24"/>
        </w:rPr>
        <w:t>CIM</w:t>
      </w:r>
      <w:r>
        <w:rPr>
          <w:color w:val="000000"/>
          <w:spacing w:val="0"/>
          <w:w w:val="100"/>
          <w:position w:val="0"/>
          <w:sz w:val="24"/>
          <w:szCs w:val="24"/>
        </w:rPr>
        <w:t>平台，夯实数字基础；</w:t>
      </w:r>
    </w:p>
    <w:p>
      <w:pPr>
        <w:pStyle w:val="Style59"/>
        <w:keepNext w:val="0"/>
        <w:keepLines w:val="0"/>
        <w:widowControl w:val="0"/>
        <w:shd w:val="clear" w:color="auto" w:fill="auto"/>
        <w:bidi w:val="0"/>
        <w:spacing w:before="0" w:after="0" w:line="468" w:lineRule="exact"/>
        <w:ind w:left="0" w:right="0" w:firstLine="460"/>
        <w:jc w:val="both"/>
      </w:pPr>
      <w:bookmarkStart w:id="71" w:name="bookmark71"/>
      <w:r>
        <w:rPr>
          <w:b/>
          <w:bCs/>
          <w:color w:val="000000"/>
          <w:spacing w:val="0"/>
          <w:w w:val="100"/>
          <w:position w:val="0"/>
          <w:sz w:val="24"/>
          <w:szCs w:val="24"/>
        </w:rPr>
        <w:t>3</w:t>
      </w:r>
      <w:bookmarkEnd w:id="71"/>
      <w:r>
        <w:rPr>
          <w:b/>
          <w:bCs/>
          <w:color w:val="000000"/>
          <w:spacing w:val="0"/>
          <w:w w:val="100"/>
          <w:position w:val="0"/>
          <w:sz w:val="24"/>
          <w:szCs w:val="24"/>
        </w:rPr>
        <w:t>、市域社会治理平台业务</w:t>
      </w:r>
    </w:p>
    <w:p>
      <w:pPr>
        <w:pStyle w:val="Style59"/>
        <w:keepNext w:val="0"/>
        <w:keepLines w:val="0"/>
        <w:widowControl w:val="0"/>
        <w:shd w:val="clear" w:color="auto" w:fill="auto"/>
        <w:bidi w:val="0"/>
        <w:spacing w:before="0" w:after="0" w:line="468" w:lineRule="exact"/>
        <w:ind w:left="0" w:right="0" w:firstLine="460"/>
        <w:jc w:val="left"/>
      </w:pPr>
      <w:r>
        <w:rPr>
          <w:color w:val="000000"/>
          <w:spacing w:val="0"/>
          <w:w w:val="100"/>
          <w:position w:val="0"/>
          <w:sz w:val="24"/>
          <w:szCs w:val="24"/>
        </w:rPr>
        <w:t xml:space="preserve">公司以政策为指引，以需求为出发点，致力于用信息化手段支撑新时期社会治理体系现 </w:t>
      </w:r>
      <w:r>
        <w:rPr>
          <w:color w:val="000000"/>
          <w:spacing w:val="0"/>
          <w:w w:val="100"/>
          <w:position w:val="0"/>
          <w:sz w:val="24"/>
          <w:szCs w:val="24"/>
        </w:rPr>
        <w:t>代化要求，以问题为导向实现溯源治理，进而社会治理能力现代化，围绕更高水平的平安建 设，为全国各级政法机关提供系统的社会治理现代化解决方案，以社会治理多网融合为重要 市域基础设施，充分利用信息化手段，基于规模合理、层级清晰、功能定位明确的社会治理 综合指挥中心，整合政法、综治信访维稳、网格员、志愿者等社会治理工作力量，整合社会 治理信息资源，建立信息汇总分流、矛盾排查分析研判机制，对各渠道各类信息及时进行数 据分析、跟进处置、妥善化解。市域社会治理具备完整的社会治理体系，具有统筹协调各方 资源和调动一切治理因素的天然优势，化解突出矛盾和重大风险的能力更加明显。</w:t>
      </w:r>
    </w:p>
    <w:p>
      <w:pPr>
        <w:pStyle w:val="Style59"/>
        <w:keepNext w:val="0"/>
        <w:keepLines w:val="0"/>
        <w:widowControl w:val="0"/>
        <w:shd w:val="clear" w:color="auto" w:fill="auto"/>
        <w:tabs>
          <w:tab w:pos="833" w:val="left"/>
        </w:tabs>
        <w:bidi w:val="0"/>
        <w:spacing w:before="0" w:after="0" w:line="469" w:lineRule="exact"/>
        <w:ind w:left="0" w:right="0" w:firstLine="480"/>
        <w:jc w:val="both"/>
      </w:pPr>
      <w:bookmarkStart w:id="72" w:name="bookmark72"/>
      <w:r>
        <w:rPr>
          <w:b/>
          <w:bCs/>
          <w:color w:val="000000"/>
          <w:spacing w:val="0"/>
          <w:w w:val="100"/>
          <w:position w:val="0"/>
          <w:sz w:val="24"/>
          <w:szCs w:val="24"/>
        </w:rPr>
        <w:t>3</w:t>
      </w:r>
      <w:bookmarkEnd w:id="72"/>
      <w:r>
        <w:rPr>
          <w:b/>
          <w:bCs/>
          <w:color w:val="000000"/>
          <w:spacing w:val="0"/>
          <w:w w:val="100"/>
          <w:position w:val="0"/>
          <w:sz w:val="24"/>
          <w:szCs w:val="24"/>
        </w:rPr>
        <w:t>、</w:t>
        <w:tab/>
        <w:t>城市大数据综合运营服务业务</w:t>
      </w:r>
    </w:p>
    <w:p>
      <w:pPr>
        <w:pStyle w:val="Style59"/>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城市大数据综合运营服务是企业向政府提供基本公共服务和社会管理性服务业务，对政 府公共管理领域的事务性、劳务性工作进行流程整合、重组，提供更加高效、便捷的社会服 务内容，从而达到节约公共管理成本，降低人员管理风险、压力，既能达到成本控制的目的 实现经济效益，又能实现出较好地服务品质实现公共管理的社会效益。城市大数据综合运营 服务业务类型包括网格化社会治理平台网格员服务外包、数字化城市管理采集员运营服务、 城市垃圾分类督导运营、城市市政设施养护、城市管网巡检、政府监管侧的第三方监督考核、 环卫清扫保洁监理，城乡环境治理提升第三方测评城市等多个领域。</w:t>
      </w:r>
    </w:p>
    <w:p>
      <w:pPr>
        <w:pStyle w:val="Style59"/>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公司全国网格化城市大数据综合运营服务市场占有率保持行业第一。公司始终坚持绿色 开发</w:t>
      </w:r>
      <w:r>
        <w:rPr>
          <w:color w:val="000000"/>
          <w:spacing w:val="0"/>
          <w:w w:val="100"/>
          <w:position w:val="0"/>
          <w:sz w:val="24"/>
          <w:szCs w:val="24"/>
        </w:rPr>
        <w:t>“1+N</w:t>
      </w:r>
      <w:r>
        <w:rPr>
          <w:color w:val="000000"/>
          <w:spacing w:val="0"/>
          <w:w w:val="100"/>
          <w:position w:val="0"/>
          <w:sz w:val="24"/>
          <w:szCs w:val="24"/>
        </w:rPr>
        <w:t>”的城市运营理念，让城市健康、良性可持续发展成为可能，为当地政府相关部门 提供多元化、本地化的信息服务。</w:t>
      </w:r>
    </w:p>
    <w:p>
      <w:pPr>
        <w:pStyle w:val="Style59"/>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报告期内，公司基于移动测量车辆和车载视频智能分析系统研发积累的经验，整合导航、 视频识别、数据融合和设备集成能力研发完成棋骥无人驾驶网格车。公司综合利用人工智能、 视频采集、</w:t>
      </w:r>
      <w:r>
        <w:rPr>
          <w:color w:val="000000"/>
          <w:spacing w:val="0"/>
          <w:w w:val="100"/>
          <w:position w:val="0"/>
          <w:sz w:val="24"/>
          <w:szCs w:val="24"/>
        </w:rPr>
        <w:t>GPS</w:t>
      </w:r>
      <w:r>
        <w:rPr>
          <w:color w:val="000000"/>
          <w:spacing w:val="0"/>
          <w:w w:val="100"/>
          <w:position w:val="0"/>
          <w:sz w:val="24"/>
          <w:szCs w:val="24"/>
        </w:rPr>
        <w:t>定位、无线传输、云计算等技术，打造“动静结合、人机协同”的信息采集 新模式。用软件产品为信息采集赋能，使问题发现全自动、人工监管更智能。通过这种信息 采集的新模式，提升城市管理的智慧化，实现城市管理的精细化。</w:t>
      </w:r>
    </w:p>
    <w:p>
      <w:pPr>
        <w:pStyle w:val="Style59"/>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公司的城市大数据综合运营服务业务还具有</w:t>
      </w:r>
      <w:r>
        <w:rPr>
          <w:color w:val="000000"/>
          <w:spacing w:val="0"/>
          <w:w w:val="100"/>
          <w:position w:val="0"/>
          <w:sz w:val="24"/>
          <w:szCs w:val="24"/>
        </w:rPr>
        <w:t>ISO9001、ISO14001、ISO18001</w:t>
      </w:r>
      <w:r>
        <w:rPr>
          <w:color w:val="000000"/>
          <w:spacing w:val="0"/>
          <w:w w:val="100"/>
          <w:position w:val="0"/>
          <w:sz w:val="24"/>
          <w:szCs w:val="24"/>
        </w:rPr>
        <w:t>等认证及国 家测绘乙级资质，在车载移动视频信息采集系统、无人机数据采集系统、城市管理应用数据 挖掘分析预警系统、专项数据普查信息采集及分析系统等领域拥有大量的自主知识产权和计 算机软件著作权。</w:t>
      </w:r>
    </w:p>
    <w:p>
      <w:pPr>
        <w:pStyle w:val="Style59"/>
        <w:keepNext w:val="0"/>
        <w:keepLines w:val="0"/>
        <w:widowControl w:val="0"/>
        <w:shd w:val="clear" w:color="auto" w:fill="auto"/>
        <w:tabs>
          <w:tab w:pos="833" w:val="left"/>
        </w:tabs>
        <w:bidi w:val="0"/>
        <w:spacing w:before="0" w:after="0" w:line="469" w:lineRule="exact"/>
        <w:ind w:left="0" w:right="0" w:firstLine="480"/>
        <w:jc w:val="both"/>
      </w:pPr>
      <w:bookmarkStart w:id="73" w:name="bookmark73"/>
      <w:r>
        <w:rPr>
          <w:b/>
          <w:bCs/>
          <w:color w:val="000000"/>
          <w:spacing w:val="0"/>
          <w:w w:val="100"/>
          <w:position w:val="0"/>
          <w:sz w:val="24"/>
          <w:szCs w:val="24"/>
        </w:rPr>
        <w:t>4</w:t>
      </w:r>
      <w:bookmarkEnd w:id="73"/>
      <w:r>
        <w:rPr>
          <w:b/>
          <w:bCs/>
          <w:color w:val="000000"/>
          <w:spacing w:val="0"/>
          <w:w w:val="100"/>
          <w:position w:val="0"/>
          <w:sz w:val="24"/>
          <w:szCs w:val="24"/>
        </w:rPr>
        <w:t>、</w:t>
        <w:tab/>
        <w:t>城市市政排水管网智慧监管平台业务</w:t>
      </w:r>
    </w:p>
    <w:p>
      <w:pPr>
        <w:pStyle w:val="Style59"/>
        <w:keepNext w:val="0"/>
        <w:keepLines w:val="0"/>
        <w:widowControl w:val="0"/>
        <w:shd w:val="clear" w:color="auto" w:fill="auto"/>
        <w:bidi w:val="0"/>
        <w:spacing w:before="0" w:after="180" w:line="469" w:lineRule="exact"/>
        <w:ind w:left="0" w:right="0" w:firstLine="480"/>
        <w:jc w:val="both"/>
      </w:pPr>
      <w:r>
        <w:rPr>
          <w:color w:val="000000"/>
          <w:spacing w:val="0"/>
          <w:w w:val="100"/>
          <w:position w:val="0"/>
          <w:sz w:val="24"/>
          <w:szCs w:val="24"/>
        </w:rPr>
        <w:t xml:space="preserve">城市市政排水一直是各地的管理重点和难点，市政排水的主要业务形态可概括为以下几 </w:t>
      </w:r>
      <w:r>
        <w:rPr>
          <w:color w:val="000000"/>
          <w:spacing w:val="0"/>
          <w:w w:val="100"/>
          <w:position w:val="0"/>
          <w:sz w:val="24"/>
          <w:szCs w:val="24"/>
        </w:rPr>
        <w:t>个方面：清检测修复，提升排水管网能力；雨污混接调查，实现长治久清；排水户溯源排查， 开展源头治理；防汛应急调度，确保民生安全。公司结合用户需求和痛点，构建城市市政排</w:t>
      </w:r>
    </w:p>
    <w:p>
      <w:pPr>
        <w:framePr w:w="7794" w:h="4421" w:hSpace="478" w:vSpace="506" w:wrap="notBeside" w:vAnchor="text" w:hAnchor="text" w:x="479" w:y="507"/>
        <w:widowControl w:val="0"/>
        <w:rPr>
          <w:sz w:val="2"/>
          <w:szCs w:val="2"/>
        </w:rPr>
      </w:pPr>
      <w:r>
        <w:drawing>
          <wp:inline>
            <wp:extent cx="4949825" cy="2810510"/>
            <wp:docPr id="42" name="Picutre 42"/>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7"/>
                    <a:stretch/>
                  </pic:blipFill>
                  <pic:spPr>
                    <a:xfrm>
                      <a:ext cx="4949825" cy="2810510"/>
                    </a:xfrm>
                    <a:prstGeom prst="rect"/>
                  </pic:spPr>
                </pic:pic>
              </a:graphicData>
            </a:graphic>
          </wp:inline>
        </w:drawing>
      </w:r>
    </w:p>
    <w:p>
      <w:pPr>
        <w:widowControl w:val="0"/>
        <w:spacing w:line="1" w:lineRule="exact"/>
      </w:pPr>
      <w:r>
        <mc:AlternateContent>
          <mc:Choice Requires="wps">
            <w:drawing>
              <wp:anchor distT="0" distB="0" distL="0" distR="1485265" simplePos="0" relativeHeight="125829393" behindDoc="0" locked="0" layoutInCell="1" allowOverlap="1">
                <wp:simplePos x="0" y="0"/>
                <wp:positionH relativeFrom="column">
                  <wp:posOffset>0</wp:posOffset>
                </wp:positionH>
                <wp:positionV relativeFrom="paragraph">
                  <wp:posOffset>0</wp:posOffset>
                </wp:positionV>
                <wp:extent cx="4735830" cy="184150"/>
                <wp:wrapTopAndBottom/>
                <wp:docPr id="43" name="Shape 43"/>
                <a:graphic xmlns:a="http://schemas.openxmlformats.org/drawingml/2006/main">
                  <a:graphicData uri="http://schemas.microsoft.com/office/word/2010/wordprocessingShape">
                    <wps:wsp>
                      <wps:cNvSpPr txBox="1"/>
                      <wps:spPr>
                        <a:xfrm>
                          <a:ext cx="4735830" cy="184150"/>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水管网智慧监管平台，为用户更好的管理市政排水管网提供有效抓手。</w:t>
                            </w:r>
                          </w:p>
                        </w:txbxContent>
                      </wps:txbx>
                      <wps:bodyPr lIns="0" tIns="0" rIns="0" bIns="0">
                        <a:noAutoFit/>
                      </wps:bodyPr>
                    </wps:wsp>
                  </a:graphicData>
                </a:graphic>
              </wp:anchor>
            </w:drawing>
          </mc:Choice>
          <mc:Fallback>
            <w:pict>
              <v:shape id="_x0000_s1069" type="#_x0000_t202" style="position:absolute;margin-left:0;margin-top:0;width:372.90000000000003pt;height:14.5pt;z-index:-125829360;mso-wrap-distance-left:0;mso-wrap-distance-right:116.95pt" filled="f" stroked="f">
                <v:textbox inset="0,0,0,0">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水管网智慧监管平台，为用户更好的管理市政排水管网提供有效抓手。</w:t>
                      </w:r>
                    </w:p>
                  </w:txbxContent>
                </v:textbox>
                <w10:wrap type="topAndBottom"/>
              </v:shape>
            </w:pict>
          </mc:Fallback>
        </mc:AlternateContent>
      </w:r>
      <w:r>
        <mc:AlternateContent>
          <mc:Choice Requires="wps">
            <w:drawing>
              <wp:anchor distT="0" distB="0" distL="0" distR="5815330" simplePos="0" relativeHeight="125829395" behindDoc="0" locked="0" layoutInCell="1" allowOverlap="1">
                <wp:simplePos x="0" y="0"/>
                <wp:positionH relativeFrom="column">
                  <wp:posOffset>4528185</wp:posOffset>
                </wp:positionH>
                <wp:positionV relativeFrom="paragraph">
                  <wp:posOffset>2997200</wp:posOffset>
                </wp:positionV>
                <wp:extent cx="405765" cy="128270"/>
                <wp:wrapTopAndBottom/>
                <wp:docPr id="45" name="Shape 45"/>
                <a:graphic xmlns:a="http://schemas.openxmlformats.org/drawingml/2006/main">
                  <a:graphicData uri="http://schemas.microsoft.com/office/word/2010/wordprocessingShape">
                    <wps:wsp>
                      <wps:cNvSpPr txBox="1"/>
                      <wps:spPr>
                        <a:xfrm>
                          <a:ext cx="405765" cy="128270"/>
                        </a:xfrm>
                        <a:prstGeom prst="rect"/>
                        <a:noFill/>
                      </wps:spPr>
                      <wps:txbx>
                        <w:txbxContent>
                          <w:p>
                            <w:pPr>
                              <w:pStyle w:val="Style38"/>
                              <w:keepNext w:val="0"/>
                              <w:keepLines w:val="0"/>
                              <w:widowControl w:val="0"/>
                              <w:pBdr>
                                <w:top w:val="single" w:sz="0" w:space="0" w:color="06B2EC"/>
                                <w:left w:val="single" w:sz="0" w:space="0" w:color="06B2EC"/>
                                <w:bottom w:val="single" w:sz="0" w:space="0" w:color="06B2EC"/>
                                <w:right w:val="single" w:sz="0" w:space="0" w:color="06B2EC"/>
                              </w:pBdr>
                              <w:shd w:val="clear" w:color="auto" w:fill="06B2EC"/>
                              <w:bidi w:val="0"/>
                              <w:spacing w:before="0" w:after="0" w:line="240" w:lineRule="auto"/>
                              <w:ind w:left="0" w:right="0" w:firstLine="0"/>
                              <w:jc w:val="left"/>
                              <w:rPr>
                                <w:sz w:val="14"/>
                                <w:szCs w:val="14"/>
                              </w:rPr>
                            </w:pPr>
                            <w:r>
                              <w:rPr>
                                <w:rFonts w:ascii="SimHei" w:eastAsia="SimHei" w:hAnsi="SimHei" w:cs="SimHei"/>
                                <w:color w:val="E9FA2C"/>
                                <w:spacing w:val="0"/>
                                <w:w w:val="100"/>
                                <w:position w:val="0"/>
                                <w:sz w:val="14"/>
                                <w:szCs w:val="14"/>
                              </w:rPr>
                              <w:t>智慧水努</w:t>
                            </w:r>
                          </w:p>
                        </w:txbxContent>
                      </wps:txbx>
                      <wps:bodyPr lIns="0" tIns="0" rIns="0" bIns="0">
                        <a:noAutoFit/>
                      </wps:bodyPr>
                    </wps:wsp>
                  </a:graphicData>
                </a:graphic>
              </wp:anchor>
            </w:drawing>
          </mc:Choice>
          <mc:Fallback>
            <w:pict>
              <v:shape id="_x0000_s1071" type="#_x0000_t202" style="position:absolute;margin-left:356.55000000000001pt;margin-top:236.pt;width:31.949999999999999pt;height:10.1pt;z-index:-125829358;mso-wrap-distance-left:0;mso-wrap-distance-right:457.90000000000003pt" filled="f" stroked="f">
                <v:textbox inset="0,0,0,0">
                  <w:txbxContent>
                    <w:p>
                      <w:pPr>
                        <w:pStyle w:val="Style38"/>
                        <w:keepNext w:val="0"/>
                        <w:keepLines w:val="0"/>
                        <w:widowControl w:val="0"/>
                        <w:pBdr>
                          <w:top w:val="single" w:sz="0" w:space="0" w:color="06B2EC"/>
                          <w:left w:val="single" w:sz="0" w:space="0" w:color="06B2EC"/>
                          <w:bottom w:val="single" w:sz="0" w:space="0" w:color="06B2EC"/>
                          <w:right w:val="single" w:sz="0" w:space="0" w:color="06B2EC"/>
                        </w:pBdr>
                        <w:shd w:val="clear" w:color="auto" w:fill="06B2EC"/>
                        <w:bidi w:val="0"/>
                        <w:spacing w:before="0" w:after="0" w:line="240" w:lineRule="auto"/>
                        <w:ind w:left="0" w:right="0" w:firstLine="0"/>
                        <w:jc w:val="left"/>
                        <w:rPr>
                          <w:sz w:val="14"/>
                          <w:szCs w:val="14"/>
                        </w:rPr>
                      </w:pPr>
                      <w:r>
                        <w:rPr>
                          <w:rFonts w:ascii="SimHei" w:eastAsia="SimHei" w:hAnsi="SimHei" w:cs="SimHei"/>
                          <w:color w:val="E9FA2C"/>
                          <w:spacing w:val="0"/>
                          <w:w w:val="100"/>
                          <w:position w:val="0"/>
                          <w:sz w:val="14"/>
                          <w:szCs w:val="14"/>
                        </w:rPr>
                        <w:t>智慧水努</w:t>
                      </w:r>
                    </w:p>
                  </w:txbxContent>
                </v:textbox>
                <w10:wrap type="topAndBottom"/>
              </v:shape>
            </w:pict>
          </mc:Fallback>
        </mc:AlternateContent>
      </w:r>
      <w:r>
        <mc:AlternateContent>
          <mc:Choice Requires="wps">
            <w:drawing>
              <wp:anchor distT="0" distB="0" distL="0" distR="5817870" simplePos="0" relativeHeight="125829397" behindDoc="0" locked="0" layoutInCell="1" allowOverlap="1">
                <wp:simplePos x="0" y="0"/>
                <wp:positionH relativeFrom="column">
                  <wp:posOffset>4528185</wp:posOffset>
                </wp:positionH>
                <wp:positionV relativeFrom="paragraph">
                  <wp:posOffset>2810510</wp:posOffset>
                </wp:positionV>
                <wp:extent cx="403225" cy="128270"/>
                <wp:wrapTopAndBottom/>
                <wp:docPr id="47" name="Shape 47"/>
                <a:graphic xmlns:a="http://schemas.openxmlformats.org/drawingml/2006/main">
                  <a:graphicData uri="http://schemas.microsoft.com/office/word/2010/wordprocessingShape">
                    <wps:wsp>
                      <wps:cNvSpPr txBox="1"/>
                      <wps:spPr>
                        <a:xfrm>
                          <a:ext cx="403225" cy="128270"/>
                        </a:xfrm>
                        <a:prstGeom prst="rect"/>
                        <a:noFill/>
                      </wps:spPr>
                      <wps:txbx>
                        <w:txbxContent>
                          <w:p>
                            <w:pPr>
                              <w:pStyle w:val="Style38"/>
                              <w:keepNext w:val="0"/>
                              <w:keepLines w:val="0"/>
                              <w:widowControl w:val="0"/>
                              <w:pBdr>
                                <w:top w:val="single" w:sz="0" w:space="0" w:color="05B2EB"/>
                                <w:left w:val="single" w:sz="0" w:space="0" w:color="05B2EB"/>
                                <w:bottom w:val="single" w:sz="0" w:space="0" w:color="05B2EB"/>
                                <w:right w:val="single" w:sz="0" w:space="0" w:color="05B2EB"/>
                              </w:pBdr>
                              <w:shd w:val="clear" w:color="auto" w:fill="05B2EB"/>
                              <w:bidi w:val="0"/>
                              <w:spacing w:before="0" w:after="0" w:line="240" w:lineRule="auto"/>
                              <w:ind w:left="0" w:right="0" w:firstLine="0"/>
                              <w:jc w:val="left"/>
                              <w:rPr>
                                <w:sz w:val="14"/>
                                <w:szCs w:val="14"/>
                              </w:rPr>
                            </w:pPr>
                            <w:r>
                              <w:rPr>
                                <w:rFonts w:ascii="SimHei" w:eastAsia="SimHei" w:hAnsi="SimHei" w:cs="SimHei"/>
                                <w:color w:val="E9FA2C"/>
                                <w:spacing w:val="0"/>
                                <w:w w:val="100"/>
                                <w:position w:val="0"/>
                                <w:sz w:val="14"/>
                                <w:szCs w:val="14"/>
                              </w:rPr>
                              <w:t>漏损控制</w:t>
                            </w:r>
                          </w:p>
                        </w:txbxContent>
                      </wps:txbx>
                      <wps:bodyPr lIns="0" tIns="0" rIns="0" bIns="0">
                        <a:noAutoFit/>
                      </wps:bodyPr>
                    </wps:wsp>
                  </a:graphicData>
                </a:graphic>
              </wp:anchor>
            </w:drawing>
          </mc:Choice>
          <mc:Fallback>
            <w:pict>
              <v:shape id="_x0000_s1073" type="#_x0000_t202" style="position:absolute;margin-left:356.55000000000001pt;margin-top:221.30000000000001pt;width:31.75pt;height:10.1pt;z-index:-125829356;mso-wrap-distance-left:0;mso-wrap-distance-right:458.10000000000002pt" filled="f" stroked="f">
                <v:textbox inset="0,0,0,0">
                  <w:txbxContent>
                    <w:p>
                      <w:pPr>
                        <w:pStyle w:val="Style38"/>
                        <w:keepNext w:val="0"/>
                        <w:keepLines w:val="0"/>
                        <w:widowControl w:val="0"/>
                        <w:pBdr>
                          <w:top w:val="single" w:sz="0" w:space="0" w:color="05B2EB"/>
                          <w:left w:val="single" w:sz="0" w:space="0" w:color="05B2EB"/>
                          <w:bottom w:val="single" w:sz="0" w:space="0" w:color="05B2EB"/>
                          <w:right w:val="single" w:sz="0" w:space="0" w:color="05B2EB"/>
                        </w:pBdr>
                        <w:shd w:val="clear" w:color="auto" w:fill="05B2EB"/>
                        <w:bidi w:val="0"/>
                        <w:spacing w:before="0" w:after="0" w:line="240" w:lineRule="auto"/>
                        <w:ind w:left="0" w:right="0" w:firstLine="0"/>
                        <w:jc w:val="left"/>
                        <w:rPr>
                          <w:sz w:val="14"/>
                          <w:szCs w:val="14"/>
                        </w:rPr>
                      </w:pPr>
                      <w:r>
                        <w:rPr>
                          <w:rFonts w:ascii="SimHei" w:eastAsia="SimHei" w:hAnsi="SimHei" w:cs="SimHei"/>
                          <w:color w:val="E9FA2C"/>
                          <w:spacing w:val="0"/>
                          <w:w w:val="100"/>
                          <w:position w:val="0"/>
                          <w:sz w:val="14"/>
                          <w:szCs w:val="14"/>
                        </w:rPr>
                        <w:t>漏损控制</w:t>
                      </w:r>
                    </w:p>
                  </w:txbxContent>
                </v:textbox>
                <w10:wrap type="topAndBottom"/>
              </v:shape>
            </w:pict>
          </mc:Fallback>
        </mc:AlternateContent>
      </w:r>
      <w:r>
        <mc:AlternateContent>
          <mc:Choice Requires="wps">
            <w:drawing>
              <wp:anchor distT="0" distB="0" distL="0" distR="5628005" simplePos="0" relativeHeight="125829399" behindDoc="0" locked="0" layoutInCell="1" allowOverlap="1">
                <wp:simplePos x="0" y="0"/>
                <wp:positionH relativeFrom="column">
                  <wp:posOffset>4434205</wp:posOffset>
                </wp:positionH>
                <wp:positionV relativeFrom="paragraph">
                  <wp:posOffset>2637790</wp:posOffset>
                </wp:positionV>
                <wp:extent cx="593090" cy="128270"/>
                <wp:wrapTopAndBottom/>
                <wp:docPr id="49" name="Shape 49"/>
                <a:graphic xmlns:a="http://schemas.openxmlformats.org/drawingml/2006/main">
                  <a:graphicData uri="http://schemas.microsoft.com/office/word/2010/wordprocessingShape">
                    <wps:wsp>
                      <wps:cNvSpPr txBox="1"/>
                      <wps:spPr>
                        <a:xfrm>
                          <a:ext cx="593090" cy="128270"/>
                        </a:xfrm>
                        <a:prstGeom prst="rect"/>
                        <a:noFill/>
                      </wps:spPr>
                      <wps:txbx>
                        <w:txbxContent>
                          <w:p>
                            <w:pPr>
                              <w:pStyle w:val="Style38"/>
                              <w:keepNext w:val="0"/>
                              <w:keepLines w:val="0"/>
                              <w:widowControl w:val="0"/>
                              <w:pBdr>
                                <w:top w:val="single" w:sz="0" w:space="0" w:color="05B2EC"/>
                                <w:left w:val="single" w:sz="0" w:space="0" w:color="05B2EC"/>
                                <w:bottom w:val="single" w:sz="0" w:space="0" w:color="05B2EC"/>
                                <w:right w:val="single" w:sz="0" w:space="0" w:color="05B2EC"/>
                              </w:pBdr>
                              <w:shd w:val="clear" w:color="auto" w:fill="05B2EC"/>
                              <w:bidi w:val="0"/>
                              <w:spacing w:before="0" w:after="0" w:line="240" w:lineRule="auto"/>
                              <w:ind w:left="0" w:right="0" w:firstLine="0"/>
                              <w:jc w:val="left"/>
                              <w:rPr>
                                <w:sz w:val="14"/>
                                <w:szCs w:val="14"/>
                              </w:rPr>
                            </w:pPr>
                            <w:r>
                              <w:rPr>
                                <w:rFonts w:ascii="SimHei" w:eastAsia="SimHei" w:hAnsi="SimHei" w:cs="SimHei"/>
                                <w:color w:val="E9FA2C"/>
                                <w:spacing w:val="0"/>
                                <w:w w:val="100"/>
                                <w:position w:val="0"/>
                                <w:sz w:val="14"/>
                                <w:szCs w:val="14"/>
                              </w:rPr>
                              <w:t>供水运维服务</w:t>
                            </w:r>
                          </w:p>
                        </w:txbxContent>
                      </wps:txbx>
                      <wps:bodyPr lIns="0" tIns="0" rIns="0" bIns="0">
                        <a:noAutoFit/>
                      </wps:bodyPr>
                    </wps:wsp>
                  </a:graphicData>
                </a:graphic>
              </wp:anchor>
            </w:drawing>
          </mc:Choice>
          <mc:Fallback>
            <w:pict>
              <v:shape id="_x0000_s1075" type="#_x0000_t202" style="position:absolute;margin-left:349.15000000000003pt;margin-top:207.70000000000002pt;width:46.700000000000003pt;height:10.1pt;z-index:-125829354;mso-wrap-distance-left:0;mso-wrap-distance-right:443.15000000000003pt" filled="f" stroked="f">
                <v:textbox inset="0,0,0,0">
                  <w:txbxContent>
                    <w:p>
                      <w:pPr>
                        <w:pStyle w:val="Style38"/>
                        <w:keepNext w:val="0"/>
                        <w:keepLines w:val="0"/>
                        <w:widowControl w:val="0"/>
                        <w:pBdr>
                          <w:top w:val="single" w:sz="0" w:space="0" w:color="05B2EC"/>
                          <w:left w:val="single" w:sz="0" w:space="0" w:color="05B2EC"/>
                          <w:bottom w:val="single" w:sz="0" w:space="0" w:color="05B2EC"/>
                          <w:right w:val="single" w:sz="0" w:space="0" w:color="05B2EC"/>
                        </w:pBdr>
                        <w:shd w:val="clear" w:color="auto" w:fill="05B2EC"/>
                        <w:bidi w:val="0"/>
                        <w:spacing w:before="0" w:after="0" w:line="240" w:lineRule="auto"/>
                        <w:ind w:left="0" w:right="0" w:firstLine="0"/>
                        <w:jc w:val="left"/>
                        <w:rPr>
                          <w:sz w:val="14"/>
                          <w:szCs w:val="14"/>
                        </w:rPr>
                      </w:pPr>
                      <w:r>
                        <w:rPr>
                          <w:rFonts w:ascii="SimHei" w:eastAsia="SimHei" w:hAnsi="SimHei" w:cs="SimHei"/>
                          <w:color w:val="E9FA2C"/>
                          <w:spacing w:val="0"/>
                          <w:w w:val="100"/>
                          <w:position w:val="0"/>
                          <w:sz w:val="14"/>
                          <w:szCs w:val="14"/>
                        </w:rPr>
                        <w:t>供水运维服务</w:t>
                      </w:r>
                    </w:p>
                  </w:txbxContent>
                </v:textbox>
                <w10:wrap type="topAndBottom"/>
              </v:shape>
            </w:pict>
          </mc:Fallback>
        </mc:AlternateContent>
      </w:r>
      <w:r>
        <mc:AlternateContent>
          <mc:Choice Requires="wps">
            <w:drawing>
              <wp:anchor distT="0" distB="0" distL="0" distR="5817870" simplePos="0" relativeHeight="125829401" behindDoc="0" locked="0" layoutInCell="1" allowOverlap="1">
                <wp:simplePos x="0" y="0"/>
                <wp:positionH relativeFrom="column">
                  <wp:posOffset>4533900</wp:posOffset>
                </wp:positionH>
                <wp:positionV relativeFrom="paragraph">
                  <wp:posOffset>2296160</wp:posOffset>
                </wp:positionV>
                <wp:extent cx="403225" cy="131445"/>
                <wp:wrapTopAndBottom/>
                <wp:docPr id="51" name="Shape 51"/>
                <a:graphic xmlns:a="http://schemas.openxmlformats.org/drawingml/2006/main">
                  <a:graphicData uri="http://schemas.microsoft.com/office/word/2010/wordprocessingShape">
                    <wps:wsp>
                      <wps:cNvSpPr txBox="1"/>
                      <wps:spPr>
                        <a:xfrm>
                          <a:ext cx="403225" cy="131445"/>
                        </a:xfrm>
                        <a:prstGeom prst="rect"/>
                        <a:noFill/>
                      </wps:spPr>
                      <wps:txbx>
                        <w:txbxContent>
                          <w:p>
                            <w:pPr>
                              <w:pStyle w:val="Style38"/>
                              <w:keepNext w:val="0"/>
                              <w:keepLines w:val="0"/>
                              <w:widowControl w:val="0"/>
                              <w:pBdr>
                                <w:top w:val="single" w:sz="0" w:space="0" w:color="06B1EC"/>
                                <w:left w:val="single" w:sz="0" w:space="0" w:color="06B1EC"/>
                                <w:bottom w:val="single" w:sz="0" w:space="0" w:color="06B1EC"/>
                                <w:right w:val="single" w:sz="0" w:space="0" w:color="06B1EC"/>
                              </w:pBdr>
                              <w:shd w:val="clear" w:color="auto" w:fill="06B1EC"/>
                              <w:bidi w:val="0"/>
                              <w:spacing w:before="0" w:after="0" w:line="240" w:lineRule="auto"/>
                              <w:ind w:left="0" w:right="0" w:firstLine="0"/>
                              <w:jc w:val="left"/>
                              <w:rPr>
                                <w:sz w:val="14"/>
                                <w:szCs w:val="14"/>
                              </w:rPr>
                            </w:pPr>
                            <w:r>
                              <w:rPr>
                                <w:rFonts w:ascii="SimHei" w:eastAsia="SimHei" w:hAnsi="SimHei" w:cs="SimHei"/>
                                <w:color w:val="E9FA2C"/>
                                <w:spacing w:val="0"/>
                                <w:w w:val="100"/>
                                <w:position w:val="0"/>
                                <w:sz w:val="14"/>
                                <w:szCs w:val="14"/>
                              </w:rPr>
                              <w:t>管道修复</w:t>
                            </w:r>
                          </w:p>
                        </w:txbxContent>
                      </wps:txbx>
                      <wps:bodyPr lIns="0" tIns="0" rIns="0" bIns="0">
                        <a:noAutoFit/>
                      </wps:bodyPr>
                    </wps:wsp>
                  </a:graphicData>
                </a:graphic>
              </wp:anchor>
            </w:drawing>
          </mc:Choice>
          <mc:Fallback>
            <w:pict>
              <v:shape id="_x0000_s1077" type="#_x0000_t202" style="position:absolute;margin-left:357.pt;margin-top:180.80000000000001pt;width:31.75pt;height:10.35pt;z-index:-125829352;mso-wrap-distance-left:0;mso-wrap-distance-right:458.10000000000002pt" filled="f" stroked="f">
                <v:textbox inset="0,0,0,0">
                  <w:txbxContent>
                    <w:p>
                      <w:pPr>
                        <w:pStyle w:val="Style38"/>
                        <w:keepNext w:val="0"/>
                        <w:keepLines w:val="0"/>
                        <w:widowControl w:val="0"/>
                        <w:pBdr>
                          <w:top w:val="single" w:sz="0" w:space="0" w:color="06B1EC"/>
                          <w:left w:val="single" w:sz="0" w:space="0" w:color="06B1EC"/>
                          <w:bottom w:val="single" w:sz="0" w:space="0" w:color="06B1EC"/>
                          <w:right w:val="single" w:sz="0" w:space="0" w:color="06B1EC"/>
                        </w:pBdr>
                        <w:shd w:val="clear" w:color="auto" w:fill="06B1EC"/>
                        <w:bidi w:val="0"/>
                        <w:spacing w:before="0" w:after="0" w:line="240" w:lineRule="auto"/>
                        <w:ind w:left="0" w:right="0" w:firstLine="0"/>
                        <w:jc w:val="left"/>
                        <w:rPr>
                          <w:sz w:val="14"/>
                          <w:szCs w:val="14"/>
                        </w:rPr>
                      </w:pPr>
                      <w:r>
                        <w:rPr>
                          <w:rFonts w:ascii="SimHei" w:eastAsia="SimHei" w:hAnsi="SimHei" w:cs="SimHei"/>
                          <w:color w:val="E9FA2C"/>
                          <w:spacing w:val="0"/>
                          <w:w w:val="100"/>
                          <w:position w:val="0"/>
                          <w:sz w:val="14"/>
                          <w:szCs w:val="14"/>
                        </w:rPr>
                        <w:t>管道修复</w:t>
                      </w:r>
                    </w:p>
                  </w:txbxContent>
                </v:textbox>
                <w10:wrap type="topAndBottom"/>
              </v:shape>
            </w:pict>
          </mc:Fallback>
        </mc:AlternateContent>
      </w:r>
      <w:r>
        <mc:AlternateContent>
          <mc:Choice Requires="wps">
            <w:drawing>
              <wp:anchor distT="0" distB="0" distL="0" distR="5815330" simplePos="0" relativeHeight="125829403" behindDoc="0" locked="0" layoutInCell="1" allowOverlap="1">
                <wp:simplePos x="0" y="0"/>
                <wp:positionH relativeFrom="column">
                  <wp:posOffset>4528185</wp:posOffset>
                </wp:positionH>
                <wp:positionV relativeFrom="paragraph">
                  <wp:posOffset>2062480</wp:posOffset>
                </wp:positionV>
                <wp:extent cx="405765" cy="128270"/>
                <wp:wrapTopAndBottom/>
                <wp:docPr id="53" name="Shape 53"/>
                <a:graphic xmlns:a="http://schemas.openxmlformats.org/drawingml/2006/main">
                  <a:graphicData uri="http://schemas.microsoft.com/office/word/2010/wordprocessingShape">
                    <wps:wsp>
                      <wps:cNvSpPr txBox="1"/>
                      <wps:spPr>
                        <a:xfrm>
                          <a:ext cx="405765" cy="128270"/>
                        </a:xfrm>
                        <a:prstGeom prst="rect"/>
                        <a:noFill/>
                      </wps:spPr>
                      <wps:txbx>
                        <w:txbxContent>
                          <w:p>
                            <w:pPr>
                              <w:pStyle w:val="Style38"/>
                              <w:keepNext w:val="0"/>
                              <w:keepLines w:val="0"/>
                              <w:widowControl w:val="0"/>
                              <w:pBdr>
                                <w:top w:val="single" w:sz="0" w:space="0" w:color="06B2EB"/>
                                <w:left w:val="single" w:sz="0" w:space="0" w:color="06B2EB"/>
                                <w:bottom w:val="single" w:sz="0" w:space="0" w:color="06B2EB"/>
                                <w:right w:val="single" w:sz="0" w:space="0" w:color="06B2EB"/>
                              </w:pBdr>
                              <w:shd w:val="clear" w:color="auto" w:fill="06B2EB"/>
                              <w:bidi w:val="0"/>
                              <w:spacing w:before="0" w:after="0" w:line="240" w:lineRule="auto"/>
                              <w:ind w:left="0" w:right="0" w:firstLine="0"/>
                              <w:jc w:val="left"/>
                              <w:rPr>
                                <w:sz w:val="14"/>
                                <w:szCs w:val="14"/>
                              </w:rPr>
                            </w:pPr>
                            <w:r>
                              <w:rPr>
                                <w:rFonts w:ascii="SimHei" w:eastAsia="SimHei" w:hAnsi="SimHei" w:cs="SimHei"/>
                                <w:color w:val="E9FA2C"/>
                                <w:spacing w:val="0"/>
                                <w:w w:val="100"/>
                                <w:position w:val="0"/>
                                <w:sz w:val="14"/>
                                <w:szCs w:val="14"/>
                              </w:rPr>
                              <w:t>智慧防汛</w:t>
                            </w:r>
                          </w:p>
                        </w:txbxContent>
                      </wps:txbx>
                      <wps:bodyPr lIns="0" tIns="0" rIns="0" bIns="0">
                        <a:noAutoFit/>
                      </wps:bodyPr>
                    </wps:wsp>
                  </a:graphicData>
                </a:graphic>
              </wp:anchor>
            </w:drawing>
          </mc:Choice>
          <mc:Fallback>
            <w:pict>
              <v:shape id="_x0000_s1079" type="#_x0000_t202" style="position:absolute;margin-left:356.55000000000001pt;margin-top:162.40000000000001pt;width:31.949999999999999pt;height:10.1pt;z-index:-125829350;mso-wrap-distance-left:0;mso-wrap-distance-right:457.90000000000003pt" filled="f" stroked="f">
                <v:textbox inset="0,0,0,0">
                  <w:txbxContent>
                    <w:p>
                      <w:pPr>
                        <w:pStyle w:val="Style38"/>
                        <w:keepNext w:val="0"/>
                        <w:keepLines w:val="0"/>
                        <w:widowControl w:val="0"/>
                        <w:pBdr>
                          <w:top w:val="single" w:sz="0" w:space="0" w:color="06B2EB"/>
                          <w:left w:val="single" w:sz="0" w:space="0" w:color="06B2EB"/>
                          <w:bottom w:val="single" w:sz="0" w:space="0" w:color="06B2EB"/>
                          <w:right w:val="single" w:sz="0" w:space="0" w:color="06B2EB"/>
                        </w:pBdr>
                        <w:shd w:val="clear" w:color="auto" w:fill="06B2EB"/>
                        <w:bidi w:val="0"/>
                        <w:spacing w:before="0" w:after="0" w:line="240" w:lineRule="auto"/>
                        <w:ind w:left="0" w:right="0" w:firstLine="0"/>
                        <w:jc w:val="left"/>
                        <w:rPr>
                          <w:sz w:val="14"/>
                          <w:szCs w:val="14"/>
                        </w:rPr>
                      </w:pPr>
                      <w:r>
                        <w:rPr>
                          <w:rFonts w:ascii="SimHei" w:eastAsia="SimHei" w:hAnsi="SimHei" w:cs="SimHei"/>
                          <w:color w:val="E9FA2C"/>
                          <w:spacing w:val="0"/>
                          <w:w w:val="100"/>
                          <w:position w:val="0"/>
                          <w:sz w:val="14"/>
                          <w:szCs w:val="14"/>
                        </w:rPr>
                        <w:t>智慧防汛</w:t>
                      </w:r>
                    </w:p>
                  </w:txbxContent>
                </v:textbox>
                <w10:wrap type="topAndBottom"/>
              </v:shape>
            </w:pict>
          </mc:Fallback>
        </mc:AlternateContent>
      </w:r>
      <w:r>
        <mc:AlternateContent>
          <mc:Choice Requires="wps">
            <w:drawing>
              <wp:anchor distT="0" distB="0" distL="0" distR="5815330" simplePos="0" relativeHeight="125829405" behindDoc="0" locked="0" layoutInCell="1" allowOverlap="1">
                <wp:simplePos x="0" y="0"/>
                <wp:positionH relativeFrom="column">
                  <wp:posOffset>4528185</wp:posOffset>
                </wp:positionH>
                <wp:positionV relativeFrom="paragraph">
                  <wp:posOffset>1887220</wp:posOffset>
                </wp:positionV>
                <wp:extent cx="405765" cy="131445"/>
                <wp:wrapTopAndBottom/>
                <wp:docPr id="55" name="Shape 55"/>
                <a:graphic xmlns:a="http://schemas.openxmlformats.org/drawingml/2006/main">
                  <a:graphicData uri="http://schemas.microsoft.com/office/word/2010/wordprocessingShape">
                    <wps:wsp>
                      <wps:cNvSpPr txBox="1"/>
                      <wps:spPr>
                        <a:xfrm>
                          <a:ext cx="405765" cy="131445"/>
                        </a:xfrm>
                        <a:prstGeom prst="rect"/>
                        <a:noFill/>
                      </wps:spPr>
                      <wps:txbx>
                        <w:txbxContent>
                          <w:p>
                            <w:pPr>
                              <w:pStyle w:val="Style38"/>
                              <w:keepNext w:val="0"/>
                              <w:keepLines w:val="0"/>
                              <w:widowControl w:val="0"/>
                              <w:pBdr>
                                <w:top w:val="single" w:sz="0" w:space="0" w:color="05B2EB"/>
                                <w:left w:val="single" w:sz="0" w:space="0" w:color="05B2EB"/>
                                <w:bottom w:val="single" w:sz="0" w:space="0" w:color="05B2EB"/>
                                <w:right w:val="single" w:sz="0" w:space="0" w:color="05B2EB"/>
                              </w:pBdr>
                              <w:shd w:val="clear" w:color="auto" w:fill="05B2EB"/>
                              <w:bidi w:val="0"/>
                              <w:spacing w:before="0" w:after="0" w:line="240" w:lineRule="auto"/>
                              <w:ind w:left="0" w:right="0" w:firstLine="0"/>
                              <w:jc w:val="left"/>
                              <w:rPr>
                                <w:sz w:val="14"/>
                                <w:szCs w:val="14"/>
                              </w:rPr>
                            </w:pPr>
                            <w:r>
                              <w:rPr>
                                <w:rFonts w:ascii="SimHei" w:eastAsia="SimHei" w:hAnsi="SimHei" w:cs="SimHei"/>
                                <w:color w:val="E9FA2C"/>
                                <w:spacing w:val="0"/>
                                <w:w w:val="100"/>
                                <w:position w:val="0"/>
                                <w:sz w:val="14"/>
                                <w:szCs w:val="14"/>
                              </w:rPr>
                              <w:t>智慧排水</w:t>
                            </w:r>
                          </w:p>
                        </w:txbxContent>
                      </wps:txbx>
                      <wps:bodyPr lIns="0" tIns="0" rIns="0" bIns="0">
                        <a:noAutoFit/>
                      </wps:bodyPr>
                    </wps:wsp>
                  </a:graphicData>
                </a:graphic>
              </wp:anchor>
            </w:drawing>
          </mc:Choice>
          <mc:Fallback>
            <w:pict>
              <v:shape id="_x0000_s1081" type="#_x0000_t202" style="position:absolute;margin-left:356.55000000000001pt;margin-top:148.59999999999999pt;width:31.949999999999999pt;height:10.35pt;z-index:-125829348;mso-wrap-distance-left:0;mso-wrap-distance-right:457.90000000000003pt" filled="f" stroked="f">
                <v:textbox inset="0,0,0,0">
                  <w:txbxContent>
                    <w:p>
                      <w:pPr>
                        <w:pStyle w:val="Style38"/>
                        <w:keepNext w:val="0"/>
                        <w:keepLines w:val="0"/>
                        <w:widowControl w:val="0"/>
                        <w:pBdr>
                          <w:top w:val="single" w:sz="0" w:space="0" w:color="05B2EB"/>
                          <w:left w:val="single" w:sz="0" w:space="0" w:color="05B2EB"/>
                          <w:bottom w:val="single" w:sz="0" w:space="0" w:color="05B2EB"/>
                          <w:right w:val="single" w:sz="0" w:space="0" w:color="05B2EB"/>
                        </w:pBdr>
                        <w:shd w:val="clear" w:color="auto" w:fill="05B2EB"/>
                        <w:bidi w:val="0"/>
                        <w:spacing w:before="0" w:after="0" w:line="240" w:lineRule="auto"/>
                        <w:ind w:left="0" w:right="0" w:firstLine="0"/>
                        <w:jc w:val="left"/>
                        <w:rPr>
                          <w:sz w:val="14"/>
                          <w:szCs w:val="14"/>
                        </w:rPr>
                      </w:pPr>
                      <w:r>
                        <w:rPr>
                          <w:rFonts w:ascii="SimHei" w:eastAsia="SimHei" w:hAnsi="SimHei" w:cs="SimHei"/>
                          <w:color w:val="E9FA2C"/>
                          <w:spacing w:val="0"/>
                          <w:w w:val="100"/>
                          <w:position w:val="0"/>
                          <w:sz w:val="14"/>
                          <w:szCs w:val="14"/>
                        </w:rPr>
                        <w:t>智慧排水</w:t>
                      </w:r>
                    </w:p>
                  </w:txbxContent>
                </v:textbox>
                <w10:wrap type="topAndBottom"/>
              </v:shape>
            </w:pict>
          </mc:Fallback>
        </mc:AlternateContent>
      </w:r>
      <w:r>
        <mc:AlternateContent>
          <mc:Choice Requires="wps">
            <w:drawing>
              <wp:anchor distT="0" distB="0" distL="0" distR="5624830" simplePos="0" relativeHeight="125829407" behindDoc="0" locked="0" layoutInCell="1" allowOverlap="1">
                <wp:simplePos x="0" y="0"/>
                <wp:positionH relativeFrom="column">
                  <wp:posOffset>554990</wp:posOffset>
                </wp:positionH>
                <wp:positionV relativeFrom="paragraph">
                  <wp:posOffset>1831975</wp:posOffset>
                </wp:positionV>
                <wp:extent cx="596265" cy="131445"/>
                <wp:wrapTopAndBottom/>
                <wp:docPr id="57" name="Shape 57"/>
                <a:graphic xmlns:a="http://schemas.openxmlformats.org/drawingml/2006/main">
                  <a:graphicData uri="http://schemas.microsoft.com/office/word/2010/wordprocessingShape">
                    <wps:wsp>
                      <wps:cNvSpPr txBox="1"/>
                      <wps:spPr>
                        <a:xfrm>
                          <a:ext cx="596265" cy="131445"/>
                        </a:xfrm>
                        <a:prstGeom prst="rect"/>
                        <a:noFill/>
                      </wps:spPr>
                      <wps:txbx>
                        <w:txbxContent>
                          <w:p>
                            <w:pPr>
                              <w:pStyle w:val="Style38"/>
                              <w:keepNext w:val="0"/>
                              <w:keepLines w:val="0"/>
                              <w:widowControl w:val="0"/>
                              <w:pBdr>
                                <w:top w:val="single" w:sz="0" w:space="0" w:color="72AB4A"/>
                                <w:left w:val="single" w:sz="0" w:space="0" w:color="72AB4A"/>
                                <w:bottom w:val="single" w:sz="0" w:space="0" w:color="72AB4A"/>
                                <w:right w:val="single" w:sz="0" w:space="0" w:color="72AB4A"/>
                              </w:pBdr>
                              <w:shd w:val="clear" w:color="auto" w:fill="72AB4A"/>
                              <w:bidi w:val="0"/>
                              <w:spacing w:before="0" w:after="0" w:line="240" w:lineRule="auto"/>
                              <w:ind w:left="0" w:right="0" w:firstLine="0"/>
                              <w:jc w:val="left"/>
                              <w:rPr>
                                <w:sz w:val="14"/>
                                <w:szCs w:val="14"/>
                              </w:rPr>
                            </w:pPr>
                            <w:r>
                              <w:rPr>
                                <w:rFonts w:ascii="SimHei" w:eastAsia="SimHei" w:hAnsi="SimHei" w:cs="SimHei"/>
                                <w:color w:val="FFFFFF"/>
                                <w:spacing w:val="0"/>
                                <w:w w:val="100"/>
                                <w:position w:val="0"/>
                                <w:sz w:val="14"/>
                                <w:szCs w:val="14"/>
                              </w:rPr>
                              <w:t>燃气隐患排查</w:t>
                            </w:r>
                          </w:p>
                        </w:txbxContent>
                      </wps:txbx>
                      <wps:bodyPr lIns="0" tIns="0" rIns="0" bIns="0">
                        <a:noAutoFit/>
                      </wps:bodyPr>
                    </wps:wsp>
                  </a:graphicData>
                </a:graphic>
              </wp:anchor>
            </w:drawing>
          </mc:Choice>
          <mc:Fallback>
            <w:pict>
              <v:shape id="_x0000_s1083" type="#_x0000_t202" style="position:absolute;margin-left:43.700000000000003pt;margin-top:144.25pt;width:46.950000000000003pt;height:10.35pt;z-index:-125829346;mso-wrap-distance-left:0;mso-wrap-distance-right:442.90000000000003pt" filled="f" stroked="f">
                <v:textbox inset="0,0,0,0">
                  <w:txbxContent>
                    <w:p>
                      <w:pPr>
                        <w:pStyle w:val="Style38"/>
                        <w:keepNext w:val="0"/>
                        <w:keepLines w:val="0"/>
                        <w:widowControl w:val="0"/>
                        <w:pBdr>
                          <w:top w:val="single" w:sz="0" w:space="0" w:color="72AB4A"/>
                          <w:left w:val="single" w:sz="0" w:space="0" w:color="72AB4A"/>
                          <w:bottom w:val="single" w:sz="0" w:space="0" w:color="72AB4A"/>
                          <w:right w:val="single" w:sz="0" w:space="0" w:color="72AB4A"/>
                        </w:pBdr>
                        <w:shd w:val="clear" w:color="auto" w:fill="72AB4A"/>
                        <w:bidi w:val="0"/>
                        <w:spacing w:before="0" w:after="0" w:line="240" w:lineRule="auto"/>
                        <w:ind w:left="0" w:right="0" w:firstLine="0"/>
                        <w:jc w:val="left"/>
                        <w:rPr>
                          <w:sz w:val="14"/>
                          <w:szCs w:val="14"/>
                        </w:rPr>
                      </w:pPr>
                      <w:r>
                        <w:rPr>
                          <w:rFonts w:ascii="SimHei" w:eastAsia="SimHei" w:hAnsi="SimHei" w:cs="SimHei"/>
                          <w:color w:val="FFFFFF"/>
                          <w:spacing w:val="0"/>
                          <w:w w:val="100"/>
                          <w:position w:val="0"/>
                          <w:sz w:val="14"/>
                          <w:szCs w:val="14"/>
                        </w:rPr>
                        <w:t>燃气隐患排查</w:t>
                      </w:r>
                    </w:p>
                  </w:txbxContent>
                </v:textbox>
                <w10:wrap type="topAndBottom"/>
              </v:shape>
            </w:pict>
          </mc:Fallback>
        </mc:AlternateContent>
      </w:r>
      <w:r>
        <mc:AlternateContent>
          <mc:Choice Requires="wps">
            <w:drawing>
              <wp:anchor distT="0" distB="0" distL="0" distR="5724525" simplePos="0" relativeHeight="125829409" behindDoc="0" locked="0" layoutInCell="1" allowOverlap="1">
                <wp:simplePos x="0" y="0"/>
                <wp:positionH relativeFrom="column">
                  <wp:posOffset>4484370</wp:posOffset>
                </wp:positionH>
                <wp:positionV relativeFrom="paragraph">
                  <wp:posOffset>1726565</wp:posOffset>
                </wp:positionV>
                <wp:extent cx="496570" cy="128270"/>
                <wp:wrapTopAndBottom/>
                <wp:docPr id="59" name="Shape 59"/>
                <a:graphic xmlns:a="http://schemas.openxmlformats.org/drawingml/2006/main">
                  <a:graphicData uri="http://schemas.microsoft.com/office/word/2010/wordprocessingShape">
                    <wps:wsp>
                      <wps:cNvSpPr txBox="1"/>
                      <wps:spPr>
                        <a:xfrm>
                          <a:ext cx="496570" cy="128270"/>
                        </a:xfrm>
                        <a:prstGeom prst="rect"/>
                        <a:noFill/>
                      </wps:spPr>
                      <wps:txbx>
                        <w:txbxContent>
                          <w:p>
                            <w:pPr>
                              <w:pStyle w:val="Style38"/>
                              <w:keepNext w:val="0"/>
                              <w:keepLines w:val="0"/>
                              <w:widowControl w:val="0"/>
                              <w:pBdr>
                                <w:top w:val="single" w:sz="0" w:space="0" w:color="06B2EC"/>
                                <w:left w:val="single" w:sz="0" w:space="0" w:color="06B2EC"/>
                                <w:bottom w:val="single" w:sz="0" w:space="0" w:color="06B2EC"/>
                                <w:right w:val="single" w:sz="0" w:space="0" w:color="06B2EC"/>
                              </w:pBdr>
                              <w:shd w:val="clear" w:color="auto" w:fill="06B2EC"/>
                              <w:bidi w:val="0"/>
                              <w:spacing w:before="0" w:after="0" w:line="240" w:lineRule="auto"/>
                              <w:ind w:left="0" w:right="0" w:firstLine="0"/>
                              <w:jc w:val="left"/>
                              <w:rPr>
                                <w:sz w:val="14"/>
                                <w:szCs w:val="14"/>
                              </w:rPr>
                            </w:pPr>
                            <w:r>
                              <w:rPr>
                                <w:rFonts w:ascii="SimHei" w:eastAsia="SimHei" w:hAnsi="SimHei" w:cs="SimHei"/>
                                <w:color w:val="E9FA2C"/>
                                <w:spacing w:val="0"/>
                                <w:w w:val="100"/>
                                <w:position w:val="0"/>
                                <w:sz w:val="14"/>
                                <w:szCs w:val="14"/>
                              </w:rPr>
                              <w:t>常态化运维</w:t>
                            </w:r>
                          </w:p>
                        </w:txbxContent>
                      </wps:txbx>
                      <wps:bodyPr lIns="0" tIns="0" rIns="0" bIns="0">
                        <a:noAutoFit/>
                      </wps:bodyPr>
                    </wps:wsp>
                  </a:graphicData>
                </a:graphic>
              </wp:anchor>
            </w:drawing>
          </mc:Choice>
          <mc:Fallback>
            <w:pict>
              <v:shape id="_x0000_s1085" type="#_x0000_t202" style="position:absolute;margin-left:353.10000000000002pt;margin-top:135.94999999999999pt;width:39.100000000000001pt;height:10.1pt;z-index:-125829344;mso-wrap-distance-left:0;mso-wrap-distance-right:450.75pt" filled="f" stroked="f">
                <v:textbox inset="0,0,0,0">
                  <w:txbxContent>
                    <w:p>
                      <w:pPr>
                        <w:pStyle w:val="Style38"/>
                        <w:keepNext w:val="0"/>
                        <w:keepLines w:val="0"/>
                        <w:widowControl w:val="0"/>
                        <w:pBdr>
                          <w:top w:val="single" w:sz="0" w:space="0" w:color="06B2EC"/>
                          <w:left w:val="single" w:sz="0" w:space="0" w:color="06B2EC"/>
                          <w:bottom w:val="single" w:sz="0" w:space="0" w:color="06B2EC"/>
                          <w:right w:val="single" w:sz="0" w:space="0" w:color="06B2EC"/>
                        </w:pBdr>
                        <w:shd w:val="clear" w:color="auto" w:fill="06B2EC"/>
                        <w:bidi w:val="0"/>
                        <w:spacing w:before="0" w:after="0" w:line="240" w:lineRule="auto"/>
                        <w:ind w:left="0" w:right="0" w:firstLine="0"/>
                        <w:jc w:val="left"/>
                        <w:rPr>
                          <w:sz w:val="14"/>
                          <w:szCs w:val="14"/>
                        </w:rPr>
                      </w:pPr>
                      <w:r>
                        <w:rPr>
                          <w:rFonts w:ascii="SimHei" w:eastAsia="SimHei" w:hAnsi="SimHei" w:cs="SimHei"/>
                          <w:color w:val="E9FA2C"/>
                          <w:spacing w:val="0"/>
                          <w:w w:val="100"/>
                          <w:position w:val="0"/>
                          <w:sz w:val="14"/>
                          <w:szCs w:val="14"/>
                        </w:rPr>
                        <w:t>常态化运维</w:t>
                      </w:r>
                    </w:p>
                  </w:txbxContent>
                </v:textbox>
                <w10:wrap type="topAndBottom"/>
              </v:shape>
            </w:pict>
          </mc:Fallback>
        </mc:AlternateContent>
      </w:r>
      <w:r>
        <mc:AlternateContent>
          <mc:Choice Requires="wps">
            <w:drawing>
              <wp:anchor distT="0" distB="0" distL="0" distR="5631180" simplePos="0" relativeHeight="125829411" behindDoc="0" locked="0" layoutInCell="1" allowOverlap="1">
                <wp:simplePos x="0" y="0"/>
                <wp:positionH relativeFrom="column">
                  <wp:posOffset>554990</wp:posOffset>
                </wp:positionH>
                <wp:positionV relativeFrom="paragraph">
                  <wp:posOffset>1656715</wp:posOffset>
                </wp:positionV>
                <wp:extent cx="589915" cy="128270"/>
                <wp:wrapTopAndBottom/>
                <wp:docPr id="61" name="Shape 61"/>
                <a:graphic xmlns:a="http://schemas.openxmlformats.org/drawingml/2006/main">
                  <a:graphicData uri="http://schemas.microsoft.com/office/word/2010/wordprocessingShape">
                    <wps:wsp>
                      <wps:cNvSpPr txBox="1"/>
                      <wps:spPr>
                        <a:xfrm>
                          <a:ext cx="589915" cy="128270"/>
                        </a:xfrm>
                        <a:prstGeom prst="rect"/>
                        <a:noFill/>
                      </wps:spPr>
                      <wps:txbx>
                        <w:txbxContent>
                          <w:p>
                            <w:pPr>
                              <w:pStyle w:val="Style38"/>
                              <w:keepNext w:val="0"/>
                              <w:keepLines w:val="0"/>
                              <w:widowControl w:val="0"/>
                              <w:pBdr>
                                <w:top w:val="single" w:sz="0" w:space="0" w:color="73AA4A"/>
                                <w:left w:val="single" w:sz="0" w:space="0" w:color="73AA4A"/>
                                <w:bottom w:val="single" w:sz="0" w:space="0" w:color="73AA4A"/>
                                <w:right w:val="single" w:sz="0" w:space="0" w:color="73AA4A"/>
                              </w:pBdr>
                              <w:shd w:val="clear" w:color="auto" w:fill="73AA4A"/>
                              <w:bidi w:val="0"/>
                              <w:spacing w:before="0" w:after="0" w:line="240" w:lineRule="auto"/>
                              <w:ind w:left="0" w:right="0" w:firstLine="0"/>
                              <w:jc w:val="left"/>
                              <w:rPr>
                                <w:sz w:val="14"/>
                                <w:szCs w:val="14"/>
                              </w:rPr>
                            </w:pPr>
                            <w:r>
                              <w:rPr>
                                <w:rFonts w:ascii="SimHei" w:eastAsia="SimHei" w:hAnsi="SimHei" w:cs="SimHei"/>
                                <w:color w:val="FFFFFF"/>
                                <w:spacing w:val="0"/>
                                <w:w w:val="100"/>
                                <w:position w:val="0"/>
                                <w:sz w:val="14"/>
                                <w:szCs w:val="14"/>
                              </w:rPr>
                              <w:t>油气管道椅测</w:t>
                            </w:r>
                          </w:p>
                        </w:txbxContent>
                      </wps:txbx>
                      <wps:bodyPr lIns="0" tIns="0" rIns="0" bIns="0">
                        <a:noAutoFit/>
                      </wps:bodyPr>
                    </wps:wsp>
                  </a:graphicData>
                </a:graphic>
              </wp:anchor>
            </w:drawing>
          </mc:Choice>
          <mc:Fallback>
            <w:pict>
              <v:shape id="_x0000_s1087" type="#_x0000_t202" style="position:absolute;margin-left:43.700000000000003pt;margin-top:130.44999999999999pt;width:46.450000000000003pt;height:10.1pt;z-index:-125829342;mso-wrap-distance-left:0;mso-wrap-distance-right:443.40000000000003pt" filled="f" stroked="f">
                <v:textbox inset="0,0,0,0">
                  <w:txbxContent>
                    <w:p>
                      <w:pPr>
                        <w:pStyle w:val="Style38"/>
                        <w:keepNext w:val="0"/>
                        <w:keepLines w:val="0"/>
                        <w:widowControl w:val="0"/>
                        <w:pBdr>
                          <w:top w:val="single" w:sz="0" w:space="0" w:color="73AA4A"/>
                          <w:left w:val="single" w:sz="0" w:space="0" w:color="73AA4A"/>
                          <w:bottom w:val="single" w:sz="0" w:space="0" w:color="73AA4A"/>
                          <w:right w:val="single" w:sz="0" w:space="0" w:color="73AA4A"/>
                        </w:pBdr>
                        <w:shd w:val="clear" w:color="auto" w:fill="73AA4A"/>
                        <w:bidi w:val="0"/>
                        <w:spacing w:before="0" w:after="0" w:line="240" w:lineRule="auto"/>
                        <w:ind w:left="0" w:right="0" w:firstLine="0"/>
                        <w:jc w:val="left"/>
                        <w:rPr>
                          <w:sz w:val="14"/>
                          <w:szCs w:val="14"/>
                        </w:rPr>
                      </w:pPr>
                      <w:r>
                        <w:rPr>
                          <w:rFonts w:ascii="SimHei" w:eastAsia="SimHei" w:hAnsi="SimHei" w:cs="SimHei"/>
                          <w:color w:val="FFFFFF"/>
                          <w:spacing w:val="0"/>
                          <w:w w:val="100"/>
                          <w:position w:val="0"/>
                          <w:sz w:val="14"/>
                          <w:szCs w:val="14"/>
                        </w:rPr>
                        <w:t>油气管道椅测</w:t>
                      </w:r>
                    </w:p>
                  </w:txbxContent>
                </v:textbox>
                <w10:wrap type="topAndBottom"/>
              </v:shape>
            </w:pict>
          </mc:Fallback>
        </mc:AlternateContent>
      </w:r>
      <w:r>
        <mc:AlternateContent>
          <mc:Choice Requires="wps">
            <w:drawing>
              <wp:anchor distT="0" distB="0" distL="0" distR="5817870" simplePos="0" relativeHeight="125829413" behindDoc="0" locked="0" layoutInCell="1" allowOverlap="1">
                <wp:simplePos x="0" y="0"/>
                <wp:positionH relativeFrom="column">
                  <wp:posOffset>4530725</wp:posOffset>
                </wp:positionH>
                <wp:positionV relativeFrom="paragraph">
                  <wp:posOffset>1553845</wp:posOffset>
                </wp:positionV>
                <wp:extent cx="403225" cy="116840"/>
                <wp:wrapTopAndBottom/>
                <wp:docPr id="63" name="Shape 63"/>
                <a:graphic xmlns:a="http://schemas.openxmlformats.org/drawingml/2006/main">
                  <a:graphicData uri="http://schemas.microsoft.com/office/word/2010/wordprocessingShape">
                    <wps:wsp>
                      <wps:cNvSpPr txBox="1"/>
                      <wps:spPr>
                        <a:xfrm>
                          <a:ext cx="403225" cy="116840"/>
                        </a:xfrm>
                        <a:prstGeom prst="rect"/>
                        <a:noFill/>
                      </wps:spPr>
                      <wps:txbx>
                        <w:txbxContent>
                          <w:p>
                            <w:pPr>
                              <w:pStyle w:val="Style38"/>
                              <w:keepNext w:val="0"/>
                              <w:keepLines w:val="0"/>
                              <w:widowControl w:val="0"/>
                              <w:pBdr>
                                <w:top w:val="single" w:sz="0" w:space="0" w:color="06AEF2"/>
                                <w:left w:val="single" w:sz="0" w:space="0" w:color="06AEF2"/>
                                <w:bottom w:val="single" w:sz="0" w:space="0" w:color="06AEF2"/>
                                <w:right w:val="single" w:sz="0" w:space="0" w:color="06AEF2"/>
                              </w:pBdr>
                              <w:shd w:val="clear" w:color="auto" w:fill="06AEF2"/>
                              <w:bidi w:val="0"/>
                              <w:spacing w:before="0" w:after="0" w:line="240" w:lineRule="auto"/>
                              <w:ind w:left="0" w:right="0" w:firstLine="0"/>
                              <w:jc w:val="both"/>
                              <w:rPr>
                                <w:sz w:val="14"/>
                                <w:szCs w:val="14"/>
                              </w:rPr>
                            </w:pPr>
                            <w:r>
                              <w:rPr>
                                <w:rFonts w:ascii="SimHei" w:eastAsia="SimHei" w:hAnsi="SimHei" w:cs="SimHei"/>
                                <w:color w:val="E9FA2C"/>
                                <w:spacing w:val="0"/>
                                <w:w w:val="100"/>
                                <w:position w:val="0"/>
                                <w:sz w:val="14"/>
                                <w:szCs w:val="14"/>
                              </w:rPr>
                              <w:t>管道修复</w:t>
                            </w:r>
                          </w:p>
                        </w:txbxContent>
                      </wps:txbx>
                      <wps:bodyPr lIns="0" tIns="0" rIns="0" bIns="0">
                        <a:noAutoFit/>
                      </wps:bodyPr>
                    </wps:wsp>
                  </a:graphicData>
                </a:graphic>
              </wp:anchor>
            </w:drawing>
          </mc:Choice>
          <mc:Fallback>
            <w:pict>
              <v:shape id="_x0000_s1089" type="#_x0000_t202" style="position:absolute;margin-left:356.75pt;margin-top:122.35000000000001pt;width:31.75pt;height:9.2000000000000011pt;z-index:-125829340;mso-wrap-distance-left:0;mso-wrap-distance-right:458.10000000000002pt" filled="f" stroked="f">
                <v:textbox inset="0,0,0,0">
                  <w:txbxContent>
                    <w:p>
                      <w:pPr>
                        <w:pStyle w:val="Style38"/>
                        <w:keepNext w:val="0"/>
                        <w:keepLines w:val="0"/>
                        <w:widowControl w:val="0"/>
                        <w:pBdr>
                          <w:top w:val="single" w:sz="0" w:space="0" w:color="06AEF2"/>
                          <w:left w:val="single" w:sz="0" w:space="0" w:color="06AEF2"/>
                          <w:bottom w:val="single" w:sz="0" w:space="0" w:color="06AEF2"/>
                          <w:right w:val="single" w:sz="0" w:space="0" w:color="06AEF2"/>
                        </w:pBdr>
                        <w:shd w:val="clear" w:color="auto" w:fill="06AEF2"/>
                        <w:bidi w:val="0"/>
                        <w:spacing w:before="0" w:after="0" w:line="240" w:lineRule="auto"/>
                        <w:ind w:left="0" w:right="0" w:firstLine="0"/>
                        <w:jc w:val="both"/>
                        <w:rPr>
                          <w:sz w:val="14"/>
                          <w:szCs w:val="14"/>
                        </w:rPr>
                      </w:pPr>
                      <w:r>
                        <w:rPr>
                          <w:rFonts w:ascii="SimHei" w:eastAsia="SimHei" w:hAnsi="SimHei" w:cs="SimHei"/>
                          <w:color w:val="E9FA2C"/>
                          <w:spacing w:val="0"/>
                          <w:w w:val="100"/>
                          <w:position w:val="0"/>
                          <w:sz w:val="14"/>
                          <w:szCs w:val="14"/>
                        </w:rPr>
                        <w:t>管道修复</w:t>
                      </w:r>
                    </w:p>
                  </w:txbxContent>
                </v:textbox>
                <w10:wrap type="topAndBottom"/>
              </v:shape>
            </w:pict>
          </mc:Fallback>
        </mc:AlternateContent>
      </w:r>
      <w:r>
        <mc:AlternateContent>
          <mc:Choice Requires="wps">
            <w:drawing>
              <wp:anchor distT="0" distB="0" distL="0" distR="5814695" simplePos="0" relativeHeight="125829415" behindDoc="0" locked="0" layoutInCell="1" allowOverlap="1">
                <wp:simplePos x="0" y="0"/>
                <wp:positionH relativeFrom="column">
                  <wp:posOffset>365125</wp:posOffset>
                </wp:positionH>
                <wp:positionV relativeFrom="paragraph">
                  <wp:posOffset>1492885</wp:posOffset>
                </wp:positionV>
                <wp:extent cx="406400" cy="128270"/>
                <wp:wrapTopAndBottom/>
                <wp:docPr id="65" name="Shape 65"/>
                <a:graphic xmlns:a="http://schemas.openxmlformats.org/drawingml/2006/main">
                  <a:graphicData uri="http://schemas.microsoft.com/office/word/2010/wordprocessingShape">
                    <wps:wsp>
                      <wps:cNvSpPr txBox="1"/>
                      <wps:spPr>
                        <a:xfrm>
                          <a:ext cx="406400" cy="128270"/>
                        </a:xfrm>
                        <a:prstGeom prst="rect"/>
                        <a:noFill/>
                      </wps:spPr>
                      <wps:txbx>
                        <w:txbxContent>
                          <w:p>
                            <w:pPr>
                              <w:pStyle w:val="Style38"/>
                              <w:keepNext w:val="0"/>
                              <w:keepLines w:val="0"/>
                              <w:widowControl w:val="0"/>
                              <w:pBdr>
                                <w:top w:val="single" w:sz="0" w:space="0" w:color="73AA4A"/>
                                <w:left w:val="single" w:sz="0" w:space="0" w:color="73AA4A"/>
                                <w:bottom w:val="single" w:sz="0" w:space="0" w:color="73AA4A"/>
                                <w:right w:val="single" w:sz="0" w:space="0" w:color="73AA4A"/>
                              </w:pBdr>
                              <w:shd w:val="clear" w:color="auto" w:fill="73AA4A"/>
                              <w:bidi w:val="0"/>
                              <w:spacing w:before="0" w:after="0" w:line="240" w:lineRule="auto"/>
                              <w:ind w:left="0" w:right="0" w:firstLine="0"/>
                              <w:jc w:val="left"/>
                              <w:rPr>
                                <w:sz w:val="14"/>
                                <w:szCs w:val="14"/>
                              </w:rPr>
                            </w:pPr>
                            <w:r>
                              <w:rPr>
                                <w:rFonts w:ascii="SimHei" w:eastAsia="SimHei" w:hAnsi="SimHei" w:cs="SimHei"/>
                                <w:color w:val="FFFFFF"/>
                                <w:spacing w:val="0"/>
                                <w:w w:val="100"/>
                                <w:position w:val="0"/>
                                <w:sz w:val="14"/>
                                <w:szCs w:val="14"/>
                              </w:rPr>
                              <w:t>燃气探测</w:t>
                            </w:r>
                          </w:p>
                        </w:txbxContent>
                      </wps:txbx>
                      <wps:bodyPr lIns="0" tIns="0" rIns="0" bIns="0">
                        <a:noAutoFit/>
                      </wps:bodyPr>
                    </wps:wsp>
                  </a:graphicData>
                </a:graphic>
              </wp:anchor>
            </w:drawing>
          </mc:Choice>
          <mc:Fallback>
            <w:pict>
              <v:shape id="_x0000_s1091" type="#_x0000_t202" style="position:absolute;margin-left:28.75pt;margin-top:117.55pt;width:32.pt;height:10.1pt;z-index:-125829338;mso-wrap-distance-left:0;mso-wrap-distance-right:457.85000000000002pt" filled="f" stroked="f">
                <v:textbox inset="0,0,0,0">
                  <w:txbxContent>
                    <w:p>
                      <w:pPr>
                        <w:pStyle w:val="Style38"/>
                        <w:keepNext w:val="0"/>
                        <w:keepLines w:val="0"/>
                        <w:widowControl w:val="0"/>
                        <w:pBdr>
                          <w:top w:val="single" w:sz="0" w:space="0" w:color="73AA4A"/>
                          <w:left w:val="single" w:sz="0" w:space="0" w:color="73AA4A"/>
                          <w:bottom w:val="single" w:sz="0" w:space="0" w:color="73AA4A"/>
                          <w:right w:val="single" w:sz="0" w:space="0" w:color="73AA4A"/>
                        </w:pBdr>
                        <w:shd w:val="clear" w:color="auto" w:fill="73AA4A"/>
                        <w:bidi w:val="0"/>
                        <w:spacing w:before="0" w:after="0" w:line="240" w:lineRule="auto"/>
                        <w:ind w:left="0" w:right="0" w:firstLine="0"/>
                        <w:jc w:val="left"/>
                        <w:rPr>
                          <w:sz w:val="14"/>
                          <w:szCs w:val="14"/>
                        </w:rPr>
                      </w:pPr>
                      <w:r>
                        <w:rPr>
                          <w:rFonts w:ascii="SimHei" w:eastAsia="SimHei" w:hAnsi="SimHei" w:cs="SimHei"/>
                          <w:color w:val="FFFFFF"/>
                          <w:spacing w:val="0"/>
                          <w:w w:val="100"/>
                          <w:position w:val="0"/>
                          <w:sz w:val="14"/>
                          <w:szCs w:val="14"/>
                        </w:rPr>
                        <w:t>燃气探测</w:t>
                      </w:r>
                    </w:p>
                  </w:txbxContent>
                </v:textbox>
                <w10:wrap type="topAndBottom"/>
              </v:shape>
            </w:pict>
          </mc:Fallback>
        </mc:AlternateContent>
      </w:r>
      <w:r>
        <mc:AlternateContent>
          <mc:Choice Requires="wps">
            <w:drawing>
              <wp:anchor distT="0" distB="0" distL="0" distR="5692140" simplePos="0" relativeHeight="125829417" behindDoc="0" locked="0" layoutInCell="1" allowOverlap="1">
                <wp:simplePos x="0" y="0"/>
                <wp:positionH relativeFrom="column">
                  <wp:posOffset>803275</wp:posOffset>
                </wp:positionH>
                <wp:positionV relativeFrom="paragraph">
                  <wp:posOffset>1492885</wp:posOffset>
                </wp:positionV>
                <wp:extent cx="528955" cy="128270"/>
                <wp:wrapTopAndBottom/>
                <wp:docPr id="67" name="Shape 67"/>
                <a:graphic xmlns:a="http://schemas.openxmlformats.org/drawingml/2006/main">
                  <a:graphicData uri="http://schemas.microsoft.com/office/word/2010/wordprocessingShape">
                    <wps:wsp>
                      <wps:cNvSpPr txBox="1"/>
                      <wps:spPr>
                        <a:xfrm>
                          <a:ext cx="528955" cy="128270"/>
                        </a:xfrm>
                        <a:prstGeom prst="rect"/>
                        <a:noFill/>
                      </wps:spPr>
                      <wps:txbx>
                        <w:txbxContent>
                          <w:p>
                            <w:pPr>
                              <w:pStyle w:val="Style38"/>
                              <w:keepNext w:val="0"/>
                              <w:keepLines w:val="0"/>
                              <w:widowControl w:val="0"/>
                              <w:pBdr>
                                <w:top w:val="single" w:sz="0" w:space="0" w:color="72AB4A"/>
                                <w:left w:val="single" w:sz="0" w:space="0" w:color="72AB4A"/>
                                <w:bottom w:val="single" w:sz="0" w:space="0" w:color="72AB4A"/>
                                <w:right w:val="single" w:sz="0" w:space="0" w:color="72AB4A"/>
                              </w:pBdr>
                              <w:shd w:val="clear" w:color="auto" w:fill="72AB4A"/>
                              <w:bidi w:val="0"/>
                              <w:spacing w:before="0" w:after="0" w:line="240" w:lineRule="auto"/>
                              <w:ind w:left="0" w:right="0" w:firstLine="0"/>
                              <w:jc w:val="left"/>
                              <w:rPr>
                                <w:sz w:val="14"/>
                                <w:szCs w:val="14"/>
                              </w:rPr>
                            </w:pPr>
                            <w:r>
                              <w:rPr>
                                <w:rFonts w:ascii="SimHei" w:eastAsia="SimHei" w:hAnsi="SimHei" w:cs="SimHei"/>
                                <w:color w:val="FFFFFF"/>
                                <w:spacing w:val="0"/>
                                <w:w w:val="100"/>
                                <w:position w:val="0"/>
                                <w:sz w:val="14"/>
                                <w:szCs w:val="14"/>
                              </w:rPr>
                              <w:t>防腐层检测</w:t>
                            </w:r>
                          </w:p>
                        </w:txbxContent>
                      </wps:txbx>
                      <wps:bodyPr lIns="0" tIns="0" rIns="0" bIns="0">
                        <a:noAutoFit/>
                      </wps:bodyPr>
                    </wps:wsp>
                  </a:graphicData>
                </a:graphic>
              </wp:anchor>
            </w:drawing>
          </mc:Choice>
          <mc:Fallback>
            <w:pict>
              <v:shape id="_x0000_s1093" type="#_x0000_t202" style="position:absolute;margin-left:63.25pt;margin-top:117.55pt;width:41.649999999999999pt;height:10.1pt;z-index:-125829336;mso-wrap-distance-left:0;mso-wrap-distance-right:448.19999999999999pt" filled="f" stroked="f">
                <v:textbox inset="0,0,0,0">
                  <w:txbxContent>
                    <w:p>
                      <w:pPr>
                        <w:pStyle w:val="Style38"/>
                        <w:keepNext w:val="0"/>
                        <w:keepLines w:val="0"/>
                        <w:widowControl w:val="0"/>
                        <w:pBdr>
                          <w:top w:val="single" w:sz="0" w:space="0" w:color="72AB4A"/>
                          <w:left w:val="single" w:sz="0" w:space="0" w:color="72AB4A"/>
                          <w:bottom w:val="single" w:sz="0" w:space="0" w:color="72AB4A"/>
                          <w:right w:val="single" w:sz="0" w:space="0" w:color="72AB4A"/>
                        </w:pBdr>
                        <w:shd w:val="clear" w:color="auto" w:fill="72AB4A"/>
                        <w:bidi w:val="0"/>
                        <w:spacing w:before="0" w:after="0" w:line="240" w:lineRule="auto"/>
                        <w:ind w:left="0" w:right="0" w:firstLine="0"/>
                        <w:jc w:val="left"/>
                        <w:rPr>
                          <w:sz w:val="14"/>
                          <w:szCs w:val="14"/>
                        </w:rPr>
                      </w:pPr>
                      <w:r>
                        <w:rPr>
                          <w:rFonts w:ascii="SimHei" w:eastAsia="SimHei" w:hAnsi="SimHei" w:cs="SimHei"/>
                          <w:color w:val="FFFFFF"/>
                          <w:spacing w:val="0"/>
                          <w:w w:val="100"/>
                          <w:position w:val="0"/>
                          <w:sz w:val="14"/>
                          <w:szCs w:val="14"/>
                        </w:rPr>
                        <w:t>防腐层检测</w:t>
                      </w:r>
                    </w:p>
                  </w:txbxContent>
                </v:textbox>
                <w10:wrap type="topAndBottom"/>
              </v:shape>
            </w:pict>
          </mc:Fallback>
        </mc:AlternateContent>
      </w:r>
      <w:r>
        <mc:AlternateContent>
          <mc:Choice Requires="wps">
            <w:drawing>
              <wp:anchor distT="0" distB="0" distL="0" distR="5452745" simplePos="0" relativeHeight="125829419" behindDoc="0" locked="0" layoutInCell="1" allowOverlap="1">
                <wp:simplePos x="0" y="0"/>
                <wp:positionH relativeFrom="column">
                  <wp:posOffset>2377440</wp:posOffset>
                </wp:positionH>
                <wp:positionV relativeFrom="paragraph">
                  <wp:posOffset>1673860</wp:posOffset>
                </wp:positionV>
                <wp:extent cx="768350" cy="201295"/>
                <wp:wrapTopAndBottom/>
                <wp:docPr id="69" name="Shape 69"/>
                <a:graphic xmlns:a="http://schemas.openxmlformats.org/drawingml/2006/main">
                  <a:graphicData uri="http://schemas.microsoft.com/office/word/2010/wordprocessingShape">
                    <wps:wsp>
                      <wps:cNvSpPr txBox="1"/>
                      <wps:spPr>
                        <a:xfrm>
                          <a:ext cx="768350" cy="201295"/>
                        </a:xfrm>
                        <a:prstGeom prst="rect"/>
                        <a:noFill/>
                      </wps:spPr>
                      <wps:txbx>
                        <w:txbxContent>
                          <w:p>
                            <w:pPr>
                              <w:pStyle w:val="Style38"/>
                              <w:keepNext w:val="0"/>
                              <w:keepLines w:val="0"/>
                              <w:widowControl w:val="0"/>
                              <w:pBdr>
                                <w:top w:val="single" w:sz="0" w:space="0" w:color="5A9BD5"/>
                                <w:left w:val="single" w:sz="0" w:space="0" w:color="5A9BD5"/>
                                <w:bottom w:val="single" w:sz="0" w:space="0" w:color="5A9BD5"/>
                                <w:right w:val="single" w:sz="0" w:space="0" w:color="5A9BD5"/>
                              </w:pBdr>
                              <w:shd w:val="clear" w:color="auto" w:fill="5A9BD5"/>
                              <w:bidi w:val="0"/>
                              <w:spacing w:before="0" w:after="0" w:line="240" w:lineRule="auto"/>
                              <w:ind w:left="0" w:right="0" w:firstLine="0"/>
                              <w:jc w:val="left"/>
                              <w:rPr>
                                <w:sz w:val="26"/>
                                <w:szCs w:val="26"/>
                              </w:rPr>
                            </w:pPr>
                            <w:r>
                              <w:rPr>
                                <w:rFonts w:ascii="Times New Roman" w:eastAsia="Times New Roman" w:hAnsi="Times New Roman" w:cs="Times New Roman"/>
                                <w:color w:val="E9FA2C"/>
                                <w:spacing w:val="0"/>
                                <w:w w:val="100"/>
                                <w:position w:val="0"/>
                                <w:sz w:val="26"/>
                                <w:szCs w:val="26"/>
                              </w:rPr>
                              <w:t>Smart City</w:t>
                            </w:r>
                          </w:p>
                        </w:txbxContent>
                      </wps:txbx>
                      <wps:bodyPr lIns="0" tIns="0" rIns="0" bIns="0">
                        <a:noAutoFit/>
                      </wps:bodyPr>
                    </wps:wsp>
                  </a:graphicData>
                </a:graphic>
              </wp:anchor>
            </w:drawing>
          </mc:Choice>
          <mc:Fallback>
            <w:pict>
              <v:shape id="_x0000_s1095" type="#_x0000_t202" style="position:absolute;margin-left:187.20000000000002pt;margin-top:131.80000000000001pt;width:60.5pt;height:15.85pt;z-index:-125829334;mso-wrap-distance-left:0;mso-wrap-distance-right:429.35000000000002pt" filled="f" stroked="f">
                <v:textbox inset="0,0,0,0">
                  <w:txbxContent>
                    <w:p>
                      <w:pPr>
                        <w:pStyle w:val="Style38"/>
                        <w:keepNext w:val="0"/>
                        <w:keepLines w:val="0"/>
                        <w:widowControl w:val="0"/>
                        <w:pBdr>
                          <w:top w:val="single" w:sz="0" w:space="0" w:color="5A9BD5"/>
                          <w:left w:val="single" w:sz="0" w:space="0" w:color="5A9BD5"/>
                          <w:bottom w:val="single" w:sz="0" w:space="0" w:color="5A9BD5"/>
                          <w:right w:val="single" w:sz="0" w:space="0" w:color="5A9BD5"/>
                        </w:pBdr>
                        <w:shd w:val="clear" w:color="auto" w:fill="5A9BD5"/>
                        <w:bidi w:val="0"/>
                        <w:spacing w:before="0" w:after="0" w:line="240" w:lineRule="auto"/>
                        <w:ind w:left="0" w:right="0" w:firstLine="0"/>
                        <w:jc w:val="left"/>
                        <w:rPr>
                          <w:sz w:val="26"/>
                          <w:szCs w:val="26"/>
                        </w:rPr>
                      </w:pPr>
                      <w:r>
                        <w:rPr>
                          <w:rFonts w:ascii="Times New Roman" w:eastAsia="Times New Roman" w:hAnsi="Times New Roman" w:cs="Times New Roman"/>
                          <w:color w:val="E9FA2C"/>
                          <w:spacing w:val="0"/>
                          <w:w w:val="100"/>
                          <w:position w:val="0"/>
                          <w:sz w:val="26"/>
                          <w:szCs w:val="26"/>
                        </w:rPr>
                        <w:t>Smart City</w:t>
                      </w:r>
                    </w:p>
                  </w:txbxContent>
                </v:textbox>
                <w10:wrap type="topAndBottom"/>
              </v:shape>
            </w:pict>
          </mc:Fallback>
        </mc:AlternateContent>
      </w:r>
      <w:r>
        <mc:AlternateContent>
          <mc:Choice Requires="wps">
            <w:drawing>
              <wp:anchor distT="0" distB="0" distL="0" distR="5631180" simplePos="0" relativeHeight="125829421" behindDoc="0" locked="0" layoutInCell="1" allowOverlap="1">
                <wp:simplePos x="0" y="0"/>
                <wp:positionH relativeFrom="column">
                  <wp:posOffset>4440555</wp:posOffset>
                </wp:positionH>
                <wp:positionV relativeFrom="paragraph">
                  <wp:posOffset>1376045</wp:posOffset>
                </wp:positionV>
                <wp:extent cx="589915" cy="116840"/>
                <wp:wrapTopAndBottom/>
                <wp:docPr id="71" name="Shape 71"/>
                <a:graphic xmlns:a="http://schemas.openxmlformats.org/drawingml/2006/main">
                  <a:graphicData uri="http://schemas.microsoft.com/office/word/2010/wordprocessingShape">
                    <wps:wsp>
                      <wps:cNvSpPr txBox="1"/>
                      <wps:spPr>
                        <a:xfrm>
                          <a:ext cx="589915" cy="116840"/>
                        </a:xfrm>
                        <a:prstGeom prst="rect"/>
                        <a:noFill/>
                      </wps:spPr>
                      <wps:txbx>
                        <w:txbxContent>
                          <w:p>
                            <w:pPr>
                              <w:pStyle w:val="Style38"/>
                              <w:keepNext w:val="0"/>
                              <w:keepLines w:val="0"/>
                              <w:widowControl w:val="0"/>
                              <w:pBdr>
                                <w:top w:val="single" w:sz="0" w:space="0" w:color="05B1EC"/>
                                <w:left w:val="single" w:sz="0" w:space="0" w:color="05B1EC"/>
                                <w:bottom w:val="single" w:sz="0" w:space="0" w:color="05B1EC"/>
                                <w:right w:val="single" w:sz="0" w:space="0" w:color="05B1EC"/>
                              </w:pBdr>
                              <w:shd w:val="clear" w:color="auto" w:fill="05B1EC"/>
                              <w:bidi w:val="0"/>
                              <w:spacing w:before="0" w:after="0" w:line="240" w:lineRule="auto"/>
                              <w:ind w:left="0" w:right="0" w:firstLine="0"/>
                              <w:jc w:val="left"/>
                              <w:rPr>
                                <w:sz w:val="14"/>
                                <w:szCs w:val="14"/>
                              </w:rPr>
                            </w:pPr>
                            <w:r>
                              <w:rPr>
                                <w:rFonts w:ascii="SimHei" w:eastAsia="SimHei" w:hAnsi="SimHei" w:cs="SimHei"/>
                                <w:color w:val="E9FA2C"/>
                                <w:spacing w:val="0"/>
                                <w:w w:val="100"/>
                                <w:position w:val="0"/>
                                <w:sz w:val="14"/>
                                <w:szCs w:val="14"/>
                              </w:rPr>
                              <w:t>清淤检测服务</w:t>
                            </w:r>
                          </w:p>
                        </w:txbxContent>
                      </wps:txbx>
                      <wps:bodyPr lIns="0" tIns="0" rIns="0" bIns="0">
                        <a:noAutoFit/>
                      </wps:bodyPr>
                    </wps:wsp>
                  </a:graphicData>
                </a:graphic>
              </wp:anchor>
            </w:drawing>
          </mc:Choice>
          <mc:Fallback>
            <w:pict>
              <v:shape id="_x0000_s1097" type="#_x0000_t202" style="position:absolute;margin-left:349.65000000000003pt;margin-top:108.35000000000001pt;width:46.450000000000003pt;height:9.2000000000000011pt;z-index:-125829332;mso-wrap-distance-left:0;mso-wrap-distance-right:443.40000000000003pt" filled="f" stroked="f">
                <v:textbox inset="0,0,0,0">
                  <w:txbxContent>
                    <w:p>
                      <w:pPr>
                        <w:pStyle w:val="Style38"/>
                        <w:keepNext w:val="0"/>
                        <w:keepLines w:val="0"/>
                        <w:widowControl w:val="0"/>
                        <w:pBdr>
                          <w:top w:val="single" w:sz="0" w:space="0" w:color="05B1EC"/>
                          <w:left w:val="single" w:sz="0" w:space="0" w:color="05B1EC"/>
                          <w:bottom w:val="single" w:sz="0" w:space="0" w:color="05B1EC"/>
                          <w:right w:val="single" w:sz="0" w:space="0" w:color="05B1EC"/>
                        </w:pBdr>
                        <w:shd w:val="clear" w:color="auto" w:fill="05B1EC"/>
                        <w:bidi w:val="0"/>
                        <w:spacing w:before="0" w:after="0" w:line="240" w:lineRule="auto"/>
                        <w:ind w:left="0" w:right="0" w:firstLine="0"/>
                        <w:jc w:val="left"/>
                        <w:rPr>
                          <w:sz w:val="14"/>
                          <w:szCs w:val="14"/>
                        </w:rPr>
                      </w:pPr>
                      <w:r>
                        <w:rPr>
                          <w:rFonts w:ascii="SimHei" w:eastAsia="SimHei" w:hAnsi="SimHei" w:cs="SimHei"/>
                          <w:color w:val="E9FA2C"/>
                          <w:spacing w:val="0"/>
                          <w:w w:val="100"/>
                          <w:position w:val="0"/>
                          <w:sz w:val="14"/>
                          <w:szCs w:val="14"/>
                        </w:rPr>
                        <w:t>清淤检测服务</w:t>
                      </w:r>
                    </w:p>
                  </w:txbxContent>
                </v:textbox>
                <w10:wrap type="topAndBottom"/>
              </v:shape>
            </w:pict>
          </mc:Fallback>
        </mc:AlternateContent>
      </w:r>
      <w:r>
        <mc:AlternateContent>
          <mc:Choice Requires="wps">
            <w:drawing>
              <wp:anchor distT="0" distB="0" distL="0" distR="5441315" simplePos="0" relativeHeight="125829423" behindDoc="0" locked="0" layoutInCell="1" allowOverlap="1">
                <wp:simplePos x="0" y="0"/>
                <wp:positionH relativeFrom="column">
                  <wp:posOffset>461010</wp:posOffset>
                </wp:positionH>
                <wp:positionV relativeFrom="paragraph">
                  <wp:posOffset>1109980</wp:posOffset>
                </wp:positionV>
                <wp:extent cx="779780" cy="128270"/>
                <wp:wrapTopAndBottom/>
                <wp:docPr id="73" name="Shape 73"/>
                <a:graphic xmlns:a="http://schemas.openxmlformats.org/drawingml/2006/main">
                  <a:graphicData uri="http://schemas.microsoft.com/office/word/2010/wordprocessingShape">
                    <wps:wsp>
                      <wps:cNvSpPr txBox="1"/>
                      <wps:spPr>
                        <a:xfrm>
                          <a:ext cx="779780" cy="128270"/>
                        </a:xfrm>
                        <a:prstGeom prst="rect"/>
                        <a:noFill/>
                      </wps:spPr>
                      <wps:txbx>
                        <w:txbxContent>
                          <w:p>
                            <w:pPr>
                              <w:pStyle w:val="Style38"/>
                              <w:keepNext w:val="0"/>
                              <w:keepLines w:val="0"/>
                              <w:widowControl w:val="0"/>
                              <w:pBdr>
                                <w:top w:val="single" w:sz="0" w:space="0" w:color="07AD52"/>
                                <w:left w:val="single" w:sz="0" w:space="0" w:color="07AD52"/>
                                <w:bottom w:val="single" w:sz="0" w:space="0" w:color="07AD52"/>
                                <w:right w:val="single" w:sz="0" w:space="0" w:color="07AD52"/>
                              </w:pBdr>
                              <w:shd w:val="clear" w:color="auto" w:fill="07AD52"/>
                              <w:bidi w:val="0"/>
                              <w:spacing w:before="0" w:after="0" w:line="240" w:lineRule="auto"/>
                              <w:ind w:left="0" w:right="0" w:firstLine="0"/>
                              <w:jc w:val="left"/>
                              <w:rPr>
                                <w:sz w:val="14"/>
                                <w:szCs w:val="14"/>
                              </w:rPr>
                            </w:pPr>
                            <w:r>
                              <w:rPr>
                                <w:rFonts w:ascii="SimHei" w:eastAsia="SimHei" w:hAnsi="SimHei" w:cs="SimHei"/>
                                <w:color w:val="FFFFFF"/>
                                <w:spacing w:val="0"/>
                                <w:w w:val="100"/>
                                <w:position w:val="0"/>
                                <w:sz w:val="14"/>
                                <w:szCs w:val="14"/>
                              </w:rPr>
                              <w:t>管道综合检测系统</w:t>
                            </w:r>
                          </w:p>
                        </w:txbxContent>
                      </wps:txbx>
                      <wps:bodyPr lIns="0" tIns="0" rIns="0" bIns="0">
                        <a:noAutoFit/>
                      </wps:bodyPr>
                    </wps:wsp>
                  </a:graphicData>
                </a:graphic>
              </wp:anchor>
            </w:drawing>
          </mc:Choice>
          <mc:Fallback>
            <w:pict>
              <v:shape id="_x0000_s1099" type="#_x0000_t202" style="position:absolute;margin-left:36.300000000000004pt;margin-top:87.400000000000006pt;width:61.399999999999999pt;height:10.1pt;z-index:-125829330;mso-wrap-distance-left:0;mso-wrap-distance-right:428.44999999999999pt" filled="f" stroked="f">
                <v:textbox inset="0,0,0,0">
                  <w:txbxContent>
                    <w:p>
                      <w:pPr>
                        <w:pStyle w:val="Style38"/>
                        <w:keepNext w:val="0"/>
                        <w:keepLines w:val="0"/>
                        <w:widowControl w:val="0"/>
                        <w:pBdr>
                          <w:top w:val="single" w:sz="0" w:space="0" w:color="07AD52"/>
                          <w:left w:val="single" w:sz="0" w:space="0" w:color="07AD52"/>
                          <w:bottom w:val="single" w:sz="0" w:space="0" w:color="07AD52"/>
                          <w:right w:val="single" w:sz="0" w:space="0" w:color="07AD52"/>
                        </w:pBdr>
                        <w:shd w:val="clear" w:color="auto" w:fill="07AD52"/>
                        <w:bidi w:val="0"/>
                        <w:spacing w:before="0" w:after="0" w:line="240" w:lineRule="auto"/>
                        <w:ind w:left="0" w:right="0" w:firstLine="0"/>
                        <w:jc w:val="left"/>
                        <w:rPr>
                          <w:sz w:val="14"/>
                          <w:szCs w:val="14"/>
                        </w:rPr>
                      </w:pPr>
                      <w:r>
                        <w:rPr>
                          <w:rFonts w:ascii="SimHei" w:eastAsia="SimHei" w:hAnsi="SimHei" w:cs="SimHei"/>
                          <w:color w:val="FFFFFF"/>
                          <w:spacing w:val="0"/>
                          <w:w w:val="100"/>
                          <w:position w:val="0"/>
                          <w:sz w:val="14"/>
                          <w:szCs w:val="14"/>
                        </w:rPr>
                        <w:t>管道综合检测系统</w:t>
                      </w:r>
                    </w:p>
                  </w:txbxContent>
                </v:textbox>
                <w10:wrap type="topAndBottom"/>
              </v:shape>
            </w:pict>
          </mc:Fallback>
        </mc:AlternateContent>
      </w:r>
      <w:r>
        <mc:AlternateContent>
          <mc:Choice Requires="wps">
            <w:drawing>
              <wp:anchor distT="0" distB="0" distL="0" distR="5721350" simplePos="0" relativeHeight="125829425" behindDoc="0" locked="0" layoutInCell="1" allowOverlap="1">
                <wp:simplePos x="0" y="0"/>
                <wp:positionH relativeFrom="column">
                  <wp:posOffset>601345</wp:posOffset>
                </wp:positionH>
                <wp:positionV relativeFrom="paragraph">
                  <wp:posOffset>937895</wp:posOffset>
                </wp:positionV>
                <wp:extent cx="499745" cy="131445"/>
                <wp:wrapTopAndBottom/>
                <wp:docPr id="75" name="Shape 75"/>
                <a:graphic xmlns:a="http://schemas.openxmlformats.org/drawingml/2006/main">
                  <a:graphicData uri="http://schemas.microsoft.com/office/word/2010/wordprocessingShape">
                    <wps:wsp>
                      <wps:cNvSpPr txBox="1"/>
                      <wps:spPr>
                        <a:xfrm>
                          <a:ext cx="499745" cy="131445"/>
                        </a:xfrm>
                        <a:prstGeom prst="rect"/>
                        <a:noFill/>
                      </wps:spPr>
                      <wps:txbx>
                        <w:txbxContent>
                          <w:p>
                            <w:pPr>
                              <w:pStyle w:val="Style38"/>
                              <w:keepNext w:val="0"/>
                              <w:keepLines w:val="0"/>
                              <w:widowControl w:val="0"/>
                              <w:pBdr>
                                <w:top w:val="single" w:sz="0" w:space="0" w:color="07AD52"/>
                                <w:left w:val="single" w:sz="0" w:space="0" w:color="07AD52"/>
                                <w:bottom w:val="single" w:sz="0" w:space="0" w:color="07AD52"/>
                                <w:right w:val="single" w:sz="0" w:space="0" w:color="07AD52"/>
                              </w:pBdr>
                              <w:shd w:val="clear" w:color="auto" w:fill="07AD52"/>
                              <w:bidi w:val="0"/>
                              <w:spacing w:before="0" w:after="0" w:line="240" w:lineRule="auto"/>
                              <w:ind w:left="0" w:right="0" w:firstLine="0"/>
                              <w:jc w:val="left"/>
                              <w:rPr>
                                <w:sz w:val="14"/>
                                <w:szCs w:val="14"/>
                              </w:rPr>
                            </w:pPr>
                            <w:r>
                              <w:rPr>
                                <w:rFonts w:ascii="SimHei" w:eastAsia="SimHei" w:hAnsi="SimHei" w:cs="SimHei"/>
                                <w:color w:val="FFFFFF"/>
                                <w:spacing w:val="0"/>
                                <w:w w:val="100"/>
                                <w:position w:val="0"/>
                                <w:sz w:val="14"/>
                                <w:szCs w:val="14"/>
                              </w:rPr>
                              <w:t>管道机器人</w:t>
                            </w:r>
                          </w:p>
                        </w:txbxContent>
                      </wps:txbx>
                      <wps:bodyPr lIns="0" tIns="0" rIns="0" bIns="0">
                        <a:noAutoFit/>
                      </wps:bodyPr>
                    </wps:wsp>
                  </a:graphicData>
                </a:graphic>
              </wp:anchor>
            </w:drawing>
          </mc:Choice>
          <mc:Fallback>
            <w:pict>
              <v:shape id="_x0000_s1101" type="#_x0000_t202" style="position:absolute;margin-left:47.350000000000001pt;margin-top:73.850000000000009pt;width:39.350000000000001pt;height:10.35pt;z-index:-125829328;mso-wrap-distance-left:0;mso-wrap-distance-right:450.5pt" filled="f" stroked="f">
                <v:textbox inset="0,0,0,0">
                  <w:txbxContent>
                    <w:p>
                      <w:pPr>
                        <w:pStyle w:val="Style38"/>
                        <w:keepNext w:val="0"/>
                        <w:keepLines w:val="0"/>
                        <w:widowControl w:val="0"/>
                        <w:pBdr>
                          <w:top w:val="single" w:sz="0" w:space="0" w:color="07AD52"/>
                          <w:left w:val="single" w:sz="0" w:space="0" w:color="07AD52"/>
                          <w:bottom w:val="single" w:sz="0" w:space="0" w:color="07AD52"/>
                          <w:right w:val="single" w:sz="0" w:space="0" w:color="07AD52"/>
                        </w:pBdr>
                        <w:shd w:val="clear" w:color="auto" w:fill="07AD52"/>
                        <w:bidi w:val="0"/>
                        <w:spacing w:before="0" w:after="0" w:line="240" w:lineRule="auto"/>
                        <w:ind w:left="0" w:right="0" w:firstLine="0"/>
                        <w:jc w:val="left"/>
                        <w:rPr>
                          <w:sz w:val="14"/>
                          <w:szCs w:val="14"/>
                        </w:rPr>
                      </w:pPr>
                      <w:r>
                        <w:rPr>
                          <w:rFonts w:ascii="SimHei" w:eastAsia="SimHei" w:hAnsi="SimHei" w:cs="SimHei"/>
                          <w:color w:val="FFFFFF"/>
                          <w:spacing w:val="0"/>
                          <w:w w:val="100"/>
                          <w:position w:val="0"/>
                          <w:sz w:val="14"/>
                          <w:szCs w:val="14"/>
                        </w:rPr>
                        <w:t>管道机器人</w:t>
                      </w:r>
                    </w:p>
                  </w:txbxContent>
                </v:textbox>
                <w10:wrap type="topAndBottom"/>
              </v:shape>
            </w:pict>
          </mc:Fallback>
        </mc:AlternateContent>
      </w:r>
      <w:r>
        <mc:AlternateContent>
          <mc:Choice Requires="wps">
            <w:drawing>
              <wp:anchor distT="0" distB="0" distL="0" distR="5718810" simplePos="0" relativeHeight="125829427" behindDoc="0" locked="0" layoutInCell="1" allowOverlap="1">
                <wp:simplePos x="0" y="0"/>
                <wp:positionH relativeFrom="column">
                  <wp:posOffset>4492625</wp:posOffset>
                </wp:positionH>
                <wp:positionV relativeFrom="paragraph">
                  <wp:posOffset>847090</wp:posOffset>
                </wp:positionV>
                <wp:extent cx="502285" cy="125730"/>
                <wp:wrapTopAndBottom/>
                <wp:docPr id="77" name="Shape 77"/>
                <a:graphic xmlns:a="http://schemas.openxmlformats.org/drawingml/2006/main">
                  <a:graphicData uri="http://schemas.microsoft.com/office/word/2010/wordprocessingShape">
                    <wps:wsp>
                      <wps:cNvSpPr txBox="1"/>
                      <wps:spPr>
                        <a:xfrm>
                          <a:ext cx="502285" cy="125730"/>
                        </a:xfrm>
                        <a:prstGeom prst="rect"/>
                        <a:noFill/>
                      </wps:spPr>
                      <wps:txbx>
                        <w:txbxContent>
                          <w:p>
                            <w:pPr>
                              <w:pStyle w:val="Style38"/>
                              <w:keepNext w:val="0"/>
                              <w:keepLines w:val="0"/>
                              <w:widowControl w:val="0"/>
                              <w:pBdr>
                                <w:top w:val="single" w:sz="0" w:space="0" w:color="05B1F1"/>
                                <w:left w:val="single" w:sz="0" w:space="0" w:color="05B1F1"/>
                                <w:bottom w:val="single" w:sz="0" w:space="0" w:color="05B1F1"/>
                                <w:right w:val="single" w:sz="0" w:space="0" w:color="05B1F1"/>
                              </w:pBdr>
                              <w:shd w:val="clear" w:color="auto" w:fill="05B1F1"/>
                              <w:bidi w:val="0"/>
                              <w:spacing w:before="0" w:after="0" w:line="240" w:lineRule="auto"/>
                              <w:ind w:left="0" w:right="0" w:firstLine="0"/>
                              <w:jc w:val="left"/>
                              <w:rPr>
                                <w:sz w:val="14"/>
                                <w:szCs w:val="14"/>
                              </w:rPr>
                            </w:pPr>
                            <w:r>
                              <w:rPr>
                                <w:rFonts w:ascii="SimHei" w:eastAsia="SimHei" w:hAnsi="SimHei" w:cs="SimHei"/>
                                <w:color w:val="E9FA2C"/>
                                <w:spacing w:val="0"/>
                                <w:w w:val="100"/>
                                <w:position w:val="0"/>
                                <w:sz w:val="14"/>
                                <w:szCs w:val="14"/>
                              </w:rPr>
                              <w:t>城市生命线</w:t>
                            </w:r>
                          </w:p>
                        </w:txbxContent>
                      </wps:txbx>
                      <wps:bodyPr lIns="0" tIns="0" rIns="0" bIns="0">
                        <a:noAutoFit/>
                      </wps:bodyPr>
                    </wps:wsp>
                  </a:graphicData>
                </a:graphic>
              </wp:anchor>
            </w:drawing>
          </mc:Choice>
          <mc:Fallback>
            <w:pict>
              <v:shape id="_x0000_s1103" type="#_x0000_t202" style="position:absolute;margin-left:353.75pt;margin-top:66.700000000000003pt;width:39.550000000000004pt;height:9.9000000000000004pt;z-index:-125829326;mso-wrap-distance-left:0;mso-wrap-distance-right:450.30000000000001pt" filled="f" stroked="f">
                <v:textbox inset="0,0,0,0">
                  <w:txbxContent>
                    <w:p>
                      <w:pPr>
                        <w:pStyle w:val="Style38"/>
                        <w:keepNext w:val="0"/>
                        <w:keepLines w:val="0"/>
                        <w:widowControl w:val="0"/>
                        <w:pBdr>
                          <w:top w:val="single" w:sz="0" w:space="0" w:color="05B1F1"/>
                          <w:left w:val="single" w:sz="0" w:space="0" w:color="05B1F1"/>
                          <w:bottom w:val="single" w:sz="0" w:space="0" w:color="05B1F1"/>
                          <w:right w:val="single" w:sz="0" w:space="0" w:color="05B1F1"/>
                        </w:pBdr>
                        <w:shd w:val="clear" w:color="auto" w:fill="05B1F1"/>
                        <w:bidi w:val="0"/>
                        <w:spacing w:before="0" w:after="0" w:line="240" w:lineRule="auto"/>
                        <w:ind w:left="0" w:right="0" w:firstLine="0"/>
                        <w:jc w:val="left"/>
                        <w:rPr>
                          <w:sz w:val="14"/>
                          <w:szCs w:val="14"/>
                        </w:rPr>
                      </w:pPr>
                      <w:r>
                        <w:rPr>
                          <w:rFonts w:ascii="SimHei" w:eastAsia="SimHei" w:hAnsi="SimHei" w:cs="SimHei"/>
                          <w:color w:val="E9FA2C"/>
                          <w:spacing w:val="0"/>
                          <w:w w:val="100"/>
                          <w:position w:val="0"/>
                          <w:sz w:val="14"/>
                          <w:szCs w:val="14"/>
                        </w:rPr>
                        <w:t>城市生命线</w:t>
                      </w:r>
                    </w:p>
                  </w:txbxContent>
                </v:textbox>
                <w10:wrap type="topAndBottom"/>
              </v:shape>
            </w:pict>
          </mc:Fallback>
        </mc:AlternateContent>
      </w:r>
      <w:r>
        <mc:AlternateContent>
          <mc:Choice Requires="wps">
            <w:drawing>
              <wp:anchor distT="0" distB="0" distL="0" distR="5718810" simplePos="0" relativeHeight="125829429" behindDoc="0" locked="0" layoutInCell="1" allowOverlap="1">
                <wp:simplePos x="0" y="0"/>
                <wp:positionH relativeFrom="column">
                  <wp:posOffset>598805</wp:posOffset>
                </wp:positionH>
                <wp:positionV relativeFrom="paragraph">
                  <wp:posOffset>771525</wp:posOffset>
                </wp:positionV>
                <wp:extent cx="502285" cy="128270"/>
                <wp:wrapTopAndBottom/>
                <wp:docPr id="79" name="Shape 79"/>
                <a:graphic xmlns:a="http://schemas.openxmlformats.org/drawingml/2006/main">
                  <a:graphicData uri="http://schemas.microsoft.com/office/word/2010/wordprocessingShape">
                    <wps:wsp>
                      <wps:cNvSpPr txBox="1"/>
                      <wps:spPr>
                        <a:xfrm>
                          <a:ext cx="502285" cy="128270"/>
                        </a:xfrm>
                        <a:prstGeom prst="rect"/>
                        <a:noFill/>
                      </wps:spPr>
                      <wps:txbx>
                        <w:txbxContent>
                          <w:p>
                            <w:pPr>
                              <w:pStyle w:val="Style38"/>
                              <w:keepNext w:val="0"/>
                              <w:keepLines w:val="0"/>
                              <w:widowControl w:val="0"/>
                              <w:pBdr>
                                <w:top w:val="single" w:sz="0" w:space="0" w:color="06B054"/>
                                <w:left w:val="single" w:sz="0" w:space="0" w:color="06B054"/>
                                <w:bottom w:val="single" w:sz="0" w:space="0" w:color="06B054"/>
                                <w:right w:val="single" w:sz="0" w:space="0" w:color="06B054"/>
                              </w:pBdr>
                              <w:shd w:val="clear" w:color="auto" w:fill="06B054"/>
                              <w:bidi w:val="0"/>
                              <w:spacing w:before="0" w:after="0" w:line="240" w:lineRule="auto"/>
                              <w:ind w:left="0" w:right="0" w:firstLine="0"/>
                              <w:jc w:val="left"/>
                              <w:rPr>
                                <w:sz w:val="14"/>
                                <w:szCs w:val="14"/>
                              </w:rPr>
                            </w:pPr>
                            <w:r>
                              <w:rPr>
                                <w:rFonts w:ascii="SimHei" w:eastAsia="SimHei" w:hAnsi="SimHei" w:cs="SimHei"/>
                                <w:color w:val="FFFFFF"/>
                                <w:spacing w:val="0"/>
                                <w:w w:val="100"/>
                                <w:position w:val="0"/>
                                <w:sz w:val="14"/>
                                <w:szCs w:val="14"/>
                              </w:rPr>
                              <w:t>井室潜望镜</w:t>
                            </w:r>
                          </w:p>
                        </w:txbxContent>
                      </wps:txbx>
                      <wps:bodyPr lIns="0" tIns="0" rIns="0" bIns="0">
                        <a:noAutoFit/>
                      </wps:bodyPr>
                    </wps:wsp>
                  </a:graphicData>
                </a:graphic>
              </wp:anchor>
            </w:drawing>
          </mc:Choice>
          <mc:Fallback>
            <w:pict>
              <v:shape id="_x0000_s1105" type="#_x0000_t202" style="position:absolute;margin-left:47.149999999999999pt;margin-top:60.75pt;width:39.550000000000004pt;height:10.1pt;z-index:-125829324;mso-wrap-distance-left:0;mso-wrap-distance-right:450.30000000000001pt" filled="f" stroked="f">
                <v:textbox inset="0,0,0,0">
                  <w:txbxContent>
                    <w:p>
                      <w:pPr>
                        <w:pStyle w:val="Style38"/>
                        <w:keepNext w:val="0"/>
                        <w:keepLines w:val="0"/>
                        <w:widowControl w:val="0"/>
                        <w:pBdr>
                          <w:top w:val="single" w:sz="0" w:space="0" w:color="06B054"/>
                          <w:left w:val="single" w:sz="0" w:space="0" w:color="06B054"/>
                          <w:bottom w:val="single" w:sz="0" w:space="0" w:color="06B054"/>
                          <w:right w:val="single" w:sz="0" w:space="0" w:color="06B054"/>
                        </w:pBdr>
                        <w:shd w:val="clear" w:color="auto" w:fill="06B054"/>
                        <w:bidi w:val="0"/>
                        <w:spacing w:before="0" w:after="0" w:line="240" w:lineRule="auto"/>
                        <w:ind w:left="0" w:right="0" w:firstLine="0"/>
                        <w:jc w:val="left"/>
                        <w:rPr>
                          <w:sz w:val="14"/>
                          <w:szCs w:val="14"/>
                        </w:rPr>
                      </w:pPr>
                      <w:r>
                        <w:rPr>
                          <w:rFonts w:ascii="SimHei" w:eastAsia="SimHei" w:hAnsi="SimHei" w:cs="SimHei"/>
                          <w:color w:val="FFFFFF"/>
                          <w:spacing w:val="0"/>
                          <w:w w:val="100"/>
                          <w:position w:val="0"/>
                          <w:sz w:val="14"/>
                          <w:szCs w:val="14"/>
                        </w:rPr>
                        <w:t>井室潜望镜</w:t>
                      </w:r>
                    </w:p>
                  </w:txbxContent>
                </v:textbox>
                <w10:wrap type="topAndBottom"/>
              </v:shape>
            </w:pict>
          </mc:Fallback>
        </mc:AlternateContent>
      </w:r>
      <w:r>
        <mc:AlternateContent>
          <mc:Choice Requires="wps">
            <w:drawing>
              <wp:anchor distT="0" distB="0" distL="0" distR="5821045" simplePos="0" relativeHeight="125829431" behindDoc="0" locked="0" layoutInCell="1" allowOverlap="1">
                <wp:simplePos x="0" y="0"/>
                <wp:positionH relativeFrom="column">
                  <wp:posOffset>4533900</wp:posOffset>
                </wp:positionH>
                <wp:positionV relativeFrom="paragraph">
                  <wp:posOffset>677545</wp:posOffset>
                </wp:positionV>
                <wp:extent cx="400050" cy="131445"/>
                <wp:wrapTopAndBottom/>
                <wp:docPr id="81" name="Shape 81"/>
                <a:graphic xmlns:a="http://schemas.openxmlformats.org/drawingml/2006/main">
                  <a:graphicData uri="http://schemas.microsoft.com/office/word/2010/wordprocessingShape">
                    <wps:wsp>
                      <wps:cNvSpPr txBox="1"/>
                      <wps:spPr>
                        <a:xfrm>
                          <a:ext cx="400050" cy="131445"/>
                        </a:xfrm>
                        <a:prstGeom prst="rect"/>
                        <a:noFill/>
                      </wps:spPr>
                      <wps:txbx>
                        <w:txbxContent>
                          <w:p>
                            <w:pPr>
                              <w:pStyle w:val="Style38"/>
                              <w:keepNext w:val="0"/>
                              <w:keepLines w:val="0"/>
                              <w:widowControl w:val="0"/>
                              <w:pBdr>
                                <w:top w:val="single" w:sz="0" w:space="0" w:color="04B1F3"/>
                                <w:left w:val="single" w:sz="0" w:space="0" w:color="04B1F3"/>
                                <w:bottom w:val="single" w:sz="0" w:space="0" w:color="04B1F3"/>
                                <w:right w:val="single" w:sz="0" w:space="0" w:color="04B1F3"/>
                              </w:pBdr>
                              <w:shd w:val="clear" w:color="auto" w:fill="04B1F3"/>
                              <w:bidi w:val="0"/>
                              <w:spacing w:before="0" w:after="0" w:line="240" w:lineRule="auto"/>
                              <w:ind w:left="0" w:right="0" w:firstLine="0"/>
                              <w:jc w:val="left"/>
                              <w:rPr>
                                <w:sz w:val="14"/>
                                <w:szCs w:val="14"/>
                              </w:rPr>
                            </w:pPr>
                            <w:r>
                              <w:rPr>
                                <w:rFonts w:ascii="SimHei" w:eastAsia="SimHei" w:hAnsi="SimHei" w:cs="SimHei"/>
                                <w:color w:val="E9FA2C"/>
                                <w:spacing w:val="0"/>
                                <w:w w:val="100"/>
                                <w:position w:val="0"/>
                                <w:sz w:val="14"/>
                                <w:szCs w:val="14"/>
                              </w:rPr>
                              <w:t>智慧管网</w:t>
                            </w:r>
                          </w:p>
                        </w:txbxContent>
                      </wps:txbx>
                      <wps:bodyPr lIns="0" tIns="0" rIns="0" bIns="0">
                        <a:noAutoFit/>
                      </wps:bodyPr>
                    </wps:wsp>
                  </a:graphicData>
                </a:graphic>
              </wp:anchor>
            </w:drawing>
          </mc:Choice>
          <mc:Fallback>
            <w:pict>
              <v:shape id="_x0000_s1107" type="#_x0000_t202" style="position:absolute;margin-left:357.pt;margin-top:53.350000000000001pt;width:31.5pt;height:10.35pt;z-index:-125829322;mso-wrap-distance-left:0;mso-wrap-distance-right:458.35000000000002pt" filled="f" stroked="f">
                <v:textbox inset="0,0,0,0">
                  <w:txbxContent>
                    <w:p>
                      <w:pPr>
                        <w:pStyle w:val="Style38"/>
                        <w:keepNext w:val="0"/>
                        <w:keepLines w:val="0"/>
                        <w:widowControl w:val="0"/>
                        <w:pBdr>
                          <w:top w:val="single" w:sz="0" w:space="0" w:color="04B1F3"/>
                          <w:left w:val="single" w:sz="0" w:space="0" w:color="04B1F3"/>
                          <w:bottom w:val="single" w:sz="0" w:space="0" w:color="04B1F3"/>
                          <w:right w:val="single" w:sz="0" w:space="0" w:color="04B1F3"/>
                        </w:pBdr>
                        <w:shd w:val="clear" w:color="auto" w:fill="04B1F3"/>
                        <w:bidi w:val="0"/>
                        <w:spacing w:before="0" w:after="0" w:line="240" w:lineRule="auto"/>
                        <w:ind w:left="0" w:right="0" w:firstLine="0"/>
                        <w:jc w:val="left"/>
                        <w:rPr>
                          <w:sz w:val="14"/>
                          <w:szCs w:val="14"/>
                        </w:rPr>
                      </w:pPr>
                      <w:r>
                        <w:rPr>
                          <w:rFonts w:ascii="SimHei" w:eastAsia="SimHei" w:hAnsi="SimHei" w:cs="SimHei"/>
                          <w:color w:val="E9FA2C"/>
                          <w:spacing w:val="0"/>
                          <w:w w:val="100"/>
                          <w:position w:val="0"/>
                          <w:sz w:val="14"/>
                          <w:szCs w:val="14"/>
                        </w:rPr>
                        <w:t>智慧管网</w:t>
                      </w:r>
                    </w:p>
                  </w:txbxContent>
                </v:textbox>
                <w10:wrap type="topAndBottom"/>
              </v:shape>
            </w:pict>
          </mc:Fallback>
        </mc:AlternateContent>
      </w:r>
      <w:r>
        <mc:AlternateContent>
          <mc:Choice Requires="wps">
            <w:drawing>
              <wp:anchor distT="0" distB="0" distL="0" distR="5815330" simplePos="0" relativeHeight="125829433" behindDoc="0" locked="0" layoutInCell="1" allowOverlap="1">
                <wp:simplePos x="0" y="0"/>
                <wp:positionH relativeFrom="column">
                  <wp:posOffset>4533900</wp:posOffset>
                </wp:positionH>
                <wp:positionV relativeFrom="paragraph">
                  <wp:posOffset>508000</wp:posOffset>
                </wp:positionV>
                <wp:extent cx="405765" cy="131445"/>
                <wp:wrapTopAndBottom/>
                <wp:docPr id="83" name="Shape 83"/>
                <a:graphic xmlns:a="http://schemas.openxmlformats.org/drawingml/2006/main">
                  <a:graphicData uri="http://schemas.microsoft.com/office/word/2010/wordprocessingShape">
                    <wps:wsp>
                      <wps:cNvSpPr txBox="1"/>
                      <wps:spPr>
                        <a:xfrm>
                          <a:ext cx="405765" cy="131445"/>
                        </a:xfrm>
                        <a:prstGeom prst="rect"/>
                        <a:noFill/>
                      </wps:spPr>
                      <wps:txbx>
                        <w:txbxContent>
                          <w:p>
                            <w:pPr>
                              <w:pStyle w:val="Style38"/>
                              <w:keepNext w:val="0"/>
                              <w:keepLines w:val="0"/>
                              <w:widowControl w:val="0"/>
                              <w:pBdr>
                                <w:top w:val="single" w:sz="0" w:space="0" w:color="06AEF1"/>
                                <w:left w:val="single" w:sz="0" w:space="0" w:color="06AEF1"/>
                                <w:bottom w:val="single" w:sz="0" w:space="0" w:color="06AEF1"/>
                                <w:right w:val="single" w:sz="0" w:space="0" w:color="06AEF1"/>
                              </w:pBdr>
                              <w:shd w:val="clear" w:color="auto" w:fill="06AEF1"/>
                              <w:bidi w:val="0"/>
                              <w:spacing w:before="0" w:after="0" w:line="240" w:lineRule="auto"/>
                              <w:ind w:left="0" w:right="0" w:firstLine="0"/>
                              <w:jc w:val="left"/>
                              <w:rPr>
                                <w:sz w:val="14"/>
                                <w:szCs w:val="14"/>
                              </w:rPr>
                            </w:pPr>
                            <w:r>
                              <w:rPr>
                                <w:rFonts w:ascii="SimHei" w:eastAsia="SimHei" w:hAnsi="SimHei" w:cs="SimHei"/>
                                <w:color w:val="E9FA2C"/>
                                <w:spacing w:val="0"/>
                                <w:w w:val="100"/>
                                <w:position w:val="0"/>
                                <w:sz w:val="14"/>
                                <w:szCs w:val="14"/>
                              </w:rPr>
                              <w:t>管线详探</w:t>
                            </w:r>
                          </w:p>
                        </w:txbxContent>
                      </wps:txbx>
                      <wps:bodyPr lIns="0" tIns="0" rIns="0" bIns="0">
                        <a:noAutoFit/>
                      </wps:bodyPr>
                    </wps:wsp>
                  </a:graphicData>
                </a:graphic>
              </wp:anchor>
            </w:drawing>
          </mc:Choice>
          <mc:Fallback>
            <w:pict>
              <v:shape id="_x0000_s1109" type="#_x0000_t202" style="position:absolute;margin-left:357.pt;margin-top:40.pt;width:31.949999999999999pt;height:10.35pt;z-index:-125829320;mso-wrap-distance-left:0;mso-wrap-distance-right:457.90000000000003pt" filled="f" stroked="f">
                <v:textbox inset="0,0,0,0">
                  <w:txbxContent>
                    <w:p>
                      <w:pPr>
                        <w:pStyle w:val="Style38"/>
                        <w:keepNext w:val="0"/>
                        <w:keepLines w:val="0"/>
                        <w:widowControl w:val="0"/>
                        <w:pBdr>
                          <w:top w:val="single" w:sz="0" w:space="0" w:color="06AEF1"/>
                          <w:left w:val="single" w:sz="0" w:space="0" w:color="06AEF1"/>
                          <w:bottom w:val="single" w:sz="0" w:space="0" w:color="06AEF1"/>
                          <w:right w:val="single" w:sz="0" w:space="0" w:color="06AEF1"/>
                        </w:pBdr>
                        <w:shd w:val="clear" w:color="auto" w:fill="06AEF1"/>
                        <w:bidi w:val="0"/>
                        <w:spacing w:before="0" w:after="0" w:line="240" w:lineRule="auto"/>
                        <w:ind w:left="0" w:right="0" w:firstLine="0"/>
                        <w:jc w:val="left"/>
                        <w:rPr>
                          <w:sz w:val="14"/>
                          <w:szCs w:val="14"/>
                        </w:rPr>
                      </w:pPr>
                      <w:r>
                        <w:rPr>
                          <w:rFonts w:ascii="SimHei" w:eastAsia="SimHei" w:hAnsi="SimHei" w:cs="SimHei"/>
                          <w:color w:val="E9FA2C"/>
                          <w:spacing w:val="0"/>
                          <w:w w:val="100"/>
                          <w:position w:val="0"/>
                          <w:sz w:val="14"/>
                          <w:szCs w:val="14"/>
                        </w:rPr>
                        <w:t>管线详探</w:t>
                      </w:r>
                    </w:p>
                  </w:txbxContent>
                </v:textbox>
                <w10:wrap type="topAndBottom"/>
              </v:shape>
            </w:pict>
          </mc:Fallback>
        </mc:AlternateContent>
      </w:r>
      <w:r>
        <mc:AlternateContent>
          <mc:Choice Requires="wps">
            <w:drawing>
              <wp:anchor distT="0" distB="0" distL="0" distR="5414645" simplePos="0" relativeHeight="125829435" behindDoc="0" locked="0" layoutInCell="1" allowOverlap="1">
                <wp:simplePos x="0" y="0"/>
                <wp:positionH relativeFrom="column">
                  <wp:posOffset>458470</wp:posOffset>
                </wp:positionH>
                <wp:positionV relativeFrom="paragraph">
                  <wp:posOffset>2240915</wp:posOffset>
                </wp:positionV>
                <wp:extent cx="806450" cy="715645"/>
                <wp:wrapTopAndBottom/>
                <wp:docPr id="85" name="Shape 85"/>
                <a:graphic xmlns:a="http://schemas.openxmlformats.org/drawingml/2006/main">
                  <a:graphicData uri="http://schemas.microsoft.com/office/word/2010/wordprocessingShape">
                    <wps:wsp>
                      <wps:cNvSpPr txBox="1"/>
                      <wps:spPr>
                        <a:xfrm>
                          <a:ext cx="806450" cy="715645"/>
                        </a:xfrm>
                        <a:prstGeom prst="rect"/>
                        <a:noFill/>
                      </wps:spPr>
                      <wps:txbx>
                        <w:txbxContent>
                          <w:p>
                            <w:pPr>
                              <w:pStyle w:val="Style38"/>
                              <w:keepNext w:val="0"/>
                              <w:keepLines w:val="0"/>
                              <w:widowControl w:val="0"/>
                              <w:pBdr>
                                <w:top w:val="single" w:sz="0" w:space="0" w:color="049999"/>
                                <w:left w:val="single" w:sz="0" w:space="0" w:color="049999"/>
                                <w:bottom w:val="single" w:sz="0" w:space="0" w:color="049999"/>
                                <w:right w:val="single" w:sz="0" w:space="0" w:color="049999"/>
                              </w:pBdr>
                              <w:shd w:val="clear" w:color="auto" w:fill="049999"/>
                              <w:bidi w:val="0"/>
                              <w:spacing w:before="0" w:after="0" w:line="278" w:lineRule="exact"/>
                              <w:ind w:left="0" w:right="0" w:firstLine="0"/>
                              <w:jc w:val="center"/>
                              <w:rPr>
                                <w:sz w:val="14"/>
                                <w:szCs w:val="14"/>
                              </w:rPr>
                            </w:pPr>
                            <w:r>
                              <w:rPr>
                                <w:rFonts w:ascii="SimHei" w:eastAsia="SimHei" w:hAnsi="SimHei" w:cs="SimHei"/>
                                <w:color w:val="FFFFFF"/>
                                <w:spacing w:val="0"/>
                                <w:w w:val="100"/>
                                <w:position w:val="0"/>
                                <w:sz w:val="14"/>
                                <w:szCs w:val="14"/>
                                <w:u w:val="single"/>
                              </w:rPr>
                              <w:t xml:space="preserve">智慧市政管养 地下市政设施普畜 综合管理信息平言 </w:t>
                            </w:r>
                            <w:r>
                              <w:rPr>
                                <w:rFonts w:ascii="SimHei" w:eastAsia="SimHei" w:hAnsi="SimHei" w:cs="SimHei"/>
                                <w:color w:val="FFFFFF"/>
                                <w:spacing w:val="0"/>
                                <w:w w:val="100"/>
                                <w:position w:val="0"/>
                                <w:sz w:val="14"/>
                                <w:szCs w:val="14"/>
                              </w:rPr>
                              <w:t>道路塌陷病害检蚯</w:t>
                            </w:r>
                          </w:p>
                        </w:txbxContent>
                      </wps:txbx>
                      <wps:bodyPr lIns="0" tIns="0" rIns="0" bIns="0">
                        <a:noAutoFit/>
                      </wps:bodyPr>
                    </wps:wsp>
                  </a:graphicData>
                </a:graphic>
              </wp:anchor>
            </w:drawing>
          </mc:Choice>
          <mc:Fallback>
            <w:pict>
              <v:shape id="_x0000_s1111" type="#_x0000_t202" style="position:absolute;margin-left:36.100000000000001pt;margin-top:176.45000000000002pt;width:63.5pt;height:56.350000000000001pt;z-index:-125829318;mso-wrap-distance-left:0;mso-wrap-distance-right:426.35000000000002pt" filled="f" stroked="f">
                <v:textbox inset="0,0,0,0">
                  <w:txbxContent>
                    <w:p>
                      <w:pPr>
                        <w:pStyle w:val="Style38"/>
                        <w:keepNext w:val="0"/>
                        <w:keepLines w:val="0"/>
                        <w:widowControl w:val="0"/>
                        <w:pBdr>
                          <w:top w:val="single" w:sz="0" w:space="0" w:color="049999"/>
                          <w:left w:val="single" w:sz="0" w:space="0" w:color="049999"/>
                          <w:bottom w:val="single" w:sz="0" w:space="0" w:color="049999"/>
                          <w:right w:val="single" w:sz="0" w:space="0" w:color="049999"/>
                        </w:pBdr>
                        <w:shd w:val="clear" w:color="auto" w:fill="049999"/>
                        <w:bidi w:val="0"/>
                        <w:spacing w:before="0" w:after="0" w:line="278" w:lineRule="exact"/>
                        <w:ind w:left="0" w:right="0" w:firstLine="0"/>
                        <w:jc w:val="center"/>
                        <w:rPr>
                          <w:sz w:val="14"/>
                          <w:szCs w:val="14"/>
                        </w:rPr>
                      </w:pPr>
                      <w:r>
                        <w:rPr>
                          <w:rFonts w:ascii="SimHei" w:eastAsia="SimHei" w:hAnsi="SimHei" w:cs="SimHei"/>
                          <w:color w:val="FFFFFF"/>
                          <w:spacing w:val="0"/>
                          <w:w w:val="100"/>
                          <w:position w:val="0"/>
                          <w:sz w:val="14"/>
                          <w:szCs w:val="14"/>
                          <w:u w:val="single"/>
                        </w:rPr>
                        <w:t xml:space="preserve">智慧市政管养 地下市政设施普畜 综合管理信息平言 </w:t>
                      </w:r>
                      <w:r>
                        <w:rPr>
                          <w:rFonts w:ascii="SimHei" w:eastAsia="SimHei" w:hAnsi="SimHei" w:cs="SimHei"/>
                          <w:color w:val="FFFFFF"/>
                          <w:spacing w:val="0"/>
                          <w:w w:val="100"/>
                          <w:position w:val="0"/>
                          <w:sz w:val="14"/>
                          <w:szCs w:val="14"/>
                        </w:rPr>
                        <w:t>道路塌陷病害检蚯</w:t>
                      </w:r>
                    </w:p>
                  </w:txbxContent>
                </v:textbox>
                <w10:wrap type="topAndBottom"/>
              </v:shape>
            </w:pict>
          </mc:Fallback>
        </mc:AlternateContent>
      </w:r>
      <w:r>
        <mc:AlternateContent>
          <mc:Choice Requires="wps">
            <w:drawing>
              <wp:anchor distT="0" distB="0" distL="0" distR="6062980" simplePos="0" relativeHeight="125829437" behindDoc="0" locked="0" layoutInCell="1" allowOverlap="1">
                <wp:simplePos x="0" y="0"/>
                <wp:positionH relativeFrom="column">
                  <wp:posOffset>3379470</wp:posOffset>
                </wp:positionH>
                <wp:positionV relativeFrom="paragraph">
                  <wp:posOffset>1449070</wp:posOffset>
                </wp:positionV>
                <wp:extent cx="158115" cy="645795"/>
                <wp:wrapTopAndBottom/>
                <wp:docPr id="87" name="Shape 87"/>
                <a:graphic xmlns:a="http://schemas.openxmlformats.org/drawingml/2006/main">
                  <a:graphicData uri="http://schemas.microsoft.com/office/word/2010/wordprocessingShape">
                    <wps:wsp>
                      <wps:cNvSpPr txBox="1"/>
                      <wps:spPr>
                        <a:xfrm>
                          <a:ext cx="158115" cy="645795"/>
                        </a:xfrm>
                        <a:prstGeom prst="rect"/>
                        <a:noFill/>
                      </wps:spPr>
                      <wps:txbx>
                        <w:txbxContent>
                          <w:p>
                            <w:pPr>
                              <w:pStyle w:val="Style29"/>
                              <w:keepNext w:val="0"/>
                              <w:keepLines w:val="0"/>
                              <w:widowControl w:val="0"/>
                              <w:pBdr>
                                <w:top w:val="single" w:sz="0" w:space="0" w:color="04B1F2"/>
                                <w:left w:val="single" w:sz="0" w:space="0" w:color="04B1F2"/>
                                <w:bottom w:val="single" w:sz="0" w:space="0" w:color="04B1F2"/>
                                <w:right w:val="single" w:sz="0" w:space="0" w:color="04B1F2"/>
                              </w:pBdr>
                              <w:shd w:val="clear" w:color="auto" w:fill="04B1F2"/>
                              <w:bidi w:val="0"/>
                              <w:spacing w:before="0" w:after="0" w:line="240" w:lineRule="auto"/>
                              <w:ind w:left="0" w:right="0" w:firstLine="0"/>
                              <w:jc w:val="left"/>
                              <w:rPr>
                                <w:sz w:val="24"/>
                                <w:szCs w:val="24"/>
                              </w:rPr>
                            </w:pPr>
                            <w:r>
                              <w:rPr>
                                <w:rFonts w:ascii="SimSun" w:eastAsia="SimSun" w:hAnsi="SimSun" w:cs="SimSun"/>
                                <w:b/>
                                <w:bCs/>
                                <w:color w:val="FFFFFF"/>
                                <w:spacing w:val="0"/>
                                <w:w w:val="100"/>
                                <w:position w:val="0"/>
                                <w:sz w:val="24"/>
                                <w:szCs w:val="24"/>
                              </w:rPr>
                              <w:t>排水业务</w:t>
                            </w:r>
                          </w:p>
                        </w:txbxContent>
                      </wps:txbx>
                      <wps:bodyPr upright="1" vert="eaVert" lIns="0" tIns="0" rIns="0" bIns="0">
                        <a:noAutoFit/>
                      </wps:bodyPr>
                    </wps:wsp>
                  </a:graphicData>
                </a:graphic>
              </wp:anchor>
            </w:drawing>
          </mc:Choice>
          <mc:Fallback>
            <w:pict>
              <v:shape id="_x0000_s1113" type="#_x0000_t202" style="position:absolute;margin-left:266.10000000000002pt;margin-top:114.10000000000001pt;width:12.450000000000001pt;height:50.850000000000001pt;z-index:-125829316;mso-wrap-distance-left:0;mso-wrap-distance-right:477.40000000000003pt" filled="f" stroked="f">
                <v:textbox style="layout-flow:vertical-ideographic" inset="0,0,0,0">
                  <w:txbxContent>
                    <w:p>
                      <w:pPr>
                        <w:pStyle w:val="Style29"/>
                        <w:keepNext w:val="0"/>
                        <w:keepLines w:val="0"/>
                        <w:widowControl w:val="0"/>
                        <w:pBdr>
                          <w:top w:val="single" w:sz="0" w:space="0" w:color="04B1F2"/>
                          <w:left w:val="single" w:sz="0" w:space="0" w:color="04B1F2"/>
                          <w:bottom w:val="single" w:sz="0" w:space="0" w:color="04B1F2"/>
                          <w:right w:val="single" w:sz="0" w:space="0" w:color="04B1F2"/>
                        </w:pBdr>
                        <w:shd w:val="clear" w:color="auto" w:fill="04B1F2"/>
                        <w:bidi w:val="0"/>
                        <w:spacing w:before="0" w:after="0" w:line="240" w:lineRule="auto"/>
                        <w:ind w:left="0" w:right="0" w:firstLine="0"/>
                        <w:jc w:val="left"/>
                        <w:rPr>
                          <w:sz w:val="24"/>
                          <w:szCs w:val="24"/>
                        </w:rPr>
                      </w:pPr>
                      <w:r>
                        <w:rPr>
                          <w:rFonts w:ascii="SimSun" w:eastAsia="SimSun" w:hAnsi="SimSun" w:cs="SimSun"/>
                          <w:b/>
                          <w:bCs/>
                          <w:color w:val="FFFFFF"/>
                          <w:spacing w:val="0"/>
                          <w:w w:val="100"/>
                          <w:position w:val="0"/>
                          <w:sz w:val="24"/>
                          <w:szCs w:val="24"/>
                        </w:rPr>
                        <w:t>排水业务</w:t>
                      </w:r>
                    </w:p>
                  </w:txbxContent>
                </v:textbox>
                <w10:wrap type="topAndBottom"/>
              </v:shape>
            </w:pict>
          </mc:Fallback>
        </mc:AlternateContent>
      </w:r>
    </w:p>
    <w:p>
      <w:pPr>
        <w:pStyle w:val="Style59"/>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首先，要解决排水管网“在哪里”的问题，通过管线普查获取管线的位置、埋深、管径 等基础数据，实现对排水管网的普查和修补测。其次，要搞清楚排水管网“怎么样”的问题， 运用</w:t>
      </w:r>
      <w:r>
        <w:rPr>
          <w:color w:val="000000"/>
          <w:spacing w:val="0"/>
          <w:w w:val="100"/>
          <w:position w:val="0"/>
          <w:sz w:val="24"/>
          <w:szCs w:val="24"/>
        </w:rPr>
        <w:t>CCTV</w:t>
      </w:r>
      <w:r>
        <w:rPr>
          <w:color w:val="000000"/>
          <w:spacing w:val="0"/>
          <w:w w:val="100"/>
          <w:position w:val="0"/>
          <w:sz w:val="24"/>
          <w:szCs w:val="24"/>
        </w:rPr>
        <w:t>检测、声呐等技术进行管网排查检测。对管道结构缺陷和管道功能进行评估，对沿 河排口、雨污混接点及污染源进行调查，从而系统评估地下管线健康状况和雨污混接情况， 为源头治理和工程改造提供依据；最后，要解决管网缺陷“如何治”的问题，针对管线的缺 陷如何进行修复。根据管道内存在的各种结构性缺陷和功能性缺陷确定修复施工方案，采用 石浆喷涂、浸渍玻璃纤维光固（或热固）等多种修复工艺对管网缺陷进行修复。形成了管网 探测、清淤、诊断、检测、修复、监管等全要素、全业务的综合解决方案。</w:t>
      </w:r>
    </w:p>
    <w:p>
      <w:pPr>
        <w:pStyle w:val="Style59"/>
        <w:keepNext w:val="0"/>
        <w:keepLines w:val="0"/>
        <w:widowControl w:val="0"/>
        <w:shd w:val="clear" w:color="auto" w:fill="auto"/>
        <w:bidi w:val="0"/>
        <w:spacing w:before="0" w:after="100" w:line="468" w:lineRule="exact"/>
        <w:ind w:left="0" w:right="0" w:firstLine="480"/>
        <w:jc w:val="both"/>
      </w:pPr>
      <w:r>
        <w:rPr>
          <w:color w:val="000000"/>
          <w:spacing w:val="0"/>
          <w:w w:val="100"/>
          <w:position w:val="0"/>
          <w:sz w:val="24"/>
          <w:szCs w:val="24"/>
        </w:rPr>
        <w:t>智慧化监管是排水日常管理的有效抓手。借助云计算、大数据、物联网、移动互联、</w:t>
      </w:r>
      <w:r>
        <w:rPr>
          <w:color w:val="000000"/>
          <w:spacing w:val="0"/>
          <w:w w:val="100"/>
          <w:position w:val="0"/>
          <w:sz w:val="24"/>
          <w:szCs w:val="24"/>
        </w:rPr>
        <w:t xml:space="preserve">AI </w:t>
      </w:r>
      <w:r>
        <w:rPr>
          <w:color w:val="000000"/>
          <w:spacing w:val="0"/>
          <w:w w:val="100"/>
          <w:position w:val="0"/>
          <w:sz w:val="24"/>
          <w:szCs w:val="24"/>
        </w:rPr>
        <w:t>等现代信息技术，建立“源-网-站-厂-河”一体化监管体系，实现针日常业务管理的地上地 下一体化、网格管理精细化、档案管理信息化、维修养护标准化、监管手段智能化，构建“一 网、一库、一平台、</w:t>
      </w:r>
      <w:r>
        <w:rPr>
          <w:color w:val="000000"/>
          <w:spacing w:val="0"/>
          <w:w w:val="100"/>
          <w:position w:val="0"/>
          <w:sz w:val="24"/>
          <w:szCs w:val="24"/>
        </w:rPr>
        <w:t>N</w:t>
      </w:r>
      <w:r>
        <w:rPr>
          <w:color w:val="000000"/>
          <w:spacing w:val="0"/>
          <w:w w:val="100"/>
          <w:position w:val="0"/>
          <w:sz w:val="24"/>
          <w:szCs w:val="24"/>
        </w:rPr>
        <w:t>应用、两保障”的智慧排水总体框架：排水动态物联感知网、排水综 合数据库、智慧排水监管平台、排水智慧应用、运维和安全保障体系。紧扣行业主管部门的 日常应用场景，突出排水大数据分析，结合实际大数据应用场景，建立分析、预警、处置的 闭环管理流程，通过信息化手段提升行业主管部门的监管水平，科学指导污水处理提质增效， 助力城市宜居环境改善。</w:t>
      </w:r>
    </w:p>
    <w:p>
      <w:pPr>
        <w:pStyle w:val="Style59"/>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围绕排水管网的清淤、检测、修复，公司不断攻坚克难研究新方法新工艺，大大提升针 对大型箱涵、高水位、过河管等复杂工况下的施工能力；围绕智慧排水综合监管平台研发， 实现“治水一张图，管水一平台”。</w:t>
      </w:r>
    </w:p>
    <w:p>
      <w:pPr>
        <w:pStyle w:val="Style59"/>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通过燃气监管平台，实现对全市燃气企业的经营供气服务行为监管和覆盖区域的燃气管 网、场站等主要设施的安全运行监管，并支撑燃气管理部门的日常管理工作。以信息化运用 赋能燃气安全精细化监管，推动燃气信息化建设从分散、孤立、缺位的零星功能子系统向“企 业自管、政府监管、一网统管”的综合管理系统转变，汇聚业务流，形成数据流，进行大数 据分析和智能研判。通过该平台的建设使监管部门能够及时了解企业生产、运行的实际情况， 提升监管部门自身的监管能力，通过科学监管，明晰问题根源，有效管控风险。</w:t>
      </w:r>
    </w:p>
    <w:p>
      <w:pPr>
        <w:pStyle w:val="Style59"/>
        <w:keepNext w:val="0"/>
        <w:keepLines w:val="0"/>
        <w:widowControl w:val="0"/>
        <w:shd w:val="clear" w:color="auto" w:fill="auto"/>
        <w:bidi w:val="0"/>
        <w:spacing w:before="0" w:after="0" w:line="469" w:lineRule="exact"/>
        <w:ind w:left="0" w:right="0" w:firstLine="480"/>
        <w:jc w:val="both"/>
      </w:pPr>
      <w:bookmarkStart w:id="74" w:name="bookmark74"/>
      <w:r>
        <w:rPr>
          <w:b/>
          <w:bCs/>
          <w:color w:val="000000"/>
          <w:spacing w:val="0"/>
          <w:w w:val="100"/>
          <w:position w:val="0"/>
          <w:sz w:val="24"/>
          <w:szCs w:val="24"/>
        </w:rPr>
        <w:t>5</w:t>
      </w:r>
      <w:bookmarkEnd w:id="74"/>
      <w:r>
        <w:rPr>
          <w:b/>
          <w:bCs/>
          <w:color w:val="000000"/>
          <w:spacing w:val="0"/>
          <w:w w:val="100"/>
          <w:position w:val="0"/>
          <w:sz w:val="24"/>
          <w:szCs w:val="24"/>
        </w:rPr>
        <w:t>、数字孪生（元宇宙）业务</w:t>
      </w:r>
    </w:p>
    <w:p>
      <w:pPr>
        <w:pStyle w:val="Style59"/>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元宇宙是数字经济发展背景下高度数字化、交互体感化、数字交易化、实现不同领域数 字虚拟与现实交互的综合“统筹”，在政务领域则是高度数字挛生交互的“一网统管”，现 有“智慧城市”发展的数字挛生模型是政务元宇宙的初级体现。</w:t>
      </w:r>
    </w:p>
    <w:p>
      <w:pPr>
        <w:pStyle w:val="Style59"/>
        <w:keepNext w:val="0"/>
        <w:keepLines w:val="0"/>
        <w:widowControl w:val="0"/>
        <w:shd w:val="clear" w:color="auto" w:fill="auto"/>
        <w:bidi w:val="0"/>
        <w:spacing w:before="0" w:after="220" w:line="469" w:lineRule="exact"/>
        <w:ind w:left="0" w:right="0" w:firstLine="480"/>
        <w:jc w:val="both"/>
      </w:pPr>
      <w:r>
        <w:rPr>
          <w:color w:val="000000"/>
          <w:spacing w:val="0"/>
          <w:w w:val="100"/>
          <w:position w:val="0"/>
          <w:sz w:val="24"/>
          <w:szCs w:val="24"/>
        </w:rPr>
        <w:t>2021年8月16日，数字政通正式发布了具有完全自主知识产权的“晶石”数字挛生平 台。“晶石”数字挛生平台依托从物理世界到数字世界全空间、全要素、全过程的双向映射 理念，通过构建城市在数字空间的三维模型来实现三维立体空间乃至地下空间的可视化管理。 通过引入</w:t>
      </w:r>
      <w:r>
        <w:rPr>
          <w:color w:val="000000"/>
          <w:spacing w:val="0"/>
          <w:w w:val="100"/>
          <w:position w:val="0"/>
          <w:sz w:val="24"/>
          <w:szCs w:val="24"/>
        </w:rPr>
        <w:t>BIM</w:t>
      </w:r>
      <w:r>
        <w:rPr>
          <w:color w:val="000000"/>
          <w:spacing w:val="0"/>
          <w:w w:val="100"/>
          <w:position w:val="0"/>
          <w:sz w:val="24"/>
          <w:szCs w:val="24"/>
        </w:rPr>
        <w:t>技术，将城市信息管理的力度从城市部件、建筑整体延伸到了内部构建，能够 实现从宏观到微观，以</w:t>
      </w:r>
      <w:r>
        <w:rPr>
          <w:color w:val="000000"/>
          <w:spacing w:val="0"/>
          <w:w w:val="100"/>
          <w:position w:val="0"/>
          <w:sz w:val="24"/>
          <w:szCs w:val="24"/>
        </w:rPr>
        <w:t>L1-L5</w:t>
      </w:r>
      <w:r>
        <w:rPr>
          <w:color w:val="000000"/>
          <w:spacing w:val="0"/>
          <w:w w:val="100"/>
          <w:position w:val="0"/>
          <w:sz w:val="24"/>
          <w:szCs w:val="24"/>
        </w:rPr>
        <w:t>级别建模规范完整的、全面的建立起城市的框架，把城市的管 理领域和实际业务需求相结合，融合</w:t>
      </w:r>
      <w:r>
        <w:rPr>
          <w:color w:val="000000"/>
          <w:spacing w:val="0"/>
          <w:w w:val="100"/>
          <w:position w:val="0"/>
          <w:sz w:val="24"/>
          <w:szCs w:val="24"/>
        </w:rPr>
        <w:t>IoT、</w:t>
      </w:r>
      <w:r>
        <w:rPr>
          <w:color w:val="000000"/>
          <w:spacing w:val="0"/>
          <w:w w:val="100"/>
          <w:position w:val="0"/>
          <w:sz w:val="24"/>
          <w:szCs w:val="24"/>
        </w:rPr>
        <w:t>视频、全景、城市业务等数据，形成动态的、高 度仿真的挛生城市，为城市管理提供更加科学、更加直观的技术平台，从而实现城市管理的 创新。</w:t>
      </w:r>
    </w:p>
    <w:p>
      <w:pPr>
        <w:pStyle w:val="Style19"/>
        <w:keepNext/>
        <w:keepLines/>
        <w:widowControl w:val="0"/>
        <w:shd w:val="clear" w:color="auto" w:fill="auto"/>
        <w:bidi w:val="0"/>
        <w:spacing w:before="0" w:after="220" w:line="469" w:lineRule="exact"/>
        <w:ind w:left="0" w:right="0" w:firstLine="0"/>
        <w:jc w:val="left"/>
      </w:pPr>
      <w:bookmarkStart w:id="75" w:name="bookmark75"/>
      <w:bookmarkStart w:id="76" w:name="bookmark76"/>
      <w:bookmarkStart w:id="77" w:name="bookmark77"/>
      <w:bookmarkStart w:id="78" w:name="bookmark78"/>
      <w:r>
        <w:rPr>
          <w:color w:val="000000"/>
          <w:spacing w:val="0"/>
          <w:w w:val="100"/>
          <w:position w:val="0"/>
          <w:sz w:val="24"/>
          <w:szCs w:val="24"/>
        </w:rPr>
        <w:t>三</w:t>
      </w:r>
      <w:bookmarkEnd w:id="77"/>
      <w:r>
        <w:rPr>
          <w:color w:val="000000"/>
          <w:spacing w:val="0"/>
          <w:w w:val="100"/>
          <w:position w:val="0"/>
          <w:sz w:val="24"/>
          <w:szCs w:val="24"/>
        </w:rPr>
        <w:t>、核心竞争力分析</w:t>
      </w:r>
      <w:bookmarkEnd w:id="75"/>
      <w:bookmarkEnd w:id="76"/>
      <w:bookmarkEnd w:id="78"/>
    </w:p>
    <w:p>
      <w:pPr>
        <w:pStyle w:val="Style19"/>
        <w:keepNext/>
        <w:keepLines/>
        <w:widowControl w:val="0"/>
        <w:shd w:val="clear" w:color="auto" w:fill="auto"/>
        <w:bidi w:val="0"/>
        <w:spacing w:before="0" w:after="0" w:line="468" w:lineRule="exact"/>
        <w:ind w:left="0" w:right="0" w:firstLine="480"/>
        <w:jc w:val="both"/>
      </w:pPr>
      <w:bookmarkStart w:id="75" w:name="bookmark75"/>
      <w:bookmarkStart w:id="76" w:name="bookmark76"/>
      <w:r>
        <w:rPr>
          <w:color w:val="000000"/>
          <w:spacing w:val="0"/>
          <w:w w:val="100"/>
          <w:position w:val="0"/>
          <w:sz w:val="24"/>
          <w:szCs w:val="24"/>
        </w:rPr>
        <w:t>行业领先优势</w:t>
      </w:r>
      <w:bookmarkEnd w:id="75"/>
      <w:bookmarkEnd w:id="76"/>
    </w:p>
    <w:p>
      <w:pPr>
        <w:pStyle w:val="Style59"/>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 xml:space="preserve">数字政通是全国第一个数字化城市管理平台的系统开发单位，十余年来保持不断技术创 新、产品创新，“网格化”管理模式在智慧城市各个领域得到广泛应用和发展。公司也是北 京市认证的高新技术企业和拥有多项自主知识产权的高科技软件企业。是国家发改委、工信 部等5部委联合认证的规划布局内重点软件企业，是国家发改委“中国智慧城市发展研究中 心”企业联合组成员，国家住房和城乡建设部“国家智慧城市产业技术创新战略联盟”成员 单位，国家住房和城乡建设部数字城管推广领导小组技术组和培训组成员单位，参与编写多 </w:t>
      </w:r>
      <w:r>
        <w:rPr>
          <w:color w:val="000000"/>
          <w:spacing w:val="0"/>
          <w:w w:val="100"/>
          <w:position w:val="0"/>
          <w:sz w:val="24"/>
          <w:szCs w:val="24"/>
        </w:rPr>
        <w:t>项国家标准、行业标准、行业教材及课题研究，每年主办或参与近二十场数字城管专项培训 班，指导和引领行业健康发展。</w:t>
      </w:r>
    </w:p>
    <w:p>
      <w:pPr>
        <w:pStyle w:val="Style59"/>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数字政通是城市运行“一网统管”的先行者。“一网统管”的“网”是指网格化理念下 的横向纵向和线上线下的业务协同，以实现高效处置一件事。网格化理念起源于北京东城区 城市管理实践，数字政通在全国率先承担了网格化管理平台的建设工作，并且主导了与网格 化城市管理相关的9个国家/行业标准的编制工作，成立20年以来，承建了全国近千个网格 化平台，网格化模式应用市场占有率行业领先。</w:t>
      </w:r>
    </w:p>
    <w:p>
      <w:pPr>
        <w:pStyle w:val="Style59"/>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公司专注于智慧城市应用与服务领域，目标用户是各个地市、区县的政府相关部门，包 括城管、住建、市政、政法、公安、环保、自然资源等领域。迄今为止公司已经为包括北京、 上海、天津、重庆、广州在内的数百个国内城市客户提供并实施了3,000多个智慧城市相关建 设项目。</w:t>
      </w:r>
    </w:p>
    <w:p>
      <w:pPr>
        <w:pStyle w:val="Style59"/>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公司凭借持续的创新能力、专业化的团队优势和遍及全国的营销覆盖能力，帮助相关政 府部门改变常规的业务管理方式，为其提供更加先进、实用和贴切的整体解决方案。根据中 国国际大数据产业博览会正式发布的《中国大数据企业排行榜》，数字政通连续多年蝉联智 慧城管领域榜首，拥有较高的市场认可度。公司凭借一批高水平的智慧城市应用项目的实施， 多年来在业内积累了良好的声誉，得到了广大用户的肯定，品牌影响力持续扩大，为各项目 的开展提供强有力支持。</w:t>
      </w:r>
    </w:p>
    <w:p>
      <w:pPr>
        <w:pStyle w:val="Style59"/>
        <w:keepNext w:val="0"/>
        <w:keepLines w:val="0"/>
        <w:widowControl w:val="0"/>
        <w:shd w:val="clear" w:color="auto" w:fill="auto"/>
        <w:bidi w:val="0"/>
        <w:spacing w:before="0" w:after="0" w:line="468" w:lineRule="exact"/>
        <w:ind w:left="0" w:right="0" w:firstLine="480"/>
        <w:jc w:val="both"/>
      </w:pPr>
      <w:r>
        <w:rPr>
          <w:b/>
          <w:bCs/>
          <w:color w:val="000000"/>
          <w:spacing w:val="0"/>
          <w:w w:val="100"/>
          <w:position w:val="0"/>
          <w:sz w:val="24"/>
          <w:szCs w:val="24"/>
        </w:rPr>
        <w:t>技术创新和研发优势</w:t>
      </w:r>
    </w:p>
    <w:p>
      <w:pPr>
        <w:pStyle w:val="Style59"/>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公司始终坚持自主创新，在智慧城市领域进行了长期的研究和开发工作，随着信息技术 的不断发展及用户需求的不断变化，公司积极探索实践，将移动互联网、物联网、大数据、 云计算、智能</w:t>
      </w:r>
      <w:r>
        <w:rPr>
          <w:color w:val="000000"/>
          <w:spacing w:val="0"/>
          <w:w w:val="100"/>
          <w:position w:val="0"/>
          <w:sz w:val="24"/>
          <w:szCs w:val="24"/>
        </w:rPr>
        <w:t>AI</w:t>
      </w:r>
      <w:r>
        <w:rPr>
          <w:color w:val="000000"/>
          <w:spacing w:val="0"/>
          <w:w w:val="100"/>
          <w:position w:val="0"/>
          <w:sz w:val="24"/>
          <w:szCs w:val="24"/>
        </w:rPr>
        <w:t>等一大批新技术引入城市管理领域。</w:t>
      </w:r>
    </w:p>
    <w:p>
      <w:pPr>
        <w:pStyle w:val="Style59"/>
        <w:keepNext w:val="0"/>
        <w:keepLines w:val="0"/>
        <w:widowControl w:val="0"/>
        <w:shd w:val="clear" w:color="auto" w:fill="auto"/>
        <w:bidi w:val="0"/>
        <w:spacing w:before="0" w:after="0" w:line="468" w:lineRule="exact"/>
        <w:ind w:left="0" w:right="0" w:firstLine="480"/>
        <w:jc w:val="both"/>
      </w:pPr>
      <w:r>
        <w:rPr>
          <w:b/>
          <w:bCs/>
          <w:color w:val="000000"/>
          <w:spacing w:val="0"/>
          <w:w w:val="100"/>
          <w:position w:val="0"/>
          <w:sz w:val="24"/>
          <w:szCs w:val="24"/>
        </w:rPr>
        <w:t>人才优势</w:t>
      </w:r>
    </w:p>
    <w:p>
      <w:pPr>
        <w:pStyle w:val="Style59"/>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公司拥有一支经验丰富的管理团队，对行业与技术的发展趋势和客户的应用需求有着敏 锐的洞察力和准确的判断力，为公司持续保持竞争力提供保障。公司一贯重视高素质人才的 引进以及复合型人才的培养，通过多年的经验积累已形成一整套行之有效的人才培养、选拔、 任用机制，公司已拥有一支高素质的技术人员队伍。</w:t>
      </w:r>
    </w:p>
    <w:p>
      <w:pPr>
        <w:pStyle w:val="Style59"/>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公司核心团队多年从事智慧城市应用软件开发及推广工作，对于各类项目的需求有着准 确、深入、透彻的理解与掌握。公司拥有实力雄厚的开发、质管、工程服务和市场销售团队， 从产品研发、市场推广、运营维护等各环节确保了本公司产品与服务的先进性、实用性、稳</w:t>
        <w:br w:type="page"/>
      </w:r>
      <w:r>
        <w:rPr>
          <w:color w:val="000000"/>
          <w:spacing w:val="0"/>
          <w:w w:val="100"/>
          <w:position w:val="0"/>
          <w:sz w:val="24"/>
          <w:szCs w:val="24"/>
        </w:rPr>
        <w:t>定性，为项目实施提供充足的人才队伍。</w:t>
      </w:r>
    </w:p>
    <w:p>
      <w:pPr>
        <w:pStyle w:val="Style59"/>
        <w:keepNext w:val="0"/>
        <w:keepLines w:val="0"/>
        <w:widowControl w:val="0"/>
        <w:shd w:val="clear" w:color="auto" w:fill="auto"/>
        <w:bidi w:val="0"/>
        <w:spacing w:before="0" w:after="0" w:line="470" w:lineRule="exact"/>
        <w:ind w:left="0" w:right="0" w:firstLine="480"/>
        <w:jc w:val="left"/>
      </w:pPr>
      <w:r>
        <w:rPr>
          <w:b/>
          <w:bCs/>
          <w:color w:val="000000"/>
          <w:spacing w:val="0"/>
          <w:w w:val="100"/>
          <w:position w:val="0"/>
          <w:sz w:val="24"/>
          <w:szCs w:val="24"/>
        </w:rPr>
        <w:t>专业资质优势</w:t>
      </w:r>
    </w:p>
    <w:p>
      <w:pPr>
        <w:pStyle w:val="Style59"/>
        <w:keepNext w:val="0"/>
        <w:keepLines w:val="0"/>
        <w:widowControl w:val="0"/>
        <w:shd w:val="clear" w:color="auto" w:fill="auto"/>
        <w:bidi w:val="0"/>
        <w:spacing w:before="0" w:after="180" w:line="470" w:lineRule="exact"/>
        <w:ind w:left="0" w:right="0" w:firstLine="480"/>
        <w:jc w:val="both"/>
      </w:pPr>
      <w:r>
        <w:rPr>
          <w:color w:val="000000"/>
          <w:spacing w:val="0"/>
          <w:w w:val="100"/>
          <w:position w:val="0"/>
          <w:sz w:val="24"/>
          <w:szCs w:val="24"/>
        </w:rPr>
        <w:t>公司先后获得国家工业和信息化部“计算机信息系统集成一级资质”认证，地理信息系 统甲级测绘资质，安防工程企业资格证书一级等，获得著作权和专利百余项。</w:t>
      </w:r>
    </w:p>
    <w:p>
      <w:pPr>
        <w:pStyle w:val="Style59"/>
        <w:keepNext w:val="0"/>
        <w:keepLines w:val="0"/>
        <w:widowControl w:val="0"/>
        <w:shd w:val="clear" w:color="auto" w:fill="auto"/>
        <w:bidi w:val="0"/>
        <w:spacing w:before="0" w:after="100" w:line="240" w:lineRule="auto"/>
        <w:ind w:left="0" w:right="0" w:firstLine="200"/>
        <w:jc w:val="left"/>
      </w:pPr>
      <w:r>
        <w:rPr>
          <w:color w:val="000000"/>
          <w:spacing w:val="0"/>
          <w:w w:val="100"/>
          <w:position w:val="0"/>
          <w:sz w:val="24"/>
          <w:szCs w:val="24"/>
        </w:rPr>
        <w:t>报告期内，公司新取得项软件著作权66项，具体如下:</w:t>
      </w:r>
    </w:p>
    <w:tbl>
      <w:tblPr>
        <w:tblOverlap w:val="never"/>
        <w:jc w:val="left"/>
        <w:tblLayout w:type="fixed"/>
      </w:tblPr>
      <w:tblGrid>
        <w:gridCol w:w="1085"/>
        <w:gridCol w:w="3859"/>
        <w:gridCol w:w="1714"/>
        <w:gridCol w:w="1776"/>
      </w:tblGrid>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知识产权名称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发证日期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登记号</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数字政通信息查询对比系统</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2021SR0016275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数字政通涉密信息操作系统</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2021SR0017525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数字政通机房数据管理系统</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2021SR0017526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数字政通数据安全备份系统</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2021SR0017528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智云城市管理信息系统</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2021SR0078668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城市治理统一事件服务管理平台</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2021SR0107002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第三方评测系统</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2021SR0201489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执法考试系统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2021SR0285974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执法车辆管理系统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2021SR0288268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移动端车辆违停执法管理系统</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2021SR0288385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移动端执法考试系统</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2021SR0288386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执法办案系统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2021SR0289324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执法案卷评查系统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2021SR0289325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执法职权管理系统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2021SR0289326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执法视频管理系统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2021SR0289327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执法基础数据管理系统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2021SR0290835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执法局行政执法监督系统</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2021SR0290836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执法公示系统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2021SR0291023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执法培训系统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2021SR0291194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一网统管联动处置平台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2021SR0396574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一网统管事件分拨平台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2021SR0396575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一网统管事件融合平台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2021SR0396576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一网统管考核评价平台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2021SR0400719</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一网统管城市运行中心平台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2021SR0400723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一网统管城市运行综合管理平台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2021SR0401118</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幸福秭归平台</w:t>
            </w:r>
            <w:r>
              <w:rPr>
                <w:color w:val="000000"/>
                <w:spacing w:val="0"/>
                <w:w w:val="100"/>
                <w:position w:val="0"/>
                <w:sz w:val="18"/>
                <w:szCs w:val="18"/>
              </w:rPr>
              <w:t>V1.0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2021/3/30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2021SR0471744</w:t>
            </w:r>
          </w:p>
        </w:tc>
      </w:tr>
    </w:tbl>
    <w:p>
      <w:pPr>
        <w:widowControl w:val="0"/>
        <w:spacing w:line="1" w:lineRule="exact"/>
      </w:pPr>
      <w:r>
        <w:br w:type="page"/>
      </w:r>
    </w:p>
    <w:tbl>
      <w:tblPr>
        <w:tblOverlap w:val="never"/>
        <w:jc w:val="left"/>
        <w:tblLayout w:type="fixed"/>
      </w:tblPr>
      <w:tblGrid>
        <w:gridCol w:w="1085"/>
        <w:gridCol w:w="3859"/>
        <w:gridCol w:w="1714"/>
        <w:gridCol w:w="1776"/>
      </w:tblGrid>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一网统管数据治理中心平台（数据中台）</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2021SR0487643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一网统管公众服务平台</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2021SR0487644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一网统管城市大脑数据分析决策平台</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2021SR0487645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一网统管智能运行中心平台（业务中台）</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2021SR0492034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一网统管物联感知中心平台</w:t>
            </w:r>
            <w:r>
              <w:rPr>
                <w:color w:val="000000"/>
                <w:spacing w:val="0"/>
                <w:w w:val="100"/>
                <w:position w:val="0"/>
                <w:sz w:val="18"/>
                <w:szCs w:val="18"/>
              </w:rPr>
              <w:t>（IoT</w:t>
            </w:r>
            <w:r>
              <w:rPr>
                <w:color w:val="000000"/>
                <w:spacing w:val="0"/>
                <w:w w:val="100"/>
                <w:position w:val="0"/>
                <w:sz w:val="18"/>
                <w:szCs w:val="18"/>
              </w:rPr>
              <w:t>中台）</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2021SR0492035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一网统管算法服务中心平台</w:t>
            </w:r>
            <w:r>
              <w:rPr>
                <w:color w:val="000000"/>
                <w:spacing w:val="0"/>
                <w:w w:val="100"/>
                <w:position w:val="0"/>
                <w:sz w:val="18"/>
                <w:szCs w:val="18"/>
              </w:rPr>
              <w:t>（AI</w:t>
            </w:r>
            <w:r>
              <w:rPr>
                <w:color w:val="000000"/>
                <w:spacing w:val="0"/>
                <w:w w:val="100"/>
                <w:position w:val="0"/>
                <w:sz w:val="18"/>
                <w:szCs w:val="18"/>
              </w:rPr>
              <w:t>中台）</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2021SR0492036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移动对讲系统（安卓版</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2021SR0526103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数据采集及传输系统</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2021SR0602069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执法主体检查系统</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2021SR0666831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行政执法监督平台系统软件</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2021SR0733662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通图基础地理信息平台</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2021SR0992083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城市治理智能分析系统［简称：云雁</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2021SR1085675</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城市治理共性能力支撑系统</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2021SR1085689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城市综合管理服务平台</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2021SR1225026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市民城管通系统［简称：市民通</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2021SR1298534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基于游戏引擎的数字孪生平台系统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2021SR1600465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排水内业处理一体化工具</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2021SR1914413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数字政通智慧城市决策分析平台</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2021SR1941358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数字政通元宇宙平台系统</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2021SR1964940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业务支持系统-全领域分析系统</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2021SR2211364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ETC</w:t>
            </w:r>
            <w:r>
              <w:rPr>
                <w:color w:val="000000"/>
                <w:spacing w:val="0"/>
                <w:w w:val="100"/>
                <w:position w:val="0"/>
                <w:sz w:val="18"/>
                <w:szCs w:val="18"/>
              </w:rPr>
              <w:t>门架车牌识别设备监控管理平台</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2021SR8319018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高速公路车辆通行全过程管控平台</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2021SR8319003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智眸</w:t>
            </w:r>
            <w:r>
              <w:rPr>
                <w:color w:val="000000"/>
                <w:spacing w:val="0"/>
                <w:w w:val="100"/>
                <w:position w:val="0"/>
                <w:sz w:val="18"/>
                <w:szCs w:val="18"/>
              </w:rPr>
              <w:t>AI</w:t>
            </w:r>
            <w:r>
              <w:rPr>
                <w:color w:val="000000"/>
                <w:spacing w:val="0"/>
                <w:w w:val="100"/>
                <w:position w:val="0"/>
                <w:sz w:val="18"/>
                <w:szCs w:val="18"/>
              </w:rPr>
              <w:t>视觉分析系统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2021SR83318210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统一用户中心软件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2021SR8442753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数字智通矿业权智能审批系统</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2021SR8559721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嵌入式车辆识别系统</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2021SR8511785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车载视频智能分析系统-前端软件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2021SR8474430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大数据中心系统</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2021SR8474431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车载视频智能分析系统-中心软件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2021SR8474465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数字智通构建平台</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2021SR8475417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GDInfo</w:t>
            </w:r>
            <w:r>
              <w:rPr>
                <w:color w:val="000000"/>
                <w:spacing w:val="0"/>
                <w:w w:val="100"/>
                <w:position w:val="0"/>
                <w:sz w:val="18"/>
                <w:szCs w:val="18"/>
              </w:rPr>
              <w:t>污染源管理系统</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2021.03.30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2021SR0473571</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GDInfo</w:t>
            </w:r>
            <w:r>
              <w:rPr>
                <w:color w:val="000000"/>
                <w:spacing w:val="0"/>
                <w:w w:val="100"/>
                <w:position w:val="0"/>
                <w:sz w:val="18"/>
                <w:szCs w:val="18"/>
              </w:rPr>
              <w:t>排水户管理系统</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2021.03.30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2021SR0473572</w:t>
            </w:r>
          </w:p>
        </w:tc>
      </w:tr>
    </w:tbl>
    <w:p>
      <w:pPr>
        <w:widowControl w:val="0"/>
        <w:spacing w:line="1" w:lineRule="exact"/>
      </w:pPr>
      <w:r>
        <w:br w:type="page"/>
      </w:r>
    </w:p>
    <w:tbl>
      <w:tblPr>
        <w:tblOverlap w:val="never"/>
        <w:jc w:val="left"/>
        <w:tblLayout w:type="fixed"/>
      </w:tblPr>
      <w:tblGrid>
        <w:gridCol w:w="1085"/>
        <w:gridCol w:w="3859"/>
        <w:gridCol w:w="1714"/>
        <w:gridCol w:w="1776"/>
      </w:tblGrid>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GDInfo</w:t>
            </w:r>
            <w:r>
              <w:rPr>
                <w:color w:val="000000"/>
                <w:spacing w:val="0"/>
                <w:w w:val="100"/>
                <w:position w:val="0"/>
                <w:sz w:val="18"/>
                <w:szCs w:val="18"/>
              </w:rPr>
              <w:t>排水管网缺陷管理系统</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2021.03.30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2021SR0473628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GDInfo</w:t>
            </w:r>
            <w:r>
              <w:rPr>
                <w:color w:val="000000"/>
                <w:spacing w:val="0"/>
                <w:w w:val="100"/>
                <w:position w:val="0"/>
                <w:sz w:val="18"/>
                <w:szCs w:val="18"/>
              </w:rPr>
              <w:t>排水管线检测与养护系统</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2021.04.01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2021SR0487184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GDInfo</w:t>
            </w:r>
            <w:r>
              <w:rPr>
                <w:color w:val="000000"/>
                <w:spacing w:val="0"/>
                <w:w w:val="100"/>
                <w:position w:val="0"/>
                <w:sz w:val="18"/>
                <w:szCs w:val="18"/>
              </w:rPr>
              <w:t>排水管线安全运行监测系统</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2021.04.01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2021SR0486640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GDInfo</w:t>
            </w:r>
            <w:r>
              <w:rPr>
                <w:color w:val="000000"/>
                <w:spacing w:val="0"/>
                <w:w w:val="100"/>
                <w:position w:val="0"/>
                <w:sz w:val="18"/>
                <w:szCs w:val="18"/>
              </w:rPr>
              <w:t>排水管线探测质检与建库系统</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2021.04.01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2021SR0487066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GDInfo</w:t>
            </w:r>
            <w:r>
              <w:rPr>
                <w:color w:val="000000"/>
                <w:spacing w:val="0"/>
                <w:w w:val="100"/>
                <w:position w:val="0"/>
                <w:sz w:val="18"/>
                <w:szCs w:val="18"/>
              </w:rPr>
              <w:t>供水管网漏损控制系统</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2021. 05. </w:t>
            </w:r>
            <w:r>
              <w:rPr>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2021SR0660909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GDInfo</w:t>
            </w:r>
            <w:r>
              <w:rPr>
                <w:color w:val="000000"/>
                <w:spacing w:val="0"/>
                <w:w w:val="100"/>
                <w:position w:val="0"/>
                <w:sz w:val="18"/>
                <w:szCs w:val="18"/>
              </w:rPr>
              <w:t>供水管网地理信息系统</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2021.06.01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2021SR0805074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JD300-2</w:t>
            </w:r>
            <w:r>
              <w:rPr>
                <w:color w:val="000000"/>
                <w:spacing w:val="0"/>
                <w:w w:val="100"/>
                <w:position w:val="0"/>
                <w:sz w:val="18"/>
                <w:szCs w:val="18"/>
              </w:rPr>
              <w:t>排水管道电视监测系统</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2021.07.29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2021SR1125568</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JD200A-G</w:t>
            </w:r>
            <w:r>
              <w:rPr>
                <w:color w:val="000000"/>
                <w:spacing w:val="0"/>
                <w:w w:val="100"/>
                <w:position w:val="0"/>
                <w:sz w:val="18"/>
                <w:szCs w:val="18"/>
              </w:rPr>
              <w:t>1</w:t>
            </w:r>
            <w:r>
              <w:rPr>
                <w:color w:val="000000"/>
                <w:spacing w:val="0"/>
                <w:w w:val="100"/>
                <w:position w:val="0"/>
                <w:sz w:val="18"/>
                <w:szCs w:val="18"/>
              </w:rPr>
              <w:t>管道电视监测系统</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2021.08.02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2021SR1135575</w:t>
            </w:r>
          </w:p>
        </w:tc>
      </w:tr>
    </w:tbl>
    <w:p>
      <w:pPr>
        <w:widowControl w:val="0"/>
        <w:spacing w:after="299" w:line="1" w:lineRule="exact"/>
      </w:pPr>
    </w:p>
    <w:p>
      <w:pPr>
        <w:pStyle w:val="Style59"/>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报告期内，公司新取得专利</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项，具体如下</w:t>
      </w:r>
      <w:r>
        <w:rPr>
          <w:rFonts w:ascii="Times New Roman" w:eastAsia="Times New Roman" w:hAnsi="Times New Roman" w:cs="Times New Roman"/>
          <w:color w:val="000000"/>
          <w:spacing w:val="0"/>
          <w:w w:val="100"/>
          <w:position w:val="0"/>
          <w:sz w:val="24"/>
          <w:szCs w:val="24"/>
        </w:rPr>
        <w:t>:</w:t>
      </w:r>
    </w:p>
    <w:tbl>
      <w:tblPr>
        <w:tblOverlap w:val="never"/>
        <w:jc w:val="left"/>
        <w:tblLayout w:type="fixed"/>
      </w:tblPr>
      <w:tblGrid>
        <w:gridCol w:w="1051"/>
        <w:gridCol w:w="3902"/>
        <w:gridCol w:w="1704"/>
        <w:gridCol w:w="1762"/>
      </w:tblGrid>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知识产权名称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发证日期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登记号</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一种数据显示方法及其系统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ZL202011114648. </w:t>
            </w:r>
            <w:r>
              <w:rPr>
                <w:color w:val="000000"/>
                <w:spacing w:val="0"/>
                <w:w w:val="100"/>
                <w:position w:val="0"/>
                <w:sz w:val="18"/>
                <w:szCs w:val="18"/>
              </w:rPr>
              <w:t>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一种目标对象的智能防控方法及智能防控系统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ZL202110227524.4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一种用于城市管理的智能分类方法及其系统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ZL202011543121.2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一种针对空间地理数据的切片方法及渲染方法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ZL202110555327.5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一种物联网数据可视化配置对接的方法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ZL202110905840.2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一种新型单浮筒声呐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ZL202021369110.2</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一种可移动旋转式风电叶片内窥检测装置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2021/3/26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ZL2020121371713.6</w:t>
            </w:r>
          </w:p>
        </w:tc>
      </w:tr>
    </w:tbl>
    <w:p>
      <w:pPr>
        <w:widowControl w:val="0"/>
        <w:spacing w:after="419" w:line="1" w:lineRule="exact"/>
      </w:pPr>
    </w:p>
    <w:p>
      <w:pPr>
        <w:pStyle w:val="Style19"/>
        <w:keepNext/>
        <w:keepLines/>
        <w:widowControl w:val="0"/>
        <w:shd w:val="clear" w:color="auto" w:fill="auto"/>
        <w:bidi w:val="0"/>
        <w:spacing w:before="0" w:after="300" w:line="469" w:lineRule="exact"/>
        <w:ind w:left="0" w:right="0" w:firstLine="0"/>
        <w:jc w:val="left"/>
      </w:pPr>
      <w:bookmarkStart w:id="79" w:name="bookmark79"/>
      <w:bookmarkStart w:id="80" w:name="bookmark80"/>
      <w:bookmarkStart w:id="81" w:name="bookmark81"/>
      <w:bookmarkStart w:id="82" w:name="bookmark82"/>
      <w:r>
        <w:rPr>
          <w:color w:val="000000"/>
          <w:spacing w:val="0"/>
          <w:w w:val="100"/>
          <w:position w:val="0"/>
          <w:sz w:val="24"/>
          <w:szCs w:val="24"/>
        </w:rPr>
        <w:t>四</w:t>
      </w:r>
      <w:bookmarkEnd w:id="81"/>
      <w:r>
        <w:rPr>
          <w:color w:val="000000"/>
          <w:spacing w:val="0"/>
          <w:w w:val="100"/>
          <w:position w:val="0"/>
          <w:sz w:val="24"/>
          <w:szCs w:val="24"/>
        </w:rPr>
        <w:t>、主营业务分析</w:t>
      </w:r>
      <w:bookmarkEnd w:id="79"/>
      <w:bookmarkEnd w:id="80"/>
      <w:bookmarkEnd w:id="82"/>
    </w:p>
    <w:p>
      <w:pPr>
        <w:pStyle w:val="Style24"/>
        <w:keepNext/>
        <w:keepLines/>
        <w:widowControl w:val="0"/>
        <w:shd w:val="clear" w:color="auto" w:fill="auto"/>
        <w:bidi w:val="0"/>
        <w:spacing w:before="0" w:after="220" w:line="240" w:lineRule="auto"/>
        <w:ind w:left="0" w:right="0" w:firstLine="0"/>
        <w:jc w:val="left"/>
      </w:pPr>
      <w:bookmarkStart w:id="83" w:name="bookmark83"/>
      <w:bookmarkStart w:id="84" w:name="bookmark84"/>
      <w:bookmarkStart w:id="85" w:name="bookmark85"/>
      <w:bookmarkStart w:id="86" w:name="bookmark86"/>
      <w:r>
        <w:rPr>
          <w:rFonts w:ascii="Times New Roman" w:eastAsia="Times New Roman" w:hAnsi="Times New Roman" w:cs="Times New Roman"/>
          <w:color w:val="000000"/>
          <w:spacing w:val="0"/>
          <w:w w:val="100"/>
          <w:position w:val="0"/>
        </w:rPr>
        <w:t>1</w:t>
      </w:r>
      <w:bookmarkEnd w:id="85"/>
      <w:r>
        <w:rPr>
          <w:color w:val="000000"/>
          <w:spacing w:val="0"/>
          <w:w w:val="100"/>
          <w:position w:val="0"/>
        </w:rPr>
        <w:t>、概述</w:t>
      </w:r>
      <w:bookmarkEnd w:id="83"/>
      <w:bookmarkEnd w:id="84"/>
      <w:bookmarkEnd w:id="86"/>
    </w:p>
    <w:p>
      <w:pPr>
        <w:pStyle w:val="Style59"/>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报告期内，随着全国数字经济建设和数字化转型进程逐步加快，公司所处行业受国家“十 四五”规划、大力发展数字经济等政策驱动，迎来新的发展机遇，公司积极落实董事会制定 的发展规划和经营目标，经营业绩继续保持良好的发展态势。虽然疫情对公司的生产经营造 成了一定的影响，但也加快了行业集中度的提高，进而提升了公司大项目中标能力，保障了 毛利率水平的稳步提升。</w:t>
      </w:r>
    </w:p>
    <w:p>
      <w:pPr>
        <w:pStyle w:val="Style59"/>
        <w:keepNext w:val="0"/>
        <w:keepLines w:val="0"/>
        <w:widowControl w:val="0"/>
        <w:shd w:val="clear" w:color="auto" w:fill="auto"/>
        <w:bidi w:val="0"/>
        <w:spacing w:before="0" w:after="300" w:line="469" w:lineRule="exact"/>
        <w:ind w:left="0" w:right="0" w:firstLine="480"/>
        <w:jc w:val="both"/>
      </w:pPr>
      <w:r>
        <w:rPr>
          <w:color w:val="000000"/>
          <w:spacing w:val="0"/>
          <w:w w:val="100"/>
          <w:position w:val="0"/>
          <w:sz w:val="24"/>
          <w:szCs w:val="24"/>
        </w:rPr>
        <w:t>报告期内，公司狠抓财务管理和营销管理两个维度，一方面持续加强应收款现金流的管 理力度，努力增加经营性现金流含量，为公司可持续发展提供了基础。另一方面，持续加强 公司全国营销网络的建设，在全国100多个城市建立本地化服务和营销体系，为客户提供更 加符合其需求的优质产品，进一步提升公司在整个行业中竞争力的同时，为公司整体业绩的 快速发展奠定了重要基础。</w:t>
      </w:r>
      <w:r>
        <w:br w:type="page"/>
      </w:r>
    </w:p>
    <w:p>
      <w:pPr>
        <w:pStyle w:val="Style59"/>
        <w:keepNext w:val="0"/>
        <w:keepLines w:val="0"/>
        <w:widowControl w:val="0"/>
        <w:shd w:val="clear" w:color="auto" w:fill="auto"/>
        <w:bidi w:val="0"/>
        <w:spacing w:before="0" w:after="0" w:line="466" w:lineRule="exact"/>
        <w:ind w:left="0" w:right="0" w:firstLine="480"/>
        <w:jc w:val="both"/>
      </w:pPr>
      <w:r>
        <w:rPr>
          <w:color w:val="000000"/>
          <w:spacing w:val="0"/>
          <w:w w:val="100"/>
          <w:position w:val="0"/>
          <w:sz w:val="24"/>
          <w:szCs w:val="24"/>
        </w:rPr>
        <w:t xml:space="preserve">2021年，在董事会及管理团队带领下，公司全体同仁锐意进取，积极开拓市场，持续优 化业务结构，软件产品及软件开发业务占比显著提升，综合毛利率升高，实现营业收入 1, 480, 608, </w:t>
      </w:r>
      <w:r>
        <w:rPr>
          <w:color w:val="000000"/>
          <w:spacing w:val="0"/>
          <w:w w:val="100"/>
          <w:position w:val="0"/>
          <w:sz w:val="24"/>
          <w:szCs w:val="24"/>
        </w:rPr>
        <w:t xml:space="preserve">704. </w:t>
      </w:r>
      <w:r>
        <w:rPr>
          <w:color w:val="000000"/>
          <w:spacing w:val="0"/>
          <w:w w:val="100"/>
          <w:position w:val="0"/>
          <w:sz w:val="24"/>
          <w:szCs w:val="24"/>
        </w:rPr>
        <w:t>87元，较上年同期增长</w:t>
      </w:r>
      <w:r>
        <w:rPr>
          <w:color w:val="000000"/>
          <w:spacing w:val="0"/>
          <w:w w:val="100"/>
          <w:position w:val="0"/>
          <w:sz w:val="24"/>
          <w:szCs w:val="24"/>
        </w:rPr>
        <w:t xml:space="preserve">4. </w:t>
      </w:r>
      <w:r>
        <w:rPr>
          <w:color w:val="000000"/>
          <w:spacing w:val="0"/>
          <w:w w:val="100"/>
          <w:position w:val="0"/>
          <w:sz w:val="24"/>
          <w:szCs w:val="24"/>
        </w:rPr>
        <w:t xml:space="preserve">71%，归属于上市公司股东的净利润206, 715, </w:t>
      </w:r>
      <w:r>
        <w:rPr>
          <w:color w:val="000000"/>
          <w:spacing w:val="0"/>
          <w:w w:val="100"/>
          <w:position w:val="0"/>
          <w:sz w:val="24"/>
          <w:szCs w:val="24"/>
        </w:rPr>
        <w:t xml:space="preserve">406. </w:t>
      </w:r>
      <w:r>
        <w:rPr>
          <w:color w:val="000000"/>
          <w:spacing w:val="0"/>
          <w:w w:val="100"/>
          <w:position w:val="0"/>
          <w:sz w:val="24"/>
          <w:szCs w:val="24"/>
        </w:rPr>
        <w:t>82 元，较上年同期增长30.29%，创历史最好水平，圆满完成全年经营发展目标。</w:t>
      </w:r>
    </w:p>
    <w:p>
      <w:pPr>
        <w:pStyle w:val="Style59"/>
        <w:keepNext w:val="0"/>
        <w:keepLines w:val="0"/>
        <w:widowControl w:val="0"/>
        <w:shd w:val="clear" w:color="auto" w:fill="auto"/>
        <w:bidi w:val="0"/>
        <w:spacing w:before="0" w:after="0" w:line="466" w:lineRule="exact"/>
        <w:ind w:left="0" w:right="0" w:firstLine="480"/>
        <w:jc w:val="both"/>
      </w:pPr>
      <w:r>
        <w:rPr>
          <w:color w:val="000000"/>
          <w:spacing w:val="0"/>
          <w:w w:val="100"/>
          <w:position w:val="0"/>
          <w:sz w:val="24"/>
          <w:szCs w:val="24"/>
        </w:rPr>
        <w:t>报告期内，公司主要经营情况如下：</w:t>
      </w:r>
    </w:p>
    <w:p>
      <w:pPr>
        <w:pStyle w:val="Style59"/>
        <w:keepNext w:val="0"/>
        <w:keepLines w:val="0"/>
        <w:widowControl w:val="0"/>
        <w:shd w:val="clear" w:color="auto" w:fill="auto"/>
        <w:bidi w:val="0"/>
        <w:spacing w:before="0" w:after="0" w:line="466" w:lineRule="exact"/>
        <w:ind w:left="0" w:right="0" w:firstLine="480"/>
        <w:jc w:val="both"/>
      </w:pPr>
      <w:bookmarkStart w:id="87" w:name="bookmark87"/>
      <w:r>
        <w:rPr>
          <w:b/>
          <w:bCs/>
          <w:color w:val="000000"/>
          <w:spacing w:val="0"/>
          <w:w w:val="100"/>
          <w:position w:val="0"/>
          <w:sz w:val="24"/>
          <w:szCs w:val="24"/>
        </w:rPr>
        <w:t>1</w:t>
      </w:r>
      <w:bookmarkEnd w:id="87"/>
      <w:r>
        <w:rPr>
          <w:b/>
          <w:bCs/>
          <w:color w:val="000000"/>
          <w:spacing w:val="0"/>
          <w:w w:val="100"/>
          <w:position w:val="0"/>
          <w:sz w:val="24"/>
          <w:szCs w:val="24"/>
        </w:rPr>
        <w:t>、城市综合管理服务平台业务</w:t>
      </w:r>
    </w:p>
    <w:p>
      <w:pPr>
        <w:pStyle w:val="Style59"/>
        <w:keepNext w:val="0"/>
        <w:keepLines w:val="0"/>
        <w:widowControl w:val="0"/>
        <w:shd w:val="clear" w:color="auto" w:fill="auto"/>
        <w:bidi w:val="0"/>
        <w:spacing w:before="0" w:after="460" w:line="466" w:lineRule="exact"/>
        <w:ind w:left="0" w:right="0" w:firstLine="480"/>
        <w:jc w:val="both"/>
      </w:pPr>
      <w:r>
        <w:rPr>
          <w:color w:val="000000"/>
          <w:spacing w:val="0"/>
          <w:w w:val="100"/>
          <w:position w:val="0"/>
          <w:sz w:val="24"/>
          <w:szCs w:val="24"/>
        </w:rPr>
        <w:t>报告期内，公司受住房和城乡建设部标准定额司委托，作为主编单位承担了行业标准《城 市运行管理服务平台技术标准》</w:t>
      </w:r>
      <w:r>
        <w:rPr>
          <w:color w:val="000000"/>
          <w:spacing w:val="0"/>
          <w:w w:val="100"/>
          <w:position w:val="0"/>
          <w:sz w:val="24"/>
          <w:szCs w:val="24"/>
        </w:rPr>
        <w:t xml:space="preserve">(CJJ/T </w:t>
      </w:r>
      <w:r>
        <w:rPr>
          <w:color w:val="000000"/>
          <w:spacing w:val="0"/>
          <w:w w:val="100"/>
          <w:position w:val="0"/>
          <w:sz w:val="24"/>
          <w:szCs w:val="24"/>
        </w:rPr>
        <w:t xml:space="preserve">312-2021)、《城市运行管理服务平台数据标准》 </w:t>
      </w:r>
      <w:r>
        <w:rPr>
          <w:color w:val="000000"/>
          <w:spacing w:val="0"/>
          <w:w w:val="100"/>
          <w:position w:val="0"/>
          <w:sz w:val="24"/>
          <w:szCs w:val="24"/>
        </w:rPr>
        <w:t>(CJ/T 545-2021)</w:t>
      </w:r>
      <w:r>
        <w:rPr>
          <w:color w:val="000000"/>
          <w:spacing w:val="0"/>
          <w:w w:val="100"/>
          <w:position w:val="0"/>
          <w:sz w:val="24"/>
          <w:szCs w:val="24"/>
        </w:rPr>
        <w:t>编制工作，引领行业发展。</w:t>
      </w:r>
    </w:p>
    <w:p>
      <w:pPr>
        <w:pStyle w:val="Style2"/>
        <w:keepNext w:val="0"/>
        <w:keepLines w:val="0"/>
        <w:widowControl w:val="0"/>
        <w:shd w:val="clear" w:color="auto" w:fill="auto"/>
        <w:bidi w:val="0"/>
        <w:spacing w:before="0" w:after="0" w:line="240" w:lineRule="auto"/>
        <w:ind w:left="0" w:right="0" w:firstLine="680"/>
        <w:jc w:val="left"/>
        <w:rPr>
          <w:sz w:val="13"/>
          <w:szCs w:val="13"/>
        </w:rPr>
      </w:pPr>
      <w:r>
        <w:rPr>
          <w:rFonts w:ascii="Times New Roman" w:eastAsia="Times New Roman" w:hAnsi="Times New Roman" w:cs="Times New Roman"/>
          <w:b/>
          <w:bCs/>
          <w:color w:val="ABAAAD"/>
          <w:spacing w:val="0"/>
          <w:w w:val="100"/>
          <w:position w:val="0"/>
          <w:sz w:val="13"/>
          <w:szCs w:val="13"/>
        </w:rPr>
        <w:t>UDC</w:t>
      </w:r>
    </w:p>
    <w:p>
      <w:pPr>
        <w:widowControl w:val="0"/>
        <w:spacing w:line="1" w:lineRule="exact"/>
        <w:sectPr>
          <w:footnotePr>
            <w:pos w:val="pageBottom"/>
            <w:numFmt w:val="decimal"/>
            <w:numRestart w:val="continuous"/>
          </w:footnotePr>
          <w:pgSz w:w="11900" w:h="16840"/>
          <w:pgMar w:top="1335" w:right="1005" w:bottom="1460" w:left="1097" w:header="0" w:footer="3" w:gutter="0"/>
          <w:cols w:space="720"/>
          <w:noEndnote/>
          <w:rtlGutter w:val="0"/>
          <w:docGrid w:linePitch="360"/>
        </w:sectPr>
      </w:pPr>
      <w:r>
        <mc:AlternateContent>
          <mc:Choice Requires="wps">
            <w:drawing>
              <wp:anchor distT="38100" distB="0" distL="0" distR="0" simplePos="0" relativeHeight="125829439" behindDoc="0" locked="0" layoutInCell="1" allowOverlap="1">
                <wp:simplePos x="0" y="0"/>
                <wp:positionH relativeFrom="page">
                  <wp:posOffset>1564005</wp:posOffset>
                </wp:positionH>
                <wp:positionV relativeFrom="paragraph">
                  <wp:posOffset>38100</wp:posOffset>
                </wp:positionV>
                <wp:extent cx="1706880" cy="387350"/>
                <wp:wrapTopAndBottom/>
                <wp:docPr id="89" name="Shape 89"/>
                <a:graphic xmlns:a="http://schemas.openxmlformats.org/drawingml/2006/main">
                  <a:graphicData uri="http://schemas.microsoft.com/office/word/2010/wordprocessingShape">
                    <wps:wsp>
                      <wps:cNvSpPr txBox="1"/>
                      <wps:spPr>
                        <a:xfrm>
                          <a:ext cx="1706880" cy="387350"/>
                        </a:xfrm>
                        <a:prstGeom prst="rect"/>
                        <a:noFill/>
                      </wps:spPr>
                      <wps:txbx>
                        <w:txbxContent>
                          <w:p>
                            <w:pPr>
                              <w:pStyle w:val="Style2"/>
                              <w:keepNext w:val="0"/>
                              <w:keepLines w:val="0"/>
                              <w:widowControl w:val="0"/>
                              <w:shd w:val="clear" w:color="auto" w:fill="auto"/>
                              <w:bidi w:val="0"/>
                              <w:spacing w:before="0" w:after="60" w:line="240" w:lineRule="auto"/>
                              <w:ind w:left="0" w:right="0" w:firstLine="0"/>
                              <w:jc w:val="left"/>
                              <w:rPr>
                                <w:sz w:val="14"/>
                                <w:szCs w:val="14"/>
                              </w:rPr>
                            </w:pPr>
                            <w:r>
                              <w:rPr>
                                <w:rFonts w:ascii="SimHei" w:eastAsia="SimHei" w:hAnsi="SimHei" w:cs="SimHei"/>
                                <w:color w:val="8E8D94"/>
                                <w:spacing w:val="0"/>
                                <w:w w:val="100"/>
                                <w:position w:val="0"/>
                                <w:sz w:val="14"/>
                                <w:szCs w:val="14"/>
                              </w:rPr>
                              <w:t>中华人民共和国行业标准</w:t>
                            </w:r>
                          </w:p>
                          <w:p>
                            <w:pPr>
                              <w:pStyle w:val="Style2"/>
                              <w:keepNext w:val="0"/>
                              <w:keepLines w:val="0"/>
                              <w:widowControl w:val="0"/>
                              <w:pBdr>
                                <w:bottom w:val="single" w:sz="4" w:space="0" w:color="auto"/>
                              </w:pBdr>
                              <w:shd w:val="clear" w:color="auto" w:fill="auto"/>
                              <w:bidi w:val="0"/>
                              <w:spacing w:before="0" w:after="0" w:line="163" w:lineRule="exact"/>
                              <w:ind w:left="1480" w:right="0" w:firstLine="0"/>
                              <w:jc w:val="right"/>
                              <w:rPr>
                                <w:sz w:val="13"/>
                                <w:szCs w:val="13"/>
                              </w:rPr>
                            </w:pPr>
                            <w:r>
                              <w:rPr>
                                <w:rFonts w:ascii="Times New Roman" w:eastAsia="Times New Roman" w:hAnsi="Times New Roman" w:cs="Times New Roman"/>
                                <w:b/>
                                <w:bCs/>
                                <w:color w:val="8E8D94"/>
                                <w:spacing w:val="0"/>
                                <w:w w:val="100"/>
                                <w:position w:val="0"/>
                                <w:sz w:val="13"/>
                                <w:szCs w:val="13"/>
                              </w:rPr>
                              <w:t xml:space="preserve">CJJ/T 312-2021 </w:t>
                            </w:r>
                            <w:r>
                              <w:rPr>
                                <w:rFonts w:ascii="SimHei" w:eastAsia="SimHei" w:hAnsi="SimHei" w:cs="SimHei"/>
                                <w:color w:val="8E8D94"/>
                                <w:spacing w:val="0"/>
                                <w:w w:val="100"/>
                                <w:position w:val="0"/>
                                <w:sz w:val="14"/>
                                <w:szCs w:val="14"/>
                              </w:rPr>
                              <w:t xml:space="preserve">备案号 </w:t>
                            </w:r>
                            <w:r>
                              <w:rPr>
                                <w:rFonts w:ascii="Times New Roman" w:eastAsia="Times New Roman" w:hAnsi="Times New Roman" w:cs="Times New Roman"/>
                                <w:b/>
                                <w:bCs/>
                                <w:color w:val="8E8D94"/>
                                <w:spacing w:val="0"/>
                                <w:w w:val="100"/>
                                <w:position w:val="0"/>
                                <w:sz w:val="13"/>
                                <w:szCs w:val="13"/>
                              </w:rPr>
                              <w:t>J 2825-2021</w:t>
                            </w:r>
                          </w:p>
                        </w:txbxContent>
                      </wps:txbx>
                      <wps:bodyPr lIns="0" tIns="0" rIns="0" bIns="0">
                        <a:noAutoFit/>
                      </wps:bodyPr>
                    </wps:wsp>
                  </a:graphicData>
                </a:graphic>
              </wp:anchor>
            </w:drawing>
          </mc:Choice>
          <mc:Fallback>
            <w:pict>
              <v:shape id="_x0000_s1115" type="#_x0000_t202" style="position:absolute;margin-left:123.15000000000001pt;margin-top:3.pt;width:134.40000000000001pt;height:30.5pt;z-index:-125829314;mso-wrap-distance-left:0;mso-wrap-distance-top:3.pt;mso-wrap-distance-right:0;mso-position-horizontal-relative:page" filled="f" stroked="f">
                <v:textbox inset="0,0,0,0">
                  <w:txbxContent>
                    <w:p>
                      <w:pPr>
                        <w:pStyle w:val="Style2"/>
                        <w:keepNext w:val="0"/>
                        <w:keepLines w:val="0"/>
                        <w:widowControl w:val="0"/>
                        <w:shd w:val="clear" w:color="auto" w:fill="auto"/>
                        <w:bidi w:val="0"/>
                        <w:spacing w:before="0" w:after="60" w:line="240" w:lineRule="auto"/>
                        <w:ind w:left="0" w:right="0" w:firstLine="0"/>
                        <w:jc w:val="left"/>
                        <w:rPr>
                          <w:sz w:val="14"/>
                          <w:szCs w:val="14"/>
                        </w:rPr>
                      </w:pPr>
                      <w:r>
                        <w:rPr>
                          <w:rFonts w:ascii="SimHei" w:eastAsia="SimHei" w:hAnsi="SimHei" w:cs="SimHei"/>
                          <w:color w:val="8E8D94"/>
                          <w:spacing w:val="0"/>
                          <w:w w:val="100"/>
                          <w:position w:val="0"/>
                          <w:sz w:val="14"/>
                          <w:szCs w:val="14"/>
                        </w:rPr>
                        <w:t>中华人民共和国行业标准</w:t>
                      </w:r>
                    </w:p>
                    <w:p>
                      <w:pPr>
                        <w:pStyle w:val="Style2"/>
                        <w:keepNext w:val="0"/>
                        <w:keepLines w:val="0"/>
                        <w:widowControl w:val="0"/>
                        <w:pBdr>
                          <w:bottom w:val="single" w:sz="4" w:space="0" w:color="auto"/>
                        </w:pBdr>
                        <w:shd w:val="clear" w:color="auto" w:fill="auto"/>
                        <w:bidi w:val="0"/>
                        <w:spacing w:before="0" w:after="0" w:line="163" w:lineRule="exact"/>
                        <w:ind w:left="1480" w:right="0" w:firstLine="0"/>
                        <w:jc w:val="right"/>
                        <w:rPr>
                          <w:sz w:val="13"/>
                          <w:szCs w:val="13"/>
                        </w:rPr>
                      </w:pPr>
                      <w:r>
                        <w:rPr>
                          <w:rFonts w:ascii="Times New Roman" w:eastAsia="Times New Roman" w:hAnsi="Times New Roman" w:cs="Times New Roman"/>
                          <w:b/>
                          <w:bCs/>
                          <w:color w:val="8E8D94"/>
                          <w:spacing w:val="0"/>
                          <w:w w:val="100"/>
                          <w:position w:val="0"/>
                          <w:sz w:val="13"/>
                          <w:szCs w:val="13"/>
                        </w:rPr>
                        <w:t xml:space="preserve">CJJ/T 312-2021 </w:t>
                      </w:r>
                      <w:r>
                        <w:rPr>
                          <w:rFonts w:ascii="SimHei" w:eastAsia="SimHei" w:hAnsi="SimHei" w:cs="SimHei"/>
                          <w:color w:val="8E8D94"/>
                          <w:spacing w:val="0"/>
                          <w:w w:val="100"/>
                          <w:position w:val="0"/>
                          <w:sz w:val="14"/>
                          <w:szCs w:val="14"/>
                        </w:rPr>
                        <w:t xml:space="preserve">备案号 </w:t>
                      </w:r>
                      <w:r>
                        <w:rPr>
                          <w:rFonts w:ascii="Times New Roman" w:eastAsia="Times New Roman" w:hAnsi="Times New Roman" w:cs="Times New Roman"/>
                          <w:b/>
                          <w:bCs/>
                          <w:color w:val="8E8D94"/>
                          <w:spacing w:val="0"/>
                          <w:w w:val="100"/>
                          <w:position w:val="0"/>
                          <w:sz w:val="13"/>
                          <w:szCs w:val="13"/>
                        </w:rPr>
                        <w:t>J 2825-2021</w:t>
                      </w:r>
                    </w:p>
                  </w:txbxContent>
                </v:textbox>
                <w10:wrap type="topAndBottom" anchorx="page"/>
              </v:shape>
            </w:pict>
          </mc:Fallback>
        </mc:AlternateContent>
      </w:r>
      <w:r>
        <mc:AlternateContent>
          <mc:Choice Requires="wps">
            <w:drawing>
              <wp:anchor distT="105410" distB="179705" distL="0" distR="0" simplePos="0" relativeHeight="125829441" behindDoc="0" locked="0" layoutInCell="1" allowOverlap="1">
                <wp:simplePos x="0" y="0"/>
                <wp:positionH relativeFrom="page">
                  <wp:posOffset>3697605</wp:posOffset>
                </wp:positionH>
                <wp:positionV relativeFrom="paragraph">
                  <wp:posOffset>105410</wp:posOffset>
                </wp:positionV>
                <wp:extent cx="1987550" cy="140335"/>
                <wp:wrapTopAndBottom/>
                <wp:docPr id="91" name="Shape 91"/>
                <a:graphic xmlns:a="http://schemas.openxmlformats.org/drawingml/2006/main">
                  <a:graphicData uri="http://schemas.microsoft.com/office/word/2010/wordprocessingShape">
                    <wps:wsp>
                      <wps:cNvSpPr txBox="1"/>
                      <wps:spPr>
                        <a:xfrm>
                          <a:ext cx="1987550" cy="1403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616163"/>
                                <w:spacing w:val="0"/>
                                <w:w w:val="100"/>
                                <w:position w:val="0"/>
                                <w:sz w:val="16"/>
                                <w:szCs w:val="16"/>
                              </w:rPr>
                              <w:t>中华人民共和国城镇建设行业标准</w:t>
                            </w:r>
                          </w:p>
                        </w:txbxContent>
                      </wps:txbx>
                      <wps:bodyPr wrap="none" lIns="0" tIns="0" rIns="0" bIns="0">
                        <a:noAutoFit/>
                      </wps:bodyPr>
                    </wps:wsp>
                  </a:graphicData>
                </a:graphic>
              </wp:anchor>
            </w:drawing>
          </mc:Choice>
          <mc:Fallback>
            <w:pict>
              <v:shape id="_x0000_s1117" type="#_x0000_t202" style="position:absolute;margin-left:291.15000000000003pt;margin-top:8.3000000000000007pt;width:156.5pt;height:11.050000000000001pt;z-index:-125829312;mso-wrap-distance-left:0;mso-wrap-distance-top:8.3000000000000007pt;mso-wrap-distance-right:0;mso-wrap-distance-bottom:14.1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616163"/>
                          <w:spacing w:val="0"/>
                          <w:w w:val="100"/>
                          <w:position w:val="0"/>
                          <w:sz w:val="16"/>
                          <w:szCs w:val="16"/>
                        </w:rPr>
                        <w:t>中华人民共和国城镇建设行业标准</w:t>
                      </w:r>
                    </w:p>
                  </w:txbxContent>
                </v:textbox>
                <w10:wrap type="topAndBottom" anchorx="page"/>
              </v:shape>
            </w:pict>
          </mc:Fallback>
        </mc:AlternateContent>
      </w:r>
      <w:r>
        <mc:AlternateContent>
          <mc:Choice Requires="wps">
            <w:drawing>
              <wp:anchor distT="324485" distB="15875" distL="0" distR="0" simplePos="0" relativeHeight="125829443" behindDoc="0" locked="0" layoutInCell="1" allowOverlap="1">
                <wp:simplePos x="0" y="0"/>
                <wp:positionH relativeFrom="page">
                  <wp:posOffset>5151755</wp:posOffset>
                </wp:positionH>
                <wp:positionV relativeFrom="paragraph">
                  <wp:posOffset>324485</wp:posOffset>
                </wp:positionV>
                <wp:extent cx="463550" cy="85090"/>
                <wp:wrapTopAndBottom/>
                <wp:docPr id="93" name="Shape 93"/>
                <a:graphic xmlns:a="http://schemas.openxmlformats.org/drawingml/2006/main">
                  <a:graphicData uri="http://schemas.microsoft.com/office/word/2010/wordprocessingShape">
                    <wps:wsp>
                      <wps:cNvSpPr txBox="1"/>
                      <wps:spPr>
                        <a:xfrm>
                          <a:ext cx="463550" cy="850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b/>
                                <w:bCs/>
                                <w:color w:val="616163"/>
                                <w:spacing w:val="0"/>
                                <w:w w:val="100"/>
                                <w:position w:val="0"/>
                                <w:sz w:val="9"/>
                                <w:szCs w:val="9"/>
                              </w:rPr>
                              <w:t xml:space="preserve">CJ/T </w:t>
                            </w:r>
                            <w:r>
                              <w:rPr>
                                <w:rFonts w:ascii="Times New Roman" w:eastAsia="Times New Roman" w:hAnsi="Times New Roman" w:cs="Times New Roman"/>
                                <w:b/>
                                <w:bCs/>
                                <w:color w:val="8E8D94"/>
                                <w:spacing w:val="0"/>
                                <w:w w:val="100"/>
                                <w:position w:val="0"/>
                                <w:sz w:val="9"/>
                                <w:szCs w:val="9"/>
                              </w:rPr>
                              <w:t>545 — 202)</w:t>
                            </w:r>
                          </w:p>
                        </w:txbxContent>
                      </wps:txbx>
                      <wps:bodyPr wrap="none" lIns="0" tIns="0" rIns="0" bIns="0">
                        <a:noAutoFit/>
                      </wps:bodyPr>
                    </wps:wsp>
                  </a:graphicData>
                </a:graphic>
              </wp:anchor>
            </w:drawing>
          </mc:Choice>
          <mc:Fallback>
            <w:pict>
              <v:shape id="_x0000_s1119" type="#_x0000_t202" style="position:absolute;margin-left:405.65000000000003pt;margin-top:25.550000000000001pt;width:36.5pt;height:6.7000000000000002pt;z-index:-125829310;mso-wrap-distance-left:0;mso-wrap-distance-top:25.550000000000001pt;mso-wrap-distance-right:0;mso-wrap-distance-bottom:1.2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b/>
                          <w:bCs/>
                          <w:color w:val="616163"/>
                          <w:spacing w:val="0"/>
                          <w:w w:val="100"/>
                          <w:position w:val="0"/>
                          <w:sz w:val="9"/>
                          <w:szCs w:val="9"/>
                        </w:rPr>
                        <w:t xml:space="preserve">CJ/T </w:t>
                      </w:r>
                      <w:r>
                        <w:rPr>
                          <w:rFonts w:ascii="Times New Roman" w:eastAsia="Times New Roman" w:hAnsi="Times New Roman" w:cs="Times New Roman"/>
                          <w:b/>
                          <w:bCs/>
                          <w:color w:val="8E8D94"/>
                          <w:spacing w:val="0"/>
                          <w:w w:val="100"/>
                          <w:position w:val="0"/>
                          <w:sz w:val="9"/>
                          <w:szCs w:val="9"/>
                        </w:rPr>
                        <w:t>545 — 202)</w:t>
                      </w:r>
                    </w:p>
                  </w:txbxContent>
                </v:textbox>
                <w10:wrap type="topAndBottom" anchorx="page"/>
              </v:shape>
            </w:pict>
          </mc:Fallback>
        </mc:AlternateContent>
      </w:r>
    </w:p>
    <w:p>
      <w:pPr>
        <w:widowControl w:val="0"/>
        <w:spacing w:before="117" w:after="117"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35" w:right="0" w:bottom="1906" w:left="0" w:header="0" w:footer="3" w:gutter="0"/>
          <w:cols w:space="720"/>
          <w:noEndnote/>
          <w:rtlGutter w:val="0"/>
          <w:docGrid w:linePitch="360"/>
        </w:sectPr>
      </w:pPr>
    </w:p>
    <w:p>
      <w:pPr>
        <w:pStyle w:val="Style14"/>
        <w:keepNext w:val="0"/>
        <w:keepLines w:val="0"/>
        <w:widowControl w:val="0"/>
        <w:shd w:val="clear" w:color="auto" w:fill="auto"/>
        <w:bidi w:val="0"/>
        <w:spacing w:before="0" w:after="0" w:line="240" w:lineRule="auto"/>
        <w:ind w:left="0" w:right="0" w:firstLine="920"/>
        <w:jc w:val="left"/>
        <w:rPr>
          <w:sz w:val="19"/>
          <w:szCs w:val="19"/>
        </w:rPr>
      </w:pPr>
      <w:r>
        <w:rPr>
          <w:color w:val="8E8D94"/>
          <w:spacing w:val="0"/>
          <w:w w:val="100"/>
          <w:position w:val="0"/>
          <w:sz w:val="19"/>
          <w:szCs w:val="19"/>
        </w:rPr>
        <w:t>城市运行管理服务平台技术标准</w:t>
      </w:r>
    </w:p>
    <w:p>
      <w:pPr>
        <w:widowControl w:val="0"/>
        <w:spacing w:line="1" w:lineRule="exact"/>
        <w:sectPr>
          <w:footnotePr>
            <w:pos w:val="pageBottom"/>
            <w:numFmt w:val="decimal"/>
            <w:numRestart w:val="continuous"/>
          </w:footnotePr>
          <w:type w:val="continuous"/>
          <w:pgSz w:w="11900" w:h="16840"/>
          <w:pgMar w:top="1335" w:right="1112" w:bottom="1906" w:left="1112" w:header="0" w:footer="3" w:gutter="0"/>
          <w:cols w:space="720"/>
          <w:noEndnote/>
          <w:rtlGutter w:val="0"/>
          <w:docGrid w:linePitch="360"/>
        </w:sectPr>
      </w:pPr>
      <w:r>
        <mc:AlternateContent>
          <mc:Choice Requires="wps">
            <w:drawing>
              <wp:anchor distT="18415" distB="27305" distL="0" distR="0" simplePos="0" relativeHeight="125829445" behindDoc="0" locked="0" layoutInCell="1" allowOverlap="1">
                <wp:simplePos x="0" y="0"/>
                <wp:positionH relativeFrom="page">
                  <wp:posOffset>1530350</wp:posOffset>
                </wp:positionH>
                <wp:positionV relativeFrom="paragraph">
                  <wp:posOffset>18415</wp:posOffset>
                </wp:positionV>
                <wp:extent cx="1374775" cy="262255"/>
                <wp:wrapTopAndBottom/>
                <wp:docPr id="95" name="Shape 95"/>
                <a:graphic xmlns:a="http://schemas.openxmlformats.org/drawingml/2006/main">
                  <a:graphicData uri="http://schemas.microsoft.com/office/word/2010/wordprocessingShape">
                    <wps:wsp>
                      <wps:cNvSpPr txBox="1"/>
                      <wps:spPr>
                        <a:xfrm>
                          <a:ext cx="1374775" cy="262255"/>
                        </a:xfrm>
                        <a:prstGeom prst="rect"/>
                        <a:noFill/>
                      </wps:spPr>
                      <wps:txbx>
                        <w:txbxContent>
                          <w:p>
                            <w:pPr>
                              <w:pStyle w:val="Style2"/>
                              <w:keepNext w:val="0"/>
                              <w:keepLines w:val="0"/>
                              <w:widowControl w:val="0"/>
                              <w:shd w:val="clear" w:color="auto" w:fill="auto"/>
                              <w:bidi w:val="0"/>
                              <w:spacing w:before="0" w:after="0" w:line="360" w:lineRule="auto"/>
                              <w:ind w:left="0" w:right="0" w:firstLine="0"/>
                              <w:jc w:val="center"/>
                              <w:rPr>
                                <w:sz w:val="11"/>
                                <w:szCs w:val="11"/>
                              </w:rPr>
                            </w:pPr>
                            <w:r>
                              <w:rPr>
                                <w:rFonts w:ascii="Times New Roman" w:eastAsia="Times New Roman" w:hAnsi="Times New Roman" w:cs="Times New Roman"/>
                                <w:b/>
                                <w:bCs/>
                                <w:color w:val="8E8D94"/>
                                <w:spacing w:val="0"/>
                                <w:w w:val="100"/>
                                <w:position w:val="0"/>
                                <w:sz w:val="11"/>
                                <w:szCs w:val="11"/>
                              </w:rPr>
                              <w:t>Technical standard for urban operation</w:t>
                            </w:r>
                            <w:r>
                              <w:rPr>
                                <w:rFonts w:ascii="Times New Roman" w:eastAsia="Times New Roman" w:hAnsi="Times New Roman" w:cs="Times New Roman"/>
                                <w:b/>
                                <w:bCs/>
                                <w:color w:val="616163"/>
                                <w:spacing w:val="0"/>
                                <w:w w:val="100"/>
                                <w:position w:val="0"/>
                                <w:sz w:val="11"/>
                                <w:szCs w:val="11"/>
                              </w:rPr>
                              <w:t>,</w:t>
                              <w:br/>
                            </w:r>
                            <w:r>
                              <w:rPr>
                                <w:rFonts w:ascii="Times New Roman" w:eastAsia="Times New Roman" w:hAnsi="Times New Roman" w:cs="Times New Roman"/>
                                <w:b/>
                                <w:bCs/>
                                <w:color w:val="8E8D94"/>
                                <w:spacing w:val="0"/>
                                <w:w w:val="100"/>
                                <w:position w:val="0"/>
                                <w:sz w:val="11"/>
                                <w:szCs w:val="11"/>
                              </w:rPr>
                              <w:t>management and services platform</w:t>
                            </w:r>
                          </w:p>
                        </w:txbxContent>
                      </wps:txbx>
                      <wps:bodyPr lIns="0" tIns="0" rIns="0" bIns="0">
                        <a:noAutoFit/>
                      </wps:bodyPr>
                    </wps:wsp>
                  </a:graphicData>
                </a:graphic>
              </wp:anchor>
            </w:drawing>
          </mc:Choice>
          <mc:Fallback>
            <w:pict>
              <v:shape id="_x0000_s1121" type="#_x0000_t202" style="position:absolute;margin-left:120.5pt;margin-top:1.45pt;width:108.25pt;height:20.650000000000002pt;z-index:-125829308;mso-wrap-distance-left:0;mso-wrap-distance-top:1.45pt;mso-wrap-distance-right:0;mso-wrap-distance-bottom:2.1499999999999999pt;mso-position-horizontal-relative:page" filled="f" stroked="f">
                <v:textbox inset="0,0,0,0">
                  <w:txbxContent>
                    <w:p>
                      <w:pPr>
                        <w:pStyle w:val="Style2"/>
                        <w:keepNext w:val="0"/>
                        <w:keepLines w:val="0"/>
                        <w:widowControl w:val="0"/>
                        <w:shd w:val="clear" w:color="auto" w:fill="auto"/>
                        <w:bidi w:val="0"/>
                        <w:spacing w:before="0" w:after="0" w:line="360" w:lineRule="auto"/>
                        <w:ind w:left="0" w:right="0" w:firstLine="0"/>
                        <w:jc w:val="center"/>
                        <w:rPr>
                          <w:sz w:val="11"/>
                          <w:szCs w:val="11"/>
                        </w:rPr>
                      </w:pPr>
                      <w:r>
                        <w:rPr>
                          <w:rFonts w:ascii="Times New Roman" w:eastAsia="Times New Roman" w:hAnsi="Times New Roman" w:cs="Times New Roman"/>
                          <w:b/>
                          <w:bCs/>
                          <w:color w:val="8E8D94"/>
                          <w:spacing w:val="0"/>
                          <w:w w:val="100"/>
                          <w:position w:val="0"/>
                          <w:sz w:val="11"/>
                          <w:szCs w:val="11"/>
                        </w:rPr>
                        <w:t>Technical standard for urban operation</w:t>
                      </w:r>
                      <w:r>
                        <w:rPr>
                          <w:rFonts w:ascii="Times New Roman" w:eastAsia="Times New Roman" w:hAnsi="Times New Roman" w:cs="Times New Roman"/>
                          <w:b/>
                          <w:bCs/>
                          <w:color w:val="616163"/>
                          <w:spacing w:val="0"/>
                          <w:w w:val="100"/>
                          <w:position w:val="0"/>
                          <w:sz w:val="11"/>
                          <w:szCs w:val="11"/>
                        </w:rPr>
                        <w:t>,</w:t>
                        <w:br/>
                      </w:r>
                      <w:r>
                        <w:rPr>
                          <w:rFonts w:ascii="Times New Roman" w:eastAsia="Times New Roman" w:hAnsi="Times New Roman" w:cs="Times New Roman"/>
                          <w:b/>
                          <w:bCs/>
                          <w:color w:val="8E8D94"/>
                          <w:spacing w:val="0"/>
                          <w:w w:val="100"/>
                          <w:position w:val="0"/>
                          <w:sz w:val="11"/>
                          <w:szCs w:val="11"/>
                        </w:rPr>
                        <w:t>management and services platform</w:t>
                      </w:r>
                    </w:p>
                  </w:txbxContent>
                </v:textbox>
                <w10:wrap type="topAndBottom" anchorx="page"/>
              </v:shape>
            </w:pict>
          </mc:Fallback>
        </mc:AlternateContent>
      </w:r>
      <w:r>
        <mc:AlternateContent>
          <mc:Choice Requires="wps">
            <w:drawing>
              <wp:anchor distT="0" distB="161925" distL="0" distR="0" simplePos="0" relativeHeight="125829447" behindDoc="0" locked="0" layoutInCell="1" allowOverlap="1">
                <wp:simplePos x="0" y="0"/>
                <wp:positionH relativeFrom="page">
                  <wp:posOffset>3904615</wp:posOffset>
                </wp:positionH>
                <wp:positionV relativeFrom="paragraph">
                  <wp:posOffset>0</wp:posOffset>
                </wp:positionV>
                <wp:extent cx="1551305" cy="146050"/>
                <wp:wrapTopAndBottom/>
                <wp:docPr id="97" name="Shape 97"/>
                <a:graphic xmlns:a="http://schemas.openxmlformats.org/drawingml/2006/main">
                  <a:graphicData uri="http://schemas.microsoft.com/office/word/2010/wordprocessingShape">
                    <wps:wsp>
                      <wps:cNvSpPr txBox="1"/>
                      <wps:spPr>
                        <a:xfrm>
                          <a:ext cx="1551305" cy="1460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616163"/>
                                <w:spacing w:val="0"/>
                                <w:w w:val="100"/>
                                <w:position w:val="0"/>
                                <w:sz w:val="16"/>
                                <w:szCs w:val="16"/>
                              </w:rPr>
                              <w:t>城市运行管</w:t>
                            </w:r>
                            <w:r>
                              <w:rPr>
                                <w:rFonts w:ascii="SimHei" w:eastAsia="SimHei" w:hAnsi="SimHei" w:cs="SimHei"/>
                                <w:color w:val="3F3E3F"/>
                                <w:spacing w:val="0"/>
                                <w:w w:val="100"/>
                                <w:position w:val="0"/>
                                <w:sz w:val="16"/>
                                <w:szCs w:val="16"/>
                              </w:rPr>
                              <w:t>理服务平台数据标准</w:t>
                            </w:r>
                          </w:p>
                        </w:txbxContent>
                      </wps:txbx>
                      <wps:bodyPr wrap="none" lIns="0" tIns="0" rIns="0" bIns="0">
                        <a:noAutoFit/>
                      </wps:bodyPr>
                    </wps:wsp>
                  </a:graphicData>
                </a:graphic>
              </wp:anchor>
            </w:drawing>
          </mc:Choice>
          <mc:Fallback>
            <w:pict>
              <v:shape id="_x0000_s1123" type="#_x0000_t202" style="position:absolute;margin-left:307.44999999999999pt;margin-top:0;width:122.15000000000001pt;height:11.5pt;z-index:-125829306;mso-wrap-distance-left:0;mso-wrap-distance-right:0;mso-wrap-distance-bottom:12.7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616163"/>
                          <w:spacing w:val="0"/>
                          <w:w w:val="100"/>
                          <w:position w:val="0"/>
                          <w:sz w:val="16"/>
                          <w:szCs w:val="16"/>
                        </w:rPr>
                        <w:t>城市运行管</w:t>
                      </w:r>
                      <w:r>
                        <w:rPr>
                          <w:rFonts w:ascii="SimHei" w:eastAsia="SimHei" w:hAnsi="SimHei" w:cs="SimHei"/>
                          <w:color w:val="3F3E3F"/>
                          <w:spacing w:val="0"/>
                          <w:w w:val="100"/>
                          <w:position w:val="0"/>
                          <w:sz w:val="16"/>
                          <w:szCs w:val="16"/>
                        </w:rPr>
                        <w:t>理服务平台数据标准</w:t>
                      </w:r>
                    </w:p>
                  </w:txbxContent>
                </v:textbox>
                <w10:wrap type="topAndBottom" anchorx="page"/>
              </v:shape>
            </w:pict>
          </mc:Fallback>
        </mc:AlternateContent>
      </w:r>
      <w:r>
        <mc:AlternateContent>
          <mc:Choice Requires="wps">
            <w:drawing>
              <wp:anchor distT="216535" distB="0" distL="0" distR="0" simplePos="0" relativeHeight="125829449" behindDoc="0" locked="0" layoutInCell="1" allowOverlap="1">
                <wp:simplePos x="0" y="0"/>
                <wp:positionH relativeFrom="page">
                  <wp:posOffset>3801110</wp:posOffset>
                </wp:positionH>
                <wp:positionV relativeFrom="paragraph">
                  <wp:posOffset>216535</wp:posOffset>
                </wp:positionV>
                <wp:extent cx="1764665" cy="91440"/>
                <wp:wrapTopAndBottom/>
                <wp:docPr id="99" name="Shape 99"/>
                <a:graphic xmlns:a="http://schemas.openxmlformats.org/drawingml/2006/main">
                  <a:graphicData uri="http://schemas.microsoft.com/office/word/2010/wordprocessingShape">
                    <wps:wsp>
                      <wps:cNvSpPr txBox="1"/>
                      <wps:spPr>
                        <a:xfrm>
                          <a:ext cx="1764665" cy="914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616163"/>
                                <w:spacing w:val="0"/>
                                <w:w w:val="100"/>
                                <w:position w:val="0"/>
                                <w:sz w:val="8"/>
                                <w:szCs w:val="8"/>
                              </w:rPr>
                              <w:t xml:space="preserve">D:ila standard </w:t>
                            </w:r>
                            <w:r>
                              <w:rPr>
                                <w:rFonts w:ascii="Arial" w:eastAsia="Arial" w:hAnsi="Arial" w:cs="Arial"/>
                                <w:b/>
                                <w:bCs/>
                                <w:color w:val="3F3E3F"/>
                                <w:spacing w:val="0"/>
                                <w:w w:val="100"/>
                                <w:position w:val="0"/>
                                <w:sz w:val="8"/>
                                <w:szCs w:val="8"/>
                              </w:rPr>
                              <w:t xml:space="preserve">f&lt;»r </w:t>
                            </w:r>
                            <w:r>
                              <w:rPr>
                                <w:rFonts w:ascii="Arial" w:eastAsia="Arial" w:hAnsi="Arial" w:cs="Arial"/>
                                <w:b/>
                                <w:bCs/>
                                <w:color w:val="616163"/>
                                <w:spacing w:val="0"/>
                                <w:w w:val="100"/>
                                <w:position w:val="0"/>
                                <w:sz w:val="8"/>
                                <w:szCs w:val="8"/>
                              </w:rPr>
                              <w:t xml:space="preserve">urban </w:t>
                            </w:r>
                            <w:r>
                              <w:rPr>
                                <w:rFonts w:ascii="Arial" w:eastAsia="Arial" w:hAnsi="Arial" w:cs="Arial"/>
                                <w:b/>
                                <w:bCs/>
                                <w:color w:val="3F3E3F"/>
                                <w:spacing w:val="0"/>
                                <w:w w:val="100"/>
                                <w:position w:val="0"/>
                                <w:sz w:val="8"/>
                                <w:szCs w:val="8"/>
                              </w:rPr>
                              <w:t xml:space="preserve">operation </w:t>
                            </w:r>
                            <w:r>
                              <w:rPr>
                                <w:rFonts w:ascii="Arial" w:eastAsia="Arial" w:hAnsi="Arial" w:cs="Arial"/>
                                <w:b/>
                                <w:bCs/>
                                <w:color w:val="616163"/>
                                <w:spacing w:val="0"/>
                                <w:w w:val="100"/>
                                <w:position w:val="0"/>
                                <w:sz w:val="8"/>
                                <w:szCs w:val="8"/>
                              </w:rPr>
                              <w:t xml:space="preserve">managemenl </w:t>
                            </w:r>
                            <w:r>
                              <w:rPr>
                                <w:rFonts w:ascii="Arial" w:eastAsia="Arial" w:hAnsi="Arial" w:cs="Arial"/>
                                <w:b/>
                                <w:bCs/>
                                <w:color w:val="3F3E3F"/>
                                <w:spacing w:val="0"/>
                                <w:w w:val="100"/>
                                <w:position w:val="0"/>
                                <w:sz w:val="8"/>
                                <w:szCs w:val="8"/>
                              </w:rPr>
                              <w:t>arid service platform</w:t>
                            </w:r>
                          </w:p>
                        </w:txbxContent>
                      </wps:txbx>
                      <wps:bodyPr wrap="none" lIns="0" tIns="0" rIns="0" bIns="0">
                        <a:noAutoFit/>
                      </wps:bodyPr>
                    </wps:wsp>
                  </a:graphicData>
                </a:graphic>
              </wp:anchor>
            </w:drawing>
          </mc:Choice>
          <mc:Fallback>
            <w:pict>
              <v:shape id="_x0000_s1125" type="#_x0000_t202" style="position:absolute;margin-left:299.30000000000001pt;margin-top:17.050000000000001pt;width:138.95000000000002pt;height:7.2000000000000002pt;z-index:-125829304;mso-wrap-distance-left:0;mso-wrap-distance-top:17.050000000000001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616163"/>
                          <w:spacing w:val="0"/>
                          <w:w w:val="100"/>
                          <w:position w:val="0"/>
                          <w:sz w:val="8"/>
                          <w:szCs w:val="8"/>
                        </w:rPr>
                        <w:t xml:space="preserve">D:ila standard </w:t>
                      </w:r>
                      <w:r>
                        <w:rPr>
                          <w:rFonts w:ascii="Arial" w:eastAsia="Arial" w:hAnsi="Arial" w:cs="Arial"/>
                          <w:b/>
                          <w:bCs/>
                          <w:color w:val="3F3E3F"/>
                          <w:spacing w:val="0"/>
                          <w:w w:val="100"/>
                          <w:position w:val="0"/>
                          <w:sz w:val="8"/>
                          <w:szCs w:val="8"/>
                        </w:rPr>
                        <w:t xml:space="preserve">f&lt;»r </w:t>
                      </w:r>
                      <w:r>
                        <w:rPr>
                          <w:rFonts w:ascii="Arial" w:eastAsia="Arial" w:hAnsi="Arial" w:cs="Arial"/>
                          <w:b/>
                          <w:bCs/>
                          <w:color w:val="616163"/>
                          <w:spacing w:val="0"/>
                          <w:w w:val="100"/>
                          <w:position w:val="0"/>
                          <w:sz w:val="8"/>
                          <w:szCs w:val="8"/>
                        </w:rPr>
                        <w:t xml:space="preserve">urban </w:t>
                      </w:r>
                      <w:r>
                        <w:rPr>
                          <w:rFonts w:ascii="Arial" w:eastAsia="Arial" w:hAnsi="Arial" w:cs="Arial"/>
                          <w:b/>
                          <w:bCs/>
                          <w:color w:val="3F3E3F"/>
                          <w:spacing w:val="0"/>
                          <w:w w:val="100"/>
                          <w:position w:val="0"/>
                          <w:sz w:val="8"/>
                          <w:szCs w:val="8"/>
                        </w:rPr>
                        <w:t xml:space="preserve">operation </w:t>
                      </w:r>
                      <w:r>
                        <w:rPr>
                          <w:rFonts w:ascii="Arial" w:eastAsia="Arial" w:hAnsi="Arial" w:cs="Arial"/>
                          <w:b/>
                          <w:bCs/>
                          <w:color w:val="616163"/>
                          <w:spacing w:val="0"/>
                          <w:w w:val="100"/>
                          <w:position w:val="0"/>
                          <w:sz w:val="8"/>
                          <w:szCs w:val="8"/>
                        </w:rPr>
                        <w:t xml:space="preserve">managemenl </w:t>
                      </w:r>
                      <w:r>
                        <w:rPr>
                          <w:rFonts w:ascii="Arial" w:eastAsia="Arial" w:hAnsi="Arial" w:cs="Arial"/>
                          <w:b/>
                          <w:bCs/>
                          <w:color w:val="3F3E3F"/>
                          <w:spacing w:val="0"/>
                          <w:w w:val="100"/>
                          <w:position w:val="0"/>
                          <w:sz w:val="8"/>
                          <w:szCs w:val="8"/>
                        </w:rPr>
                        <w:t>arid service platform</w:t>
                      </w:r>
                    </w:p>
                  </w:txbxContent>
                </v:textbox>
                <w10:wrap type="topAndBottom" anchorx="page"/>
              </v:shape>
            </w:pict>
          </mc:Fallback>
        </mc:AlternateConten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8" w:after="18"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16" w:right="0" w:bottom="1465" w:left="0" w:header="0" w:footer="3" w:gutter="0"/>
          <w:cols w:space="720"/>
          <w:noEndnote/>
          <w:rtlGutter w:val="0"/>
          <w:docGrid w:linePitch="360"/>
        </w:sectPr>
      </w:pPr>
    </w:p>
    <w:p>
      <w:pPr>
        <w:pStyle w:val="Style2"/>
        <w:keepNext w:val="0"/>
        <w:keepLines w:val="0"/>
        <w:widowControl w:val="0"/>
        <w:shd w:val="clear" w:color="auto" w:fill="auto"/>
        <w:tabs>
          <w:tab w:pos="2777" w:val="left"/>
        </w:tabs>
        <w:bidi w:val="0"/>
        <w:spacing w:before="0" w:after="260" w:line="240" w:lineRule="auto"/>
        <w:ind w:left="0" w:right="0" w:firstLine="660"/>
        <w:jc w:val="both"/>
        <w:rPr>
          <w:sz w:val="14"/>
          <w:szCs w:val="14"/>
        </w:rPr>
      </w:pPr>
      <w:r>
        <w:rPr>
          <w:rFonts w:ascii="Times New Roman" w:eastAsia="Times New Roman" w:hAnsi="Times New Roman" w:cs="Times New Roman"/>
          <w:b/>
          <w:bCs/>
          <w:color w:val="8E8D94"/>
          <w:spacing w:val="0"/>
          <w:w w:val="100"/>
          <w:position w:val="0"/>
          <w:sz w:val="13"/>
          <w:szCs w:val="13"/>
        </w:rPr>
        <w:t xml:space="preserve">2021-12-06 </w:t>
      </w:r>
      <w:r>
        <w:rPr>
          <w:rFonts w:ascii="SimHei" w:eastAsia="SimHei" w:hAnsi="SimHei" w:cs="SimHei"/>
          <w:color w:val="8E8D94"/>
          <w:spacing w:val="0"/>
          <w:w w:val="100"/>
          <w:position w:val="0"/>
          <w:sz w:val="14"/>
          <w:szCs w:val="14"/>
        </w:rPr>
        <w:t>发布</w:t>
        <w:tab/>
      </w:r>
      <w:r>
        <w:rPr>
          <w:rFonts w:ascii="Times New Roman" w:eastAsia="Times New Roman" w:hAnsi="Times New Roman" w:cs="Times New Roman"/>
          <w:b/>
          <w:bCs/>
          <w:color w:val="8E8D94"/>
          <w:spacing w:val="0"/>
          <w:w w:val="100"/>
          <w:position w:val="0"/>
          <w:sz w:val="13"/>
          <w:szCs w:val="13"/>
        </w:rPr>
        <w:t xml:space="preserve">2022-01-01 </w:t>
      </w:r>
      <w:r>
        <w:rPr>
          <w:rFonts w:ascii="SimHei" w:eastAsia="SimHei" w:hAnsi="SimHei" w:cs="SimHei"/>
          <w:color w:val="8E8D94"/>
          <w:spacing w:val="0"/>
          <w:w w:val="100"/>
          <w:position w:val="0"/>
          <w:sz w:val="14"/>
          <w:szCs w:val="14"/>
        </w:rPr>
        <w:t>实施</w:t>
      </w:r>
    </w:p>
    <w:p>
      <w:pPr>
        <w:pStyle w:val="Style2"/>
        <w:keepNext w:val="0"/>
        <w:keepLines w:val="0"/>
        <w:widowControl w:val="0"/>
        <w:shd w:val="clear" w:color="auto" w:fill="auto"/>
        <w:tabs>
          <w:tab w:pos="6982" w:val="left"/>
        </w:tabs>
        <w:bidi w:val="0"/>
        <w:spacing w:before="0" w:after="120" w:line="240" w:lineRule="auto"/>
        <w:ind w:left="4640" w:right="0" w:firstLine="0"/>
        <w:jc w:val="left"/>
        <w:rPr>
          <w:sz w:val="9"/>
          <w:szCs w:val="9"/>
        </w:rPr>
      </w:pPr>
      <w:r>
        <w:rPr>
          <w:rFonts w:ascii="Times New Roman" w:eastAsia="Times New Roman" w:hAnsi="Times New Roman" w:cs="Times New Roman"/>
          <w:b/>
          <w:bCs/>
          <w:color w:val="ABAAAD"/>
          <w:spacing w:val="0"/>
          <w:w w:val="100"/>
          <w:position w:val="0"/>
          <w:sz w:val="9"/>
          <w:szCs w:val="9"/>
          <w:u w:val="single"/>
        </w:rPr>
        <w:t xml:space="preserve">2021 </w:t>
      </w:r>
      <w:r>
        <w:rPr>
          <w:rFonts w:ascii="Times New Roman" w:eastAsia="Times New Roman" w:hAnsi="Times New Roman" w:cs="Times New Roman"/>
          <w:b/>
          <w:bCs/>
          <w:color w:val="ABAAAD"/>
          <w:spacing w:val="0"/>
          <w:w w:val="100"/>
          <w:position w:val="0"/>
          <w:sz w:val="9"/>
          <w:szCs w:val="9"/>
          <w:u w:val="single"/>
        </w:rPr>
        <w:t xml:space="preserve">12-06 </w:t>
      </w:r>
      <w:r>
        <w:rPr>
          <w:rFonts w:ascii="SimHei" w:eastAsia="SimHei" w:hAnsi="SimHei" w:cs="SimHei"/>
          <w:color w:val="ABAAAD"/>
          <w:spacing w:val="0"/>
          <w:w w:val="100"/>
          <w:position w:val="0"/>
          <w:sz w:val="9"/>
          <w:szCs w:val="9"/>
          <w:u w:val="single"/>
        </w:rPr>
        <w:t>发布</w:t>
        <w:tab/>
      </w:r>
      <w:r>
        <w:rPr>
          <w:rFonts w:ascii="Times New Roman" w:eastAsia="Times New Roman" w:hAnsi="Times New Roman" w:cs="Times New Roman"/>
          <w:b/>
          <w:bCs/>
          <w:color w:val="8E8D94"/>
          <w:spacing w:val="0"/>
          <w:w w:val="100"/>
          <w:position w:val="0"/>
          <w:sz w:val="9"/>
          <w:szCs w:val="9"/>
          <w:u w:val="single"/>
        </w:rPr>
        <w:t xml:space="preserve">2022 </w:t>
      </w:r>
      <w:r>
        <w:rPr>
          <w:rFonts w:ascii="Times New Roman" w:eastAsia="Times New Roman" w:hAnsi="Times New Roman" w:cs="Times New Roman"/>
          <w:b/>
          <w:bCs/>
          <w:color w:val="616163"/>
          <w:spacing w:val="0"/>
          <w:w w:val="100"/>
          <w:position w:val="0"/>
          <w:sz w:val="9"/>
          <w:szCs w:val="9"/>
          <w:u w:val="single"/>
        </w:rPr>
        <w:t xml:space="preserve">01 </w:t>
      </w:r>
      <w:r>
        <w:rPr>
          <w:rFonts w:ascii="Times New Roman" w:eastAsia="Times New Roman" w:hAnsi="Times New Roman" w:cs="Times New Roman"/>
          <w:b/>
          <w:bCs/>
          <w:color w:val="8E8D94"/>
          <w:spacing w:val="0"/>
          <w:w w:val="100"/>
          <w:position w:val="0"/>
          <w:sz w:val="9"/>
          <w:szCs w:val="9"/>
          <w:u w:val="single"/>
        </w:rPr>
        <w:t xml:space="preserve">01 </w:t>
      </w:r>
      <w:r>
        <w:rPr>
          <w:rFonts w:ascii="SimHei" w:eastAsia="SimHei" w:hAnsi="SimHei" w:cs="SimHei"/>
          <w:color w:val="8E8D94"/>
          <w:spacing w:val="0"/>
          <w:w w:val="100"/>
          <w:position w:val="0"/>
          <w:sz w:val="9"/>
          <w:szCs w:val="9"/>
          <w:u w:val="single"/>
        </w:rPr>
        <w:t>卖施</w:t>
      </w:r>
    </w:p>
    <w:p>
      <w:pPr>
        <w:pStyle w:val="Style2"/>
        <w:keepNext w:val="0"/>
        <w:keepLines w:val="0"/>
        <w:widowControl w:val="0"/>
        <w:shd w:val="clear" w:color="auto" w:fill="auto"/>
        <w:tabs>
          <w:tab w:pos="3497" w:val="left"/>
          <w:tab w:pos="4798" w:val="left"/>
        </w:tabs>
        <w:bidi w:val="0"/>
        <w:spacing w:before="0" w:after="0" w:line="240" w:lineRule="auto"/>
        <w:ind w:left="0" w:right="0" w:firstLine="780"/>
        <w:jc w:val="both"/>
        <w:rPr>
          <w:sz w:val="9"/>
          <w:szCs w:val="9"/>
        </w:rPr>
      </w:pPr>
      <w:r>
        <w:rPr>
          <w:rFonts w:ascii="SimHei" w:eastAsia="SimHei" w:hAnsi="SimHei" w:cs="SimHei"/>
          <w:color w:val="ABAAAD"/>
          <w:spacing w:val="0"/>
          <w:w w:val="100"/>
          <w:position w:val="0"/>
          <w:sz w:val="14"/>
          <w:szCs w:val="14"/>
        </w:rPr>
        <w:t>中华人民共和</w:t>
      </w:r>
      <w:r>
        <w:rPr>
          <w:rFonts w:ascii="SimHei" w:eastAsia="SimHei" w:hAnsi="SimHei" w:cs="SimHei"/>
          <w:color w:val="8E8D94"/>
          <w:spacing w:val="0"/>
          <w:w w:val="100"/>
          <w:position w:val="0"/>
          <w:sz w:val="14"/>
          <w:szCs w:val="14"/>
        </w:rPr>
        <w:t>国住房和城乡建设部</w:t>
        <w:tab/>
        <w:t>发布</w:t>
        <w:tab/>
      </w:r>
      <w:r>
        <w:rPr>
          <w:rFonts w:ascii="Times New Roman" w:eastAsia="Times New Roman" w:hAnsi="Times New Roman" w:cs="Times New Roman"/>
          <w:b/>
          <w:bCs/>
          <w:color w:val="616163"/>
          <w:spacing w:val="0"/>
          <w:w w:val="100"/>
          <w:position w:val="0"/>
          <w:sz w:val="9"/>
          <w:szCs w:val="9"/>
        </w:rPr>
        <w:t>.'w</w:t>
      </w:r>
    </w:p>
    <w:p>
      <w:pPr>
        <w:pStyle w:val="Style2"/>
        <w:keepNext w:val="0"/>
        <w:keepLines w:val="0"/>
        <w:widowControl w:val="0"/>
        <w:shd w:val="clear" w:color="auto" w:fill="auto"/>
        <w:tabs>
          <w:tab w:pos="6154" w:val="left"/>
        </w:tabs>
        <w:bidi w:val="0"/>
        <w:spacing w:before="0" w:after="260" w:line="240" w:lineRule="auto"/>
        <w:ind w:left="4920" w:right="0" w:firstLine="0"/>
        <w:jc w:val="left"/>
        <w:rPr>
          <w:sz w:val="9"/>
          <w:szCs w:val="9"/>
        </w:rPr>
      </w:pPr>
      <w:r>
        <w:rPr>
          <w:rFonts w:ascii="SimHei" w:eastAsia="SimHei" w:hAnsi="SimHei" w:cs="SimHei"/>
          <w:color w:val="616163"/>
          <w:spacing w:val="0"/>
          <w:w w:val="100"/>
          <w:position w:val="0"/>
          <w:sz w:val="9"/>
          <w:szCs w:val="9"/>
        </w:rPr>
        <w:t>磷</w:t>
        <w:tab/>
        <w:t>城，控</w:t>
      </w:r>
      <w:r>
        <w:rPr>
          <w:rFonts w:ascii="Times New Roman" w:eastAsia="Times New Roman" w:hAnsi="Times New Roman" w:cs="Times New Roman"/>
          <w:b/>
          <w:bCs/>
          <w:color w:val="616163"/>
          <w:spacing w:val="0"/>
          <w:w w:val="100"/>
          <w:position w:val="0"/>
          <w:sz w:val="9"/>
          <w:szCs w:val="9"/>
        </w:rPr>
        <w:t>it</w:t>
      </w:r>
      <w:r>
        <w:rPr>
          <w:rFonts w:ascii="SimHei" w:eastAsia="SimHei" w:hAnsi="SimHei" w:cs="SimHei"/>
          <w:color w:val="8E8D94"/>
          <w:spacing w:val="0"/>
          <w:w w:val="100"/>
          <w:position w:val="0"/>
          <w:sz w:val="9"/>
          <w:szCs w:val="9"/>
        </w:rPr>
        <w:t xml:space="preserve">邮 </w:t>
      </w:r>
      <w:r>
        <w:rPr>
          <w:rFonts w:ascii="Times New Roman" w:eastAsia="Times New Roman" w:hAnsi="Times New Roman" w:cs="Times New Roman"/>
          <w:b/>
          <w:bCs/>
          <w:color w:val="616163"/>
          <w:spacing w:val="0"/>
          <w:w w:val="100"/>
          <w:position w:val="0"/>
          <w:sz w:val="9"/>
          <w:szCs w:val="9"/>
        </w:rPr>
        <w:t xml:space="preserve">a </w:t>
      </w:r>
      <w:r>
        <w:rPr>
          <w:rFonts w:ascii="Times New Roman" w:eastAsia="Times New Roman" w:hAnsi="Times New Roman" w:cs="Times New Roman"/>
          <w:b/>
          <w:bCs/>
          <w:color w:val="3F3E3F"/>
          <w:spacing w:val="0"/>
          <w:w w:val="100"/>
          <w:position w:val="0"/>
          <w:sz w:val="9"/>
          <w:szCs w:val="9"/>
        </w:rPr>
        <w:t>«</w:t>
      </w:r>
    </w:p>
    <w:p>
      <w:pPr>
        <w:pStyle w:val="Style59"/>
        <w:keepNext w:val="0"/>
        <w:keepLines w:val="0"/>
        <w:widowControl w:val="0"/>
        <w:shd w:val="clear" w:color="auto" w:fill="auto"/>
        <w:bidi w:val="0"/>
        <w:spacing w:before="0" w:after="0" w:line="475" w:lineRule="exact"/>
        <w:ind w:left="0" w:right="0" w:firstLine="480"/>
        <w:jc w:val="both"/>
      </w:pPr>
      <w:r>
        <w:rPr>
          <w:color w:val="000000"/>
          <w:spacing w:val="0"/>
          <w:w w:val="100"/>
          <w:position w:val="0"/>
          <w:sz w:val="24"/>
          <w:szCs w:val="24"/>
        </w:rPr>
        <w:t>报告期内，公司依托覆盖全国的营销体系和城市管理信息化项目基础，积极推动省级平 台和市县级平台的落地建设，努力打造全国典型标杆，始终保持行业领先优势。</w:t>
      </w:r>
    </w:p>
    <w:p>
      <w:pPr>
        <w:pStyle w:val="Style59"/>
        <w:keepNext w:val="0"/>
        <w:keepLines w:val="0"/>
        <w:widowControl w:val="0"/>
        <w:numPr>
          <w:ilvl w:val="0"/>
          <w:numId w:val="1"/>
        </w:numPr>
        <w:shd w:val="clear" w:color="auto" w:fill="auto"/>
        <w:bidi w:val="0"/>
        <w:spacing w:before="0" w:after="0" w:line="475" w:lineRule="exact"/>
        <w:ind w:left="0" w:right="0" w:firstLine="480"/>
        <w:jc w:val="both"/>
      </w:pPr>
      <w:bookmarkStart w:id="88" w:name="bookmark88"/>
      <w:bookmarkEnd w:id="88"/>
      <w:r>
        <w:rPr>
          <w:b/>
          <w:bCs/>
          <w:color w:val="000000"/>
          <w:spacing w:val="0"/>
          <w:w w:val="100"/>
          <w:position w:val="0"/>
          <w:sz w:val="24"/>
          <w:szCs w:val="24"/>
        </w:rPr>
        <w:t>省级平台进展情况</w:t>
      </w:r>
    </w:p>
    <w:p>
      <w:pPr>
        <w:pStyle w:val="Style59"/>
        <w:keepNext w:val="0"/>
        <w:keepLines w:val="0"/>
        <w:widowControl w:val="0"/>
        <w:shd w:val="clear" w:color="auto" w:fill="auto"/>
        <w:bidi w:val="0"/>
        <w:spacing w:before="0" w:after="200" w:line="472" w:lineRule="exact"/>
        <w:ind w:left="0" w:right="0" w:firstLine="480"/>
        <w:jc w:val="both"/>
      </w:pPr>
      <w:r>
        <w:rPr>
          <w:color w:val="000000"/>
          <w:spacing w:val="0"/>
          <w:w w:val="100"/>
          <w:position w:val="0"/>
          <w:sz w:val="24"/>
          <w:szCs w:val="24"/>
        </w:rPr>
        <w:t>2021年，公司承建了新疆、四川、海南、江西、天津、浙江多个省级城市综合(运行) 管理服务平台。其中，新疆省级平台按照“省带市县”的建设模式，以监管为核心，横向联 通自治区相关处室单位，覆盖市政、历史文化名城名镇名村、老旧小区改造、智慧城管、智 慧小区等12个行业，拓展“一屏观天下”应急调度和城市运行体征专题应用，实现对全区城 市管理工作的指导监督、统筹协调和城市体检评估等功能目标，构建符合新疆特色的城市运</w:t>
      </w:r>
      <w:r>
        <w:br w:type="page"/>
      </w:r>
    </w:p>
    <w:p>
      <w:pPr>
        <w:pStyle w:val="Style59"/>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行管理服务工作体系，通过开展城市更新，推进基础设施智能化改造，打通四级平台数据通 路，实现城市体检评估、“三个全覆盖（城区、社区、小区）”、“三个联动（城管、社区、 小区（物业）联动）”、“四个智慧（智慧市政、智慧城管、智慧社区、智慧工地）”、历 史文化名城名镇名村动态管理，引领城市建设数字化转型升级，通过多级平台的联动互通和 指挥调度，全面增强城市管理统筹协调能力，提高城市精细化管理服务水平，促进城市高质 量发展。</w:t>
      </w:r>
    </w:p>
    <w:p>
      <w:pPr>
        <w:widowControl w:val="0"/>
        <w:spacing w:line="1" w:lineRule="exact"/>
      </w:pPr>
      <w:r>
        <w:drawing>
          <wp:anchor distT="25400" distB="100330" distL="0" distR="0" simplePos="0" relativeHeight="125829451" behindDoc="0" locked="0" layoutInCell="1" allowOverlap="1">
            <wp:simplePos x="0" y="0"/>
            <wp:positionH relativeFrom="page">
              <wp:posOffset>880745</wp:posOffset>
            </wp:positionH>
            <wp:positionV relativeFrom="paragraph">
              <wp:posOffset>25400</wp:posOffset>
            </wp:positionV>
            <wp:extent cx="5157470" cy="2614930"/>
            <wp:wrapTopAndBottom/>
            <wp:docPr id="101" name="Shape 101"/>
            <a:graphic xmlns:a="http://schemas.openxmlformats.org/drawingml/2006/main">
              <a:graphicData uri="http://schemas.openxmlformats.org/drawingml/2006/picture">
                <pic:pic xmlns:pic="http://schemas.openxmlformats.org/drawingml/2006/picture">
                  <pic:nvPicPr>
                    <pic:cNvPr id="102" name="Picture box 102"/>
                    <pic:cNvPicPr/>
                  </pic:nvPicPr>
                  <pic:blipFill>
                    <a:blip r:embed="rId19"/>
                    <a:stretch/>
                  </pic:blipFill>
                  <pic:spPr>
                    <a:xfrm>
                      <a:ext cx="5157470" cy="2614930"/>
                    </a:xfrm>
                    <a:prstGeom prst="rect"/>
                  </pic:spPr>
                </pic:pic>
              </a:graphicData>
            </a:graphic>
          </wp:anchor>
        </w:drawing>
      </w:r>
      <w:r>
        <mc:AlternateContent>
          <mc:Choice Requires="wps">
            <w:drawing>
              <wp:anchor distT="0" distB="0" distL="0" distR="0" simplePos="0" relativeHeight="503316502" behindDoc="0" locked="0" layoutInCell="1" allowOverlap="1">
                <wp:simplePos x="0" y="0"/>
                <wp:positionH relativeFrom="page">
                  <wp:posOffset>889635</wp:posOffset>
                </wp:positionH>
                <wp:positionV relativeFrom="paragraph">
                  <wp:posOffset>1604010</wp:posOffset>
                </wp:positionV>
                <wp:extent cx="73025" cy="94615"/>
                <wp:wrapNone/>
                <wp:docPr id="103" name="Shape 103"/>
                <a:graphic xmlns:a="http://schemas.openxmlformats.org/drawingml/2006/main">
                  <a:graphicData uri="http://schemas.microsoft.com/office/word/2010/wordprocessingShape">
                    <wps:wsp>
                      <wps:cNvSpPr txBox="1"/>
                      <wps:spPr>
                        <a:xfrm>
                          <a:ext cx="73025" cy="94615"/>
                        </a:xfrm>
                        <a:prstGeom prst="rect"/>
                        <a:noFill/>
                      </wps:spPr>
                      <wps:txbx>
                        <w:txbxContent>
                          <w:p>
                            <w:pPr>
                              <w:pStyle w:val="Style38"/>
                              <w:keepNext w:val="0"/>
                              <w:keepLines w:val="0"/>
                              <w:widowControl w:val="0"/>
                              <w:pBdr>
                                <w:top w:val="single" w:sz="0" w:space="0" w:color="020609"/>
                                <w:left w:val="single" w:sz="0" w:space="0" w:color="020609"/>
                                <w:bottom w:val="single" w:sz="0" w:space="1" w:color="020609"/>
                                <w:right w:val="single" w:sz="0" w:space="0" w:color="020609"/>
                              </w:pBdr>
                              <w:shd w:val="clear" w:color="auto" w:fill="020609"/>
                              <w:bidi w:val="0"/>
                              <w:spacing w:before="0" w:after="0" w:line="240" w:lineRule="auto"/>
                              <w:ind w:left="0" w:right="0" w:firstLine="0"/>
                              <w:jc w:val="both"/>
                              <w:rPr>
                                <w:sz w:val="8"/>
                                <w:szCs w:val="8"/>
                              </w:rPr>
                            </w:pPr>
                            <w:r>
                              <w:rPr>
                                <w:rFonts w:ascii="Arial" w:eastAsia="Arial" w:hAnsi="Arial" w:cs="Arial"/>
                                <w:color w:val="FFFFFF"/>
                                <w:spacing w:val="0"/>
                                <w:w w:val="100"/>
                                <w:position w:val="0"/>
                                <w:sz w:val="8"/>
                                <w:szCs w:val="8"/>
                              </w:rPr>
                              <w:t>I</w:t>
                            </w:r>
                          </w:p>
                        </w:txbxContent>
                      </wps:txbx>
                      <wps:bodyPr lIns="0" tIns="0" rIns="0" bIns="0">
                        <a:noAutoFit/>
                      </wps:bodyPr>
                    </wps:wsp>
                  </a:graphicData>
                </a:graphic>
              </wp:anchor>
            </w:drawing>
          </mc:Choice>
          <mc:Fallback>
            <w:pict>
              <v:shape id="_x0000_s1129" type="#_x0000_t202" style="position:absolute;margin-left:70.049999999999997pt;margin-top:126.3pt;width:5.75pt;height:7.4500000000000002pt;z-index:251657749;mso-wrap-distance-left:0;mso-wrap-distance-right:0;mso-position-horizontal-relative:page" filled="f" stroked="f">
                <v:textbox inset="0,0,0,0">
                  <w:txbxContent>
                    <w:p>
                      <w:pPr>
                        <w:pStyle w:val="Style38"/>
                        <w:keepNext w:val="0"/>
                        <w:keepLines w:val="0"/>
                        <w:widowControl w:val="0"/>
                        <w:pBdr>
                          <w:top w:val="single" w:sz="0" w:space="0" w:color="020609"/>
                          <w:left w:val="single" w:sz="0" w:space="0" w:color="020609"/>
                          <w:bottom w:val="single" w:sz="0" w:space="1" w:color="020609"/>
                          <w:right w:val="single" w:sz="0" w:space="0" w:color="020609"/>
                        </w:pBdr>
                        <w:shd w:val="clear" w:color="auto" w:fill="020609"/>
                        <w:bidi w:val="0"/>
                        <w:spacing w:before="0" w:after="0" w:line="240" w:lineRule="auto"/>
                        <w:ind w:left="0" w:right="0" w:firstLine="0"/>
                        <w:jc w:val="both"/>
                        <w:rPr>
                          <w:sz w:val="8"/>
                          <w:szCs w:val="8"/>
                        </w:rPr>
                      </w:pPr>
                      <w:r>
                        <w:rPr>
                          <w:rFonts w:ascii="Arial" w:eastAsia="Arial" w:hAnsi="Arial" w:cs="Arial"/>
                          <w:color w:val="FFFFFF"/>
                          <w:spacing w:val="0"/>
                          <w:w w:val="100"/>
                          <w:position w:val="0"/>
                          <w:sz w:val="8"/>
                          <w:szCs w:val="8"/>
                        </w:rPr>
                        <w:t>I</w:t>
                      </w:r>
                    </w:p>
                  </w:txbxContent>
                </v:textbox>
                <w10:wrap anchorx="page"/>
              </v:shape>
            </w:pict>
          </mc:Fallback>
        </mc:AlternateContent>
      </w:r>
      <w:r>
        <mc:AlternateContent>
          <mc:Choice Requires="wps">
            <w:drawing>
              <wp:anchor distT="0" distB="0" distL="0" distR="0" simplePos="0" relativeHeight="503316504" behindDoc="0" locked="0" layoutInCell="1" allowOverlap="1">
                <wp:simplePos x="0" y="0"/>
                <wp:positionH relativeFrom="page">
                  <wp:posOffset>2858770</wp:posOffset>
                </wp:positionH>
                <wp:positionV relativeFrom="paragraph">
                  <wp:posOffset>2631440</wp:posOffset>
                </wp:positionV>
                <wp:extent cx="1621790" cy="109855"/>
                <wp:wrapNone/>
                <wp:docPr id="105" name="Shape 105"/>
                <a:graphic xmlns:a="http://schemas.openxmlformats.org/drawingml/2006/main">
                  <a:graphicData uri="http://schemas.microsoft.com/office/word/2010/wordprocessingShape">
                    <wps:wsp>
                      <wps:cNvSpPr txBox="1"/>
                      <wps:spPr>
                        <a:xfrm>
                          <a:ext cx="1621790" cy="109855"/>
                        </a:xfrm>
                        <a:prstGeom prst="rect"/>
                        <a:noFill/>
                      </wps:spPr>
                      <wps:txbx>
                        <w:txbxContent>
                          <w:p>
                            <w:pPr>
                              <w:pStyle w:val="Style38"/>
                              <w:keepNext w:val="0"/>
                              <w:keepLines w:val="0"/>
                              <w:widowControl w:val="0"/>
                              <w:pBdr>
                                <w:top w:val="single" w:sz="0" w:space="0" w:color="050812"/>
                                <w:left w:val="single" w:sz="0" w:space="0" w:color="050812"/>
                                <w:bottom w:val="single" w:sz="0" w:space="1" w:color="050812"/>
                                <w:right w:val="single" w:sz="0" w:space="0" w:color="050812"/>
                              </w:pBdr>
                              <w:shd w:val="clear" w:color="auto" w:fill="050812"/>
                              <w:tabs>
                                <w:tab w:pos="955" w:val="left"/>
                                <w:tab w:pos="1670" w:val="left"/>
                              </w:tabs>
                              <w:bidi w:val="0"/>
                              <w:spacing w:before="0" w:after="0" w:line="240" w:lineRule="auto"/>
                              <w:ind w:left="0" w:right="0" w:firstLine="0"/>
                              <w:jc w:val="right"/>
                              <w:rPr>
                                <w:sz w:val="8"/>
                                <w:szCs w:val="8"/>
                              </w:rPr>
                            </w:pPr>
                            <w:r>
                              <w:rPr>
                                <w:rFonts w:ascii="Arial" w:eastAsia="Arial" w:hAnsi="Arial" w:cs="Arial"/>
                                <w:b/>
                                <w:bCs/>
                                <w:color w:val="7FB4BE"/>
                                <w:spacing w:val="0"/>
                                <w:w w:val="100"/>
                                <w:position w:val="0"/>
                                <w:sz w:val="8"/>
                                <w:szCs w:val="8"/>
                              </w:rPr>
                              <w:t>_</w:t>
                            </w:r>
                            <w:r>
                              <w:rPr>
                                <w:rFonts w:ascii="Arial" w:eastAsia="Arial" w:hAnsi="Arial" w:cs="Arial"/>
                                <w:b/>
                                <w:bCs/>
                                <w:color w:val="7FB4BE"/>
                                <w:spacing w:val="0"/>
                                <w:w w:val="100"/>
                                <w:position w:val="0"/>
                                <w:sz w:val="8"/>
                                <w:szCs w:val="8"/>
                              </w:rPr>
                              <w:t>Wa^B ''</w:t>
                            </w:r>
                            <w:r>
                              <w:rPr>
                                <w:rFonts w:ascii="Arial" w:eastAsia="Arial" w:hAnsi="Arial" w:cs="Arial"/>
                                <w:b/>
                                <w:bCs/>
                                <w:color w:val="7FB4BE"/>
                                <w:spacing w:val="0"/>
                                <w:w w:val="100"/>
                                <w:position w:val="0"/>
                                <w:sz w:val="8"/>
                                <w:szCs w:val="8"/>
                              </w:rPr>
                              <w:t>_</w:t>
                            </w:r>
                            <w:r>
                              <w:rPr>
                                <w:rFonts w:ascii="Arial" w:eastAsia="Arial" w:hAnsi="Arial" w:cs="Arial"/>
                                <w:b/>
                                <w:bCs/>
                                <w:color w:val="7FB4BE"/>
                                <w:spacing w:val="0"/>
                                <w:w w:val="100"/>
                                <w:position w:val="0"/>
                                <w:sz w:val="8"/>
                                <w:szCs w:val="8"/>
                              </w:rPr>
                              <w:t>WMM</w:t>
                              <w:tab/>
                              <w:t>-RSEW '</w:t>
                              <w:tab/>
                            </w:r>
                            <w:r>
                              <w:rPr>
                                <w:rFonts w:ascii="Arial" w:eastAsia="Arial" w:hAnsi="Arial" w:cs="Arial"/>
                                <w:b/>
                                <w:bCs/>
                                <w:color w:val="7FB4BE"/>
                                <w:spacing w:val="0"/>
                                <w:w w:val="100"/>
                                <w:position w:val="0"/>
                                <w:sz w:val="8"/>
                                <w:szCs w:val="8"/>
                              </w:rPr>
                              <w:t>~~</w:t>
                            </w:r>
                            <w:r>
                              <w:rPr>
                                <w:rFonts w:ascii="Arial" w:eastAsia="Arial" w:hAnsi="Arial" w:cs="Arial"/>
                                <w:b/>
                                <w:bCs/>
                                <w:color w:val="7FB4BE"/>
                                <w:spacing w:val="0"/>
                                <w:w w:val="100"/>
                                <w:position w:val="0"/>
                                <w:sz w:val="8"/>
                                <w:szCs w:val="8"/>
                              </w:rPr>
                              <w:t>ViSRW</w:t>
                            </w:r>
                          </w:p>
                        </w:txbxContent>
                      </wps:txbx>
                      <wps:bodyPr lIns="0" tIns="0" rIns="0" bIns="0">
                        <a:noAutoFit/>
                      </wps:bodyPr>
                    </wps:wsp>
                  </a:graphicData>
                </a:graphic>
              </wp:anchor>
            </w:drawing>
          </mc:Choice>
          <mc:Fallback>
            <w:pict>
              <v:shape id="_x0000_s1131" type="#_x0000_t202" style="position:absolute;margin-left:225.09999999999999pt;margin-top:207.20000000000002pt;width:127.7pt;height:8.6500000000000004pt;z-index:251657751;mso-wrap-distance-left:0;mso-wrap-distance-right:0;mso-position-horizontal-relative:page" filled="f" stroked="f">
                <v:textbox inset="0,0,0,0">
                  <w:txbxContent>
                    <w:p>
                      <w:pPr>
                        <w:pStyle w:val="Style38"/>
                        <w:keepNext w:val="0"/>
                        <w:keepLines w:val="0"/>
                        <w:widowControl w:val="0"/>
                        <w:pBdr>
                          <w:top w:val="single" w:sz="0" w:space="0" w:color="050812"/>
                          <w:left w:val="single" w:sz="0" w:space="0" w:color="050812"/>
                          <w:bottom w:val="single" w:sz="0" w:space="1" w:color="050812"/>
                          <w:right w:val="single" w:sz="0" w:space="0" w:color="050812"/>
                        </w:pBdr>
                        <w:shd w:val="clear" w:color="auto" w:fill="050812"/>
                        <w:tabs>
                          <w:tab w:pos="955" w:val="left"/>
                          <w:tab w:pos="1670" w:val="left"/>
                        </w:tabs>
                        <w:bidi w:val="0"/>
                        <w:spacing w:before="0" w:after="0" w:line="240" w:lineRule="auto"/>
                        <w:ind w:left="0" w:right="0" w:firstLine="0"/>
                        <w:jc w:val="right"/>
                        <w:rPr>
                          <w:sz w:val="8"/>
                          <w:szCs w:val="8"/>
                        </w:rPr>
                      </w:pPr>
                      <w:r>
                        <w:rPr>
                          <w:rFonts w:ascii="Arial" w:eastAsia="Arial" w:hAnsi="Arial" w:cs="Arial"/>
                          <w:b/>
                          <w:bCs/>
                          <w:color w:val="7FB4BE"/>
                          <w:spacing w:val="0"/>
                          <w:w w:val="100"/>
                          <w:position w:val="0"/>
                          <w:sz w:val="8"/>
                          <w:szCs w:val="8"/>
                        </w:rPr>
                        <w:t>_</w:t>
                      </w:r>
                      <w:r>
                        <w:rPr>
                          <w:rFonts w:ascii="Arial" w:eastAsia="Arial" w:hAnsi="Arial" w:cs="Arial"/>
                          <w:b/>
                          <w:bCs/>
                          <w:color w:val="7FB4BE"/>
                          <w:spacing w:val="0"/>
                          <w:w w:val="100"/>
                          <w:position w:val="0"/>
                          <w:sz w:val="8"/>
                          <w:szCs w:val="8"/>
                        </w:rPr>
                        <w:t>Wa^B ''</w:t>
                      </w:r>
                      <w:r>
                        <w:rPr>
                          <w:rFonts w:ascii="Arial" w:eastAsia="Arial" w:hAnsi="Arial" w:cs="Arial"/>
                          <w:b/>
                          <w:bCs/>
                          <w:color w:val="7FB4BE"/>
                          <w:spacing w:val="0"/>
                          <w:w w:val="100"/>
                          <w:position w:val="0"/>
                          <w:sz w:val="8"/>
                          <w:szCs w:val="8"/>
                        </w:rPr>
                        <w:t>_</w:t>
                      </w:r>
                      <w:r>
                        <w:rPr>
                          <w:rFonts w:ascii="Arial" w:eastAsia="Arial" w:hAnsi="Arial" w:cs="Arial"/>
                          <w:b/>
                          <w:bCs/>
                          <w:color w:val="7FB4BE"/>
                          <w:spacing w:val="0"/>
                          <w:w w:val="100"/>
                          <w:position w:val="0"/>
                          <w:sz w:val="8"/>
                          <w:szCs w:val="8"/>
                        </w:rPr>
                        <w:t>WMM</w:t>
                        <w:tab/>
                        <w:t>-RSEW '</w:t>
                        <w:tab/>
                      </w:r>
                      <w:r>
                        <w:rPr>
                          <w:rFonts w:ascii="Arial" w:eastAsia="Arial" w:hAnsi="Arial" w:cs="Arial"/>
                          <w:b/>
                          <w:bCs/>
                          <w:color w:val="7FB4BE"/>
                          <w:spacing w:val="0"/>
                          <w:w w:val="100"/>
                          <w:position w:val="0"/>
                          <w:sz w:val="8"/>
                          <w:szCs w:val="8"/>
                        </w:rPr>
                        <w:t>~~</w:t>
                      </w:r>
                      <w:r>
                        <w:rPr>
                          <w:rFonts w:ascii="Arial" w:eastAsia="Arial" w:hAnsi="Arial" w:cs="Arial"/>
                          <w:b/>
                          <w:bCs/>
                          <w:color w:val="7FB4BE"/>
                          <w:spacing w:val="0"/>
                          <w:w w:val="100"/>
                          <w:position w:val="0"/>
                          <w:sz w:val="8"/>
                          <w:szCs w:val="8"/>
                        </w:rPr>
                        <w:t>ViSRW</w:t>
                      </w:r>
                    </w:p>
                  </w:txbxContent>
                </v:textbox>
                <w10:wrap anchorx="page"/>
              </v:shape>
            </w:pict>
          </mc:Fallback>
        </mc:AlternateContent>
      </w:r>
      <w:r>
        <w:drawing>
          <wp:anchor distT="1723390" distB="652145" distL="0" distR="0" simplePos="0" relativeHeight="125829452" behindDoc="0" locked="0" layoutInCell="1" allowOverlap="1">
            <wp:simplePos x="0" y="0"/>
            <wp:positionH relativeFrom="page">
              <wp:posOffset>917575</wp:posOffset>
            </wp:positionH>
            <wp:positionV relativeFrom="paragraph">
              <wp:posOffset>1723390</wp:posOffset>
            </wp:positionV>
            <wp:extent cx="603250" cy="365760"/>
            <wp:wrapTopAndBottom/>
            <wp:docPr id="107" name="Shape 107"/>
            <a:graphic xmlns:a="http://schemas.openxmlformats.org/drawingml/2006/main">
              <a:graphicData uri="http://schemas.openxmlformats.org/drawingml/2006/picture">
                <pic:pic xmlns:pic="http://schemas.openxmlformats.org/drawingml/2006/picture">
                  <pic:nvPicPr>
                    <pic:cNvPr id="108" name="Picture box 108"/>
                    <pic:cNvPicPr/>
                  </pic:nvPicPr>
                  <pic:blipFill>
                    <a:blip r:embed="rId21"/>
                    <a:stretch/>
                  </pic:blipFill>
                  <pic:spPr>
                    <a:xfrm>
                      <a:ext cx="603250" cy="365760"/>
                    </a:xfrm>
                    <a:prstGeom prst="rect"/>
                  </pic:spPr>
                </pic:pic>
              </a:graphicData>
            </a:graphic>
          </wp:anchor>
        </w:drawing>
      </w:r>
      <w:r>
        <w:drawing>
          <wp:anchor distT="2094865" distB="18415" distL="0" distR="0" simplePos="0" relativeHeight="125829453" behindDoc="0" locked="0" layoutInCell="1" allowOverlap="1">
            <wp:simplePos x="0" y="0"/>
            <wp:positionH relativeFrom="page">
              <wp:posOffset>892810</wp:posOffset>
            </wp:positionH>
            <wp:positionV relativeFrom="paragraph">
              <wp:posOffset>2094865</wp:posOffset>
            </wp:positionV>
            <wp:extent cx="1249680" cy="628015"/>
            <wp:wrapTopAndBottom/>
            <wp:docPr id="109" name="Shape 109"/>
            <a:graphic xmlns:a="http://schemas.openxmlformats.org/drawingml/2006/main">
              <a:graphicData uri="http://schemas.openxmlformats.org/drawingml/2006/picture">
                <pic:pic xmlns:pic="http://schemas.openxmlformats.org/drawingml/2006/picture">
                  <pic:nvPicPr>
                    <pic:cNvPr id="110" name="Picture box 110"/>
                    <pic:cNvPicPr/>
                  </pic:nvPicPr>
                  <pic:blipFill>
                    <a:blip r:embed="rId23"/>
                    <a:stretch/>
                  </pic:blipFill>
                  <pic:spPr>
                    <a:xfrm>
                      <a:ext cx="1249680" cy="628015"/>
                    </a:xfrm>
                    <a:prstGeom prst="rect"/>
                  </pic:spPr>
                </pic:pic>
              </a:graphicData>
            </a:graphic>
          </wp:anchor>
        </w:drawing>
      </w:r>
      <w:r>
        <w:drawing>
          <wp:anchor distT="67945" distB="2173605" distL="0" distR="0" simplePos="0" relativeHeight="125829454" behindDoc="0" locked="0" layoutInCell="1" allowOverlap="1">
            <wp:simplePos x="0" y="0"/>
            <wp:positionH relativeFrom="page">
              <wp:posOffset>5300345</wp:posOffset>
            </wp:positionH>
            <wp:positionV relativeFrom="paragraph">
              <wp:posOffset>67945</wp:posOffset>
            </wp:positionV>
            <wp:extent cx="1054735" cy="499745"/>
            <wp:wrapTopAndBottom/>
            <wp:docPr id="111" name="Shape 111"/>
            <a:graphic xmlns:a="http://schemas.openxmlformats.org/drawingml/2006/main">
              <a:graphicData uri="http://schemas.openxmlformats.org/drawingml/2006/picture">
                <pic:pic xmlns:pic="http://schemas.openxmlformats.org/drawingml/2006/picture">
                  <pic:nvPicPr>
                    <pic:cNvPr id="112" name="Picture box 112"/>
                    <pic:cNvPicPr/>
                  </pic:nvPicPr>
                  <pic:blipFill>
                    <a:blip r:embed="rId25"/>
                    <a:stretch/>
                  </pic:blipFill>
                  <pic:spPr>
                    <a:xfrm>
                      <a:ext cx="1054735" cy="499745"/>
                    </a:xfrm>
                    <a:prstGeom prst="rect"/>
                  </pic:spPr>
                </pic:pic>
              </a:graphicData>
            </a:graphic>
          </wp:anchor>
        </w:drawing>
      </w:r>
      <w:r>
        <w:drawing>
          <wp:anchor distT="653415" distB="731520" distL="0" distR="0" simplePos="0" relativeHeight="125829455" behindDoc="0" locked="0" layoutInCell="1" allowOverlap="1">
            <wp:simplePos x="0" y="0"/>
            <wp:positionH relativeFrom="page">
              <wp:posOffset>4977130</wp:posOffset>
            </wp:positionH>
            <wp:positionV relativeFrom="paragraph">
              <wp:posOffset>653415</wp:posOffset>
            </wp:positionV>
            <wp:extent cx="1097280" cy="1359535"/>
            <wp:wrapTopAndBottom/>
            <wp:docPr id="113" name="Shape 113"/>
            <a:graphic xmlns:a="http://schemas.openxmlformats.org/drawingml/2006/main">
              <a:graphicData uri="http://schemas.openxmlformats.org/drawingml/2006/picture">
                <pic:pic xmlns:pic="http://schemas.openxmlformats.org/drawingml/2006/picture">
                  <pic:nvPicPr>
                    <pic:cNvPr id="114" name="Picture box 114"/>
                    <pic:cNvPicPr/>
                  </pic:nvPicPr>
                  <pic:blipFill>
                    <a:blip r:embed="rId27"/>
                    <a:stretch/>
                  </pic:blipFill>
                  <pic:spPr>
                    <a:xfrm>
                      <a:ext cx="1097280" cy="1359535"/>
                    </a:xfrm>
                    <a:prstGeom prst="rect"/>
                  </pic:spPr>
                </pic:pic>
              </a:graphicData>
            </a:graphic>
          </wp:anchor>
        </w:drawing>
      </w:r>
      <w:r>
        <w:drawing>
          <wp:anchor distT="735330" distB="756285" distL="0" distR="0" simplePos="0" relativeHeight="125829456" behindDoc="0" locked="0" layoutInCell="1" allowOverlap="1">
            <wp:simplePos x="0" y="0"/>
            <wp:positionH relativeFrom="page">
              <wp:posOffset>6141720</wp:posOffset>
            </wp:positionH>
            <wp:positionV relativeFrom="paragraph">
              <wp:posOffset>735330</wp:posOffset>
            </wp:positionV>
            <wp:extent cx="243840" cy="1249680"/>
            <wp:wrapTopAndBottom/>
            <wp:docPr id="115" name="Shape 115"/>
            <a:graphic xmlns:a="http://schemas.openxmlformats.org/drawingml/2006/main">
              <a:graphicData uri="http://schemas.openxmlformats.org/drawingml/2006/picture">
                <pic:pic xmlns:pic="http://schemas.openxmlformats.org/drawingml/2006/picture">
                  <pic:nvPicPr>
                    <pic:cNvPr id="116" name="Picture box 116"/>
                    <pic:cNvPicPr/>
                  </pic:nvPicPr>
                  <pic:blipFill>
                    <a:blip r:embed="rId29"/>
                    <a:stretch/>
                  </pic:blipFill>
                  <pic:spPr>
                    <a:xfrm>
                      <a:ext cx="243840" cy="1249680"/>
                    </a:xfrm>
                    <a:prstGeom prst="rect"/>
                  </pic:spPr>
                </pic:pic>
              </a:graphicData>
            </a:graphic>
          </wp:anchor>
        </w:drawing>
      </w:r>
      <w:r>
        <w:drawing>
          <wp:anchor distT="1314450" distB="798830" distL="0" distR="0" simplePos="0" relativeHeight="125829457" behindDoc="0" locked="0" layoutInCell="1" allowOverlap="1">
            <wp:simplePos x="0" y="0"/>
            <wp:positionH relativeFrom="page">
              <wp:posOffset>5611495</wp:posOffset>
            </wp:positionH>
            <wp:positionV relativeFrom="paragraph">
              <wp:posOffset>1314450</wp:posOffset>
            </wp:positionV>
            <wp:extent cx="768350" cy="628015"/>
            <wp:wrapTopAndBottom/>
            <wp:docPr id="117" name="Shape 117"/>
            <a:graphic xmlns:a="http://schemas.openxmlformats.org/drawingml/2006/main">
              <a:graphicData uri="http://schemas.openxmlformats.org/drawingml/2006/picture">
                <pic:pic xmlns:pic="http://schemas.openxmlformats.org/drawingml/2006/picture">
                  <pic:nvPicPr>
                    <pic:cNvPr id="118" name="Picture box 118"/>
                    <pic:cNvPicPr/>
                  </pic:nvPicPr>
                  <pic:blipFill>
                    <a:blip r:embed="rId31"/>
                    <a:stretch/>
                  </pic:blipFill>
                  <pic:spPr>
                    <a:xfrm>
                      <a:ext cx="768350" cy="628015"/>
                    </a:xfrm>
                    <a:prstGeom prst="rect"/>
                  </pic:spPr>
                </pic:pic>
              </a:graphicData>
            </a:graphic>
          </wp:anchor>
        </w:drawing>
      </w:r>
      <w:r>
        <w:drawing>
          <wp:anchor distT="2009775" distB="18415" distL="0" distR="0" simplePos="0" relativeHeight="125829458" behindDoc="0" locked="0" layoutInCell="1" allowOverlap="1">
            <wp:simplePos x="0" y="0"/>
            <wp:positionH relativeFrom="page">
              <wp:posOffset>4949825</wp:posOffset>
            </wp:positionH>
            <wp:positionV relativeFrom="paragraph">
              <wp:posOffset>2009775</wp:posOffset>
            </wp:positionV>
            <wp:extent cx="1438910" cy="713105"/>
            <wp:wrapTopAndBottom/>
            <wp:docPr id="119" name="Shape 119"/>
            <a:graphic xmlns:a="http://schemas.openxmlformats.org/drawingml/2006/main">
              <a:graphicData uri="http://schemas.openxmlformats.org/drawingml/2006/picture">
                <pic:pic xmlns:pic="http://schemas.openxmlformats.org/drawingml/2006/picture">
                  <pic:nvPicPr>
                    <pic:cNvPr id="120" name="Picture box 120"/>
                    <pic:cNvPicPr/>
                  </pic:nvPicPr>
                  <pic:blipFill>
                    <a:blip r:embed="rId33"/>
                    <a:stretch/>
                  </pic:blipFill>
                  <pic:spPr>
                    <a:xfrm>
                      <a:ext cx="1438910" cy="713105"/>
                    </a:xfrm>
                    <a:prstGeom prst="rect"/>
                  </pic:spPr>
                </pic:pic>
              </a:graphicData>
            </a:graphic>
          </wp:anchor>
        </w:drawing>
      </w:r>
    </w:p>
    <w:p>
      <w:pPr>
        <w:pStyle w:val="Style59"/>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 xml:space="preserve">四川省级平台基于省级数字化城市管理平台搭建，在共享使用国家平台1个业务指导系统 的基础上，开发建设住房城乡建设部规定的监督检查、综合评价2个应用系统和数据交换、应 用维护2个维护系统，结合四川实际，开发建设执法监督1个拓展系统，构建“ </w:t>
      </w:r>
      <w:r>
        <w:rPr>
          <w:color w:val="000000"/>
          <w:spacing w:val="0"/>
          <w:w w:val="100"/>
          <w:position w:val="0"/>
          <w:sz w:val="24"/>
          <w:szCs w:val="24"/>
        </w:rPr>
        <w:t>1+2+2+1”</w:t>
      </w:r>
      <w:r>
        <w:rPr>
          <w:color w:val="000000"/>
          <w:spacing w:val="0"/>
          <w:w w:val="100"/>
          <w:position w:val="0"/>
          <w:sz w:val="24"/>
          <w:szCs w:val="24"/>
        </w:rPr>
        <w:t>应用 体系，并通过数据交换系统纵向对接国家平台、城市平台的监督检查、综合评价2个应用系统， 横向与厅内其他信息系统数据融合，与相关省级部门信息共享，开展对全省城市管理服务工 作的监督指导、统筹协调、综合评价，发挥“上传下达”作用，构建起适应高质量发展要求 的城市综合管理服务工作体系，增强城市管理服务统筹协调能力，提高城市精细化管理服务 水平。</w:t>
      </w:r>
      <w:r>
        <w:br w:type="page"/>
      </w:r>
    </w:p>
    <w:p>
      <w:pPr>
        <w:framePr w:w="8602" w:h="4037" w:wrap="notBeside" w:vAnchor="text" w:hAnchor="text" w:y="1"/>
        <w:widowControl w:val="0"/>
        <w:rPr>
          <w:sz w:val="2"/>
          <w:szCs w:val="2"/>
        </w:rPr>
      </w:pPr>
      <w:r>
        <w:drawing>
          <wp:inline>
            <wp:extent cx="5462270" cy="2566670"/>
            <wp:docPr id="121" name="Picutre 121"/>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35"/>
                    <a:stretch/>
                  </pic:blipFill>
                  <pic:spPr>
                    <a:xfrm>
                      <a:ext cx="5462270" cy="2566670"/>
                    </a:xfrm>
                    <a:prstGeom prst="rect"/>
                  </pic:spPr>
                </pic:pic>
              </a:graphicData>
            </a:graphic>
          </wp:inline>
        </w:drawing>
      </w:r>
    </w:p>
    <w:p>
      <w:pPr>
        <w:widowControl w:val="0"/>
        <w:spacing w:line="1" w:lineRule="exact"/>
      </w:pPr>
      <w:r>
        <mc:AlternateContent>
          <mc:Choice Requires="wps">
            <w:drawing>
              <wp:anchor distT="0" distB="0" distL="0" distR="5800725" simplePos="0" relativeHeight="125829459" behindDoc="0" locked="0" layoutInCell="1" allowOverlap="1">
                <wp:simplePos x="0" y="0"/>
                <wp:positionH relativeFrom="column">
                  <wp:posOffset>301625</wp:posOffset>
                </wp:positionH>
                <wp:positionV relativeFrom="paragraph">
                  <wp:posOffset>335280</wp:posOffset>
                </wp:positionV>
                <wp:extent cx="420370" cy="91440"/>
                <wp:wrapTopAndBottom/>
                <wp:docPr id="122" name="Shape 122"/>
                <a:graphic xmlns:a="http://schemas.openxmlformats.org/drawingml/2006/main">
                  <a:graphicData uri="http://schemas.microsoft.com/office/word/2010/wordprocessingShape">
                    <wps:wsp>
                      <wps:cNvSpPr txBox="1"/>
                      <wps:spPr>
                        <a:xfrm>
                          <a:ext cx="420370" cy="91440"/>
                        </a:xfrm>
                        <a:prstGeom prst="rect"/>
                        <a:noFill/>
                      </wps:spPr>
                      <wps:txbx>
                        <w:txbxContent>
                          <w:p>
                            <w:pPr>
                              <w:pStyle w:val="Style38"/>
                              <w:keepNext w:val="0"/>
                              <w:keepLines w:val="0"/>
                              <w:widowControl w:val="0"/>
                              <w:pBdr>
                                <w:top w:val="single" w:sz="0" w:space="0" w:color="030A15"/>
                                <w:left w:val="single" w:sz="0" w:space="0" w:color="030A15"/>
                                <w:bottom w:val="single" w:sz="0" w:space="0" w:color="030A15"/>
                                <w:right w:val="single" w:sz="0" w:space="0" w:color="030A15"/>
                              </w:pBdr>
                              <w:shd w:val="clear" w:color="auto" w:fill="030A15"/>
                              <w:bidi w:val="0"/>
                              <w:spacing w:before="0" w:after="0" w:line="240" w:lineRule="auto"/>
                              <w:ind w:left="0" w:right="0" w:firstLine="0"/>
                              <w:jc w:val="left"/>
                              <w:rPr>
                                <w:sz w:val="9"/>
                                <w:szCs w:val="9"/>
                              </w:rPr>
                            </w:pPr>
                            <w:r>
                              <w:rPr>
                                <w:rFonts w:ascii="SimHei" w:eastAsia="SimHei" w:hAnsi="SimHei" w:cs="SimHei"/>
                                <w:color w:val="D5EDF4"/>
                                <w:spacing w:val="0"/>
                                <w:w w:val="100"/>
                                <w:position w:val="0"/>
                                <w:sz w:val="9"/>
                                <w:szCs w:val="9"/>
                              </w:rPr>
                              <w:t>城市与</w:t>
                            </w:r>
                          </w:p>
                        </w:txbxContent>
                      </wps:txbx>
                      <wps:bodyPr lIns="0" tIns="0" rIns="0" bIns="0">
                        <a:noAutoFit/>
                      </wps:bodyPr>
                    </wps:wsp>
                  </a:graphicData>
                </a:graphic>
              </wp:anchor>
            </w:drawing>
          </mc:Choice>
          <mc:Fallback>
            <w:pict>
              <v:shape id="_x0000_s1148" type="#_x0000_t202" style="position:absolute;margin-left:23.75pt;margin-top:26.400000000000002pt;width:33.100000000000001pt;height:7.2000000000000002pt;z-index:-125829294;mso-wrap-distance-left:0;mso-wrap-distance-right:456.75pt" filled="f" stroked="f">
                <v:textbox inset="0,0,0,0">
                  <w:txbxContent>
                    <w:p>
                      <w:pPr>
                        <w:pStyle w:val="Style38"/>
                        <w:keepNext w:val="0"/>
                        <w:keepLines w:val="0"/>
                        <w:widowControl w:val="0"/>
                        <w:pBdr>
                          <w:top w:val="single" w:sz="0" w:space="0" w:color="030A15"/>
                          <w:left w:val="single" w:sz="0" w:space="0" w:color="030A15"/>
                          <w:bottom w:val="single" w:sz="0" w:space="0" w:color="030A15"/>
                          <w:right w:val="single" w:sz="0" w:space="0" w:color="030A15"/>
                        </w:pBdr>
                        <w:shd w:val="clear" w:color="auto" w:fill="030A15"/>
                        <w:bidi w:val="0"/>
                        <w:spacing w:before="0" w:after="0" w:line="240" w:lineRule="auto"/>
                        <w:ind w:left="0" w:right="0" w:firstLine="0"/>
                        <w:jc w:val="left"/>
                        <w:rPr>
                          <w:sz w:val="9"/>
                          <w:szCs w:val="9"/>
                        </w:rPr>
                      </w:pPr>
                      <w:r>
                        <w:rPr>
                          <w:rFonts w:ascii="SimHei" w:eastAsia="SimHei" w:hAnsi="SimHei" w:cs="SimHei"/>
                          <w:color w:val="D5EDF4"/>
                          <w:spacing w:val="0"/>
                          <w:w w:val="100"/>
                          <w:position w:val="0"/>
                          <w:sz w:val="9"/>
                          <w:szCs w:val="9"/>
                        </w:rPr>
                        <w:t>城市与</w:t>
                      </w:r>
                    </w:p>
                  </w:txbxContent>
                </v:textbox>
                <w10:wrap type="topAndBottom"/>
              </v:shape>
            </w:pict>
          </mc:Fallback>
        </mc:AlternateContent>
      </w:r>
      <w:r>
        <mc:AlternateContent>
          <mc:Choice Requires="wps">
            <w:drawing>
              <wp:anchor distT="0" distB="0" distL="0" distR="5913120" simplePos="0" relativeHeight="125829461" behindDoc="0" locked="0" layoutInCell="1" allowOverlap="1">
                <wp:simplePos x="0" y="0"/>
                <wp:positionH relativeFrom="column">
                  <wp:posOffset>1347470</wp:posOffset>
                </wp:positionH>
                <wp:positionV relativeFrom="paragraph">
                  <wp:posOffset>801370</wp:posOffset>
                </wp:positionV>
                <wp:extent cx="307975" cy="100330"/>
                <wp:wrapTopAndBottom/>
                <wp:docPr id="124" name="Shape 124"/>
                <a:graphic xmlns:a="http://schemas.openxmlformats.org/drawingml/2006/main">
                  <a:graphicData uri="http://schemas.microsoft.com/office/word/2010/wordprocessingShape">
                    <wps:wsp>
                      <wps:cNvSpPr txBox="1"/>
                      <wps:spPr>
                        <a:xfrm>
                          <a:ext cx="307975" cy="100330"/>
                        </a:xfrm>
                        <a:prstGeom prst="rect"/>
                        <a:noFill/>
                      </wps:spPr>
                      <wps:txbx>
                        <w:txbxContent>
                          <w:p>
                            <w:pPr>
                              <w:pStyle w:val="Style38"/>
                              <w:keepNext w:val="0"/>
                              <w:keepLines w:val="0"/>
                              <w:widowControl w:val="0"/>
                              <w:pBdr>
                                <w:top w:val="single" w:sz="0" w:space="0" w:color="042957"/>
                                <w:left w:val="single" w:sz="0" w:space="0" w:color="042957"/>
                                <w:bottom w:val="single" w:sz="0" w:space="0" w:color="042957"/>
                                <w:right w:val="single" w:sz="0" w:space="0" w:color="042957"/>
                              </w:pBdr>
                              <w:shd w:val="clear" w:color="auto" w:fill="042957"/>
                              <w:bidi w:val="0"/>
                              <w:spacing w:before="0" w:after="0" w:line="240" w:lineRule="auto"/>
                              <w:ind w:left="0" w:right="0" w:firstLine="0"/>
                              <w:jc w:val="left"/>
                              <w:rPr>
                                <w:sz w:val="11"/>
                                <w:szCs w:val="11"/>
                              </w:rPr>
                            </w:pPr>
                            <w:r>
                              <w:rPr>
                                <w:rFonts w:ascii="Arial" w:eastAsia="Arial" w:hAnsi="Arial" w:cs="Arial"/>
                                <w:b/>
                                <w:bCs/>
                                <w:color w:val="38D4E7"/>
                                <w:spacing w:val="0"/>
                                <w:w w:val="100"/>
                                <w:position w:val="0"/>
                                <w:sz w:val="11"/>
                                <w:szCs w:val="11"/>
                              </w:rPr>
                              <w:t>260.19</w:t>
                            </w:r>
                          </w:p>
                        </w:txbxContent>
                      </wps:txbx>
                      <wps:bodyPr lIns="0" tIns="0" rIns="0" bIns="0">
                        <a:noAutoFit/>
                      </wps:bodyPr>
                    </wps:wsp>
                  </a:graphicData>
                </a:graphic>
              </wp:anchor>
            </w:drawing>
          </mc:Choice>
          <mc:Fallback>
            <w:pict>
              <v:shape id="_x0000_s1150" type="#_x0000_t202" style="position:absolute;margin-left:106.10000000000001pt;margin-top:63.100000000000001pt;width:24.25pt;height:7.9000000000000004pt;z-index:-125829292;mso-wrap-distance-left:0;mso-wrap-distance-right:465.60000000000002pt" filled="f" stroked="f">
                <v:textbox inset="0,0,0,0">
                  <w:txbxContent>
                    <w:p>
                      <w:pPr>
                        <w:pStyle w:val="Style38"/>
                        <w:keepNext w:val="0"/>
                        <w:keepLines w:val="0"/>
                        <w:widowControl w:val="0"/>
                        <w:pBdr>
                          <w:top w:val="single" w:sz="0" w:space="0" w:color="042957"/>
                          <w:left w:val="single" w:sz="0" w:space="0" w:color="042957"/>
                          <w:bottom w:val="single" w:sz="0" w:space="0" w:color="042957"/>
                          <w:right w:val="single" w:sz="0" w:space="0" w:color="042957"/>
                        </w:pBdr>
                        <w:shd w:val="clear" w:color="auto" w:fill="042957"/>
                        <w:bidi w:val="0"/>
                        <w:spacing w:before="0" w:after="0" w:line="240" w:lineRule="auto"/>
                        <w:ind w:left="0" w:right="0" w:firstLine="0"/>
                        <w:jc w:val="left"/>
                        <w:rPr>
                          <w:sz w:val="11"/>
                          <w:szCs w:val="11"/>
                        </w:rPr>
                      </w:pPr>
                      <w:r>
                        <w:rPr>
                          <w:rFonts w:ascii="Arial" w:eastAsia="Arial" w:hAnsi="Arial" w:cs="Arial"/>
                          <w:b/>
                          <w:bCs/>
                          <w:color w:val="38D4E7"/>
                          <w:spacing w:val="0"/>
                          <w:w w:val="100"/>
                          <w:position w:val="0"/>
                          <w:sz w:val="11"/>
                          <w:szCs w:val="11"/>
                        </w:rPr>
                        <w:t>260.19</w:t>
                      </w:r>
                    </w:p>
                  </w:txbxContent>
                </v:textbox>
                <w10:wrap type="topAndBottom"/>
              </v:shape>
            </w:pict>
          </mc:Fallback>
        </mc:AlternateContent>
      </w:r>
      <w:r>
        <mc:AlternateContent>
          <mc:Choice Requires="wps">
            <w:drawing>
              <wp:anchor distT="0" distB="0" distL="0" distR="5970905" simplePos="0" relativeHeight="125829463" behindDoc="0" locked="0" layoutInCell="1" allowOverlap="1">
                <wp:simplePos x="0" y="0"/>
                <wp:positionH relativeFrom="column">
                  <wp:posOffset>271145</wp:posOffset>
                </wp:positionH>
                <wp:positionV relativeFrom="paragraph">
                  <wp:posOffset>1146175</wp:posOffset>
                </wp:positionV>
                <wp:extent cx="250190" cy="97790"/>
                <wp:wrapTopAndBottom/>
                <wp:docPr id="126" name="Shape 126"/>
                <a:graphic xmlns:a="http://schemas.openxmlformats.org/drawingml/2006/main">
                  <a:graphicData uri="http://schemas.microsoft.com/office/word/2010/wordprocessingShape">
                    <wps:wsp>
                      <wps:cNvSpPr txBox="1"/>
                      <wps:spPr>
                        <a:xfrm>
                          <a:ext cx="250190" cy="97790"/>
                        </a:xfrm>
                        <a:prstGeom prst="rect"/>
                        <a:noFill/>
                      </wps:spPr>
                      <wps:txbx>
                        <w:txbxContent>
                          <w:p>
                            <w:pPr>
                              <w:pStyle w:val="Style38"/>
                              <w:keepNext w:val="0"/>
                              <w:keepLines w:val="0"/>
                              <w:widowControl w:val="0"/>
                              <w:pBdr>
                                <w:top w:val="single" w:sz="0" w:space="0" w:color="04080F"/>
                                <w:left w:val="single" w:sz="0" w:space="0" w:color="04080F"/>
                                <w:bottom w:val="single" w:sz="0" w:space="0" w:color="04080F"/>
                                <w:right w:val="single" w:sz="0" w:space="0" w:color="04080F"/>
                              </w:pBdr>
                              <w:shd w:val="clear" w:color="auto" w:fill="04080F"/>
                              <w:bidi w:val="0"/>
                              <w:spacing w:before="0" w:after="0" w:line="240" w:lineRule="auto"/>
                              <w:ind w:left="0" w:right="0" w:firstLine="0"/>
                              <w:jc w:val="left"/>
                              <w:rPr>
                                <w:sz w:val="11"/>
                                <w:szCs w:val="11"/>
                              </w:rPr>
                            </w:pPr>
                            <w:r>
                              <w:rPr>
                                <w:rFonts w:ascii="Arial" w:eastAsia="Arial" w:hAnsi="Arial" w:cs="Arial"/>
                                <w:b/>
                                <w:bCs/>
                                <w:color w:val="38D4E7"/>
                                <w:spacing w:val="0"/>
                                <w:w w:val="100"/>
                                <w:position w:val="0"/>
                                <w:sz w:val="11"/>
                                <w:szCs w:val="11"/>
                              </w:rPr>
                              <w:t>81.91</w:t>
                            </w:r>
                          </w:p>
                        </w:txbxContent>
                      </wps:txbx>
                      <wps:bodyPr lIns="0" tIns="0" rIns="0" bIns="0">
                        <a:noAutoFit/>
                      </wps:bodyPr>
                    </wps:wsp>
                  </a:graphicData>
                </a:graphic>
              </wp:anchor>
            </w:drawing>
          </mc:Choice>
          <mc:Fallback>
            <w:pict>
              <v:shape id="_x0000_s1152" type="#_x0000_t202" style="position:absolute;margin-left:21.350000000000001pt;margin-top:90.25pt;width:19.699999999999999pt;height:7.7000000000000002pt;z-index:-125829290;mso-wrap-distance-left:0;mso-wrap-distance-right:470.15000000000003pt" filled="f" stroked="f">
                <v:textbox inset="0,0,0,0">
                  <w:txbxContent>
                    <w:p>
                      <w:pPr>
                        <w:pStyle w:val="Style38"/>
                        <w:keepNext w:val="0"/>
                        <w:keepLines w:val="0"/>
                        <w:widowControl w:val="0"/>
                        <w:pBdr>
                          <w:top w:val="single" w:sz="0" w:space="0" w:color="04080F"/>
                          <w:left w:val="single" w:sz="0" w:space="0" w:color="04080F"/>
                          <w:bottom w:val="single" w:sz="0" w:space="0" w:color="04080F"/>
                          <w:right w:val="single" w:sz="0" w:space="0" w:color="04080F"/>
                        </w:pBdr>
                        <w:shd w:val="clear" w:color="auto" w:fill="04080F"/>
                        <w:bidi w:val="0"/>
                        <w:spacing w:before="0" w:after="0" w:line="240" w:lineRule="auto"/>
                        <w:ind w:left="0" w:right="0" w:firstLine="0"/>
                        <w:jc w:val="left"/>
                        <w:rPr>
                          <w:sz w:val="11"/>
                          <w:szCs w:val="11"/>
                        </w:rPr>
                      </w:pPr>
                      <w:r>
                        <w:rPr>
                          <w:rFonts w:ascii="Arial" w:eastAsia="Arial" w:hAnsi="Arial" w:cs="Arial"/>
                          <w:b/>
                          <w:bCs/>
                          <w:color w:val="38D4E7"/>
                          <w:spacing w:val="0"/>
                          <w:w w:val="100"/>
                          <w:position w:val="0"/>
                          <w:sz w:val="11"/>
                          <w:szCs w:val="11"/>
                        </w:rPr>
                        <w:t>81.91</w:t>
                      </w:r>
                    </w:p>
                  </w:txbxContent>
                </v:textbox>
                <w10:wrap type="topAndBottom"/>
              </v:shape>
            </w:pict>
          </mc:Fallback>
        </mc:AlternateContent>
      </w:r>
      <w:r>
        <mc:AlternateContent>
          <mc:Choice Requires="wps">
            <w:drawing>
              <wp:anchor distT="0" distB="0" distL="0" distR="6047105" simplePos="0" relativeHeight="125829465" behindDoc="0" locked="0" layoutInCell="1" allowOverlap="1">
                <wp:simplePos x="0" y="0"/>
                <wp:positionH relativeFrom="column">
                  <wp:posOffset>1197610</wp:posOffset>
                </wp:positionH>
                <wp:positionV relativeFrom="paragraph">
                  <wp:posOffset>2468880</wp:posOffset>
                </wp:positionV>
                <wp:extent cx="173990" cy="88265"/>
                <wp:wrapTopAndBottom/>
                <wp:docPr id="128" name="Shape 128"/>
                <a:graphic xmlns:a="http://schemas.openxmlformats.org/drawingml/2006/main">
                  <a:graphicData uri="http://schemas.microsoft.com/office/word/2010/wordprocessingShape">
                    <wps:wsp>
                      <wps:cNvSpPr txBox="1"/>
                      <wps:spPr>
                        <a:xfrm>
                          <a:ext cx="173990" cy="88265"/>
                        </a:xfrm>
                        <a:prstGeom prst="rect"/>
                        <a:noFill/>
                      </wps:spPr>
                      <wps:txbx>
                        <w:txbxContent>
                          <w:p>
                            <w:pPr>
                              <w:pStyle w:val="Style38"/>
                              <w:keepNext w:val="0"/>
                              <w:keepLines w:val="0"/>
                              <w:widowControl w:val="0"/>
                              <w:pBdr>
                                <w:top w:val="single" w:sz="0" w:space="0" w:color="184859"/>
                                <w:left w:val="single" w:sz="0" w:space="0" w:color="184859"/>
                                <w:bottom w:val="single" w:sz="0" w:space="0" w:color="184859"/>
                                <w:right w:val="single" w:sz="0" w:space="0" w:color="184859"/>
                              </w:pBdr>
                              <w:shd w:val="clear" w:color="auto" w:fill="184859"/>
                              <w:bidi w:val="0"/>
                              <w:spacing w:before="0" w:after="0" w:line="240" w:lineRule="auto"/>
                              <w:ind w:left="0" w:right="0" w:firstLine="0"/>
                              <w:jc w:val="left"/>
                              <w:rPr>
                                <w:sz w:val="9"/>
                                <w:szCs w:val="9"/>
                              </w:rPr>
                            </w:pPr>
                            <w:r>
                              <w:rPr>
                                <w:rFonts w:ascii="SimHei" w:eastAsia="SimHei" w:hAnsi="SimHei" w:cs="SimHei"/>
                                <w:color w:val="A8CFDE"/>
                                <w:spacing w:val="0"/>
                                <w:w w:val="100"/>
                                <w:position w:val="0"/>
                                <w:sz w:val="9"/>
                                <w:szCs w:val="9"/>
                              </w:rPr>
                              <w:t>综合</w:t>
                            </w:r>
                          </w:p>
                        </w:txbxContent>
                      </wps:txbx>
                      <wps:bodyPr lIns="0" tIns="0" rIns="0" bIns="0">
                        <a:noAutoFit/>
                      </wps:bodyPr>
                    </wps:wsp>
                  </a:graphicData>
                </a:graphic>
              </wp:anchor>
            </w:drawing>
          </mc:Choice>
          <mc:Fallback>
            <w:pict>
              <v:shape id="_x0000_s1154" type="#_x0000_t202" style="position:absolute;margin-left:94.299999999999997pt;margin-top:194.40000000000001pt;width:13.700000000000001pt;height:6.9500000000000002pt;z-index:-125829288;mso-wrap-distance-left:0;mso-wrap-distance-right:476.15000000000003pt" filled="f" stroked="f">
                <v:textbox inset="0,0,0,0">
                  <w:txbxContent>
                    <w:p>
                      <w:pPr>
                        <w:pStyle w:val="Style38"/>
                        <w:keepNext w:val="0"/>
                        <w:keepLines w:val="0"/>
                        <w:widowControl w:val="0"/>
                        <w:pBdr>
                          <w:top w:val="single" w:sz="0" w:space="0" w:color="184859"/>
                          <w:left w:val="single" w:sz="0" w:space="0" w:color="184859"/>
                          <w:bottom w:val="single" w:sz="0" w:space="0" w:color="184859"/>
                          <w:right w:val="single" w:sz="0" w:space="0" w:color="184859"/>
                        </w:pBdr>
                        <w:shd w:val="clear" w:color="auto" w:fill="184859"/>
                        <w:bidi w:val="0"/>
                        <w:spacing w:before="0" w:after="0" w:line="240" w:lineRule="auto"/>
                        <w:ind w:left="0" w:right="0" w:firstLine="0"/>
                        <w:jc w:val="left"/>
                        <w:rPr>
                          <w:sz w:val="9"/>
                          <w:szCs w:val="9"/>
                        </w:rPr>
                      </w:pPr>
                      <w:r>
                        <w:rPr>
                          <w:rFonts w:ascii="SimHei" w:eastAsia="SimHei" w:hAnsi="SimHei" w:cs="SimHei"/>
                          <w:color w:val="A8CFDE"/>
                          <w:spacing w:val="0"/>
                          <w:w w:val="100"/>
                          <w:position w:val="0"/>
                          <w:sz w:val="9"/>
                          <w:szCs w:val="9"/>
                        </w:rPr>
                        <w:t>综合</w:t>
                      </w:r>
                    </w:p>
                  </w:txbxContent>
                </v:textbox>
                <w10:wrap type="topAndBottom"/>
              </v:shape>
            </w:pict>
          </mc:Fallback>
        </mc:AlternateContent>
      </w:r>
      <w:r>
        <mc:AlternateContent>
          <mc:Choice Requires="wps">
            <w:drawing>
              <wp:anchor distT="0" distB="0" distL="0" distR="6053455" simplePos="0" relativeHeight="125829467" behindDoc="0" locked="0" layoutInCell="1" allowOverlap="1">
                <wp:simplePos x="0" y="0"/>
                <wp:positionH relativeFrom="column">
                  <wp:posOffset>4026535</wp:posOffset>
                </wp:positionH>
                <wp:positionV relativeFrom="paragraph">
                  <wp:posOffset>2468880</wp:posOffset>
                </wp:positionV>
                <wp:extent cx="167640" cy="88265"/>
                <wp:wrapTopAndBottom/>
                <wp:docPr id="130" name="Shape 130"/>
                <a:graphic xmlns:a="http://schemas.openxmlformats.org/drawingml/2006/main">
                  <a:graphicData uri="http://schemas.microsoft.com/office/word/2010/wordprocessingShape">
                    <wps:wsp>
                      <wps:cNvSpPr txBox="1"/>
                      <wps:spPr>
                        <a:xfrm>
                          <a:ext cx="167640" cy="88265"/>
                        </a:xfrm>
                        <a:prstGeom prst="rect"/>
                        <a:noFill/>
                      </wps:spPr>
                      <wps:txbx>
                        <w:txbxContent>
                          <w:p>
                            <w:pPr>
                              <w:pStyle w:val="Style38"/>
                              <w:keepNext w:val="0"/>
                              <w:keepLines w:val="0"/>
                              <w:widowControl w:val="0"/>
                              <w:pBdr>
                                <w:top w:val="single" w:sz="0" w:space="0" w:color="031825"/>
                                <w:left w:val="single" w:sz="0" w:space="0" w:color="031825"/>
                                <w:bottom w:val="single" w:sz="0" w:space="0" w:color="031825"/>
                                <w:right w:val="single" w:sz="0" w:space="0" w:color="031825"/>
                              </w:pBdr>
                              <w:shd w:val="clear" w:color="auto" w:fill="031825"/>
                              <w:bidi w:val="0"/>
                              <w:spacing w:before="0" w:after="0" w:line="240" w:lineRule="auto"/>
                              <w:ind w:left="0" w:right="0" w:firstLine="0"/>
                              <w:jc w:val="both"/>
                              <w:rPr>
                                <w:sz w:val="9"/>
                                <w:szCs w:val="9"/>
                              </w:rPr>
                            </w:pPr>
                            <w:r>
                              <w:rPr>
                                <w:rFonts w:ascii="SimHei" w:eastAsia="SimHei" w:hAnsi="SimHei" w:cs="SimHei"/>
                                <w:color w:val="B2E4F0"/>
                                <w:spacing w:val="0"/>
                                <w:w w:val="100"/>
                                <w:position w:val="0"/>
                                <w:sz w:val="9"/>
                                <w:szCs w:val="9"/>
                              </w:rPr>
                              <w:t>园林</w:t>
                            </w:r>
                          </w:p>
                        </w:txbxContent>
                      </wps:txbx>
                      <wps:bodyPr lIns="0" tIns="0" rIns="0" bIns="0">
                        <a:noAutoFit/>
                      </wps:bodyPr>
                    </wps:wsp>
                  </a:graphicData>
                </a:graphic>
              </wp:anchor>
            </w:drawing>
          </mc:Choice>
          <mc:Fallback>
            <w:pict>
              <v:shape id="_x0000_s1156" type="#_x0000_t202" style="position:absolute;margin-left:317.05000000000001pt;margin-top:194.40000000000001pt;width:13.200000000000001pt;height:6.9500000000000002pt;z-index:-125829286;mso-wrap-distance-left:0;mso-wrap-distance-right:476.65000000000003pt" filled="f" stroked="f">
                <v:textbox inset="0,0,0,0">
                  <w:txbxContent>
                    <w:p>
                      <w:pPr>
                        <w:pStyle w:val="Style38"/>
                        <w:keepNext w:val="0"/>
                        <w:keepLines w:val="0"/>
                        <w:widowControl w:val="0"/>
                        <w:pBdr>
                          <w:top w:val="single" w:sz="0" w:space="0" w:color="031825"/>
                          <w:left w:val="single" w:sz="0" w:space="0" w:color="031825"/>
                          <w:bottom w:val="single" w:sz="0" w:space="0" w:color="031825"/>
                          <w:right w:val="single" w:sz="0" w:space="0" w:color="031825"/>
                        </w:pBdr>
                        <w:shd w:val="clear" w:color="auto" w:fill="031825"/>
                        <w:bidi w:val="0"/>
                        <w:spacing w:before="0" w:after="0" w:line="240" w:lineRule="auto"/>
                        <w:ind w:left="0" w:right="0" w:firstLine="0"/>
                        <w:jc w:val="both"/>
                        <w:rPr>
                          <w:sz w:val="9"/>
                          <w:szCs w:val="9"/>
                        </w:rPr>
                      </w:pPr>
                      <w:r>
                        <w:rPr>
                          <w:rFonts w:ascii="SimHei" w:eastAsia="SimHei" w:hAnsi="SimHei" w:cs="SimHei"/>
                          <w:color w:val="B2E4F0"/>
                          <w:spacing w:val="0"/>
                          <w:w w:val="100"/>
                          <w:position w:val="0"/>
                          <w:sz w:val="9"/>
                          <w:szCs w:val="9"/>
                        </w:rPr>
                        <w:t>园林</w:t>
                      </w:r>
                    </w:p>
                  </w:txbxContent>
                </v:textbox>
                <w10:wrap type="topAndBottom"/>
              </v:shape>
            </w:pict>
          </mc:Fallback>
        </mc:AlternateContent>
      </w:r>
      <w:r>
        <mc:AlternateContent>
          <mc:Choice Requires="wps">
            <w:drawing>
              <wp:anchor distT="0" distB="0" distL="0" distR="6050280" simplePos="0" relativeHeight="125829469" behindDoc="0" locked="0" layoutInCell="1" allowOverlap="1">
                <wp:simplePos x="0" y="0"/>
                <wp:positionH relativeFrom="column">
                  <wp:posOffset>4428490</wp:posOffset>
                </wp:positionH>
                <wp:positionV relativeFrom="paragraph">
                  <wp:posOffset>2468880</wp:posOffset>
                </wp:positionV>
                <wp:extent cx="170815" cy="88265"/>
                <wp:wrapTopAndBottom/>
                <wp:docPr id="132" name="Shape 132"/>
                <a:graphic xmlns:a="http://schemas.openxmlformats.org/drawingml/2006/main">
                  <a:graphicData uri="http://schemas.microsoft.com/office/word/2010/wordprocessingShape">
                    <wps:wsp>
                      <wps:cNvSpPr txBox="1"/>
                      <wps:spPr>
                        <a:xfrm>
                          <a:ext cx="170815" cy="88265"/>
                        </a:xfrm>
                        <a:prstGeom prst="rect"/>
                        <a:noFill/>
                      </wps:spPr>
                      <wps:txbx>
                        <w:txbxContent>
                          <w:p>
                            <w:pPr>
                              <w:pStyle w:val="Style38"/>
                              <w:keepNext w:val="0"/>
                              <w:keepLines w:val="0"/>
                              <w:widowControl w:val="0"/>
                              <w:pBdr>
                                <w:top w:val="single" w:sz="0" w:space="0" w:color="154859"/>
                                <w:left w:val="single" w:sz="0" w:space="0" w:color="154859"/>
                                <w:bottom w:val="single" w:sz="0" w:space="0" w:color="154859"/>
                                <w:right w:val="single" w:sz="0" w:space="0" w:color="154859"/>
                              </w:pBdr>
                              <w:shd w:val="clear" w:color="auto" w:fill="154859"/>
                              <w:bidi w:val="0"/>
                              <w:spacing w:before="0" w:after="0" w:line="240" w:lineRule="auto"/>
                              <w:ind w:left="0" w:right="0" w:firstLine="0"/>
                              <w:jc w:val="left"/>
                              <w:rPr>
                                <w:sz w:val="9"/>
                                <w:szCs w:val="9"/>
                              </w:rPr>
                            </w:pPr>
                            <w:r>
                              <w:rPr>
                                <w:rFonts w:ascii="SimHei" w:eastAsia="SimHei" w:hAnsi="SimHei" w:cs="SimHei"/>
                                <w:color w:val="A8CFDE"/>
                                <w:spacing w:val="0"/>
                                <w:w w:val="100"/>
                                <w:position w:val="0"/>
                                <w:sz w:val="9"/>
                                <w:szCs w:val="9"/>
                              </w:rPr>
                              <w:t>执法</w:t>
                            </w:r>
                          </w:p>
                        </w:txbxContent>
                      </wps:txbx>
                      <wps:bodyPr lIns="0" tIns="0" rIns="0" bIns="0">
                        <a:noAutoFit/>
                      </wps:bodyPr>
                    </wps:wsp>
                  </a:graphicData>
                </a:graphic>
              </wp:anchor>
            </w:drawing>
          </mc:Choice>
          <mc:Fallback>
            <w:pict>
              <v:shape id="_x0000_s1158" type="#_x0000_t202" style="position:absolute;margin-left:348.69999999999999pt;margin-top:194.40000000000001pt;width:13.450000000000001pt;height:6.9500000000000002pt;z-index:-125829284;mso-wrap-distance-left:0;mso-wrap-distance-right:476.40000000000003pt" filled="f" stroked="f">
                <v:textbox inset="0,0,0,0">
                  <w:txbxContent>
                    <w:p>
                      <w:pPr>
                        <w:pStyle w:val="Style38"/>
                        <w:keepNext w:val="0"/>
                        <w:keepLines w:val="0"/>
                        <w:widowControl w:val="0"/>
                        <w:pBdr>
                          <w:top w:val="single" w:sz="0" w:space="0" w:color="154859"/>
                          <w:left w:val="single" w:sz="0" w:space="0" w:color="154859"/>
                          <w:bottom w:val="single" w:sz="0" w:space="0" w:color="154859"/>
                          <w:right w:val="single" w:sz="0" w:space="0" w:color="154859"/>
                        </w:pBdr>
                        <w:shd w:val="clear" w:color="auto" w:fill="154859"/>
                        <w:bidi w:val="0"/>
                        <w:spacing w:before="0" w:after="0" w:line="240" w:lineRule="auto"/>
                        <w:ind w:left="0" w:right="0" w:firstLine="0"/>
                        <w:jc w:val="left"/>
                        <w:rPr>
                          <w:sz w:val="9"/>
                          <w:szCs w:val="9"/>
                        </w:rPr>
                      </w:pPr>
                      <w:r>
                        <w:rPr>
                          <w:rFonts w:ascii="SimHei" w:eastAsia="SimHei" w:hAnsi="SimHei" w:cs="SimHei"/>
                          <w:color w:val="A8CFDE"/>
                          <w:spacing w:val="0"/>
                          <w:w w:val="100"/>
                          <w:position w:val="0"/>
                          <w:sz w:val="9"/>
                          <w:szCs w:val="9"/>
                        </w:rPr>
                        <w:t>执法</w:t>
                      </w:r>
                    </w:p>
                  </w:txbxContent>
                </v:textbox>
                <w10:wrap type="topAndBottom"/>
              </v:shape>
            </w:pict>
          </mc:Fallback>
        </mc:AlternateContent>
      </w:r>
    </w:p>
    <w:p>
      <w:pPr>
        <w:pStyle w:val="Style59"/>
        <w:keepNext w:val="0"/>
        <w:keepLines w:val="0"/>
        <w:widowControl w:val="0"/>
        <w:shd w:val="clear" w:color="auto" w:fill="auto"/>
        <w:bidi w:val="0"/>
        <w:spacing w:before="0" w:after="0" w:line="470" w:lineRule="exact"/>
        <w:ind w:left="0" w:right="0" w:firstLine="480"/>
        <w:jc w:val="both"/>
      </w:pPr>
      <w:bookmarkStart w:id="89" w:name="bookmark89"/>
      <w:r>
        <w:rPr>
          <w:b/>
          <w:bCs/>
          <w:color w:val="000000"/>
          <w:spacing w:val="0"/>
          <w:w w:val="100"/>
          <w:position w:val="0"/>
          <w:sz w:val="24"/>
          <w:szCs w:val="24"/>
        </w:rPr>
        <w:t>（</w:t>
      </w:r>
      <w:bookmarkEnd w:id="89"/>
      <w:r>
        <w:rPr>
          <w:b/>
          <w:bCs/>
          <w:color w:val="000000"/>
          <w:spacing w:val="0"/>
          <w:w w:val="100"/>
          <w:position w:val="0"/>
          <w:sz w:val="24"/>
          <w:szCs w:val="24"/>
        </w:rPr>
        <w:t>2）市县级平台进展情况</w:t>
      </w:r>
    </w:p>
    <w:p>
      <w:pPr>
        <w:pStyle w:val="Style59"/>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2021年，公司承建了武汉、宿州、安庆、亳州、杭州、温州、荆门、荆门、烟台、淄博、 武夷山、连云港、石家庄、伊犁州等数近百个市县级城市综合（运行）管理服务平台。</w:t>
      </w:r>
    </w:p>
    <w:p>
      <w:pPr>
        <w:pStyle w:val="Style59"/>
        <w:keepNext w:val="0"/>
        <w:keepLines w:val="0"/>
        <w:widowControl w:val="0"/>
        <w:shd w:val="clear" w:color="auto" w:fill="auto"/>
        <w:bidi w:val="0"/>
        <w:spacing w:before="0" w:after="100" w:line="470" w:lineRule="exact"/>
        <w:ind w:left="0" w:right="0" w:firstLine="480"/>
        <w:jc w:val="both"/>
      </w:pPr>
      <w:r>
        <w:rPr>
          <w:color w:val="000000"/>
          <w:spacing w:val="0"/>
          <w:w w:val="100"/>
          <w:position w:val="0"/>
          <w:sz w:val="24"/>
          <w:szCs w:val="24"/>
        </w:rPr>
        <w:t>其中，新疆伊犁州可克达拉市智慧城管项目合同额3,900万元，项目以优先保障民生、改 善民生为出发点，结合市域管理中在城市综合管理、执法、城市供暖、供水、市政基础设施 等方面的业务现状和需求痛点，建设统一政务云平台、统一物联网平台、统一大数据平台、 统一认证接入平台、智慧城管平台、智慧社区平台，并接入127套人员监测设备、78套应急调 度设备、53套车载监测设备、3355套井盖监测设备、1920套供热监测设备、34套供水监测设 备、6套公厕监测设备、2套垃圾分类监测设备，实现城市管理智能化、可视化、柔性化管理。 通过数字挛生</w:t>
      </w:r>
      <w:r>
        <w:rPr>
          <w:color w:val="000000"/>
          <w:spacing w:val="0"/>
          <w:w w:val="100"/>
          <w:position w:val="0"/>
          <w:sz w:val="24"/>
          <w:szCs w:val="24"/>
        </w:rPr>
        <w:t>、CIM</w:t>
      </w:r>
      <w:r>
        <w:rPr>
          <w:color w:val="000000"/>
          <w:spacing w:val="0"/>
          <w:w w:val="100"/>
          <w:position w:val="0"/>
          <w:sz w:val="24"/>
          <w:szCs w:val="24"/>
        </w:rPr>
        <w:t>整合管网、供热、供水、城市基础设施、城管业务等数据，实现全面感知、 分析展现、运营指挥、灵活调度、覆盖城市管理多个业务领域的智慧化平台。</w:t>
      </w:r>
    </w:p>
    <w:p>
      <w:pPr>
        <w:widowControl w:val="0"/>
        <w:jc w:val="center"/>
        <w:rPr>
          <w:sz w:val="2"/>
          <w:szCs w:val="2"/>
        </w:rPr>
      </w:pPr>
      <w:r>
        <w:drawing>
          <wp:inline>
            <wp:extent cx="5565775" cy="2359025"/>
            <wp:docPr id="134" name="Picutre 134"/>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37"/>
                    <a:stretch/>
                  </pic:blipFill>
                  <pic:spPr>
                    <a:xfrm>
                      <a:ext cx="5565775" cy="2359025"/>
                    </a:xfrm>
                    <a:prstGeom prst="rect"/>
                  </pic:spPr>
                </pic:pic>
              </a:graphicData>
            </a:graphic>
          </wp:inline>
        </w:drawing>
      </w:r>
    </w:p>
    <w:p>
      <w:pPr>
        <w:pStyle w:val="Style38"/>
        <w:keepNext w:val="0"/>
        <w:keepLines w:val="0"/>
        <w:widowControl w:val="0"/>
        <w:shd w:val="clear" w:color="auto" w:fill="auto"/>
        <w:bidi w:val="0"/>
        <w:spacing w:before="0" w:after="0" w:line="240" w:lineRule="auto"/>
        <w:ind w:left="274" w:right="0" w:firstLine="0"/>
        <w:jc w:val="left"/>
      </w:pPr>
      <w:r>
        <w:rPr>
          <w:color w:val="000000"/>
          <w:spacing w:val="0"/>
          <w:w w:val="100"/>
          <w:position w:val="0"/>
          <w:sz w:val="24"/>
          <w:szCs w:val="24"/>
        </w:rPr>
        <w:t>安徽宿州智慧城管项目采取</w:t>
      </w:r>
      <w:r>
        <w:rPr>
          <w:color w:val="000000"/>
          <w:spacing w:val="0"/>
          <w:w w:val="100"/>
          <w:position w:val="0"/>
          <w:sz w:val="24"/>
          <w:szCs w:val="24"/>
        </w:rPr>
        <w:t>“6+2+X”</w:t>
      </w:r>
      <w:r>
        <w:rPr>
          <w:color w:val="000000"/>
          <w:spacing w:val="0"/>
          <w:w w:val="100"/>
          <w:position w:val="0"/>
          <w:sz w:val="24"/>
          <w:szCs w:val="24"/>
        </w:rPr>
        <w:t>框架体系（即6个城市运行管理系统标准化模块+2</w:t>
      </w:r>
      <w:r>
        <w:br w:type="page"/>
      </w:r>
    </w:p>
    <w:p>
      <w:pPr>
        <w:pStyle w:val="Style59"/>
        <w:keepNext w:val="0"/>
        <w:keepLines w:val="0"/>
        <w:widowControl w:val="0"/>
        <w:shd w:val="clear" w:color="auto" w:fill="auto"/>
        <w:bidi w:val="0"/>
        <w:spacing w:before="0" w:after="220" w:line="472" w:lineRule="exact"/>
        <w:ind w:left="0" w:right="0" w:firstLine="0"/>
        <w:jc w:val="left"/>
      </w:pPr>
      <w:r>
        <w:rPr>
          <w:color w:val="000000"/>
          <w:spacing w:val="0"/>
          <w:w w:val="100"/>
          <w:position w:val="0"/>
          <w:sz w:val="24"/>
          <w:szCs w:val="24"/>
        </w:rPr>
        <w:t>个场景应用</w:t>
      </w:r>
      <w:r>
        <w:rPr>
          <w:color w:val="000000"/>
          <w:spacing w:val="0"/>
          <w:w w:val="100"/>
          <w:position w:val="0"/>
          <w:sz w:val="24"/>
          <w:szCs w:val="24"/>
        </w:rPr>
        <w:t>+X</w:t>
      </w:r>
      <w:r>
        <w:rPr>
          <w:color w:val="000000"/>
          <w:spacing w:val="0"/>
          <w:w w:val="100"/>
          <w:position w:val="0"/>
          <w:sz w:val="24"/>
          <w:szCs w:val="24"/>
        </w:rPr>
        <w:t>个拓展场景）进行搭建，新建512套感知设备、接入25个部门数据约</w:t>
      </w:r>
      <w:r>
        <w:rPr>
          <w:color w:val="000000"/>
          <w:spacing w:val="0"/>
          <w:w w:val="100"/>
          <w:position w:val="0"/>
          <w:sz w:val="24"/>
          <w:szCs w:val="24"/>
        </w:rPr>
        <w:t>2.1</w:t>
      </w:r>
      <w:r>
        <w:rPr>
          <w:color w:val="000000"/>
          <w:spacing w:val="0"/>
          <w:w w:val="100"/>
          <w:position w:val="0"/>
          <w:sz w:val="24"/>
          <w:szCs w:val="24"/>
        </w:rPr>
        <w:t>亿条数 据，通过物联网感知设备，感知城市生命体征，做到隐患实时排查，秒级预警，并拓展建设 了非现场执法以及远程实时指挥场景，有效加强对城市运行管理服务状况的实时监测、动态 分析、统筹协调、指挥监督和综合评价，增强了人民群众的获得感、幸福感、安全感。</w:t>
      </w:r>
    </w:p>
    <w:p>
      <w:pPr>
        <w:widowControl w:val="0"/>
        <w:jc w:val="center"/>
        <w:rPr>
          <w:sz w:val="2"/>
          <w:szCs w:val="2"/>
        </w:rPr>
      </w:pPr>
      <w:r>
        <w:drawing>
          <wp:inline>
            <wp:extent cx="5584190" cy="1816735"/>
            <wp:docPr id="135" name="Picutre 135"/>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39"/>
                    <a:stretch/>
                  </pic:blipFill>
                  <pic:spPr>
                    <a:xfrm>
                      <a:ext cx="5584190" cy="1816735"/>
                    </a:xfrm>
                    <a:prstGeom prst="rect"/>
                  </pic:spPr>
                </pic:pic>
              </a:graphicData>
            </a:graphic>
          </wp:inline>
        </w:drawing>
      </w:r>
    </w:p>
    <w:p>
      <w:pPr>
        <w:pStyle w:val="Style59"/>
        <w:keepNext w:val="0"/>
        <w:keepLines w:val="0"/>
        <w:widowControl w:val="0"/>
        <w:shd w:val="clear" w:color="auto" w:fill="auto"/>
        <w:bidi w:val="0"/>
        <w:spacing w:before="0" w:after="0" w:line="474" w:lineRule="exact"/>
        <w:ind w:left="0" w:right="0" w:firstLine="480"/>
        <w:jc w:val="left"/>
      </w:pPr>
      <w:bookmarkStart w:id="90" w:name="bookmark90"/>
      <w:r>
        <w:rPr>
          <w:b/>
          <w:bCs/>
          <w:color w:val="000000"/>
          <w:spacing w:val="0"/>
          <w:w w:val="100"/>
          <w:position w:val="0"/>
          <w:sz w:val="24"/>
          <w:szCs w:val="24"/>
        </w:rPr>
        <w:t>2</w:t>
      </w:r>
      <w:bookmarkEnd w:id="90"/>
      <w:r>
        <w:rPr>
          <w:b/>
          <w:bCs/>
          <w:color w:val="000000"/>
          <w:spacing w:val="0"/>
          <w:w w:val="100"/>
          <w:position w:val="0"/>
          <w:sz w:val="24"/>
          <w:szCs w:val="24"/>
        </w:rPr>
        <w:t>、城市综合运行服务平台（一网统管平台）业务</w:t>
      </w:r>
    </w:p>
    <w:p>
      <w:pPr>
        <w:pStyle w:val="Style59"/>
        <w:keepNext w:val="0"/>
        <w:keepLines w:val="0"/>
        <w:widowControl w:val="0"/>
        <w:shd w:val="clear" w:color="auto" w:fill="auto"/>
        <w:bidi w:val="0"/>
        <w:spacing w:before="0" w:after="180" w:line="474" w:lineRule="exact"/>
        <w:ind w:left="0" w:right="0" w:firstLine="480"/>
        <w:jc w:val="left"/>
      </w:pPr>
      <w:r>
        <w:rPr>
          <w:color w:val="000000"/>
          <w:spacing w:val="0"/>
          <w:w w:val="100"/>
          <w:position w:val="0"/>
          <w:sz w:val="24"/>
          <w:szCs w:val="24"/>
        </w:rPr>
        <w:t>报告期内，公司中标济南新旧动能转换起步区新型智慧城市运营指挥中心建设项目，项 目总额</w:t>
      </w:r>
      <w:r>
        <w:rPr>
          <w:color w:val="000000"/>
          <w:spacing w:val="0"/>
          <w:w w:val="100"/>
          <w:position w:val="0"/>
          <w:sz w:val="24"/>
          <w:szCs w:val="24"/>
        </w:rPr>
        <w:t xml:space="preserve">3059. </w:t>
      </w:r>
      <w:r>
        <w:rPr>
          <w:color w:val="000000"/>
          <w:spacing w:val="0"/>
          <w:w w:val="100"/>
          <w:position w:val="0"/>
          <w:sz w:val="24"/>
          <w:szCs w:val="24"/>
        </w:rPr>
        <w:t>5万元，结合起步区新型智慧城市运营指挥体系，构建起以“善政”、“惠民”、 “兴业”、“强基”为引领的基于一网统管的新型智慧城市。济南新旧动能转换起步区是继 雄安新区起步区之后的全国第二个起步区，公司将充分运用自身行业优势和技术优势为济南</w:t>
      </w:r>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起步区打造成全国一网统管新样板。</w:t>
      </w:r>
    </w:p>
    <w:p>
      <w:pPr>
        <w:widowControl w:val="0"/>
        <w:jc w:val="left"/>
        <w:rPr>
          <w:sz w:val="2"/>
          <w:szCs w:val="2"/>
        </w:rPr>
      </w:pPr>
      <w:r>
        <w:drawing>
          <wp:inline>
            <wp:extent cx="5577840" cy="2548255"/>
            <wp:docPr id="136" name="Picutre 136"/>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41"/>
                    <a:stretch/>
                  </pic:blipFill>
                  <pic:spPr>
                    <a:xfrm>
                      <a:ext cx="5577840" cy="2548255"/>
                    </a:xfrm>
                    <a:prstGeom prst="rect"/>
                  </pic:spPr>
                </pic:pic>
              </a:graphicData>
            </a:graphic>
          </wp:inline>
        </w:drawing>
      </w:r>
    </w:p>
    <w:p>
      <w:pPr>
        <w:pStyle w:val="Style59"/>
        <w:keepNext w:val="0"/>
        <w:keepLines w:val="0"/>
        <w:widowControl w:val="0"/>
        <w:shd w:val="clear" w:color="auto" w:fill="auto"/>
        <w:bidi w:val="0"/>
        <w:spacing w:before="0" w:after="180" w:line="475" w:lineRule="exact"/>
        <w:ind w:left="0" w:right="0" w:firstLine="480"/>
        <w:jc w:val="left"/>
      </w:pPr>
      <w:r>
        <w:rPr>
          <w:color w:val="000000"/>
          <w:spacing w:val="0"/>
          <w:w w:val="100"/>
          <w:position w:val="0"/>
          <w:sz w:val="24"/>
          <w:szCs w:val="24"/>
        </w:rPr>
        <w:t>2021年，公司深度参与上海市及各区的一网统管建设，为一市五区打造一网统管热线智 能感知大脑，实时聆听市民声音，感知城市脉搏。</w:t>
      </w:r>
      <w:r>
        <w:br w:type="page"/>
      </w:r>
    </w:p>
    <w:p>
      <w:pPr>
        <w:widowControl w:val="0"/>
        <w:jc w:val="left"/>
        <w:rPr>
          <w:sz w:val="2"/>
          <w:szCs w:val="2"/>
        </w:rPr>
      </w:pPr>
      <w:r>
        <w:drawing>
          <wp:inline>
            <wp:extent cx="5279390" cy="1871345"/>
            <wp:docPr id="137" name="Picutre 137"/>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43"/>
                    <a:stretch/>
                  </pic:blipFill>
                  <pic:spPr>
                    <a:xfrm>
                      <a:ext cx="5279390" cy="1871345"/>
                    </a:xfrm>
                    <a:prstGeom prst="rect"/>
                  </pic:spPr>
                </pic:pic>
              </a:graphicData>
            </a:graphic>
          </wp:inline>
        </w:drawing>
      </w:r>
    </w:p>
    <w:p>
      <w:pPr>
        <w:pStyle w:val="Style38"/>
        <w:keepNext w:val="0"/>
        <w:keepLines w:val="0"/>
        <w:widowControl w:val="0"/>
        <w:shd w:val="clear" w:color="auto" w:fill="auto"/>
        <w:tabs>
          <w:tab w:pos="3912" w:val="left"/>
          <w:tab w:pos="6451" w:val="left"/>
        </w:tabs>
        <w:bidi w:val="0"/>
        <w:spacing w:before="0" w:after="0" w:line="240" w:lineRule="auto"/>
        <w:ind w:left="826" w:right="0" w:firstLine="0"/>
        <w:jc w:val="left"/>
        <w:rPr>
          <w:sz w:val="18"/>
          <w:szCs w:val="18"/>
        </w:rPr>
      </w:pPr>
      <w:r>
        <w:rPr>
          <w:b/>
          <w:bCs/>
          <w:color w:val="000000"/>
          <w:spacing w:val="0"/>
          <w:w w:val="100"/>
          <w:position w:val="0"/>
          <w:sz w:val="18"/>
          <w:szCs w:val="18"/>
        </w:rPr>
        <w:t>金山区城运中心</w:t>
        <w:tab/>
        <w:t>杨浦区城运中心</w:t>
        <w:tab/>
        <w:t>奉贤区城运中心</w:t>
      </w:r>
    </w:p>
    <w:p>
      <w:pPr>
        <w:pStyle w:val="Style59"/>
        <w:keepNext w:val="0"/>
        <w:keepLines w:val="0"/>
        <w:widowControl w:val="0"/>
        <w:shd w:val="clear" w:color="auto" w:fill="auto"/>
        <w:bidi w:val="0"/>
        <w:spacing w:before="0" w:after="220" w:line="475" w:lineRule="exact"/>
        <w:ind w:left="0" w:right="0" w:firstLine="480"/>
        <w:jc w:val="both"/>
      </w:pPr>
      <w:r>
        <w:rPr>
          <w:color w:val="000000"/>
          <w:spacing w:val="0"/>
          <w:w w:val="100"/>
          <w:position w:val="0"/>
          <w:sz w:val="24"/>
          <w:szCs w:val="24"/>
        </w:rPr>
        <w:t>2021年以来，公司承建的多个一网统管案例得到人民日报、央视新闻联播等权威媒体的 宣传报道。2021年5月份，我司承建的天津市级平台获得人民日报专项报道；2021年7月 11日，公司承建的坪山区一网统管经验做法得到新闻联播的专项报道推介。</w:t>
      </w:r>
    </w:p>
    <w:p>
      <w:pPr>
        <w:widowControl w:val="0"/>
        <w:jc w:val="left"/>
        <w:rPr>
          <w:sz w:val="2"/>
          <w:szCs w:val="2"/>
        </w:rPr>
      </w:pPr>
      <w:r>
        <w:drawing>
          <wp:inline>
            <wp:extent cx="5279390" cy="2407920"/>
            <wp:docPr id="138" name="Picutre 138"/>
            <a:graphic xmlns:a="http://schemas.openxmlformats.org/drawingml/2006/main">
              <a:graphicData uri="http://schemas.openxmlformats.org/drawingml/2006/picture">
                <pic:pic xmlns:pic="http://schemas.openxmlformats.org/drawingml/2006/picture">
                  <pic:nvPicPr>
                    <pic:cNvPr id="138" name="Picture 138"/>
                    <pic:cNvPicPr/>
                  </pic:nvPicPr>
                  <pic:blipFill>
                    <a:blip r:embed="rId45"/>
                    <a:stretch/>
                  </pic:blipFill>
                  <pic:spPr>
                    <a:xfrm>
                      <a:ext cx="5279390" cy="2407920"/>
                    </a:xfrm>
                    <a:prstGeom prst="rect"/>
                  </pic:spPr>
                </pic:pic>
              </a:graphicData>
            </a:graphic>
          </wp:inline>
        </w:drawing>
      </w:r>
    </w:p>
    <w:p>
      <w:pPr>
        <w:pStyle w:val="Style59"/>
        <w:keepNext w:val="0"/>
        <w:keepLines w:val="0"/>
        <w:widowControl w:val="0"/>
        <w:shd w:val="clear" w:color="auto" w:fill="auto"/>
        <w:bidi w:val="0"/>
        <w:spacing w:before="0" w:after="0" w:line="474" w:lineRule="exact"/>
        <w:ind w:left="0" w:right="0" w:firstLine="480"/>
        <w:jc w:val="both"/>
      </w:pPr>
      <w:r>
        <w:rPr>
          <w:color w:val="000000"/>
          <w:spacing w:val="0"/>
          <w:w w:val="100"/>
          <w:position w:val="0"/>
          <w:sz w:val="24"/>
          <w:szCs w:val="24"/>
        </w:rPr>
        <w:t>同时，2021年以来，公司和华为、阿里、腾讯、浪潮等合作伙伴建立了良好的生态合作 关系，发挥各自优势，开展产品共建，2021年与华为公司一起发布了城市运行一网统管联合 解决方案，并在广州、深圳、廊坊、重庆等数十个地市开展“一网统管”的项目合作。</w:t>
      </w:r>
    </w:p>
    <w:p>
      <w:pPr>
        <w:pStyle w:val="Style59"/>
        <w:keepNext w:val="0"/>
        <w:keepLines w:val="0"/>
        <w:widowControl w:val="0"/>
        <w:shd w:val="clear" w:color="auto" w:fill="auto"/>
        <w:bidi w:val="0"/>
        <w:spacing w:before="0" w:after="0" w:line="474" w:lineRule="exact"/>
        <w:ind w:left="0" w:right="0" w:firstLine="480"/>
        <w:jc w:val="both"/>
      </w:pPr>
      <w:bookmarkStart w:id="91" w:name="bookmark91"/>
      <w:r>
        <w:rPr>
          <w:b/>
          <w:bCs/>
          <w:color w:val="000000"/>
          <w:spacing w:val="0"/>
          <w:w w:val="100"/>
          <w:position w:val="0"/>
          <w:sz w:val="24"/>
          <w:szCs w:val="24"/>
        </w:rPr>
        <w:t>3</w:t>
      </w:r>
      <w:bookmarkEnd w:id="91"/>
      <w:r>
        <w:rPr>
          <w:b/>
          <w:bCs/>
          <w:color w:val="000000"/>
          <w:spacing w:val="0"/>
          <w:w w:val="100"/>
          <w:position w:val="0"/>
          <w:sz w:val="24"/>
          <w:szCs w:val="24"/>
        </w:rPr>
        <w:t>、市域社会治理平台业务</w:t>
      </w:r>
    </w:p>
    <w:p>
      <w:pPr>
        <w:pStyle w:val="Style59"/>
        <w:keepNext w:val="0"/>
        <w:keepLines w:val="0"/>
        <w:widowControl w:val="0"/>
        <w:shd w:val="clear" w:color="auto" w:fill="auto"/>
        <w:bidi w:val="0"/>
        <w:spacing w:before="0" w:after="0" w:line="474" w:lineRule="exact"/>
        <w:ind w:left="0" w:right="0" w:firstLine="480"/>
        <w:jc w:val="both"/>
      </w:pPr>
      <w:r>
        <w:rPr>
          <w:color w:val="000000"/>
          <w:spacing w:val="0"/>
          <w:w w:val="100"/>
          <w:position w:val="0"/>
          <w:sz w:val="24"/>
          <w:szCs w:val="24"/>
        </w:rPr>
        <w:t>自中央政法委市域社会治理现代化试点建设工作开展以来，公司配合数十个城市积极实 践了市域社会治理体系和治理能力现代化建设，先后与华为、浪潮、大华、中国联通等国内 知名</w:t>
      </w:r>
      <w:r>
        <w:rPr>
          <w:color w:val="000000"/>
          <w:spacing w:val="0"/>
          <w:w w:val="100"/>
          <w:position w:val="0"/>
          <w:sz w:val="24"/>
          <w:szCs w:val="24"/>
        </w:rPr>
        <w:t>IT</w:t>
      </w:r>
      <w:r>
        <w:rPr>
          <w:color w:val="000000"/>
          <w:spacing w:val="0"/>
          <w:w w:val="100"/>
          <w:position w:val="0"/>
          <w:sz w:val="24"/>
          <w:szCs w:val="24"/>
        </w:rPr>
        <w:t>企业强强联合打造了聊城、三门峡、天津、兴安盟、长沙等多个精品项目，在行业有 了主导和主流地位，务实的建设经验也被越来越多的用户认可和市场所接受。</w:t>
      </w:r>
    </w:p>
    <w:p>
      <w:pPr>
        <w:pStyle w:val="Style59"/>
        <w:keepNext w:val="0"/>
        <w:keepLines w:val="0"/>
        <w:widowControl w:val="0"/>
        <w:shd w:val="clear" w:color="auto" w:fill="auto"/>
        <w:bidi w:val="0"/>
        <w:spacing w:before="0" w:after="220" w:line="474" w:lineRule="exact"/>
        <w:ind w:left="0" w:right="0" w:firstLine="480"/>
        <w:jc w:val="both"/>
      </w:pPr>
      <w:r>
        <w:rPr>
          <w:color w:val="000000"/>
          <w:spacing w:val="0"/>
          <w:w w:val="100"/>
          <w:position w:val="0"/>
          <w:sz w:val="24"/>
          <w:szCs w:val="24"/>
        </w:rPr>
        <w:t xml:space="preserve">报告期内，公司社会治理行业实现合同额6100万，在各省市域社会治理现代化第一批试 点城市中，承建了江苏省市域治理重点试点扬州、广东省基层基础建设年示范汕尾、基于疫 </w:t>
      </w:r>
      <w:r>
        <w:rPr>
          <w:color w:val="000000"/>
          <w:spacing w:val="0"/>
          <w:w w:val="100"/>
          <w:position w:val="0"/>
          <w:sz w:val="24"/>
          <w:szCs w:val="24"/>
        </w:rPr>
        <w:t>情防控的天津北辰、召开全省市域社会治理现场会的海东，获得各地政法客户的强烈共鸣和 良好市场反响。</w:t>
      </w:r>
    </w:p>
    <w:p>
      <w:pPr>
        <w:framePr w:w="8789" w:h="3797" w:wrap="notBeside" w:vAnchor="text" w:hAnchor="text" w:x="505" w:y="1"/>
        <w:widowControl w:val="0"/>
        <w:rPr>
          <w:sz w:val="2"/>
          <w:szCs w:val="2"/>
        </w:rPr>
      </w:pPr>
      <w:r>
        <w:drawing>
          <wp:inline>
            <wp:extent cx="5584190" cy="2414270"/>
            <wp:docPr id="139" name="Picutre 139"/>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47"/>
                    <a:stretch/>
                  </pic:blipFill>
                  <pic:spPr>
                    <a:xfrm>
                      <a:ext cx="5584190" cy="2414270"/>
                    </a:xfrm>
                    <a:prstGeom prst="rect"/>
                  </pic:spPr>
                </pic:pic>
              </a:graphicData>
            </a:graphic>
          </wp:inline>
        </w:drawing>
      </w:r>
    </w:p>
    <w:p>
      <w:pPr>
        <w:widowControl w:val="0"/>
        <w:spacing w:line="1" w:lineRule="exact"/>
      </w:pPr>
      <w:r>
        <mc:AlternateContent>
          <mc:Choice Requires="wps">
            <w:drawing>
              <wp:anchor distT="0" distB="0" distL="320040" distR="5523230" simplePos="0" relativeHeight="125829471" behindDoc="0" locked="0" layoutInCell="1" allowOverlap="1">
                <wp:simplePos x="0" y="0"/>
                <wp:positionH relativeFrom="column">
                  <wp:posOffset>2932430</wp:posOffset>
                </wp:positionH>
                <wp:positionV relativeFrom="paragraph">
                  <wp:posOffset>831850</wp:posOffset>
                </wp:positionV>
                <wp:extent cx="377825" cy="234950"/>
                <wp:wrapTopAndBottom/>
                <wp:docPr id="140" name="Shape 140"/>
                <a:graphic xmlns:a="http://schemas.openxmlformats.org/drawingml/2006/main">
                  <a:graphicData uri="http://schemas.microsoft.com/office/word/2010/wordprocessingShape">
                    <wps:wsp>
                      <wps:cNvSpPr txBox="1"/>
                      <wps:spPr>
                        <a:xfrm>
                          <a:ext cx="377825" cy="234950"/>
                        </a:xfrm>
                        <a:prstGeom prst="rect"/>
                        <a:noFill/>
                      </wps:spPr>
                      <wps:txbx>
                        <w:txbxContent>
                          <w:p>
                            <w:pPr>
                              <w:pStyle w:val="Style38"/>
                              <w:keepNext w:val="0"/>
                              <w:keepLines w:val="0"/>
                              <w:widowControl w:val="0"/>
                              <w:pBdr>
                                <w:top w:val="single" w:sz="0" w:space="0" w:color="05365B"/>
                                <w:left w:val="single" w:sz="0" w:space="0" w:color="05365B"/>
                                <w:bottom w:val="single" w:sz="0" w:space="0" w:color="05365B"/>
                                <w:right w:val="single" w:sz="0" w:space="0" w:color="05365B"/>
                              </w:pBdr>
                              <w:shd w:val="clear" w:color="auto" w:fill="05365B"/>
                              <w:bidi w:val="0"/>
                              <w:spacing w:before="0" w:after="40" w:line="240" w:lineRule="auto"/>
                              <w:ind w:left="0" w:right="0" w:firstLine="0"/>
                              <w:jc w:val="left"/>
                              <w:rPr>
                                <w:sz w:val="10"/>
                                <w:szCs w:val="10"/>
                              </w:rPr>
                            </w:pPr>
                            <w:r>
                              <w:rPr>
                                <w:rFonts w:ascii="Arial" w:eastAsia="Arial" w:hAnsi="Arial" w:cs="Arial"/>
                                <w:color w:val="B2E4F0"/>
                                <w:spacing w:val="0"/>
                                <w:w w:val="100"/>
                                <w:position w:val="0"/>
                                <w:sz w:val="14"/>
                                <w:szCs w:val="14"/>
                              </w:rPr>
                              <w:t xml:space="preserve">94.718 </w:t>
                            </w:r>
                            <w:r>
                              <w:rPr>
                                <w:rFonts w:ascii="SimHei" w:eastAsia="SimHei" w:hAnsi="SimHei" w:cs="SimHei"/>
                                <w:color w:val="7FCBE9"/>
                                <w:spacing w:val="0"/>
                                <w:w w:val="100"/>
                                <w:position w:val="0"/>
                                <w:sz w:val="10"/>
                                <w:szCs w:val="10"/>
                              </w:rPr>
                              <w:t>分</w:t>
                            </w:r>
                          </w:p>
                          <w:p>
                            <w:pPr>
                              <w:pStyle w:val="Style38"/>
                              <w:keepNext w:val="0"/>
                              <w:keepLines w:val="0"/>
                              <w:widowControl w:val="0"/>
                              <w:pBdr>
                                <w:top w:val="single" w:sz="0" w:space="0" w:color="05365B"/>
                                <w:left w:val="single" w:sz="0" w:space="0" w:color="05365B"/>
                                <w:bottom w:val="single" w:sz="0" w:space="0" w:color="05365B"/>
                                <w:right w:val="single" w:sz="0" w:space="0" w:color="05365B"/>
                              </w:pBdr>
                              <w:shd w:val="clear" w:color="auto" w:fill="05365B"/>
                              <w:bidi w:val="0"/>
                              <w:spacing w:before="0" w:after="0" w:line="240" w:lineRule="auto"/>
                              <w:ind w:left="0" w:right="0" w:firstLine="0"/>
                              <w:jc w:val="left"/>
                              <w:rPr>
                                <w:sz w:val="10"/>
                                <w:szCs w:val="10"/>
                              </w:rPr>
                            </w:pPr>
                            <w:r>
                              <w:rPr>
                                <w:rFonts w:ascii="SimHei" w:eastAsia="SimHei" w:hAnsi="SimHei" w:cs="SimHei"/>
                                <w:color w:val="C6CC94"/>
                                <w:spacing w:val="0"/>
                                <w:w w:val="100"/>
                                <w:position w:val="0"/>
                                <w:sz w:val="10"/>
                                <w:szCs w:val="10"/>
                              </w:rPr>
                              <w:t>平安指数</w:t>
                            </w:r>
                          </w:p>
                        </w:txbxContent>
                      </wps:txbx>
                      <wps:bodyPr lIns="0" tIns="0" rIns="0" bIns="0">
                        <a:noAutoFit/>
                      </wps:bodyPr>
                    </wps:wsp>
                  </a:graphicData>
                </a:graphic>
              </wp:anchor>
            </w:drawing>
          </mc:Choice>
          <mc:Fallback>
            <w:pict>
              <v:shape id="_x0000_s1166" type="#_x0000_t202" style="position:absolute;margin-left:230.90000000000001pt;margin-top:65.5pt;width:29.75pt;height:18.5pt;z-index:-125829282;mso-wrap-distance-left:25.199999999999999pt;mso-wrap-distance-right:434.90000000000003pt" filled="f" stroked="f">
                <v:textbox inset="0,0,0,0">
                  <w:txbxContent>
                    <w:p>
                      <w:pPr>
                        <w:pStyle w:val="Style38"/>
                        <w:keepNext w:val="0"/>
                        <w:keepLines w:val="0"/>
                        <w:widowControl w:val="0"/>
                        <w:pBdr>
                          <w:top w:val="single" w:sz="0" w:space="0" w:color="05365B"/>
                          <w:left w:val="single" w:sz="0" w:space="0" w:color="05365B"/>
                          <w:bottom w:val="single" w:sz="0" w:space="0" w:color="05365B"/>
                          <w:right w:val="single" w:sz="0" w:space="0" w:color="05365B"/>
                        </w:pBdr>
                        <w:shd w:val="clear" w:color="auto" w:fill="05365B"/>
                        <w:bidi w:val="0"/>
                        <w:spacing w:before="0" w:after="40" w:line="240" w:lineRule="auto"/>
                        <w:ind w:left="0" w:right="0" w:firstLine="0"/>
                        <w:jc w:val="left"/>
                        <w:rPr>
                          <w:sz w:val="10"/>
                          <w:szCs w:val="10"/>
                        </w:rPr>
                      </w:pPr>
                      <w:r>
                        <w:rPr>
                          <w:rFonts w:ascii="Arial" w:eastAsia="Arial" w:hAnsi="Arial" w:cs="Arial"/>
                          <w:color w:val="B2E4F0"/>
                          <w:spacing w:val="0"/>
                          <w:w w:val="100"/>
                          <w:position w:val="0"/>
                          <w:sz w:val="14"/>
                          <w:szCs w:val="14"/>
                        </w:rPr>
                        <w:t xml:space="preserve">94.718 </w:t>
                      </w:r>
                      <w:r>
                        <w:rPr>
                          <w:rFonts w:ascii="SimHei" w:eastAsia="SimHei" w:hAnsi="SimHei" w:cs="SimHei"/>
                          <w:color w:val="7FCBE9"/>
                          <w:spacing w:val="0"/>
                          <w:w w:val="100"/>
                          <w:position w:val="0"/>
                          <w:sz w:val="10"/>
                          <w:szCs w:val="10"/>
                        </w:rPr>
                        <w:t>分</w:t>
                      </w:r>
                    </w:p>
                    <w:p>
                      <w:pPr>
                        <w:pStyle w:val="Style38"/>
                        <w:keepNext w:val="0"/>
                        <w:keepLines w:val="0"/>
                        <w:widowControl w:val="0"/>
                        <w:pBdr>
                          <w:top w:val="single" w:sz="0" w:space="0" w:color="05365B"/>
                          <w:left w:val="single" w:sz="0" w:space="0" w:color="05365B"/>
                          <w:bottom w:val="single" w:sz="0" w:space="0" w:color="05365B"/>
                          <w:right w:val="single" w:sz="0" w:space="0" w:color="05365B"/>
                        </w:pBdr>
                        <w:shd w:val="clear" w:color="auto" w:fill="05365B"/>
                        <w:bidi w:val="0"/>
                        <w:spacing w:before="0" w:after="0" w:line="240" w:lineRule="auto"/>
                        <w:ind w:left="0" w:right="0" w:firstLine="0"/>
                        <w:jc w:val="left"/>
                        <w:rPr>
                          <w:sz w:val="10"/>
                          <w:szCs w:val="10"/>
                        </w:rPr>
                      </w:pPr>
                      <w:r>
                        <w:rPr>
                          <w:rFonts w:ascii="SimHei" w:eastAsia="SimHei" w:hAnsi="SimHei" w:cs="SimHei"/>
                          <w:color w:val="C6CC94"/>
                          <w:spacing w:val="0"/>
                          <w:w w:val="100"/>
                          <w:position w:val="0"/>
                          <w:sz w:val="10"/>
                          <w:szCs w:val="10"/>
                        </w:rPr>
                        <w:t>平安指数</w:t>
                      </w:r>
                    </w:p>
                  </w:txbxContent>
                </v:textbox>
                <w10:wrap type="topAndBottom"/>
              </v:shape>
            </w:pict>
          </mc:Fallback>
        </mc:AlternateContent>
      </w:r>
      <w:r>
        <mc:AlternateContent>
          <mc:Choice Requires="wps">
            <w:drawing>
              <wp:anchor distT="0" distB="0" distL="320040" distR="5684520" simplePos="0" relativeHeight="125829473" behindDoc="0" locked="0" layoutInCell="1" allowOverlap="1">
                <wp:simplePos x="0" y="0"/>
                <wp:positionH relativeFrom="column">
                  <wp:posOffset>648970</wp:posOffset>
                </wp:positionH>
                <wp:positionV relativeFrom="paragraph">
                  <wp:posOffset>33655</wp:posOffset>
                </wp:positionV>
                <wp:extent cx="216535" cy="85090"/>
                <wp:wrapTopAndBottom/>
                <wp:docPr id="142" name="Shape 142"/>
                <a:graphic xmlns:a="http://schemas.openxmlformats.org/drawingml/2006/main">
                  <a:graphicData uri="http://schemas.microsoft.com/office/word/2010/wordprocessingShape">
                    <wps:wsp>
                      <wps:cNvSpPr txBox="1"/>
                      <wps:spPr>
                        <a:xfrm>
                          <a:ext cx="216535" cy="85090"/>
                        </a:xfrm>
                        <a:prstGeom prst="rect"/>
                        <a:noFill/>
                      </wps:spPr>
                      <wps:txbx>
                        <w:txbxContent>
                          <w:p>
                            <w:pPr>
                              <w:pStyle w:val="Style38"/>
                              <w:keepNext w:val="0"/>
                              <w:keepLines w:val="0"/>
                              <w:widowControl w:val="0"/>
                              <w:pBdr>
                                <w:top w:val="single" w:sz="0" w:space="0" w:color="041327"/>
                                <w:left w:val="single" w:sz="0" w:space="0" w:color="041327"/>
                                <w:bottom w:val="single" w:sz="0" w:space="0" w:color="041327"/>
                                <w:right w:val="single" w:sz="0" w:space="0" w:color="041327"/>
                              </w:pBdr>
                              <w:shd w:val="clear" w:color="auto" w:fill="041327"/>
                              <w:bidi w:val="0"/>
                              <w:spacing w:before="0" w:after="0" w:line="240" w:lineRule="auto"/>
                              <w:ind w:left="0" w:right="0" w:firstLine="0"/>
                              <w:jc w:val="left"/>
                              <w:rPr>
                                <w:sz w:val="8"/>
                                <w:szCs w:val="8"/>
                              </w:rPr>
                            </w:pPr>
                            <w:r>
                              <w:rPr>
                                <w:rFonts w:ascii="SimHei" w:eastAsia="SimHei" w:hAnsi="SimHei" w:cs="SimHei"/>
                                <w:color w:val="B2E4F0"/>
                                <w:spacing w:val="0"/>
                                <w:w w:val="100"/>
                                <w:position w:val="0"/>
                                <w:sz w:val="8"/>
                                <w:szCs w:val="8"/>
                              </w:rPr>
                              <w:t>平安建设</w:t>
                            </w:r>
                          </w:p>
                        </w:txbxContent>
                      </wps:txbx>
                      <wps:bodyPr lIns="0" tIns="0" rIns="0" bIns="0">
                        <a:noAutoFit/>
                      </wps:bodyPr>
                    </wps:wsp>
                  </a:graphicData>
                </a:graphic>
              </wp:anchor>
            </w:drawing>
          </mc:Choice>
          <mc:Fallback>
            <w:pict>
              <v:shape id="_x0000_s1168" type="#_x0000_t202" style="position:absolute;margin-left:51.100000000000001pt;margin-top:2.6499999999999999pt;width:17.050000000000001pt;height:6.7000000000000002pt;z-index:-125829280;mso-wrap-distance-left:25.199999999999999pt;mso-wrap-distance-right:447.60000000000002pt" filled="f" stroked="f">
                <v:textbox inset="0,0,0,0">
                  <w:txbxContent>
                    <w:p>
                      <w:pPr>
                        <w:pStyle w:val="Style38"/>
                        <w:keepNext w:val="0"/>
                        <w:keepLines w:val="0"/>
                        <w:widowControl w:val="0"/>
                        <w:pBdr>
                          <w:top w:val="single" w:sz="0" w:space="0" w:color="041327"/>
                          <w:left w:val="single" w:sz="0" w:space="0" w:color="041327"/>
                          <w:bottom w:val="single" w:sz="0" w:space="0" w:color="041327"/>
                          <w:right w:val="single" w:sz="0" w:space="0" w:color="041327"/>
                        </w:pBdr>
                        <w:shd w:val="clear" w:color="auto" w:fill="041327"/>
                        <w:bidi w:val="0"/>
                        <w:spacing w:before="0" w:after="0" w:line="240" w:lineRule="auto"/>
                        <w:ind w:left="0" w:right="0" w:firstLine="0"/>
                        <w:jc w:val="left"/>
                        <w:rPr>
                          <w:sz w:val="8"/>
                          <w:szCs w:val="8"/>
                        </w:rPr>
                      </w:pPr>
                      <w:r>
                        <w:rPr>
                          <w:rFonts w:ascii="SimHei" w:eastAsia="SimHei" w:hAnsi="SimHei" w:cs="SimHei"/>
                          <w:color w:val="B2E4F0"/>
                          <w:spacing w:val="0"/>
                          <w:w w:val="100"/>
                          <w:position w:val="0"/>
                          <w:sz w:val="8"/>
                          <w:szCs w:val="8"/>
                        </w:rPr>
                        <w:t>平安建设</w:t>
                      </w:r>
                    </w:p>
                  </w:txbxContent>
                </v:textbox>
                <w10:wrap type="topAndBottom"/>
              </v:shape>
            </w:pict>
          </mc:Fallback>
        </mc:AlternateContent>
      </w:r>
      <w:r>
        <mc:AlternateContent>
          <mc:Choice Requires="wps">
            <w:drawing>
              <wp:anchor distT="0" distB="0" distL="320040" distR="5193665" simplePos="0" relativeHeight="125829475" behindDoc="0" locked="0" layoutInCell="1" allowOverlap="1">
                <wp:simplePos x="0" y="0"/>
                <wp:positionH relativeFrom="column">
                  <wp:posOffset>2831465</wp:posOffset>
                </wp:positionH>
                <wp:positionV relativeFrom="paragraph">
                  <wp:posOffset>42545</wp:posOffset>
                </wp:positionV>
                <wp:extent cx="707390" cy="103505"/>
                <wp:wrapTopAndBottom/>
                <wp:docPr id="144" name="Shape 144"/>
                <a:graphic xmlns:a="http://schemas.openxmlformats.org/drawingml/2006/main">
                  <a:graphicData uri="http://schemas.microsoft.com/office/word/2010/wordprocessingShape">
                    <wps:wsp>
                      <wps:cNvSpPr txBox="1"/>
                      <wps:spPr>
                        <a:xfrm>
                          <a:ext cx="707390" cy="103505"/>
                        </a:xfrm>
                        <a:prstGeom prst="rect"/>
                        <a:noFill/>
                      </wps:spPr>
                      <wps:txbx>
                        <w:txbxContent>
                          <w:p>
                            <w:pPr>
                              <w:pStyle w:val="Style38"/>
                              <w:keepNext w:val="0"/>
                              <w:keepLines w:val="0"/>
                              <w:widowControl w:val="0"/>
                              <w:pBdr>
                                <w:top w:val="single" w:sz="0" w:space="0" w:color="1A5669"/>
                                <w:left w:val="single" w:sz="0" w:space="0" w:color="1A5669"/>
                                <w:bottom w:val="single" w:sz="0" w:space="0" w:color="1A5669"/>
                                <w:right w:val="single" w:sz="0" w:space="0" w:color="1A5669"/>
                              </w:pBdr>
                              <w:shd w:val="clear" w:color="auto" w:fill="1A5669"/>
                              <w:bidi w:val="0"/>
                              <w:spacing w:before="0" w:after="0" w:line="240" w:lineRule="auto"/>
                              <w:ind w:left="0" w:right="0" w:firstLine="0"/>
                              <w:jc w:val="left"/>
                              <w:rPr>
                                <w:sz w:val="10"/>
                                <w:szCs w:val="10"/>
                              </w:rPr>
                            </w:pPr>
                            <w:r>
                              <w:rPr>
                                <w:rFonts w:ascii="SimHei" w:eastAsia="SimHei" w:hAnsi="SimHei" w:cs="SimHei"/>
                                <w:color w:val="B2E4F0"/>
                                <w:spacing w:val="0"/>
                                <w:w w:val="100"/>
                                <w:position w:val="0"/>
                                <w:sz w:val="10"/>
                                <w:szCs w:val="10"/>
                              </w:rPr>
                              <w:t>聊城市市域治理运行中心</w:t>
                            </w:r>
                          </w:p>
                        </w:txbxContent>
                      </wps:txbx>
                      <wps:bodyPr lIns="0" tIns="0" rIns="0" bIns="0">
                        <a:noAutoFit/>
                      </wps:bodyPr>
                    </wps:wsp>
                  </a:graphicData>
                </a:graphic>
              </wp:anchor>
            </w:drawing>
          </mc:Choice>
          <mc:Fallback>
            <w:pict>
              <v:shape id="_x0000_s1170" type="#_x0000_t202" style="position:absolute;margin-left:222.95000000000002pt;margin-top:3.3500000000000001pt;width:55.700000000000003pt;height:8.1500000000000004pt;z-index:-125829278;mso-wrap-distance-left:25.199999999999999pt;mso-wrap-distance-right:408.94999999999999pt" filled="f" stroked="f">
                <v:textbox inset="0,0,0,0">
                  <w:txbxContent>
                    <w:p>
                      <w:pPr>
                        <w:pStyle w:val="Style38"/>
                        <w:keepNext w:val="0"/>
                        <w:keepLines w:val="0"/>
                        <w:widowControl w:val="0"/>
                        <w:pBdr>
                          <w:top w:val="single" w:sz="0" w:space="0" w:color="1A5669"/>
                          <w:left w:val="single" w:sz="0" w:space="0" w:color="1A5669"/>
                          <w:bottom w:val="single" w:sz="0" w:space="0" w:color="1A5669"/>
                          <w:right w:val="single" w:sz="0" w:space="0" w:color="1A5669"/>
                        </w:pBdr>
                        <w:shd w:val="clear" w:color="auto" w:fill="1A5669"/>
                        <w:bidi w:val="0"/>
                        <w:spacing w:before="0" w:after="0" w:line="240" w:lineRule="auto"/>
                        <w:ind w:left="0" w:right="0" w:firstLine="0"/>
                        <w:jc w:val="left"/>
                        <w:rPr>
                          <w:sz w:val="10"/>
                          <w:szCs w:val="10"/>
                        </w:rPr>
                      </w:pPr>
                      <w:r>
                        <w:rPr>
                          <w:rFonts w:ascii="SimHei" w:eastAsia="SimHei" w:hAnsi="SimHei" w:cs="SimHei"/>
                          <w:color w:val="B2E4F0"/>
                          <w:spacing w:val="0"/>
                          <w:w w:val="100"/>
                          <w:position w:val="0"/>
                          <w:sz w:val="10"/>
                          <w:szCs w:val="10"/>
                        </w:rPr>
                        <w:t>聊城市市域治理运行中心</w:t>
                      </w:r>
                    </w:p>
                  </w:txbxContent>
                </v:textbox>
                <w10:wrap type="topAndBottom"/>
              </v:shape>
            </w:pict>
          </mc:Fallback>
        </mc:AlternateContent>
      </w:r>
      <w:r>
        <mc:AlternateContent>
          <mc:Choice Requires="wps">
            <w:drawing>
              <wp:anchor distT="0" distB="0" distL="320040" distR="5599430" simplePos="0" relativeHeight="125829477" behindDoc="0" locked="0" layoutInCell="1" allowOverlap="1">
                <wp:simplePos x="0" y="0"/>
                <wp:positionH relativeFrom="column">
                  <wp:posOffset>3818890</wp:posOffset>
                </wp:positionH>
                <wp:positionV relativeFrom="paragraph">
                  <wp:posOffset>1029970</wp:posOffset>
                </wp:positionV>
                <wp:extent cx="301625" cy="170815"/>
                <wp:wrapTopAndBottom/>
                <wp:docPr id="146" name="Shape 146"/>
                <a:graphic xmlns:a="http://schemas.openxmlformats.org/drawingml/2006/main">
                  <a:graphicData uri="http://schemas.microsoft.com/office/word/2010/wordprocessingShape">
                    <wps:wsp>
                      <wps:cNvSpPr txBox="1"/>
                      <wps:spPr>
                        <a:xfrm>
                          <a:ext cx="301625" cy="170815"/>
                        </a:xfrm>
                        <a:prstGeom prst="rect"/>
                        <a:noFill/>
                      </wps:spPr>
                      <wps:txbx>
                        <w:txbxContent>
                          <w:p>
                            <w:pPr>
                              <w:pStyle w:val="Style38"/>
                              <w:keepNext w:val="0"/>
                              <w:keepLines w:val="0"/>
                              <w:widowControl w:val="0"/>
                              <w:pBdr>
                                <w:top w:val="single" w:sz="0" w:space="0" w:color="065789"/>
                                <w:left w:val="single" w:sz="0" w:space="0" w:color="065789"/>
                                <w:bottom w:val="single" w:sz="0" w:space="0" w:color="065789"/>
                                <w:right w:val="single" w:sz="0" w:space="0" w:color="065789"/>
                              </w:pBdr>
                              <w:shd w:val="clear" w:color="auto" w:fill="065789"/>
                              <w:bidi w:val="0"/>
                              <w:spacing w:before="0" w:after="0" w:line="240" w:lineRule="auto"/>
                              <w:ind w:left="0" w:right="0" w:firstLine="0"/>
                              <w:jc w:val="left"/>
                              <w:rPr>
                                <w:sz w:val="8"/>
                                <w:szCs w:val="8"/>
                              </w:rPr>
                            </w:pPr>
                            <w:r>
                              <w:rPr>
                                <w:rFonts w:ascii="Arial" w:eastAsia="Arial" w:hAnsi="Arial" w:cs="Arial"/>
                                <w:color w:val="7FCBE9"/>
                                <w:spacing w:val="0"/>
                                <w:w w:val="100"/>
                                <w:position w:val="0"/>
                                <w:sz w:val="8"/>
                                <w:szCs w:val="8"/>
                              </w:rPr>
                              <w:t>A</w:t>
                            </w:r>
                            <w:r>
                              <w:rPr>
                                <w:rFonts w:ascii="SimHei" w:eastAsia="SimHei" w:hAnsi="SimHei" w:cs="SimHei"/>
                                <w:color w:val="7FCBE9"/>
                                <w:spacing w:val="0"/>
                                <w:w w:val="100"/>
                                <w:position w:val="0"/>
                                <w:sz w:val="8"/>
                                <w:szCs w:val="8"/>
                              </w:rPr>
                              <w:t>安全生产</w:t>
                            </w:r>
                          </w:p>
                          <w:p>
                            <w:pPr>
                              <w:pStyle w:val="Style38"/>
                              <w:keepNext w:val="0"/>
                              <w:keepLines w:val="0"/>
                              <w:widowControl w:val="0"/>
                              <w:pBdr>
                                <w:top w:val="single" w:sz="0" w:space="0" w:color="065789"/>
                                <w:left w:val="single" w:sz="0" w:space="0" w:color="065789"/>
                                <w:bottom w:val="single" w:sz="0" w:space="0" w:color="065789"/>
                                <w:right w:val="single" w:sz="0" w:space="0" w:color="065789"/>
                              </w:pBdr>
                              <w:shd w:val="clear" w:color="auto" w:fill="065789"/>
                              <w:bidi w:val="0"/>
                              <w:spacing w:before="0" w:after="0" w:line="209" w:lineRule="auto"/>
                              <w:ind w:left="0" w:right="0" w:firstLine="0"/>
                              <w:jc w:val="right"/>
                              <w:rPr>
                                <w:sz w:val="11"/>
                                <w:szCs w:val="11"/>
                              </w:rPr>
                            </w:pPr>
                            <w:r>
                              <w:rPr>
                                <w:rFonts w:ascii="Times New Roman" w:eastAsia="Times New Roman" w:hAnsi="Times New Roman" w:cs="Times New Roman"/>
                                <w:b/>
                                <w:bCs/>
                                <w:color w:val="7FCBE9"/>
                                <w:spacing w:val="0"/>
                                <w:w w:val="100"/>
                                <w:position w:val="0"/>
                                <w:sz w:val="11"/>
                                <w:szCs w:val="11"/>
                                <w:vertAlign w:val="superscript"/>
                              </w:rPr>
                              <w:t>V</w:t>
                            </w:r>
                            <w:r>
                              <w:rPr>
                                <w:rFonts w:ascii="Times New Roman" w:eastAsia="Times New Roman" w:hAnsi="Times New Roman" w:cs="Times New Roman"/>
                                <w:b/>
                                <w:bCs/>
                                <w:color w:val="7FCBE9"/>
                                <w:spacing w:val="0"/>
                                <w:w w:val="100"/>
                                <w:position w:val="0"/>
                                <w:sz w:val="11"/>
                                <w:szCs w:val="11"/>
                              </w:rPr>
                              <w:t xml:space="preserve"> </w:t>
                            </w:r>
                            <w:r>
                              <w:rPr>
                                <w:rFonts w:ascii="Times New Roman" w:eastAsia="Times New Roman" w:hAnsi="Times New Roman" w:cs="Times New Roman"/>
                                <w:b/>
                                <w:bCs/>
                                <w:color w:val="B2E4F0"/>
                                <w:spacing w:val="0"/>
                                <w:w w:val="100"/>
                                <w:position w:val="0"/>
                                <w:sz w:val="11"/>
                                <w:szCs w:val="11"/>
                              </w:rPr>
                              <w:t>4.73</w:t>
                            </w:r>
                          </w:p>
                        </w:txbxContent>
                      </wps:txbx>
                      <wps:bodyPr lIns="0" tIns="0" rIns="0" bIns="0">
                        <a:noAutoFit/>
                      </wps:bodyPr>
                    </wps:wsp>
                  </a:graphicData>
                </a:graphic>
              </wp:anchor>
            </w:drawing>
          </mc:Choice>
          <mc:Fallback>
            <w:pict>
              <v:shape id="_x0000_s1172" type="#_x0000_t202" style="position:absolute;margin-left:300.69999999999999pt;margin-top:81.100000000000009pt;width:23.75pt;height:13.450000000000001pt;z-index:-125829276;mso-wrap-distance-left:25.199999999999999pt;mso-wrap-distance-right:440.90000000000003pt" filled="f" stroked="f">
                <v:textbox inset="0,0,0,0">
                  <w:txbxContent>
                    <w:p>
                      <w:pPr>
                        <w:pStyle w:val="Style38"/>
                        <w:keepNext w:val="0"/>
                        <w:keepLines w:val="0"/>
                        <w:widowControl w:val="0"/>
                        <w:pBdr>
                          <w:top w:val="single" w:sz="0" w:space="0" w:color="065789"/>
                          <w:left w:val="single" w:sz="0" w:space="0" w:color="065789"/>
                          <w:bottom w:val="single" w:sz="0" w:space="0" w:color="065789"/>
                          <w:right w:val="single" w:sz="0" w:space="0" w:color="065789"/>
                        </w:pBdr>
                        <w:shd w:val="clear" w:color="auto" w:fill="065789"/>
                        <w:bidi w:val="0"/>
                        <w:spacing w:before="0" w:after="0" w:line="240" w:lineRule="auto"/>
                        <w:ind w:left="0" w:right="0" w:firstLine="0"/>
                        <w:jc w:val="left"/>
                        <w:rPr>
                          <w:sz w:val="8"/>
                          <w:szCs w:val="8"/>
                        </w:rPr>
                      </w:pPr>
                      <w:r>
                        <w:rPr>
                          <w:rFonts w:ascii="Arial" w:eastAsia="Arial" w:hAnsi="Arial" w:cs="Arial"/>
                          <w:color w:val="7FCBE9"/>
                          <w:spacing w:val="0"/>
                          <w:w w:val="100"/>
                          <w:position w:val="0"/>
                          <w:sz w:val="8"/>
                          <w:szCs w:val="8"/>
                        </w:rPr>
                        <w:t>A</w:t>
                      </w:r>
                      <w:r>
                        <w:rPr>
                          <w:rFonts w:ascii="SimHei" w:eastAsia="SimHei" w:hAnsi="SimHei" w:cs="SimHei"/>
                          <w:color w:val="7FCBE9"/>
                          <w:spacing w:val="0"/>
                          <w:w w:val="100"/>
                          <w:position w:val="0"/>
                          <w:sz w:val="8"/>
                          <w:szCs w:val="8"/>
                        </w:rPr>
                        <w:t>安全生产</w:t>
                      </w:r>
                    </w:p>
                    <w:p>
                      <w:pPr>
                        <w:pStyle w:val="Style38"/>
                        <w:keepNext w:val="0"/>
                        <w:keepLines w:val="0"/>
                        <w:widowControl w:val="0"/>
                        <w:pBdr>
                          <w:top w:val="single" w:sz="0" w:space="0" w:color="065789"/>
                          <w:left w:val="single" w:sz="0" w:space="0" w:color="065789"/>
                          <w:bottom w:val="single" w:sz="0" w:space="0" w:color="065789"/>
                          <w:right w:val="single" w:sz="0" w:space="0" w:color="065789"/>
                        </w:pBdr>
                        <w:shd w:val="clear" w:color="auto" w:fill="065789"/>
                        <w:bidi w:val="0"/>
                        <w:spacing w:before="0" w:after="0" w:line="209" w:lineRule="auto"/>
                        <w:ind w:left="0" w:right="0" w:firstLine="0"/>
                        <w:jc w:val="right"/>
                        <w:rPr>
                          <w:sz w:val="11"/>
                          <w:szCs w:val="11"/>
                        </w:rPr>
                      </w:pPr>
                      <w:r>
                        <w:rPr>
                          <w:rFonts w:ascii="Times New Roman" w:eastAsia="Times New Roman" w:hAnsi="Times New Roman" w:cs="Times New Roman"/>
                          <w:b/>
                          <w:bCs/>
                          <w:color w:val="7FCBE9"/>
                          <w:spacing w:val="0"/>
                          <w:w w:val="100"/>
                          <w:position w:val="0"/>
                          <w:sz w:val="11"/>
                          <w:szCs w:val="11"/>
                          <w:vertAlign w:val="superscript"/>
                        </w:rPr>
                        <w:t>V</w:t>
                      </w:r>
                      <w:r>
                        <w:rPr>
                          <w:rFonts w:ascii="Times New Roman" w:eastAsia="Times New Roman" w:hAnsi="Times New Roman" w:cs="Times New Roman"/>
                          <w:b/>
                          <w:bCs/>
                          <w:color w:val="7FCBE9"/>
                          <w:spacing w:val="0"/>
                          <w:w w:val="100"/>
                          <w:position w:val="0"/>
                          <w:sz w:val="11"/>
                          <w:szCs w:val="11"/>
                        </w:rPr>
                        <w:t xml:space="preserve"> </w:t>
                      </w:r>
                      <w:r>
                        <w:rPr>
                          <w:rFonts w:ascii="Times New Roman" w:eastAsia="Times New Roman" w:hAnsi="Times New Roman" w:cs="Times New Roman"/>
                          <w:b/>
                          <w:bCs/>
                          <w:color w:val="B2E4F0"/>
                          <w:spacing w:val="0"/>
                          <w:w w:val="100"/>
                          <w:position w:val="0"/>
                          <w:sz w:val="11"/>
                          <w:szCs w:val="11"/>
                        </w:rPr>
                        <w:t>4.73</w:t>
                      </w:r>
                    </w:p>
                  </w:txbxContent>
                </v:textbox>
                <w10:wrap type="topAndBottom"/>
              </v:shape>
            </w:pict>
          </mc:Fallback>
        </mc:AlternateContent>
      </w:r>
    </w:p>
    <w:p>
      <w:pPr>
        <w:pStyle w:val="Style59"/>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公司社会治理系列产品已在全国百余个市县实现规模化社会治理应用。公司社会治理解 决方案与时俱进，始终贯彻国家关于创新基层社会治理新格局的要求，紧紧围绕构建网格化 管理、精细化服务、信息化支撑、开放共享的基层治理平台，结合社区网格员职业化推动基 层社会工作队伍建设，以治理能力现代化信息工具配套治理体系现代化梳理明晰的机制创新， 形成推进基层治理现代化建设的整体合力。</w:t>
      </w:r>
    </w:p>
    <w:p>
      <w:pPr>
        <w:pStyle w:val="Style59"/>
        <w:keepNext w:val="0"/>
        <w:keepLines w:val="0"/>
        <w:widowControl w:val="0"/>
        <w:shd w:val="clear" w:color="auto" w:fill="auto"/>
        <w:bidi w:val="0"/>
        <w:spacing w:before="0" w:after="0" w:line="468" w:lineRule="exact"/>
        <w:ind w:left="0" w:right="0" w:firstLine="480"/>
        <w:jc w:val="both"/>
      </w:pPr>
      <w:bookmarkStart w:id="92" w:name="bookmark92"/>
      <w:r>
        <w:rPr>
          <w:b/>
          <w:bCs/>
          <w:color w:val="000000"/>
          <w:spacing w:val="0"/>
          <w:w w:val="100"/>
          <w:position w:val="0"/>
          <w:sz w:val="24"/>
          <w:szCs w:val="24"/>
        </w:rPr>
        <w:t>4</w:t>
      </w:r>
      <w:bookmarkEnd w:id="92"/>
      <w:r>
        <w:rPr>
          <w:b/>
          <w:bCs/>
          <w:color w:val="000000"/>
          <w:spacing w:val="0"/>
          <w:w w:val="100"/>
          <w:position w:val="0"/>
          <w:sz w:val="24"/>
          <w:szCs w:val="24"/>
        </w:rPr>
        <w:t>、城市大数据综合运营服务业务</w:t>
      </w:r>
    </w:p>
    <w:p>
      <w:pPr>
        <w:pStyle w:val="Style59"/>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报告期内，公司继续加强研发力度，不断优化人工智能深度学习技术、视频采集设备技 术、大数据分析技术与机动车、非机动车、无人机等载体的结合，提升信息收集与获取效率， 构建具有公司特色的城市大数据信息采集服务模式。同时，公司继续深入研究市政、园林、 环卫、综合网格员等城市综合运营业务，深耕城市服务，打造各业务口的样板服务项目案例。 其中，公司在洛阳积极推动信息采集技术创新，构建移动</w:t>
      </w:r>
      <w:r>
        <w:rPr>
          <w:color w:val="000000"/>
          <w:spacing w:val="0"/>
          <w:w w:val="100"/>
          <w:position w:val="0"/>
          <w:sz w:val="24"/>
          <w:szCs w:val="24"/>
        </w:rPr>
        <w:t>AI</w:t>
      </w:r>
      <w:r>
        <w:rPr>
          <w:color w:val="000000"/>
          <w:spacing w:val="0"/>
          <w:w w:val="100"/>
          <w:position w:val="0"/>
          <w:sz w:val="24"/>
          <w:szCs w:val="24"/>
        </w:rPr>
        <w:t>智能信息采集平台，打造人巡+ 技巡的综合巡查体系，同时利用</w:t>
      </w:r>
      <w:r>
        <w:rPr>
          <w:color w:val="000000"/>
          <w:spacing w:val="0"/>
          <w:w w:val="100"/>
          <w:position w:val="0"/>
          <w:sz w:val="24"/>
          <w:szCs w:val="24"/>
        </w:rPr>
        <w:t>AI</w:t>
      </w:r>
      <w:r>
        <w:rPr>
          <w:color w:val="000000"/>
          <w:spacing w:val="0"/>
          <w:w w:val="100"/>
          <w:position w:val="0"/>
          <w:sz w:val="24"/>
          <w:szCs w:val="24"/>
        </w:rPr>
        <w:t>智能采集数据实现了对各区数字化城市管理工作公平、公 正的考核目的。目前公司在洛阳市部署多架无人机、8辆</w:t>
      </w:r>
      <w:r>
        <w:rPr>
          <w:color w:val="000000"/>
          <w:spacing w:val="0"/>
          <w:w w:val="100"/>
          <w:position w:val="0"/>
          <w:sz w:val="24"/>
          <w:szCs w:val="24"/>
        </w:rPr>
        <w:t>AI</w:t>
      </w:r>
      <w:r>
        <w:rPr>
          <w:color w:val="000000"/>
          <w:spacing w:val="0"/>
          <w:w w:val="100"/>
          <w:position w:val="0"/>
          <w:sz w:val="24"/>
          <w:szCs w:val="24"/>
        </w:rPr>
        <w:t>智能信息采集车和多套电动车视频 采集设备，全部通过</w:t>
      </w:r>
      <w:r>
        <w:rPr>
          <w:color w:val="000000"/>
          <w:spacing w:val="0"/>
          <w:w w:val="100"/>
          <w:position w:val="0"/>
          <w:sz w:val="24"/>
          <w:szCs w:val="24"/>
        </w:rPr>
        <w:t>AI</w:t>
      </w:r>
      <w:r>
        <w:rPr>
          <w:color w:val="000000"/>
          <w:spacing w:val="0"/>
          <w:w w:val="100"/>
          <w:position w:val="0"/>
          <w:sz w:val="24"/>
          <w:szCs w:val="24"/>
        </w:rPr>
        <w:t>智能采集视频分析平台进行上报，采集面积364平方公里，覆盖全市8 个建成区，日采集上报两千余件，识别准确率和立案率均达到92%以上，目前可通过</w:t>
      </w:r>
      <w:r>
        <w:rPr>
          <w:color w:val="000000"/>
          <w:spacing w:val="0"/>
          <w:w w:val="100"/>
          <w:position w:val="0"/>
          <w:sz w:val="24"/>
          <w:szCs w:val="24"/>
        </w:rPr>
        <w:t>AI</w:t>
      </w:r>
      <w:r>
        <w:rPr>
          <w:color w:val="000000"/>
          <w:spacing w:val="0"/>
          <w:w w:val="100"/>
          <w:position w:val="0"/>
          <w:sz w:val="24"/>
          <w:szCs w:val="24"/>
        </w:rPr>
        <w:t>智能识 别小类为42个，涉及城市事部件问题占比达到90%以上，随着洛阳</w:t>
      </w:r>
      <w:r>
        <w:rPr>
          <w:color w:val="000000"/>
          <w:spacing w:val="0"/>
          <w:w w:val="100"/>
          <w:position w:val="0"/>
          <w:sz w:val="24"/>
          <w:szCs w:val="24"/>
        </w:rPr>
        <w:t>AI</w:t>
      </w:r>
      <w:r>
        <w:rPr>
          <w:color w:val="000000"/>
          <w:spacing w:val="0"/>
          <w:w w:val="100"/>
          <w:position w:val="0"/>
          <w:sz w:val="24"/>
          <w:szCs w:val="24"/>
        </w:rPr>
        <w:t>智能识别场景的不断深入， 将有更多的城市管理问题实现</w:t>
      </w:r>
      <w:r>
        <w:rPr>
          <w:color w:val="000000"/>
          <w:spacing w:val="0"/>
          <w:w w:val="100"/>
          <w:position w:val="0"/>
          <w:sz w:val="24"/>
          <w:szCs w:val="24"/>
        </w:rPr>
        <w:t>AI</w:t>
      </w:r>
      <w:r>
        <w:rPr>
          <w:color w:val="000000"/>
          <w:spacing w:val="0"/>
          <w:w w:val="100"/>
          <w:position w:val="0"/>
          <w:sz w:val="24"/>
          <w:szCs w:val="24"/>
        </w:rPr>
        <w:t>智能识别上报。</w:t>
      </w:r>
    </w:p>
    <w:p>
      <w:pPr>
        <w:pStyle w:val="Style59"/>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2022年初，历经广泛的道路测试和应用测试，公司正式发布新品“棋骥”无人驾驶智联 网格车。“棋骥”以“无人驾驶</w:t>
      </w:r>
      <w:r>
        <w:rPr>
          <w:color w:val="000000"/>
          <w:spacing w:val="0"/>
          <w:w w:val="100"/>
          <w:position w:val="0"/>
          <w:sz w:val="24"/>
          <w:szCs w:val="24"/>
        </w:rPr>
        <w:t>+AIoT</w:t>
      </w:r>
      <w:r>
        <w:rPr>
          <w:color w:val="000000"/>
          <w:spacing w:val="0"/>
          <w:w w:val="100"/>
          <w:position w:val="0"/>
          <w:sz w:val="24"/>
          <w:szCs w:val="24"/>
        </w:rPr>
        <w:t xml:space="preserve">”技术为核心，是一款应用了无人驾驶技术的智联网格 </w:t>
      </w:r>
      <w:r>
        <w:rPr>
          <w:color w:val="000000"/>
          <w:spacing w:val="0"/>
          <w:w w:val="100"/>
          <w:position w:val="0"/>
          <w:sz w:val="24"/>
          <w:szCs w:val="24"/>
        </w:rPr>
        <w:t>车，也是数字政通网格化管理业务的一次重要的技术和应用创新突破。“棋骥”具备</w:t>
      </w:r>
      <w:r>
        <w:rPr>
          <w:color w:val="000000"/>
          <w:spacing w:val="0"/>
          <w:w w:val="100"/>
          <w:position w:val="0"/>
          <w:sz w:val="24"/>
          <w:szCs w:val="24"/>
        </w:rPr>
        <w:t>L4</w:t>
      </w:r>
      <w:r>
        <w:rPr>
          <w:color w:val="000000"/>
          <w:spacing w:val="0"/>
          <w:w w:val="100"/>
          <w:position w:val="0"/>
          <w:sz w:val="24"/>
          <w:szCs w:val="24"/>
        </w:rPr>
        <w:t>级自 动驾驶能力，能够识别各类城市交通信号和道路标志标线，智能应对各种复杂路况，可在无 安全员条件下自主行驶在城市开放道路。“棋骥”加载了高清视频、</w:t>
      </w:r>
      <w:r>
        <w:rPr>
          <w:color w:val="000000"/>
          <w:spacing w:val="0"/>
          <w:w w:val="100"/>
          <w:position w:val="0"/>
          <w:sz w:val="24"/>
          <w:szCs w:val="24"/>
        </w:rPr>
        <w:t>5G</w:t>
      </w:r>
      <w:r>
        <w:rPr>
          <w:color w:val="000000"/>
          <w:spacing w:val="0"/>
          <w:w w:val="100"/>
          <w:position w:val="0"/>
          <w:sz w:val="24"/>
          <w:szCs w:val="24"/>
        </w:rPr>
        <w:t>通信、北斗定位、空 气质量检测、环保监测等多种感知设备，可24小时全天候为城市进行</w:t>
      </w:r>
      <w:r>
        <w:rPr>
          <w:color w:val="000000"/>
          <w:spacing w:val="0"/>
          <w:w w:val="100"/>
          <w:position w:val="0"/>
          <w:sz w:val="24"/>
          <w:szCs w:val="24"/>
        </w:rPr>
        <w:t>“CT</w:t>
      </w:r>
      <w:r>
        <w:rPr>
          <w:color w:val="000000"/>
          <w:spacing w:val="0"/>
          <w:w w:val="100"/>
          <w:position w:val="0"/>
          <w:sz w:val="24"/>
          <w:szCs w:val="24"/>
        </w:rPr>
        <w:t>扫描”，高效发现、 智能处置城市运行问题。</w:t>
      </w:r>
    </w:p>
    <w:p>
      <w:pPr>
        <w:pStyle w:val="Style59"/>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“棋骥”已经实现了城市运行一网统管数据采集的低速非载人无人驾驶业务场景，结合 自动驾驶技术的日益成熟、相关路权开放政策的逐步完善，棋骥即将在全国各地城市应用推 广。目前已与北京、上海、深圳、福州、合肥、洛阳、淄博、雅安等10余座城市的相关政府 部门达成了测试合作意向，推动“棋骥”在当地应用测试落地。未来，公司将基于“棋骥” 的关键技术，结合不断发展的用户需求与市场需要，完善无人驾驶在城市治理领域的应用场 景落地。</w:t>
      </w:r>
    </w:p>
    <w:p>
      <w:pPr>
        <w:pStyle w:val="Style59"/>
        <w:keepNext w:val="0"/>
        <w:keepLines w:val="0"/>
        <w:widowControl w:val="0"/>
        <w:shd w:val="clear" w:color="auto" w:fill="auto"/>
        <w:bidi w:val="0"/>
        <w:spacing w:before="0" w:after="0" w:line="470" w:lineRule="exact"/>
        <w:ind w:left="0" w:right="0" w:firstLine="480"/>
        <w:jc w:val="both"/>
      </w:pPr>
      <w:bookmarkStart w:id="93" w:name="bookmark93"/>
      <w:r>
        <w:rPr>
          <w:b/>
          <w:bCs/>
          <w:color w:val="000000"/>
          <w:spacing w:val="0"/>
          <w:w w:val="100"/>
          <w:position w:val="0"/>
          <w:sz w:val="24"/>
          <w:szCs w:val="24"/>
        </w:rPr>
        <w:t>5</w:t>
      </w:r>
      <w:bookmarkEnd w:id="93"/>
      <w:r>
        <w:rPr>
          <w:b/>
          <w:bCs/>
          <w:color w:val="000000"/>
          <w:spacing w:val="0"/>
          <w:w w:val="100"/>
          <w:position w:val="0"/>
          <w:sz w:val="24"/>
          <w:szCs w:val="24"/>
        </w:rPr>
        <w:t>、城市市政排水管网智慧监管平台业务</w:t>
      </w:r>
    </w:p>
    <w:p>
      <w:pPr>
        <w:pStyle w:val="Style59"/>
        <w:keepNext w:val="0"/>
        <w:keepLines w:val="0"/>
        <w:widowControl w:val="0"/>
        <w:shd w:val="clear" w:color="auto" w:fill="auto"/>
        <w:bidi w:val="0"/>
        <w:spacing w:before="0" w:after="120" w:line="470" w:lineRule="exact"/>
        <w:ind w:left="0" w:right="0" w:firstLine="480"/>
        <w:jc w:val="both"/>
      </w:pPr>
      <w:r>
        <w:rPr>
          <w:color w:val="000000"/>
          <w:spacing w:val="0"/>
          <w:w w:val="100"/>
          <w:position w:val="0"/>
          <w:sz w:val="24"/>
          <w:szCs w:val="24"/>
        </w:rPr>
        <w:t>公司顺应国家政策需求，大力拓展防汛排涝、地下市政基础设施、城市生命线等新方向， 为城市排水治理贡献新的力量。报告期内，公司参与制定《城镇污水管网排查信息系统技术 要求》、《城镇排水管道检测影像数据智能判读技术规程》、《大型排水管涵检测评估技术 规范》、《排水管道非开挖修复工程与管理》等一系列规程规范，进一步提升公司行业影响 力。</w:t>
      </w:r>
    </w:p>
    <w:p>
      <w:pPr>
        <w:widowControl w:val="0"/>
        <w:jc w:val="left"/>
        <w:rPr>
          <w:sz w:val="2"/>
          <w:szCs w:val="2"/>
        </w:rPr>
      </w:pPr>
      <w:r>
        <w:drawing>
          <wp:inline>
            <wp:extent cx="5462270" cy="3121025"/>
            <wp:docPr id="148" name="Picutre 148"/>
            <a:graphic xmlns:a="http://schemas.openxmlformats.org/drawingml/2006/main">
              <a:graphicData uri="http://schemas.openxmlformats.org/drawingml/2006/picture">
                <pic:pic xmlns:pic="http://schemas.openxmlformats.org/drawingml/2006/picture">
                  <pic:nvPicPr>
                    <pic:cNvPr id="148" name="Picture 148"/>
                    <pic:cNvPicPr/>
                  </pic:nvPicPr>
                  <pic:blipFill>
                    <a:blip r:embed="rId49"/>
                    <a:stretch/>
                  </pic:blipFill>
                  <pic:spPr>
                    <a:xfrm>
                      <a:ext cx="5462270" cy="3121025"/>
                    </a:xfrm>
                    <a:prstGeom prst="rect"/>
                  </pic:spPr>
                </pic:pic>
              </a:graphicData>
            </a:graphic>
          </wp:inline>
        </w:drawing>
      </w:r>
    </w:p>
    <w:p>
      <w:pPr>
        <w:pStyle w:val="Style59"/>
        <w:keepNext w:val="0"/>
        <w:keepLines w:val="0"/>
        <w:widowControl w:val="0"/>
        <w:shd w:val="clear" w:color="auto" w:fill="auto"/>
        <w:bidi w:val="0"/>
        <w:spacing w:before="0" w:after="0" w:line="480" w:lineRule="exact"/>
        <w:ind w:left="0" w:right="0" w:firstLine="480"/>
        <w:jc w:val="both"/>
      </w:pPr>
      <w:r>
        <w:rPr>
          <w:color w:val="000000"/>
          <w:spacing w:val="0"/>
          <w:w w:val="100"/>
          <w:position w:val="0"/>
          <w:sz w:val="24"/>
          <w:szCs w:val="24"/>
        </w:rPr>
        <w:t xml:space="preserve">其中，公司在黄石市开展基于水质水量的管网诊断、污水主管网隐患排查、二三级管网 排查、排水管道修复及混接改造等多个项目，打造“探•诊•清•检•修” 一体化综合治理 </w:t>
      </w:r>
      <w:r>
        <w:rPr>
          <w:color w:val="000000"/>
          <w:spacing w:val="0"/>
          <w:w w:val="100"/>
          <w:position w:val="0"/>
          <w:sz w:val="24"/>
          <w:szCs w:val="24"/>
        </w:rPr>
        <w:t>模式，树立了可推广、可复制的黄石样板，迎来在城镇污水处理提质增效千亿市场空间发展 机遇。通过一体化综合治理措施，显著提升污水处理厂进水浓度，助力黄石市水更清、岸更 绿、景更美。黄石市多措并举、一体化综合治理的实践经验具有很强的推广，为全国城镇污 水提质增效树立了样板。</w:t>
      </w:r>
    </w:p>
    <w:p>
      <w:pPr>
        <w:pStyle w:val="Style59"/>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报告期内，公司在厦门集美开展雨污水管网溯源排查，历时3个月，完成1500公里管网 排查工作，通过本项目系统排查、诊断排水管网问题，及时修复破损管网，提升了排水能力 和效率。</w:t>
      </w:r>
    </w:p>
    <w:p>
      <w:pPr>
        <w:pStyle w:val="Style59"/>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基于上百个项目实践经验，公司逐步建立起生态联盟，在排水领域与多家监测设备厂商 建立合作关系，在设备采购、数据应用分析、应用场景打造等领域进行了效果显著的合作实 践，为项目交付和设备售后维护提供了有力的保障。</w:t>
      </w:r>
    </w:p>
    <w:p>
      <w:pPr>
        <w:pStyle w:val="Style59"/>
        <w:keepNext w:val="0"/>
        <w:keepLines w:val="0"/>
        <w:widowControl w:val="0"/>
        <w:shd w:val="clear" w:color="auto" w:fill="auto"/>
        <w:bidi w:val="0"/>
        <w:spacing w:before="0" w:after="0" w:line="470" w:lineRule="exact"/>
        <w:ind w:left="0" w:right="0" w:firstLine="480"/>
        <w:jc w:val="both"/>
      </w:pPr>
      <w:bookmarkStart w:id="94" w:name="bookmark94"/>
      <w:r>
        <w:rPr>
          <w:b/>
          <w:bCs/>
          <w:color w:val="000000"/>
          <w:spacing w:val="0"/>
          <w:w w:val="100"/>
          <w:position w:val="0"/>
          <w:sz w:val="24"/>
          <w:szCs w:val="24"/>
        </w:rPr>
        <w:t>6</w:t>
      </w:r>
      <w:bookmarkEnd w:id="94"/>
      <w:r>
        <w:rPr>
          <w:b/>
          <w:bCs/>
          <w:color w:val="000000"/>
          <w:spacing w:val="0"/>
          <w:w w:val="100"/>
          <w:position w:val="0"/>
          <w:sz w:val="24"/>
          <w:szCs w:val="24"/>
        </w:rPr>
        <w:t>、数字孪生业务</w:t>
      </w:r>
    </w:p>
    <w:p>
      <w:pPr>
        <w:pStyle w:val="Style59"/>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公司已深耕</w:t>
      </w:r>
      <w:r>
        <w:rPr>
          <w:color w:val="000000"/>
          <w:spacing w:val="0"/>
          <w:w w:val="100"/>
          <w:position w:val="0"/>
          <w:sz w:val="24"/>
          <w:szCs w:val="24"/>
        </w:rPr>
        <w:t>GIS</w:t>
      </w:r>
      <w:r>
        <w:rPr>
          <w:color w:val="000000"/>
          <w:spacing w:val="0"/>
          <w:w w:val="100"/>
          <w:position w:val="0"/>
          <w:sz w:val="24"/>
          <w:szCs w:val="24"/>
        </w:rPr>
        <w:t>领域20载，连续五年排在全国地理信息产业百强榜单前十。自主研发的 通图</w:t>
      </w:r>
      <w:r>
        <w:rPr>
          <w:color w:val="000000"/>
          <w:spacing w:val="0"/>
          <w:w w:val="100"/>
          <w:position w:val="0"/>
          <w:sz w:val="24"/>
          <w:szCs w:val="24"/>
        </w:rPr>
        <w:t>GIS</w:t>
      </w:r>
      <w:r>
        <w:rPr>
          <w:color w:val="000000"/>
          <w:spacing w:val="0"/>
          <w:w w:val="100"/>
          <w:position w:val="0"/>
          <w:sz w:val="24"/>
          <w:szCs w:val="24"/>
        </w:rPr>
        <w:t>平台已通过国家工业信息安全发展研究中心评测鉴定所的国产化评测认证、华为云 沃土云创认证及统信互认证，可兼容统信、银河麒麟、华为云等多种国产化服务器环境，产 品符合国产化标准，全部生态自主可控。</w:t>
      </w:r>
    </w:p>
    <w:p>
      <w:pPr>
        <w:pStyle w:val="Style59"/>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报告期内，数字政通正式发布了具有完全自主知识产权的“晶石”数字挛生平台。“晶 石”数字挛生平台依托从物理世界到数字世界全空间、全要素、全过程的双向映射理念，通 过构建城市在数字空间的三维模型来实现三维立体空间乃至地下空间的可视化管理。通过引 入</w:t>
      </w:r>
      <w:r>
        <w:rPr>
          <w:color w:val="000000"/>
          <w:spacing w:val="0"/>
          <w:w w:val="100"/>
          <w:position w:val="0"/>
          <w:sz w:val="24"/>
          <w:szCs w:val="24"/>
        </w:rPr>
        <w:t>BIM</w:t>
      </w:r>
      <w:r>
        <w:rPr>
          <w:color w:val="000000"/>
          <w:spacing w:val="0"/>
          <w:w w:val="100"/>
          <w:position w:val="0"/>
          <w:sz w:val="24"/>
          <w:szCs w:val="24"/>
        </w:rPr>
        <w:t>技术，将城市信息管理的力度从城市部件、建筑整体延伸到了内部构建，能够实现从 宏观到微观，以</w:t>
      </w:r>
      <w:r>
        <w:rPr>
          <w:color w:val="000000"/>
          <w:spacing w:val="0"/>
          <w:w w:val="100"/>
          <w:position w:val="0"/>
          <w:sz w:val="24"/>
          <w:szCs w:val="24"/>
        </w:rPr>
        <w:t>L1-L5</w:t>
      </w:r>
      <w:r>
        <w:rPr>
          <w:color w:val="000000"/>
          <w:spacing w:val="0"/>
          <w:w w:val="100"/>
          <w:position w:val="0"/>
          <w:sz w:val="24"/>
          <w:szCs w:val="24"/>
        </w:rPr>
        <w:t>级别建模规范完整的、全面的建立起城市的框架，把城市的管理领域 和实际业务需求相结合，融合</w:t>
      </w:r>
      <w:r>
        <w:rPr>
          <w:color w:val="000000"/>
          <w:spacing w:val="0"/>
          <w:w w:val="100"/>
          <w:position w:val="0"/>
          <w:sz w:val="24"/>
          <w:szCs w:val="24"/>
        </w:rPr>
        <w:t>IoT、</w:t>
      </w:r>
      <w:r>
        <w:rPr>
          <w:color w:val="000000"/>
          <w:spacing w:val="0"/>
          <w:w w:val="100"/>
          <w:position w:val="0"/>
          <w:sz w:val="24"/>
          <w:szCs w:val="24"/>
        </w:rPr>
        <w:t>视频、全景、城市业务等数据，形成动态的、高度仿真 的挛生城市，为城市管理提供更加科学、更加直观的技术平台，从而实现城市管理的创新。 截止披露日，相关项目合同额已超过2亿元。</w:t>
      </w:r>
    </w:p>
    <w:p>
      <w:pPr>
        <w:pStyle w:val="Style59"/>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同时，公司具有的数字挛生、区块链、</w:t>
      </w:r>
      <w:r>
        <w:rPr>
          <w:color w:val="000000"/>
          <w:spacing w:val="0"/>
          <w:w w:val="100"/>
          <w:position w:val="0"/>
          <w:sz w:val="24"/>
          <w:szCs w:val="24"/>
        </w:rPr>
        <w:t>AI、</w:t>
      </w:r>
      <w:r>
        <w:rPr>
          <w:color w:val="000000"/>
          <w:spacing w:val="0"/>
          <w:w w:val="100"/>
          <w:position w:val="0"/>
          <w:sz w:val="24"/>
          <w:szCs w:val="24"/>
        </w:rPr>
        <w:t>大数据、物联网等相关技术储备和业务发展 方向与元宇宙技术有很多的共同点和连接点，具备一定的开展元宇宙技术研发和应用的基础。 元宇宙本质上是对现实世界的虚拟化、数字化过程，对内容生产、经济系统、用户体验以及 实体世界的大量改造，将对公司开展的核心业务从管理模式、管理手段、技术实现方式等方 面带来重大的影响和变革。</w:t>
      </w:r>
      <w:r>
        <w:br w:type="page"/>
      </w:r>
    </w:p>
    <w:p>
      <w:pPr>
        <w:pStyle w:val="Style24"/>
        <w:keepNext/>
        <w:keepLines/>
        <w:widowControl w:val="0"/>
        <w:shd w:val="clear" w:color="auto" w:fill="auto"/>
        <w:bidi w:val="0"/>
        <w:spacing w:before="0" w:after="360" w:line="240" w:lineRule="auto"/>
        <w:ind w:left="0" w:right="0" w:firstLine="0"/>
        <w:jc w:val="both"/>
      </w:pPr>
      <w:bookmarkStart w:id="95" w:name="bookmark95"/>
      <w:bookmarkStart w:id="96" w:name="bookmark96"/>
      <w:bookmarkStart w:id="97" w:name="bookmark97"/>
      <w:bookmarkStart w:id="98" w:name="bookmark98"/>
      <w:r>
        <w:rPr>
          <w:rFonts w:ascii="Times New Roman" w:eastAsia="Times New Roman" w:hAnsi="Times New Roman" w:cs="Times New Roman"/>
          <w:color w:val="000000"/>
          <w:spacing w:val="0"/>
          <w:w w:val="100"/>
          <w:position w:val="0"/>
        </w:rPr>
        <w:t>2</w:t>
      </w:r>
      <w:bookmarkEnd w:id="97"/>
      <w:r>
        <w:rPr>
          <w:color w:val="000000"/>
          <w:spacing w:val="0"/>
          <w:w w:val="100"/>
          <w:position w:val="0"/>
        </w:rPr>
        <w:t>、收入与成本</w:t>
      </w:r>
      <w:bookmarkEnd w:id="95"/>
      <w:bookmarkEnd w:id="96"/>
      <w:bookmarkEnd w:id="98"/>
    </w:p>
    <w:p>
      <w:pPr>
        <w:pStyle w:val="Style102"/>
        <w:keepNext/>
        <w:keepLines/>
        <w:widowControl w:val="0"/>
        <w:shd w:val="clear" w:color="auto" w:fill="auto"/>
        <w:bidi w:val="0"/>
        <w:spacing w:before="0" w:line="240" w:lineRule="auto"/>
        <w:ind w:left="0" w:right="0" w:firstLine="0"/>
        <w:jc w:val="both"/>
      </w:pPr>
      <w:bookmarkStart w:id="100" w:name="bookmark100"/>
      <w:bookmarkStart w:id="101" w:name="bookmark101"/>
      <w:bookmarkStart w:id="102" w:name="bookmark102"/>
      <w:bookmarkStart w:id="99" w:name="bookmark99"/>
      <w:r>
        <w:rPr>
          <w:color w:val="000000"/>
          <w:spacing w:val="0"/>
          <w:w w:val="100"/>
          <w:position w:val="0"/>
        </w:rPr>
        <w:t>（</w:t>
      </w:r>
      <w:bookmarkEnd w:id="101"/>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0"/>
      <w:bookmarkEnd w:id="102"/>
      <w:bookmarkEnd w:id="99"/>
    </w:p>
    <w:p>
      <w:pPr>
        <w:pStyle w:val="Style14"/>
        <w:keepNext w:val="0"/>
        <w:keepLines w:val="0"/>
        <w:widowControl w:val="0"/>
        <w:shd w:val="clear" w:color="auto" w:fill="auto"/>
        <w:bidi w:val="0"/>
        <w:spacing w:before="0" w:after="140" w:line="240" w:lineRule="auto"/>
        <w:ind w:left="0" w:right="0" w:firstLine="0"/>
        <w:jc w:val="both"/>
      </w:pPr>
      <w:r>
        <w:rPr>
          <w:color w:val="000000"/>
          <w:spacing w:val="0"/>
          <w:w w:val="100"/>
          <w:position w:val="0"/>
        </w:rPr>
        <w:t>营业收入整体情况</w:t>
      </w:r>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1,480,608,704.87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1,413,997,067.60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4.71%</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智慧城市管理领域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1,476,139,437.53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1,410,103,484.40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4.68%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国土资源管理与城 市规划领域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4,469,267.34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3,893,583.20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14.79%</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系统软件类业务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695,254,877.12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517,038,771.66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34.47%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系统集成类业务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122,651,160.54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238,202,277.93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运营服务类业务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662,702,667.21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658,756,018.01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0.60%</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北方区域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695,798,282.81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593,218,056.53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17.29%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南方区域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784,810,422.06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820,779,011.07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-4.38%</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分销售模式</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直接销售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1,480,608,704.87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1,413,997,067.60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4.71%</w:t>
            </w:r>
          </w:p>
        </w:tc>
      </w:tr>
    </w:tbl>
    <w:p>
      <w:pPr>
        <w:widowControl w:val="0"/>
        <w:spacing w:after="79" w:line="1" w:lineRule="exact"/>
      </w:pPr>
    </w:p>
    <w:p>
      <w:pPr>
        <w:pStyle w:val="Style14"/>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008"/>
        <w:gridCol w:w="1008"/>
        <w:gridCol w:w="1013"/>
        <w:gridCol w:w="1008"/>
        <w:gridCol w:w="1003"/>
        <w:gridCol w:w="1008"/>
        <w:gridCol w:w="998"/>
        <w:gridCol w:w="10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第四季度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223,640,771.</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440,210,894.</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324,306,200.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492,450,838.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183,085,877.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303,446,095.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268,156,758.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659,308,336.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归属于上市公司股 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26,588,416.1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83,433,870.4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4,764,181.31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91,928,938.9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24,376,660.9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46,952,263.8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2,775,100.77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84,556,151.6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79" w:line="1" w:lineRule="exact"/>
      </w:pPr>
    </w:p>
    <w:p>
      <w:pPr>
        <w:pStyle w:val="Style14"/>
        <w:keepNext w:val="0"/>
        <w:keepLines w:val="0"/>
        <w:widowControl w:val="0"/>
        <w:shd w:val="clear" w:color="auto" w:fill="auto"/>
        <w:bidi w:val="0"/>
        <w:spacing w:before="0" w:after="140" w:line="240" w:lineRule="auto"/>
        <w:ind w:left="0" w:right="0" w:firstLine="0"/>
        <w:jc w:val="both"/>
      </w:pPr>
      <w:r>
        <w:rPr>
          <w:color w:val="000000"/>
          <w:spacing w:val="0"/>
          <w:w w:val="100"/>
          <w:position w:val="0"/>
        </w:rPr>
        <w:t>说明经营季节性（或周期性）发生的原因及波动风险</w:t>
      </w:r>
    </w:p>
    <w:p>
      <w:pPr>
        <w:pStyle w:val="Style14"/>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不适用</w:t>
      </w:r>
    </w:p>
    <w:p>
      <w:pPr>
        <w:pStyle w:val="Style102"/>
        <w:keepNext/>
        <w:keepLines/>
        <w:widowControl w:val="0"/>
        <w:shd w:val="clear" w:color="auto" w:fill="auto"/>
        <w:bidi w:val="0"/>
        <w:spacing w:before="0" w:line="240" w:lineRule="auto"/>
        <w:ind w:left="0" w:right="0" w:firstLine="0"/>
        <w:jc w:val="both"/>
      </w:pPr>
      <w:bookmarkStart w:id="103" w:name="bookmark103"/>
      <w:bookmarkStart w:id="104" w:name="bookmark104"/>
      <w:bookmarkStart w:id="105" w:name="bookmark105"/>
      <w:bookmarkStart w:id="106" w:name="bookmark106"/>
      <w:r>
        <w:rPr>
          <w:color w:val="000000"/>
          <w:spacing w:val="0"/>
          <w:w w:val="100"/>
          <w:position w:val="0"/>
        </w:rPr>
        <w:t>（</w:t>
      </w:r>
      <w:bookmarkEnd w:id="105"/>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03"/>
      <w:bookmarkEnd w:id="104"/>
      <w:bookmarkEnd w:id="106"/>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r>
        <w:br w:type="page"/>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3"/>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分客户所处行业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智慧城市管理领 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1,476,139,437.53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908,480,226.30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国土资源管理与 城市规划领域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4,469,267.34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2,602,356.52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21.20%</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系统软件类业务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695,254,877.12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337,451,543.73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系统集成类业务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122,651,160.54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108,409,783.23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运营服务类业务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662,702,667.21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465,221,255.86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北方区域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695,798,282.81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405,052,795.32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南方区域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784,810,422.06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506,029,787.50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35.52%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-13.24%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w:t>
            </w:r>
          </w:p>
        </w:tc>
      </w:tr>
    </w:tbl>
    <w:p>
      <w:pPr>
        <w:widowControl w:val="0"/>
        <w:spacing w:after="99" w:line="1" w:lineRule="exact"/>
      </w:pP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pStyle w:val="Style1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02"/>
        <w:keepNext/>
        <w:keepLines/>
        <w:widowControl w:val="0"/>
        <w:shd w:val="clear" w:color="auto" w:fill="auto"/>
        <w:tabs>
          <w:tab w:pos="493" w:val="left"/>
        </w:tabs>
        <w:bidi w:val="0"/>
        <w:spacing w:before="0" w:line="240" w:lineRule="auto"/>
        <w:ind w:left="0" w:right="0" w:firstLine="0"/>
        <w:jc w:val="left"/>
      </w:pPr>
      <w:bookmarkStart w:id="107" w:name="bookmark107"/>
      <w:bookmarkStart w:id="108" w:name="bookmark108"/>
      <w:bookmarkStart w:id="109" w:name="bookmark109"/>
      <w:bookmarkStart w:id="110" w:name="bookmark110"/>
      <w:r>
        <w:rPr>
          <w:color w:val="000000"/>
          <w:spacing w:val="0"/>
          <w:w w:val="100"/>
          <w:position w:val="0"/>
        </w:rPr>
        <w:t>（</w:t>
      </w:r>
      <w:bookmarkEnd w:id="109"/>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07"/>
      <w:bookmarkEnd w:id="108"/>
      <w:bookmarkEnd w:id="110"/>
    </w:p>
    <w:p>
      <w:pPr>
        <w:pStyle w:val="Style1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02"/>
        <w:keepNext/>
        <w:keepLines/>
        <w:widowControl w:val="0"/>
        <w:shd w:val="clear" w:color="auto" w:fill="auto"/>
        <w:tabs>
          <w:tab w:pos="493" w:val="left"/>
        </w:tabs>
        <w:bidi w:val="0"/>
        <w:spacing w:before="0" w:line="240" w:lineRule="auto"/>
        <w:ind w:left="0" w:right="0" w:firstLine="0"/>
        <w:jc w:val="left"/>
      </w:pPr>
      <w:bookmarkStart w:id="111" w:name="bookmark111"/>
      <w:bookmarkStart w:id="112" w:name="bookmark112"/>
      <w:bookmarkStart w:id="113" w:name="bookmark113"/>
      <w:bookmarkStart w:id="114" w:name="bookmark114"/>
      <w:r>
        <w:rPr>
          <w:color w:val="000000"/>
          <w:spacing w:val="0"/>
          <w:w w:val="100"/>
          <w:position w:val="0"/>
        </w:rPr>
        <w:t>（</w:t>
      </w:r>
      <w:bookmarkEnd w:id="113"/>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11"/>
      <w:bookmarkEnd w:id="112"/>
      <w:bookmarkEnd w:id="114"/>
    </w:p>
    <w:p>
      <w:pPr>
        <w:pStyle w:val="Style1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02"/>
        <w:keepNext/>
        <w:keepLines/>
        <w:widowControl w:val="0"/>
        <w:shd w:val="clear" w:color="auto" w:fill="auto"/>
        <w:tabs>
          <w:tab w:pos="493" w:val="left"/>
        </w:tabs>
        <w:bidi w:val="0"/>
        <w:spacing w:before="0" w:line="240" w:lineRule="auto"/>
        <w:ind w:left="0" w:right="0" w:firstLine="0"/>
        <w:jc w:val="left"/>
      </w:pPr>
      <w:bookmarkStart w:id="115" w:name="bookmark115"/>
      <w:bookmarkStart w:id="116" w:name="bookmark116"/>
      <w:bookmarkStart w:id="117" w:name="bookmark117"/>
      <w:bookmarkStart w:id="118" w:name="bookmark118"/>
      <w:r>
        <w:rPr>
          <w:color w:val="000000"/>
          <w:spacing w:val="0"/>
          <w:w w:val="100"/>
          <w:position w:val="0"/>
        </w:rPr>
        <w:t>（</w:t>
      </w:r>
      <w:bookmarkEnd w:id="117"/>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15"/>
      <w:bookmarkEnd w:id="116"/>
      <w:bookmarkEnd w:id="118"/>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行业分类</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系统软件类业务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337,451,543.73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263,379,558.76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28.12%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系统集成类业务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108,409,783.23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226,617,090.15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运营服务类业务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465,221,255.86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51.06%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454,688,816.60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48.13%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w:t>
            </w:r>
          </w:p>
        </w:tc>
      </w:tr>
    </w:tbl>
    <w:p>
      <w:pPr>
        <w:widowControl w:val="0"/>
        <w:spacing w:after="99" w:line="1" w:lineRule="exact"/>
      </w:pPr>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14"/>
        <w:keepNext w:val="0"/>
        <w:keepLines w:val="0"/>
        <w:widowControl w:val="0"/>
        <w:shd w:val="clear" w:color="auto" w:fill="auto"/>
        <w:bidi w:val="0"/>
        <w:spacing w:before="0" w:after="260" w:line="240" w:lineRule="auto"/>
        <w:ind w:left="0" w:right="0" w:firstLine="0"/>
        <w:jc w:val="left"/>
      </w:pPr>
      <w:r>
        <w:rPr>
          <w:color w:val="000000"/>
          <w:spacing w:val="0"/>
          <w:w w:val="100"/>
          <w:position w:val="0"/>
        </w:rPr>
        <w:t>主营业务成本构成</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本报告期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上年同期</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154,033,829.85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250,807,679.58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368,598,621.48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314,214,618.35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外部服务成本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264,526,043.03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252,860,697.53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项目差旅及办公费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102,932,132.19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104,245,536.31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折旧与摊销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8,780,388.70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11,554,366.95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12,211,567.57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11,002,566.79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911,082,582.82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944,685,465.51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w:t>
            </w:r>
          </w:p>
        </w:tc>
      </w:tr>
    </w:tbl>
    <w:p>
      <w:pPr>
        <w:pStyle w:val="Style21"/>
        <w:keepNext w:val="0"/>
        <w:keepLines w:val="0"/>
        <w:widowControl w:val="0"/>
        <w:shd w:val="clear" w:color="auto" w:fill="auto"/>
        <w:bidi w:val="0"/>
        <w:spacing w:before="0" w:after="0" w:line="240" w:lineRule="auto"/>
        <w:ind w:left="5" w:right="0" w:firstLine="0"/>
        <w:jc w:val="left"/>
        <w:rPr>
          <w:sz w:val="20"/>
          <w:szCs w:val="20"/>
        </w:rPr>
      </w:pPr>
      <w:bookmarkStart w:id="119" w:name="bookmark119"/>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sz w:val="20"/>
          <w:szCs w:val="20"/>
        </w:rPr>
        <w:t>)报告期内合并范围是否发生变动</w:t>
      </w:r>
      <w:bookmarkEnd w:id="119"/>
    </w:p>
    <w:p>
      <w:pPr>
        <w:widowControl w:val="0"/>
        <w:spacing w:after="319" w:line="1" w:lineRule="exact"/>
      </w:pP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59"/>
        <w:keepNext w:val="0"/>
        <w:keepLines w:val="0"/>
        <w:widowControl w:val="0"/>
        <w:numPr>
          <w:ilvl w:val="0"/>
          <w:numId w:val="3"/>
        </w:numPr>
        <w:shd w:val="clear" w:color="auto" w:fill="auto"/>
        <w:tabs>
          <w:tab w:pos="963" w:val="left"/>
        </w:tabs>
        <w:bidi w:val="0"/>
        <w:spacing w:before="0" w:after="0" w:line="468" w:lineRule="exact"/>
        <w:ind w:left="0" w:right="0" w:firstLine="480"/>
        <w:jc w:val="both"/>
      </w:pPr>
      <w:bookmarkStart w:id="120" w:name="bookmark120"/>
      <w:bookmarkEnd w:id="120"/>
      <w:r>
        <w:rPr>
          <w:color w:val="000000"/>
          <w:spacing w:val="0"/>
          <w:w w:val="100"/>
          <w:position w:val="0"/>
          <w:sz w:val="24"/>
          <w:szCs w:val="24"/>
        </w:rPr>
        <w:t>本公司新设子公司安徽数字展通信息科技有限公司，注册资本</w:t>
      </w:r>
      <w:r>
        <w:rPr>
          <w:color w:val="000000"/>
          <w:spacing w:val="0"/>
          <w:w w:val="100"/>
          <w:position w:val="0"/>
          <w:sz w:val="24"/>
          <w:szCs w:val="24"/>
        </w:rPr>
        <w:t>1,000.00</w:t>
      </w:r>
      <w:r>
        <w:rPr>
          <w:color w:val="000000"/>
          <w:spacing w:val="0"/>
          <w:w w:val="100"/>
          <w:position w:val="0"/>
          <w:sz w:val="24"/>
          <w:szCs w:val="24"/>
        </w:rPr>
        <w:t>万元，本公 司持股比例100%，实际缴纳出资</w:t>
      </w:r>
      <w:r>
        <w:rPr>
          <w:color w:val="000000"/>
          <w:spacing w:val="0"/>
          <w:w w:val="100"/>
          <w:position w:val="0"/>
          <w:sz w:val="24"/>
          <w:szCs w:val="24"/>
        </w:rPr>
        <w:t>100.00</w:t>
      </w:r>
      <w:r>
        <w:rPr>
          <w:color w:val="000000"/>
          <w:spacing w:val="0"/>
          <w:w w:val="100"/>
          <w:position w:val="0"/>
          <w:sz w:val="24"/>
          <w:szCs w:val="24"/>
        </w:rPr>
        <w:t>万元。</w:t>
      </w:r>
    </w:p>
    <w:p>
      <w:pPr>
        <w:pStyle w:val="Style59"/>
        <w:keepNext w:val="0"/>
        <w:keepLines w:val="0"/>
        <w:widowControl w:val="0"/>
        <w:numPr>
          <w:ilvl w:val="0"/>
          <w:numId w:val="3"/>
        </w:numPr>
        <w:shd w:val="clear" w:color="auto" w:fill="auto"/>
        <w:tabs>
          <w:tab w:pos="978" w:val="left"/>
        </w:tabs>
        <w:bidi w:val="0"/>
        <w:spacing w:before="0" w:after="0" w:line="468" w:lineRule="exact"/>
        <w:ind w:left="0" w:right="0" w:firstLine="480"/>
        <w:jc w:val="both"/>
      </w:pPr>
      <w:bookmarkStart w:id="121" w:name="bookmark121"/>
      <w:bookmarkEnd w:id="121"/>
      <w:r>
        <w:rPr>
          <w:color w:val="000000"/>
          <w:spacing w:val="0"/>
          <w:w w:val="100"/>
          <w:position w:val="0"/>
          <w:sz w:val="24"/>
          <w:szCs w:val="24"/>
        </w:rPr>
        <w:t>本公司新设子公司天津数字政通科技有限公司，注册资本</w:t>
      </w:r>
      <w:r>
        <w:rPr>
          <w:color w:val="000000"/>
          <w:spacing w:val="0"/>
          <w:w w:val="100"/>
          <w:position w:val="0"/>
          <w:sz w:val="24"/>
          <w:szCs w:val="24"/>
        </w:rPr>
        <w:t>1,000.00</w:t>
      </w:r>
      <w:r>
        <w:rPr>
          <w:color w:val="000000"/>
          <w:spacing w:val="0"/>
          <w:w w:val="100"/>
          <w:position w:val="0"/>
          <w:sz w:val="24"/>
          <w:szCs w:val="24"/>
        </w:rPr>
        <w:t>万元，本公司持 股比例100%，实际缴纳出资</w:t>
      </w:r>
      <w:r>
        <w:rPr>
          <w:color w:val="000000"/>
          <w:spacing w:val="0"/>
          <w:w w:val="100"/>
          <w:position w:val="0"/>
          <w:sz w:val="24"/>
          <w:szCs w:val="24"/>
        </w:rPr>
        <w:t>100.00</w:t>
      </w:r>
      <w:r>
        <w:rPr>
          <w:color w:val="000000"/>
          <w:spacing w:val="0"/>
          <w:w w:val="100"/>
          <w:position w:val="0"/>
          <w:sz w:val="24"/>
          <w:szCs w:val="24"/>
        </w:rPr>
        <w:t>万元。</w:t>
      </w:r>
    </w:p>
    <w:p>
      <w:pPr>
        <w:pStyle w:val="Style59"/>
        <w:keepNext w:val="0"/>
        <w:keepLines w:val="0"/>
        <w:widowControl w:val="0"/>
        <w:numPr>
          <w:ilvl w:val="0"/>
          <w:numId w:val="3"/>
        </w:numPr>
        <w:shd w:val="clear" w:color="auto" w:fill="auto"/>
        <w:tabs>
          <w:tab w:pos="978" w:val="left"/>
        </w:tabs>
        <w:bidi w:val="0"/>
        <w:spacing w:before="0" w:after="0" w:line="468" w:lineRule="exact"/>
        <w:ind w:left="0" w:right="0" w:firstLine="480"/>
        <w:jc w:val="both"/>
      </w:pPr>
      <w:bookmarkStart w:id="122" w:name="bookmark122"/>
      <w:bookmarkEnd w:id="122"/>
      <w:r>
        <w:rPr>
          <w:color w:val="000000"/>
          <w:spacing w:val="0"/>
          <w:w w:val="100"/>
          <w:position w:val="0"/>
          <w:sz w:val="24"/>
          <w:szCs w:val="24"/>
        </w:rPr>
        <w:t>本公司新设子公司成都数字政通科技有限公司，注册资本</w:t>
      </w:r>
      <w:r>
        <w:rPr>
          <w:color w:val="000000"/>
          <w:spacing w:val="0"/>
          <w:w w:val="100"/>
          <w:position w:val="0"/>
          <w:sz w:val="24"/>
          <w:szCs w:val="24"/>
        </w:rPr>
        <w:t>1,000.00</w:t>
      </w:r>
      <w:r>
        <w:rPr>
          <w:color w:val="000000"/>
          <w:spacing w:val="0"/>
          <w:w w:val="100"/>
          <w:position w:val="0"/>
          <w:sz w:val="24"/>
          <w:szCs w:val="24"/>
        </w:rPr>
        <w:t>万元，本公司持 股比例100%，实际缴纳出资</w:t>
      </w:r>
      <w:r>
        <w:rPr>
          <w:color w:val="000000"/>
          <w:spacing w:val="0"/>
          <w:w w:val="100"/>
          <w:position w:val="0"/>
          <w:sz w:val="24"/>
          <w:szCs w:val="24"/>
        </w:rPr>
        <w:t>100.00</w:t>
      </w:r>
      <w:r>
        <w:rPr>
          <w:color w:val="000000"/>
          <w:spacing w:val="0"/>
          <w:w w:val="100"/>
          <w:position w:val="0"/>
          <w:sz w:val="24"/>
          <w:szCs w:val="24"/>
        </w:rPr>
        <w:t>万元。</w:t>
      </w:r>
    </w:p>
    <w:p>
      <w:pPr>
        <w:pStyle w:val="Style59"/>
        <w:keepNext w:val="0"/>
        <w:keepLines w:val="0"/>
        <w:widowControl w:val="0"/>
        <w:numPr>
          <w:ilvl w:val="0"/>
          <w:numId w:val="3"/>
        </w:numPr>
        <w:shd w:val="clear" w:color="auto" w:fill="auto"/>
        <w:tabs>
          <w:tab w:pos="978" w:val="left"/>
        </w:tabs>
        <w:bidi w:val="0"/>
        <w:spacing w:before="0" w:after="0" w:line="468" w:lineRule="exact"/>
        <w:ind w:left="0" w:right="0" w:firstLine="480"/>
        <w:jc w:val="both"/>
      </w:pPr>
      <w:bookmarkStart w:id="123" w:name="bookmark123"/>
      <w:bookmarkEnd w:id="123"/>
      <w:r>
        <w:rPr>
          <w:color w:val="000000"/>
          <w:spacing w:val="0"/>
          <w:w w:val="100"/>
          <w:position w:val="0"/>
          <w:sz w:val="24"/>
          <w:szCs w:val="24"/>
        </w:rPr>
        <w:t>本公司新设子公司河南数字政通科技有限公司，注册资本</w:t>
      </w:r>
      <w:r>
        <w:rPr>
          <w:color w:val="000000"/>
          <w:spacing w:val="0"/>
          <w:w w:val="100"/>
          <w:position w:val="0"/>
          <w:sz w:val="24"/>
          <w:szCs w:val="24"/>
        </w:rPr>
        <w:t>1,000.00</w:t>
      </w:r>
      <w:r>
        <w:rPr>
          <w:color w:val="000000"/>
          <w:spacing w:val="0"/>
          <w:w w:val="100"/>
          <w:position w:val="0"/>
          <w:sz w:val="24"/>
          <w:szCs w:val="24"/>
        </w:rPr>
        <w:t>万元，本公司持 股比例100%，实际缴纳出资</w:t>
      </w:r>
      <w:r>
        <w:rPr>
          <w:color w:val="000000"/>
          <w:spacing w:val="0"/>
          <w:w w:val="100"/>
          <w:position w:val="0"/>
          <w:sz w:val="24"/>
          <w:szCs w:val="24"/>
        </w:rPr>
        <w:t>100.00</w:t>
      </w:r>
      <w:r>
        <w:rPr>
          <w:color w:val="000000"/>
          <w:spacing w:val="0"/>
          <w:w w:val="100"/>
          <w:position w:val="0"/>
          <w:sz w:val="24"/>
          <w:szCs w:val="24"/>
        </w:rPr>
        <w:t>万元。</w:t>
      </w:r>
    </w:p>
    <w:p>
      <w:pPr>
        <w:pStyle w:val="Style59"/>
        <w:keepNext w:val="0"/>
        <w:keepLines w:val="0"/>
        <w:widowControl w:val="0"/>
        <w:numPr>
          <w:ilvl w:val="0"/>
          <w:numId w:val="3"/>
        </w:numPr>
        <w:shd w:val="clear" w:color="auto" w:fill="auto"/>
        <w:tabs>
          <w:tab w:pos="978" w:val="left"/>
        </w:tabs>
        <w:bidi w:val="0"/>
        <w:spacing w:before="0" w:after="0" w:line="468" w:lineRule="exact"/>
        <w:ind w:left="0" w:right="0" w:firstLine="480"/>
        <w:jc w:val="both"/>
      </w:pPr>
      <w:bookmarkStart w:id="124" w:name="bookmark124"/>
      <w:bookmarkEnd w:id="124"/>
      <w:r>
        <w:rPr>
          <w:color w:val="000000"/>
          <w:spacing w:val="0"/>
          <w:w w:val="100"/>
          <w:position w:val="0"/>
          <w:sz w:val="24"/>
          <w:szCs w:val="24"/>
        </w:rPr>
        <w:t>本公司新设子公司长春数字政通科技有限公司，注册资本</w:t>
      </w:r>
      <w:r>
        <w:rPr>
          <w:color w:val="000000"/>
          <w:spacing w:val="0"/>
          <w:w w:val="100"/>
          <w:position w:val="0"/>
          <w:sz w:val="24"/>
          <w:szCs w:val="24"/>
        </w:rPr>
        <w:t>2,000.00</w:t>
      </w:r>
      <w:r>
        <w:rPr>
          <w:color w:val="000000"/>
          <w:spacing w:val="0"/>
          <w:w w:val="100"/>
          <w:position w:val="0"/>
          <w:sz w:val="24"/>
          <w:szCs w:val="24"/>
        </w:rPr>
        <w:t>万元，本公司持 股比例100%，实际缴纳出资</w:t>
      </w:r>
      <w:r>
        <w:rPr>
          <w:color w:val="000000"/>
          <w:spacing w:val="0"/>
          <w:w w:val="100"/>
          <w:position w:val="0"/>
          <w:sz w:val="24"/>
          <w:szCs w:val="24"/>
        </w:rPr>
        <w:t>100.00</w:t>
      </w:r>
      <w:r>
        <w:rPr>
          <w:color w:val="000000"/>
          <w:spacing w:val="0"/>
          <w:w w:val="100"/>
          <w:position w:val="0"/>
          <w:sz w:val="24"/>
          <w:szCs w:val="24"/>
        </w:rPr>
        <w:t>万元。</w:t>
      </w:r>
    </w:p>
    <w:p>
      <w:pPr>
        <w:pStyle w:val="Style59"/>
        <w:keepNext w:val="0"/>
        <w:keepLines w:val="0"/>
        <w:widowControl w:val="0"/>
        <w:numPr>
          <w:ilvl w:val="0"/>
          <w:numId w:val="3"/>
        </w:numPr>
        <w:shd w:val="clear" w:color="auto" w:fill="auto"/>
        <w:tabs>
          <w:tab w:pos="978" w:val="left"/>
        </w:tabs>
        <w:bidi w:val="0"/>
        <w:spacing w:before="0" w:after="0" w:line="468" w:lineRule="exact"/>
        <w:ind w:left="0" w:right="0" w:firstLine="480"/>
        <w:jc w:val="both"/>
      </w:pPr>
      <w:bookmarkStart w:id="125" w:name="bookmark125"/>
      <w:bookmarkEnd w:id="125"/>
      <w:r>
        <w:rPr>
          <w:color w:val="000000"/>
          <w:spacing w:val="0"/>
          <w:w w:val="100"/>
          <w:position w:val="0"/>
          <w:sz w:val="24"/>
          <w:szCs w:val="24"/>
        </w:rPr>
        <w:t>本公司新设子公司河南数字智通科技有限公司，注册资本</w:t>
      </w:r>
      <w:r>
        <w:rPr>
          <w:color w:val="000000"/>
          <w:spacing w:val="0"/>
          <w:w w:val="100"/>
          <w:position w:val="0"/>
          <w:sz w:val="24"/>
          <w:szCs w:val="24"/>
        </w:rPr>
        <w:t>1,000.00</w:t>
      </w:r>
      <w:r>
        <w:rPr>
          <w:color w:val="000000"/>
          <w:spacing w:val="0"/>
          <w:w w:val="100"/>
          <w:position w:val="0"/>
          <w:sz w:val="24"/>
          <w:szCs w:val="24"/>
        </w:rPr>
        <w:t>万元，本公司持 股比例100%，实际缴纳出资</w:t>
      </w:r>
      <w:r>
        <w:rPr>
          <w:color w:val="000000"/>
          <w:spacing w:val="0"/>
          <w:w w:val="100"/>
          <w:position w:val="0"/>
          <w:sz w:val="24"/>
          <w:szCs w:val="24"/>
        </w:rPr>
        <w:t>100.00</w:t>
      </w:r>
      <w:r>
        <w:rPr>
          <w:color w:val="000000"/>
          <w:spacing w:val="0"/>
          <w:w w:val="100"/>
          <w:position w:val="0"/>
          <w:sz w:val="24"/>
          <w:szCs w:val="24"/>
        </w:rPr>
        <w:t>万元。</w:t>
      </w:r>
    </w:p>
    <w:p>
      <w:pPr>
        <w:pStyle w:val="Style59"/>
        <w:keepNext w:val="0"/>
        <w:keepLines w:val="0"/>
        <w:widowControl w:val="0"/>
        <w:numPr>
          <w:ilvl w:val="0"/>
          <w:numId w:val="3"/>
        </w:numPr>
        <w:shd w:val="clear" w:color="auto" w:fill="auto"/>
        <w:tabs>
          <w:tab w:pos="973" w:val="left"/>
        </w:tabs>
        <w:bidi w:val="0"/>
        <w:spacing w:before="0" w:after="0" w:line="468" w:lineRule="exact"/>
        <w:ind w:left="0" w:right="0" w:firstLine="480"/>
        <w:jc w:val="both"/>
      </w:pPr>
      <w:bookmarkStart w:id="126" w:name="bookmark126"/>
      <w:bookmarkEnd w:id="126"/>
      <w:r>
        <w:rPr>
          <w:color w:val="000000"/>
          <w:spacing w:val="0"/>
          <w:w w:val="100"/>
          <w:position w:val="0"/>
          <w:sz w:val="24"/>
          <w:szCs w:val="24"/>
        </w:rPr>
        <w:t>本公司新设子公司嘉兴政通优势投资合伙企业(有限合伙)，注册资本</w:t>
      </w:r>
      <w:r>
        <w:rPr>
          <w:color w:val="000000"/>
          <w:spacing w:val="0"/>
          <w:w w:val="100"/>
          <w:position w:val="0"/>
          <w:sz w:val="24"/>
          <w:szCs w:val="24"/>
        </w:rPr>
        <w:t xml:space="preserve">10,000.00 </w:t>
      </w:r>
      <w:r>
        <w:rPr>
          <w:color w:val="000000"/>
          <w:spacing w:val="0"/>
          <w:w w:val="100"/>
          <w:position w:val="0"/>
          <w:sz w:val="24"/>
          <w:szCs w:val="24"/>
        </w:rPr>
        <w:t>万元，本公司持股比例99%，实际缴纳出资</w:t>
      </w:r>
      <w:r>
        <w:rPr>
          <w:color w:val="000000"/>
          <w:spacing w:val="0"/>
          <w:w w:val="100"/>
          <w:position w:val="0"/>
          <w:sz w:val="24"/>
          <w:szCs w:val="24"/>
        </w:rPr>
        <w:t>1,490.00</w:t>
      </w:r>
      <w:r>
        <w:rPr>
          <w:color w:val="000000"/>
          <w:spacing w:val="0"/>
          <w:w w:val="100"/>
          <w:position w:val="0"/>
          <w:sz w:val="24"/>
          <w:szCs w:val="24"/>
        </w:rPr>
        <w:t>万元。</w:t>
      </w:r>
    </w:p>
    <w:p>
      <w:pPr>
        <w:pStyle w:val="Style59"/>
        <w:keepNext w:val="0"/>
        <w:keepLines w:val="0"/>
        <w:widowControl w:val="0"/>
        <w:numPr>
          <w:ilvl w:val="0"/>
          <w:numId w:val="3"/>
        </w:numPr>
        <w:shd w:val="clear" w:color="auto" w:fill="auto"/>
        <w:tabs>
          <w:tab w:pos="978" w:val="left"/>
        </w:tabs>
        <w:bidi w:val="0"/>
        <w:spacing w:before="0" w:after="0" w:line="468" w:lineRule="exact"/>
        <w:ind w:left="0" w:right="0" w:firstLine="480"/>
        <w:jc w:val="both"/>
      </w:pPr>
      <w:bookmarkStart w:id="127" w:name="bookmark127"/>
      <w:bookmarkEnd w:id="127"/>
      <w:r>
        <w:rPr>
          <w:color w:val="000000"/>
          <w:spacing w:val="0"/>
          <w:w w:val="100"/>
          <w:position w:val="0"/>
          <w:sz w:val="24"/>
          <w:szCs w:val="24"/>
        </w:rPr>
        <w:t>本公司注销子公司克拉玛依数字政通信息科技有限责任公司，注册资本</w:t>
      </w:r>
      <w:r>
        <w:rPr>
          <w:color w:val="000000"/>
          <w:spacing w:val="0"/>
          <w:w w:val="100"/>
          <w:position w:val="0"/>
          <w:sz w:val="24"/>
          <w:szCs w:val="24"/>
        </w:rPr>
        <w:t xml:space="preserve">300. </w:t>
      </w:r>
      <w:r>
        <w:rPr>
          <w:color w:val="000000"/>
          <w:spacing w:val="0"/>
          <w:w w:val="100"/>
          <w:position w:val="0"/>
          <w:sz w:val="24"/>
          <w:szCs w:val="24"/>
        </w:rPr>
        <w:t>00万元， 本公司持股比例100%。</w:t>
      </w:r>
    </w:p>
    <w:p>
      <w:pPr>
        <w:pStyle w:val="Style59"/>
        <w:keepNext w:val="0"/>
        <w:keepLines w:val="0"/>
        <w:widowControl w:val="0"/>
        <w:shd w:val="clear" w:color="auto" w:fill="auto"/>
        <w:bidi w:val="0"/>
        <w:spacing w:before="0" w:after="380" w:line="468" w:lineRule="exact"/>
        <w:ind w:left="0" w:right="0" w:firstLine="480"/>
        <w:jc w:val="both"/>
      </w:pPr>
      <w:r>
        <w:rPr>
          <w:color w:val="000000"/>
          <w:spacing w:val="0"/>
          <w:w w:val="100"/>
          <w:position w:val="0"/>
          <w:sz w:val="24"/>
          <w:szCs w:val="24"/>
        </w:rPr>
        <w:t>注：本报告期本公司新设子公司广西数字政通科技有限公司，注册资本</w:t>
      </w:r>
      <w:r>
        <w:rPr>
          <w:color w:val="000000"/>
          <w:spacing w:val="0"/>
          <w:w w:val="100"/>
          <w:position w:val="0"/>
          <w:sz w:val="24"/>
          <w:szCs w:val="24"/>
        </w:rPr>
        <w:t>1,000.00</w:t>
      </w:r>
      <w:r>
        <w:rPr>
          <w:color w:val="000000"/>
          <w:spacing w:val="0"/>
          <w:w w:val="100"/>
          <w:position w:val="0"/>
          <w:sz w:val="24"/>
          <w:szCs w:val="24"/>
        </w:rPr>
        <w:t>万元， 本公司持股比例100%；新设子公司天津政通智行科技有限公司，注册资本</w:t>
      </w:r>
      <w:r>
        <w:rPr>
          <w:color w:val="000000"/>
          <w:spacing w:val="0"/>
          <w:w w:val="100"/>
          <w:position w:val="0"/>
          <w:sz w:val="24"/>
          <w:szCs w:val="24"/>
        </w:rPr>
        <w:t>2,000.00</w:t>
      </w:r>
      <w:r>
        <w:rPr>
          <w:color w:val="000000"/>
          <w:spacing w:val="0"/>
          <w:w w:val="100"/>
          <w:position w:val="0"/>
          <w:sz w:val="24"/>
          <w:szCs w:val="24"/>
        </w:rPr>
        <w:t xml:space="preserve">万元，本 </w:t>
      </w:r>
      <w:r>
        <w:rPr>
          <w:color w:val="000000"/>
          <w:spacing w:val="0"/>
          <w:w w:val="100"/>
          <w:position w:val="0"/>
          <w:sz w:val="24"/>
          <w:szCs w:val="24"/>
        </w:rPr>
        <w:t>公司持股比例100%,截止2021年12月31日本公司对上述两家公司均未缴纳出资，上述两家公 司也尚未实际开展经营活动，故上述两家公司未包含在本财务报告合并范围内。</w:t>
      </w:r>
    </w:p>
    <w:p>
      <w:pPr>
        <w:pStyle w:val="Style102"/>
        <w:keepNext/>
        <w:keepLines/>
        <w:widowControl w:val="0"/>
        <w:shd w:val="clear" w:color="auto" w:fill="auto"/>
        <w:tabs>
          <w:tab w:pos="493" w:val="left"/>
        </w:tabs>
        <w:bidi w:val="0"/>
        <w:spacing w:before="0" w:after="380" w:line="240" w:lineRule="auto"/>
        <w:ind w:left="0" w:right="0" w:firstLine="0"/>
        <w:jc w:val="left"/>
      </w:pPr>
      <w:bookmarkStart w:id="128" w:name="bookmark128"/>
      <w:bookmarkStart w:id="129" w:name="bookmark129"/>
      <w:bookmarkStart w:id="130" w:name="bookmark130"/>
      <w:bookmarkStart w:id="131" w:name="bookmark131"/>
      <w:r>
        <w:rPr>
          <w:color w:val="000000"/>
          <w:spacing w:val="0"/>
          <w:w w:val="100"/>
          <w:position w:val="0"/>
        </w:rPr>
        <w:t>（</w:t>
      </w:r>
      <w:bookmarkEnd w:id="130"/>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28"/>
      <w:bookmarkEnd w:id="129"/>
      <w:bookmarkEnd w:id="131"/>
    </w:p>
    <w:p>
      <w:pPr>
        <w:pStyle w:val="Style14"/>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02"/>
        <w:keepNext/>
        <w:keepLines/>
        <w:widowControl w:val="0"/>
        <w:shd w:val="clear" w:color="auto" w:fill="auto"/>
        <w:tabs>
          <w:tab w:pos="493" w:val="left"/>
        </w:tabs>
        <w:bidi w:val="0"/>
        <w:spacing w:before="0" w:after="380" w:line="240" w:lineRule="auto"/>
        <w:ind w:left="0" w:right="0" w:firstLine="0"/>
        <w:jc w:val="both"/>
      </w:pPr>
      <w:bookmarkStart w:id="132" w:name="bookmark132"/>
      <w:bookmarkStart w:id="133" w:name="bookmark133"/>
      <w:bookmarkStart w:id="134" w:name="bookmark134"/>
      <w:bookmarkStart w:id="135" w:name="bookmark135"/>
      <w:r>
        <w:rPr>
          <w:color w:val="000000"/>
          <w:spacing w:val="0"/>
          <w:w w:val="100"/>
          <w:position w:val="0"/>
        </w:rPr>
        <w:t>（</w:t>
      </w:r>
      <w:bookmarkEnd w:id="134"/>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2"/>
      <w:bookmarkEnd w:id="133"/>
      <w:bookmarkEnd w:id="135"/>
    </w:p>
    <w:p>
      <w:pPr>
        <w:pStyle w:val="Style14"/>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193,051,594.08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widowControl w:val="0"/>
        <w:spacing w:after="79" w:line="1" w:lineRule="exact"/>
      </w:pPr>
    </w:p>
    <w:p>
      <w:pPr>
        <w:widowControl w:val="0"/>
        <w:spacing w:line="1" w:lineRule="exact"/>
      </w:pP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占年度销售总额比例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51,557,042.54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39,959,464.47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36,048,361.40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34,513,274.34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30,973,451.33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2.09%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193,051,594.08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w:t>
            </w:r>
          </w:p>
        </w:tc>
      </w:tr>
    </w:tbl>
    <w:p>
      <w:pPr>
        <w:widowControl w:val="0"/>
        <w:spacing w:after="79" w:line="1" w:lineRule="exact"/>
      </w:pP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rPr>
        <w:t>主要客户其他情况说明</w:t>
      </w:r>
    </w:p>
    <w:p>
      <w:pPr>
        <w:pStyle w:val="Style1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公司主要供应商情况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42,568,252.57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79" w:line="1" w:lineRule="exact"/>
      </w:pPr>
    </w:p>
    <w:p>
      <w:pPr>
        <w:widowControl w:val="0"/>
        <w:spacing w:line="1" w:lineRule="exact"/>
      </w:pPr>
    </w:p>
    <w:tbl>
      <w:tblPr>
        <w:tblOverlap w:val="never"/>
        <w:jc w:val="center"/>
        <w:tblLayout w:type="fixed"/>
      </w:tblPr>
      <w:tblGrid>
        <w:gridCol w:w="941"/>
        <w:gridCol w:w="3168"/>
        <w:gridCol w:w="2323"/>
        <w:gridCol w:w="314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14,223,921.99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8,242,945.39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7,451,232.77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6,464,311.72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1.54%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6,185,840.70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1.48%</w:t>
            </w:r>
          </w:p>
        </w:tc>
      </w:tr>
    </w:tbl>
    <w:p>
      <w:pPr>
        <w:widowControl w:val="0"/>
        <w:spacing w:line="1" w:lineRule="exact"/>
      </w:pPr>
      <w:r>
        <w:br w:type="page"/>
      </w:r>
    </w:p>
    <w:tbl>
      <w:tblPr>
        <w:tblOverlap w:val="never"/>
        <w:jc w:val="center"/>
        <w:tblLayout w:type="fixed"/>
      </w:tblPr>
      <w:tblGrid>
        <w:gridCol w:w="941"/>
        <w:gridCol w:w="3168"/>
        <w:gridCol w:w="2323"/>
        <w:gridCol w:w="3149"/>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42,568,252.57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w:t>
            </w:r>
          </w:p>
        </w:tc>
      </w:tr>
    </w:tbl>
    <w:p>
      <w:pPr>
        <w:widowControl w:val="0"/>
        <w:spacing w:after="99" w:line="1" w:lineRule="exact"/>
      </w:pP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主要供应商其他情况说明</w:t>
      </w:r>
    </w:p>
    <w:p>
      <w:pPr>
        <w:pStyle w:val="Style1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both"/>
      </w:pPr>
      <w:bookmarkStart w:id="136" w:name="bookmark136"/>
      <w:bookmarkStart w:id="137" w:name="bookmark137"/>
      <w:bookmarkStart w:id="138" w:name="bookmark138"/>
      <w:bookmarkStart w:id="139" w:name="bookmark139"/>
      <w:r>
        <w:rPr>
          <w:rFonts w:ascii="Times New Roman" w:eastAsia="Times New Roman" w:hAnsi="Times New Roman" w:cs="Times New Roman"/>
          <w:color w:val="000000"/>
          <w:spacing w:val="0"/>
          <w:w w:val="100"/>
          <w:position w:val="0"/>
        </w:rPr>
        <w:t>3</w:t>
      </w:r>
      <w:bookmarkEnd w:id="138"/>
      <w:r>
        <w:rPr>
          <w:color w:val="000000"/>
          <w:spacing w:val="0"/>
          <w:w w:val="100"/>
          <w:position w:val="0"/>
        </w:rPr>
        <w:t>、费用</w:t>
      </w:r>
      <w:bookmarkEnd w:id="136"/>
      <w:bookmarkEnd w:id="137"/>
      <w:bookmarkEnd w:id="139"/>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64"/>
        <w:gridCol w:w="292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重大变动说明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113,013,394.42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98,788,052.19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主要系职工薪酬同比上升所致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134,295,770.75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120,999,723.18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主要系职工薪酬同比上升所致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-18,954,741.80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-23,018,983.63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主要系与长期应收款相关的财务收 益同比降低所致</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98,779,509.68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90,017,319.10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主要系职工薪酬同比上升所致</w:t>
            </w: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both"/>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4</w:t>
      </w:r>
      <w:bookmarkEnd w:id="142"/>
      <w:r>
        <w:rPr>
          <w:color w:val="000000"/>
          <w:spacing w:val="0"/>
          <w:w w:val="100"/>
          <w:position w:val="0"/>
        </w:rPr>
        <w:t>、研发投入</w:t>
      </w:r>
      <w:bookmarkEnd w:id="140"/>
      <w:bookmarkEnd w:id="141"/>
      <w:bookmarkEnd w:id="143"/>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531"/>
        <w:gridCol w:w="1915"/>
        <w:gridCol w:w="1622"/>
        <w:gridCol w:w="2251"/>
        <w:gridCol w:w="226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主要研发项目名称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预计对公司未来发展的影响</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新一代一网统管平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升级新一代一网统管平 台，扩大国内市场的占 有率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进行中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达到各项技术指标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巩固并增强公司产品竞争力</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晶石</w:t>
            </w:r>
            <w:r>
              <w:rPr>
                <w:color w:val="000000"/>
                <w:spacing w:val="0"/>
                <w:w w:val="100"/>
                <w:position w:val="0"/>
                <w:sz w:val="18"/>
                <w:szCs w:val="18"/>
              </w:rPr>
              <w:t xml:space="preserve">2.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全方位完善</w:t>
            </w:r>
            <w:r>
              <w:rPr>
                <w:color w:val="000000"/>
                <w:spacing w:val="0"/>
                <w:w w:val="100"/>
                <w:position w:val="0"/>
                <w:sz w:val="18"/>
                <w:szCs w:val="18"/>
              </w:rPr>
              <w:t>CIM</w:t>
            </w:r>
            <w:r>
              <w:rPr>
                <w:color w:val="000000"/>
                <w:spacing w:val="0"/>
                <w:w w:val="100"/>
                <w:position w:val="0"/>
                <w:sz w:val="18"/>
                <w:szCs w:val="18"/>
              </w:rPr>
              <w:t>基础产 品体系，夯实</w:t>
            </w:r>
            <w:r>
              <w:rPr>
                <w:color w:val="000000"/>
                <w:spacing w:val="0"/>
                <w:w w:val="100"/>
                <w:position w:val="0"/>
                <w:sz w:val="18"/>
                <w:szCs w:val="18"/>
              </w:rPr>
              <w:t>CIM</w:t>
            </w:r>
            <w:r>
              <w:rPr>
                <w:color w:val="000000"/>
                <w:spacing w:val="0"/>
                <w:w w:val="100"/>
                <w:position w:val="0"/>
                <w:sz w:val="18"/>
                <w:szCs w:val="18"/>
              </w:rPr>
              <w:t>竞争 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进行中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达到各项技术指标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巩固并增强公司产品竞争力</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晶石</w:t>
            </w:r>
            <w:r>
              <w:rPr>
                <w:color w:val="000000"/>
                <w:spacing w:val="0"/>
                <w:w w:val="100"/>
                <w:position w:val="0"/>
                <w:sz w:val="18"/>
                <w:szCs w:val="18"/>
              </w:rPr>
              <w:t xml:space="preserve">AR1.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8"/>
                <w:szCs w:val="18"/>
              </w:rPr>
              <w:t>扩展公司在元宇宙中技 术体系中的布局，并且 落实在管线</w:t>
            </w:r>
            <w:r>
              <w:rPr>
                <w:color w:val="000000"/>
                <w:spacing w:val="0"/>
                <w:w w:val="100"/>
                <w:position w:val="0"/>
                <w:sz w:val="18"/>
                <w:szCs w:val="18"/>
              </w:rPr>
              <w:t>AR</w:t>
            </w:r>
            <w:r>
              <w:rPr>
                <w:color w:val="000000"/>
                <w:spacing w:val="0"/>
                <w:w w:val="100"/>
                <w:position w:val="0"/>
                <w:sz w:val="18"/>
                <w:szCs w:val="18"/>
              </w:rPr>
              <w:t>和高空视 频</w:t>
            </w:r>
            <w:r>
              <w:rPr>
                <w:color w:val="000000"/>
                <w:spacing w:val="0"/>
                <w:w w:val="100"/>
                <w:position w:val="0"/>
                <w:sz w:val="18"/>
                <w:szCs w:val="18"/>
              </w:rPr>
              <w:t>AR</w:t>
            </w:r>
            <w:r>
              <w:rPr>
                <w:color w:val="000000"/>
                <w:spacing w:val="0"/>
                <w:w w:val="100"/>
                <w:position w:val="0"/>
                <w:sz w:val="18"/>
                <w:szCs w:val="18"/>
              </w:rPr>
              <w:t>两个行业方向中， 进一步提升行业产品竞 争力。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进行中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达到各项技术指标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巩固并增强公司产品竞争力</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热线感知预警平台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打造完整和专业的热线 预警分析处置平台，通 过规范化的处置流程对 预警问题进行处理，做 到有效发现、有效管理、 有效追责，通过数据智 能研判促进城市建设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进行中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达到各项技术指标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提高应用项目产品化程度，</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提升产品竞争力</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省级运行管理服务 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8"/>
                <w:szCs w:val="18"/>
              </w:rPr>
            </w:pPr>
            <w:r>
              <w:rPr>
                <w:color w:val="000000"/>
                <w:spacing w:val="0"/>
                <w:w w:val="100"/>
                <w:position w:val="0"/>
                <w:sz w:val="18"/>
                <w:szCs w:val="18"/>
              </w:rPr>
              <w:t>结合运管服技术标准，</w:t>
            </w:r>
          </w:p>
          <w:p>
            <w:pPr>
              <w:pStyle w:val="Style2"/>
              <w:keepNext w:val="0"/>
              <w:keepLines w:val="0"/>
              <w:widowControl w:val="0"/>
              <w:shd w:val="clear" w:color="auto" w:fill="auto"/>
              <w:bidi w:val="0"/>
              <w:spacing w:before="0" w:after="0" w:line="298" w:lineRule="exact"/>
              <w:ind w:left="0" w:right="0" w:firstLine="0"/>
              <w:jc w:val="both"/>
              <w:rPr>
                <w:sz w:val="18"/>
                <w:szCs w:val="18"/>
              </w:rPr>
            </w:pPr>
            <w:r>
              <w:rPr>
                <w:color w:val="000000"/>
                <w:spacing w:val="0"/>
                <w:w w:val="100"/>
                <w:position w:val="0"/>
                <w:sz w:val="18"/>
                <w:szCs w:val="18"/>
              </w:rPr>
              <w:t>打造省级运行管理服务 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进行中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达到各项技术指标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提高应用项目产品化程度，</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提升产品竞争力</w:t>
            </w:r>
          </w:p>
        </w:tc>
      </w:tr>
    </w:tbl>
    <w:p>
      <w:pPr>
        <w:widowControl w:val="0"/>
        <w:spacing w:line="1" w:lineRule="exact"/>
      </w:pPr>
      <w:r>
        <w:br w:type="page"/>
      </w:r>
    </w:p>
    <w:tbl>
      <w:tblPr>
        <w:tblOverlap w:val="never"/>
        <w:jc w:val="center"/>
        <w:tblLayout w:type="fixed"/>
      </w:tblPr>
      <w:tblGrid>
        <w:gridCol w:w="1531"/>
        <w:gridCol w:w="1915"/>
        <w:gridCol w:w="1622"/>
        <w:gridCol w:w="2251"/>
        <w:gridCol w:w="2261"/>
      </w:tblGrid>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星桥平台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通过星桥平台降低数据 对接复杂性，提高数据 对接效率来缩短对接周 期，减少研发投入，有 效降低数据对接成本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进行中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达到各项技术指标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提高应用项目产品化程度， 提升竞争力和实施效率</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悟空平台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打造配置即交付的可视 化专题支撑模式，全面 实现基于悟空交付的城 市大脑全新开发模式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进行中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达到各项技术指标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提高应用项目产品化程度，</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提升产品竞争力和实施效率</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平安指数平台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打造“平安指数”平台， 汇聚全市社情、警情、 案情、舆情等数据，引 入多维分析，精准掌握 市域社会治理态势，形 成了政通特色的平安指 数解决方案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进行中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达到各项技术指标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提高应用项目产品化程度，</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提升产品竞争力</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一站式矛盾纠纷调 处平台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打造集受理接待、协同 指挥、分流转办、调处 化解、跟踪督办、评估 反馈为一体，集成多种 调解方式和非诉讼纠纷 解决方式的“一站式” 调解化解社会矛盾纠纷 的实体网络综合服务平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进行中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达到各项技术指标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提高应用项目产品化程度，</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提升产品竞争力</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重点人管控平台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18"/>
                <w:szCs w:val="18"/>
              </w:rPr>
            </w:pPr>
            <w:r>
              <w:rPr>
                <w:color w:val="000000"/>
                <w:spacing w:val="0"/>
                <w:w w:val="100"/>
                <w:position w:val="0"/>
                <w:sz w:val="18"/>
                <w:szCs w:val="18"/>
              </w:rPr>
              <w:t>打造重点人管控平台， 通过“人防” + “技防” 的手段实现对重点人的 监管功能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进行中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达到各项技术指标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提高应用项目产品化程度，</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提升产品竞争力</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车载视频智能分析 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重点打造各类移动采集 分析接入平台，配合算 法优化流程、提升准确 率、重点解放采集人员 人力成本。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进行中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达到各项技术指标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提高应用项目产品化程度，</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提升产品竞争力</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59" w:line="1" w:lineRule="exact"/>
      </w:pPr>
    </w:p>
    <w:p>
      <w:pPr>
        <w:widowControl w:val="0"/>
        <w:spacing w:line="1" w:lineRule="exact"/>
      </w:pP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研发人员数量占比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18.91%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w:t>
            </w:r>
          </w:p>
        </w:tc>
      </w:tr>
    </w:tbl>
    <w:p>
      <w:pPr>
        <w:widowControl w:val="0"/>
        <w:spacing w:after="5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0"/>
        <w:gridCol w:w="2400"/>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r>
    </w:tbl>
    <w:p>
      <w:pPr>
        <w:widowControl w:val="0"/>
        <w:spacing w:line="1" w:lineRule="exact"/>
      </w:pPr>
      <w:r>
        <w:br w:type="page"/>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138,217,575.54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93,682,249.80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88,171,438.34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39,438,065.86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34,817,756.78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31,542,891.56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24.13%</w:t>
            </w:r>
          </w:p>
        </w:tc>
      </w:tr>
    </w:tbl>
    <w:p>
      <w:pPr>
        <w:widowControl w:val="0"/>
        <w:spacing w:after="119" w:line="1" w:lineRule="exact"/>
      </w:pP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rPr>
        <w:t>公司研发人员构成发生重大变化的原因及影响</w:t>
      </w:r>
    </w:p>
    <w:p>
      <w:pPr>
        <w:pStyle w:val="Style1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rPr>
        <w:t>研发投入总额占营业收入的比重较上年发生显著变化的原因</w:t>
      </w:r>
    </w:p>
    <w:p>
      <w:pPr>
        <w:pStyle w:val="Style1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rPr>
        <w:t>研发投入资本化率大幅变动的原因及其合理性说明</w:t>
      </w:r>
    </w:p>
    <w:p>
      <w:pPr>
        <w:pStyle w:val="Style1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研发资本化金额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相关项目的基本情况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实施进度</w:t>
            </w:r>
          </w:p>
        </w:tc>
      </w:tr>
      <w:tr>
        <w:trPr>
          <w:trHeight w:val="50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党建引领基层治理平台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19,036,776.09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党建引领基层治理平台是基 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党建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 xml:space="preserve">创新，推进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党建引领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'驱动网格治理体系 现代化，整合建立党建引领信 息平台，实现对各级党组织、 党员及党建活动的信息管理， 支持对基层党建双报到工作 的开展，运用微信公众号、</w:t>
            </w:r>
            <w:r>
              <w:rPr>
                <w:rFonts w:ascii="Times New Roman" w:eastAsia="Times New Roman" w:hAnsi="Times New Roman" w:cs="Times New Roman"/>
                <w:color w:val="000000"/>
                <w:spacing w:val="0"/>
                <w:w w:val="100"/>
                <w:position w:val="0"/>
                <w:sz w:val="18"/>
                <w:szCs w:val="18"/>
              </w:rPr>
              <w:t xml:space="preserve">APP </w:t>
            </w:r>
            <w:r>
              <w:rPr>
                <w:color w:val="000000"/>
                <w:spacing w:val="0"/>
                <w:w w:val="100"/>
                <w:position w:val="0"/>
                <w:sz w:val="18"/>
                <w:szCs w:val="18"/>
              </w:rPr>
              <w:t>等方式，丰富党建工作内容和 形式，巩固和扩大党的网上阵 地，切实增强基层党组织的政 治引领功能和凝聚力、战斗 力、影响力，努力达到管理系 统的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组织管理智能化、党员服 务精准化、信息查询即时化、 业务工作网络化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四化目标。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项目基本完成</w:t>
            </w:r>
          </w:p>
        </w:tc>
      </w:tr>
      <w:tr>
        <w:trPr>
          <w:trHeight w:val="259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智慧排水综合监管平台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20,382,629.42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智慧排水综合监管平台是为 城市排水主管部门提供管网 普查及数据处理、管网检测及 应用分析、物联网实时监测、 全业务综合监管、大数据决策 分析、应急指挥调度等涵盖数 据、软件、运维全业务的综合 监管平台。</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项目基本完成</w:t>
            </w:r>
          </w:p>
        </w:tc>
      </w:tr>
    </w:tbl>
    <w:p>
      <w:pPr>
        <w:spacing w:lineRule="exact" w:line="1"/>
        <w:rPr>
          <w:sz w:val="2"/>
          <w:szCs w:val="2"/>
        </w:rPr>
      </w:pPr>
      <w:r>
        <w:br w:type="page"/>
      </w:r>
    </w:p>
    <w:p>
      <w:pPr>
        <w:pStyle w:val="Style24"/>
        <w:keepNext/>
        <w:keepLines/>
        <w:widowControl w:val="0"/>
        <w:shd w:val="clear" w:color="auto" w:fill="auto"/>
        <w:bidi w:val="0"/>
        <w:spacing w:before="0" w:after="360" w:line="240" w:lineRule="auto"/>
        <w:ind w:left="0" w:right="0" w:firstLine="0"/>
        <w:jc w:val="both"/>
      </w:pPr>
      <w:bookmarkStart w:id="144" w:name="bookmark144"/>
      <w:bookmarkStart w:id="145" w:name="bookmark145"/>
      <w:bookmarkStart w:id="146" w:name="bookmark146"/>
      <w:bookmarkStart w:id="147" w:name="bookmark147"/>
      <w:r>
        <w:rPr>
          <w:rFonts w:ascii="Times New Roman" w:eastAsia="Times New Roman" w:hAnsi="Times New Roman" w:cs="Times New Roman"/>
          <w:color w:val="000000"/>
          <w:spacing w:val="0"/>
          <w:w w:val="100"/>
          <w:position w:val="0"/>
        </w:rPr>
        <w:t>5</w:t>
      </w:r>
      <w:bookmarkEnd w:id="146"/>
      <w:r>
        <w:rPr>
          <w:color w:val="000000"/>
          <w:spacing w:val="0"/>
          <w:w w:val="100"/>
          <w:position w:val="0"/>
        </w:rPr>
        <w:t>、现金流</w:t>
      </w:r>
      <w:bookmarkEnd w:id="144"/>
      <w:bookmarkEnd w:id="145"/>
      <w:bookmarkEnd w:id="147"/>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1,371,554,105.27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1,432,016,298.11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1,269,876,213.89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1,206,321,482.76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101,677,891.38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225,694,815.35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982,576,519.56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226,803,336.64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1,250,077,668.17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254,847,852.24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390.52%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-267,501,148.61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-28,044,515.60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108,590,619.83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824,123,756.00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60,435,764.56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167,994,851.11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48,154,855.27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656,128,904.89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-117,668,401.96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853,779,204.64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-113.78%</w:t>
            </w:r>
          </w:p>
        </w:tc>
      </w:tr>
    </w:tbl>
    <w:p>
      <w:pPr>
        <w:widowControl w:val="0"/>
        <w:spacing w:after="99" w:line="1" w:lineRule="exact"/>
      </w:pP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相关数据同比发生重大变动的主要影响因素说明</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9"/>
        <w:keepNext w:val="0"/>
        <w:keepLines w:val="0"/>
        <w:widowControl w:val="0"/>
        <w:shd w:val="clear" w:color="auto" w:fill="auto"/>
        <w:bidi w:val="0"/>
        <w:spacing w:before="0" w:after="0" w:line="480" w:lineRule="exact"/>
        <w:ind w:left="0" w:right="0" w:firstLine="480"/>
        <w:jc w:val="both"/>
      </w:pPr>
      <w:r>
        <w:rPr>
          <w:color w:val="000000"/>
          <w:spacing w:val="0"/>
          <w:w w:val="100"/>
          <w:position w:val="0"/>
          <w:sz w:val="24"/>
          <w:szCs w:val="24"/>
        </w:rPr>
        <w:t>经营活动产生的现金流量净额</w:t>
      </w:r>
      <w:r>
        <w:rPr>
          <w:color w:val="000000"/>
          <w:spacing w:val="0"/>
          <w:w w:val="100"/>
          <w:position w:val="0"/>
          <w:sz w:val="24"/>
          <w:szCs w:val="24"/>
        </w:rPr>
        <w:t>101,677,891.38</w:t>
      </w:r>
      <w:r>
        <w:rPr>
          <w:color w:val="000000"/>
          <w:spacing w:val="0"/>
          <w:w w:val="100"/>
          <w:position w:val="0"/>
          <w:sz w:val="24"/>
          <w:szCs w:val="24"/>
        </w:rPr>
        <w:t>元，同比降低54.95%，主要系公司提升薪 酬竞争力，职工薪酬支出同比上升所致。</w:t>
      </w:r>
    </w:p>
    <w:p>
      <w:pPr>
        <w:pStyle w:val="Style59"/>
        <w:keepNext w:val="0"/>
        <w:keepLines w:val="0"/>
        <w:widowControl w:val="0"/>
        <w:shd w:val="clear" w:color="auto" w:fill="auto"/>
        <w:bidi w:val="0"/>
        <w:spacing w:before="0" w:after="0" w:line="480" w:lineRule="exact"/>
        <w:ind w:left="0" w:right="0" w:firstLine="480"/>
        <w:jc w:val="both"/>
      </w:pPr>
      <w:r>
        <w:rPr>
          <w:color w:val="000000"/>
          <w:spacing w:val="0"/>
          <w:w w:val="100"/>
          <w:position w:val="0"/>
          <w:sz w:val="24"/>
          <w:szCs w:val="24"/>
        </w:rPr>
        <w:t>投资活动产生的现金流量净额</w:t>
      </w:r>
      <w:r>
        <w:rPr>
          <w:color w:val="000000"/>
          <w:spacing w:val="0"/>
          <w:w w:val="100"/>
          <w:position w:val="0"/>
          <w:sz w:val="24"/>
          <w:szCs w:val="24"/>
        </w:rPr>
        <w:t>-267,501,148.61</w:t>
      </w:r>
      <w:r>
        <w:rPr>
          <w:color w:val="000000"/>
          <w:spacing w:val="0"/>
          <w:w w:val="100"/>
          <w:position w:val="0"/>
          <w:sz w:val="24"/>
          <w:szCs w:val="24"/>
        </w:rPr>
        <w:t>元，同比降低853.84%，主要系购买理财 产品净支出同比增加所致。</w:t>
      </w:r>
    </w:p>
    <w:p>
      <w:pPr>
        <w:pStyle w:val="Style59"/>
        <w:keepNext w:val="0"/>
        <w:keepLines w:val="0"/>
        <w:widowControl w:val="0"/>
        <w:shd w:val="clear" w:color="auto" w:fill="auto"/>
        <w:bidi w:val="0"/>
        <w:spacing w:before="0" w:after="0" w:line="485" w:lineRule="exact"/>
        <w:ind w:left="0" w:right="0" w:firstLine="480"/>
        <w:jc w:val="both"/>
      </w:pPr>
      <w:r>
        <w:rPr>
          <w:color w:val="000000"/>
          <w:spacing w:val="0"/>
          <w:w w:val="100"/>
          <w:position w:val="0"/>
          <w:sz w:val="24"/>
          <w:szCs w:val="24"/>
        </w:rPr>
        <w:t xml:space="preserve">筹资活动产生的现金流量净额48, 154, </w:t>
      </w:r>
      <w:r>
        <w:rPr>
          <w:color w:val="000000"/>
          <w:spacing w:val="0"/>
          <w:w w:val="100"/>
          <w:position w:val="0"/>
          <w:sz w:val="24"/>
          <w:szCs w:val="24"/>
        </w:rPr>
        <w:t xml:space="preserve">855. </w:t>
      </w:r>
      <w:r>
        <w:rPr>
          <w:color w:val="000000"/>
          <w:spacing w:val="0"/>
          <w:w w:val="100"/>
          <w:position w:val="0"/>
          <w:sz w:val="24"/>
          <w:szCs w:val="24"/>
        </w:rPr>
        <w:t>27元，同比降低92.66%，主要系上年同期存在 非公开发行股票事项所致。</w:t>
      </w:r>
    </w:p>
    <w:p>
      <w:pPr>
        <w:pStyle w:val="Style59"/>
        <w:keepNext w:val="0"/>
        <w:keepLines w:val="0"/>
        <w:widowControl w:val="0"/>
        <w:shd w:val="clear" w:color="auto" w:fill="auto"/>
        <w:bidi w:val="0"/>
        <w:spacing w:before="0" w:after="540" w:line="480" w:lineRule="exact"/>
        <w:ind w:left="0" w:right="0" w:firstLine="480"/>
        <w:jc w:val="left"/>
      </w:pPr>
      <w:r>
        <w:rPr>
          <w:color w:val="000000"/>
          <w:spacing w:val="0"/>
          <w:w w:val="100"/>
          <w:position w:val="0"/>
          <w:sz w:val="24"/>
          <w:szCs w:val="24"/>
        </w:rPr>
        <w:t>以上因素共同影响，现金及现金等价物净增加额同比降低</w:t>
      </w:r>
      <w:r>
        <w:rPr>
          <w:color w:val="000000"/>
          <w:spacing w:val="0"/>
          <w:w w:val="100"/>
          <w:position w:val="0"/>
          <w:sz w:val="24"/>
          <w:szCs w:val="24"/>
        </w:rPr>
        <w:t xml:space="preserve">113. </w:t>
      </w:r>
      <w:r>
        <w:rPr>
          <w:color w:val="000000"/>
          <w:spacing w:val="0"/>
          <w:w w:val="100"/>
          <w:position w:val="0"/>
          <w:sz w:val="24"/>
          <w:szCs w:val="24"/>
        </w:rPr>
        <w:t>78%。</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报告期内公司经营活动产生的现金净流量与本年度净利润存在重大差异的原因说明</w:t>
      </w:r>
    </w:p>
    <w:p>
      <w:pPr>
        <w:pStyle w:val="Style14"/>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keepLines/>
        <w:widowControl w:val="0"/>
        <w:shd w:val="clear" w:color="auto" w:fill="auto"/>
        <w:bidi w:val="0"/>
        <w:spacing w:before="0" w:after="360" w:line="480" w:lineRule="exact"/>
        <w:ind w:left="0" w:right="0" w:firstLine="0"/>
        <w:jc w:val="both"/>
      </w:pPr>
      <w:bookmarkStart w:id="148" w:name="bookmark148"/>
      <w:bookmarkStart w:id="149" w:name="bookmark149"/>
      <w:bookmarkStart w:id="150" w:name="bookmark150"/>
      <w:bookmarkStart w:id="151" w:name="bookmark151"/>
      <w:r>
        <w:rPr>
          <w:color w:val="000000"/>
          <w:spacing w:val="0"/>
          <w:w w:val="100"/>
          <w:position w:val="0"/>
          <w:sz w:val="24"/>
          <w:szCs w:val="24"/>
        </w:rPr>
        <w:t>五</w:t>
      </w:r>
      <w:bookmarkEnd w:id="150"/>
      <w:r>
        <w:rPr>
          <w:color w:val="000000"/>
          <w:spacing w:val="0"/>
          <w:w w:val="100"/>
          <w:position w:val="0"/>
          <w:sz w:val="24"/>
          <w:szCs w:val="24"/>
        </w:rPr>
        <w:t>、非主营业务情况</w:t>
      </w:r>
      <w:bookmarkEnd w:id="148"/>
      <w:bookmarkEnd w:id="149"/>
      <w:bookmarkEnd w:id="151"/>
    </w:p>
    <w:p>
      <w:pPr>
        <w:pStyle w:val="Style1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65"/>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是否具有可持续性</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22,608,081.20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9.64%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主要系理财投资收益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bl>
    <w:p>
      <w:pPr>
        <w:widowControl w:val="0"/>
        <w:spacing w:line="1" w:lineRule="exact"/>
      </w:pPr>
      <w:r>
        <w:br w:type="page"/>
      </w:r>
    </w:p>
    <w:tbl>
      <w:tblPr>
        <w:tblOverlap w:val="never"/>
        <w:jc w:val="center"/>
        <w:tblLayout w:type="fixed"/>
      </w:tblPr>
      <w:tblGrid>
        <w:gridCol w:w="1531"/>
        <w:gridCol w:w="1915"/>
        <w:gridCol w:w="1622"/>
        <w:gridCol w:w="2165"/>
        <w:gridCol w:w="234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2,707,837.12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交易性金融资产公允价值 变动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-3,539,603.09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主要系合同资产减值准备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2,796,227.48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主要系政府补助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182,678.62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信用减值损失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-48,276,355.03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主要系应收账款信用减值 准备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bl>
    <w:p>
      <w:pPr>
        <w:widowControl w:val="0"/>
        <w:spacing w:after="339" w:line="1" w:lineRule="exact"/>
      </w:pPr>
    </w:p>
    <w:p>
      <w:pPr>
        <w:pStyle w:val="Style19"/>
        <w:keepNext/>
        <w:keepLines/>
        <w:widowControl w:val="0"/>
        <w:shd w:val="clear" w:color="auto" w:fill="auto"/>
        <w:bidi w:val="0"/>
        <w:spacing w:before="0" w:after="340" w:line="240" w:lineRule="auto"/>
        <w:ind w:left="0" w:right="0" w:firstLine="0"/>
        <w:jc w:val="left"/>
      </w:pPr>
      <w:bookmarkStart w:id="152" w:name="bookmark152"/>
      <w:bookmarkStart w:id="153" w:name="bookmark153"/>
      <w:bookmarkStart w:id="154" w:name="bookmark154"/>
      <w:bookmarkStart w:id="155" w:name="bookmark155"/>
      <w:r>
        <w:rPr>
          <w:color w:val="000000"/>
          <w:spacing w:val="0"/>
          <w:w w:val="100"/>
          <w:position w:val="0"/>
          <w:sz w:val="24"/>
          <w:szCs w:val="24"/>
        </w:rPr>
        <w:t>六</w:t>
      </w:r>
      <w:bookmarkEnd w:id="154"/>
      <w:r>
        <w:rPr>
          <w:color w:val="000000"/>
          <w:spacing w:val="0"/>
          <w:w w:val="100"/>
          <w:position w:val="0"/>
          <w:sz w:val="24"/>
          <w:szCs w:val="24"/>
        </w:rPr>
        <w:t>、资产及负债状况分析</w:t>
      </w:r>
      <w:bookmarkEnd w:id="152"/>
      <w:bookmarkEnd w:id="153"/>
      <w:bookmarkEnd w:id="155"/>
    </w:p>
    <w:p>
      <w:pPr>
        <w:pStyle w:val="Style24"/>
        <w:keepNext/>
        <w:keepLines/>
        <w:widowControl w:val="0"/>
        <w:shd w:val="clear" w:color="auto" w:fill="auto"/>
        <w:bidi w:val="0"/>
        <w:spacing w:before="0" w:line="240" w:lineRule="auto"/>
        <w:ind w:left="0" w:right="0" w:firstLine="0"/>
        <w:jc w:val="left"/>
      </w:pPr>
      <w:bookmarkStart w:id="156" w:name="bookmark156"/>
      <w:bookmarkStart w:id="157" w:name="bookmark157"/>
      <w:bookmarkStart w:id="158" w:name="bookmark158"/>
      <w:bookmarkStart w:id="159" w:name="bookmark159"/>
      <w:r>
        <w:rPr>
          <w:rFonts w:ascii="Times New Roman" w:eastAsia="Times New Roman" w:hAnsi="Times New Roman" w:cs="Times New Roman"/>
          <w:color w:val="000000"/>
          <w:spacing w:val="0"/>
          <w:w w:val="100"/>
          <w:position w:val="0"/>
        </w:rPr>
        <w:t>1</w:t>
      </w:r>
      <w:bookmarkEnd w:id="158"/>
      <w:r>
        <w:rPr>
          <w:color w:val="000000"/>
          <w:spacing w:val="0"/>
          <w:w w:val="100"/>
          <w:position w:val="0"/>
        </w:rPr>
        <w:t>、资产构成重大变动情况</w:t>
      </w:r>
      <w:bookmarkEnd w:id="156"/>
      <w:bookmarkEnd w:id="157"/>
      <w:bookmarkEnd w:id="159"/>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195"/>
        <w:gridCol w:w="1066"/>
        <w:gridCol w:w="797"/>
        <w:gridCol w:w="29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1,461,263,476.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1,580,865,317.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主要系购买理财产品所致。</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1,273,335,411.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1,072,417,057.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55,971,309.45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31,301,255.29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204,091,083.3</w:t>
            </w:r>
          </w:p>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226,619,110.59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74,637,772.95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51,760,909.01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4,993,948.28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450,186.64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103,023,332.3</w:t>
            </w:r>
          </w:p>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94,089,754.12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13,434,841.11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120,429,541.7</w:t>
            </w:r>
          </w:p>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203,499,477.09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7,103,428.80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境外资产占比较高</w:t>
      </w:r>
    </w:p>
    <w:p>
      <w:pPr>
        <w:pStyle w:val="Style1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160" w:name="bookmark160"/>
      <w:bookmarkStart w:id="161" w:name="bookmark161"/>
      <w:bookmarkStart w:id="162" w:name="bookmark162"/>
      <w:bookmarkStart w:id="163" w:name="bookmark163"/>
      <w:r>
        <w:rPr>
          <w:rFonts w:ascii="Times New Roman" w:eastAsia="Times New Roman" w:hAnsi="Times New Roman" w:cs="Times New Roman"/>
          <w:color w:val="000000"/>
          <w:spacing w:val="0"/>
          <w:w w:val="100"/>
          <w:position w:val="0"/>
        </w:rPr>
        <w:t>2</w:t>
      </w:r>
      <w:bookmarkEnd w:id="162"/>
      <w:r>
        <w:rPr>
          <w:color w:val="000000"/>
          <w:spacing w:val="0"/>
          <w:w w:val="100"/>
          <w:position w:val="0"/>
        </w:rPr>
        <w:t>、以公允价值计量的资产和负债</w:t>
      </w:r>
      <w:bookmarkEnd w:id="160"/>
      <w:bookmarkEnd w:id="161"/>
      <w:bookmarkEnd w:id="163"/>
    </w:p>
    <w:p>
      <w:pPr>
        <w:pStyle w:val="Style1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4"/>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989"/>
        <w:gridCol w:w="1013"/>
        <w:gridCol w:w="1066"/>
        <w:gridCol w:w="1190"/>
        <w:gridCol w:w="931"/>
        <w:gridCol w:w="1195"/>
        <w:gridCol w:w="1066"/>
        <w:gridCol w:w="912"/>
        <w:gridCol w:w="1219"/>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本期公允价</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计入权益的累 计公允价值变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本期计提 的减值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本期购买金额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本期出售金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金融资产</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交易性金 融资产（不 含衍生金融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10,169,742.0</w:t>
            </w:r>
          </w:p>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2,707,837.12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1,221,000,000.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1,031,000,00</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202,877,579.18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其他权益 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45,135,915.7</w:t>
            </w:r>
          </w:p>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55,135,915.78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金融资产小 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55,305,657.8</w:t>
            </w:r>
          </w:p>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2,707,837.12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1,231,000,000.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1,031,000,00</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258,013,494.96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应收款项融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3,572,269.00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-2,294,369.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1,277,900.00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58,877,926.8</w:t>
            </w:r>
          </w:p>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2,707,837.12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1,231,000,000.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1,031,000,00</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-2,294,369.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259,291,394.96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1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其他变动的内容</w:t>
      </w:r>
    </w:p>
    <w:p>
      <w:pPr>
        <w:pStyle w:val="Style1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报告期内公司主要资产计量属性是否发生重大变化</w:t>
      </w:r>
    </w:p>
    <w:p>
      <w:pPr>
        <w:pStyle w:val="Style1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4"/>
        <w:keepNext/>
        <w:keepLines/>
        <w:widowControl w:val="0"/>
        <w:shd w:val="clear" w:color="auto" w:fill="auto"/>
        <w:bidi w:val="0"/>
        <w:spacing w:before="0" w:line="240" w:lineRule="auto"/>
        <w:ind w:left="0" w:right="0" w:firstLine="0"/>
        <w:jc w:val="left"/>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rPr>
        <w:t>3</w:t>
      </w:r>
      <w:bookmarkEnd w:id="166"/>
      <w:r>
        <w:rPr>
          <w:color w:val="000000"/>
          <w:spacing w:val="0"/>
          <w:w w:val="100"/>
          <w:position w:val="0"/>
        </w:rPr>
        <w:t>、截至报告期末的资产权利受限情况</w:t>
      </w:r>
      <w:bookmarkEnd w:id="164"/>
      <w:bookmarkEnd w:id="165"/>
      <w:bookmarkEnd w:id="167"/>
    </w:p>
    <w:tbl>
      <w:tblPr>
        <w:tblOverlap w:val="never"/>
        <w:jc w:val="center"/>
        <w:tblLayout w:type="fixed"/>
      </w:tblPr>
      <w:tblGrid>
        <w:gridCol w:w="4186"/>
        <w:gridCol w:w="2755"/>
        <w:gridCol w:w="2765"/>
      </w:tblGrid>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受限原因</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24,854,604.88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保证金和专项资金</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24,854,604.88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19"/>
        <w:keepNext/>
        <w:keepLines/>
        <w:widowControl w:val="0"/>
        <w:shd w:val="clear" w:color="auto" w:fill="auto"/>
        <w:bidi w:val="0"/>
        <w:spacing w:before="0" w:after="340" w:line="240" w:lineRule="auto"/>
        <w:ind w:left="0" w:right="0" w:firstLine="0"/>
        <w:jc w:val="left"/>
      </w:pPr>
      <w:bookmarkStart w:id="168" w:name="bookmark168"/>
      <w:bookmarkStart w:id="169" w:name="bookmark169"/>
      <w:bookmarkStart w:id="170" w:name="bookmark170"/>
      <w:bookmarkStart w:id="171" w:name="bookmark171"/>
      <w:r>
        <w:rPr>
          <w:color w:val="000000"/>
          <w:spacing w:val="0"/>
          <w:w w:val="100"/>
          <w:position w:val="0"/>
          <w:sz w:val="24"/>
          <w:szCs w:val="24"/>
        </w:rPr>
        <w:t>七</w:t>
      </w:r>
      <w:bookmarkEnd w:id="170"/>
      <w:r>
        <w:rPr>
          <w:color w:val="000000"/>
          <w:spacing w:val="0"/>
          <w:w w:val="100"/>
          <w:position w:val="0"/>
          <w:sz w:val="24"/>
          <w:szCs w:val="24"/>
        </w:rPr>
        <w:t>、投资状况分析</w:t>
      </w:r>
      <w:bookmarkEnd w:id="168"/>
      <w:bookmarkEnd w:id="169"/>
      <w:bookmarkEnd w:id="171"/>
    </w:p>
    <w:p>
      <w:pPr>
        <w:pStyle w:val="Style24"/>
        <w:keepNext/>
        <w:keepLines/>
        <w:widowControl w:val="0"/>
        <w:shd w:val="clear" w:color="auto" w:fill="auto"/>
        <w:bidi w:val="0"/>
        <w:spacing w:before="0" w:line="240" w:lineRule="auto"/>
        <w:ind w:left="0" w:right="0" w:firstLine="0"/>
        <w:jc w:val="left"/>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1</w:t>
      </w:r>
      <w:bookmarkEnd w:id="174"/>
      <w:r>
        <w:rPr>
          <w:color w:val="000000"/>
          <w:spacing w:val="0"/>
          <w:w w:val="100"/>
          <w:position w:val="0"/>
        </w:rPr>
        <w:t>、总体情况</w:t>
      </w:r>
      <w:bookmarkEnd w:id="172"/>
      <w:bookmarkEnd w:id="173"/>
      <w:bookmarkEnd w:id="175"/>
    </w:p>
    <w:p>
      <w:pPr>
        <w:pStyle w:val="Style1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变动幅度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99,687,668.17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67,832,816.32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46.96%</w:t>
            </w:r>
          </w:p>
        </w:tc>
      </w:tr>
    </w:tbl>
    <w:p>
      <w:pPr>
        <w:widowControl w:val="0"/>
        <w:spacing w:after="339" w:line="1" w:lineRule="exact"/>
      </w:pPr>
    </w:p>
    <w:p>
      <w:pPr>
        <w:pStyle w:val="Style24"/>
        <w:keepNext/>
        <w:keepLines/>
        <w:widowControl w:val="0"/>
        <w:shd w:val="clear" w:color="auto" w:fill="auto"/>
        <w:bidi w:val="0"/>
        <w:spacing w:before="0" w:line="240" w:lineRule="auto"/>
        <w:ind w:left="0" w:right="0" w:firstLine="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2</w:t>
      </w:r>
      <w:bookmarkEnd w:id="178"/>
      <w:r>
        <w:rPr>
          <w:color w:val="000000"/>
          <w:spacing w:val="0"/>
          <w:w w:val="100"/>
          <w:position w:val="0"/>
        </w:rPr>
        <w:t>、报告期内获取的重大的股权投资情况</w:t>
      </w:r>
      <w:bookmarkEnd w:id="176"/>
      <w:bookmarkEnd w:id="177"/>
      <w:bookmarkEnd w:id="179"/>
    </w:p>
    <w:p>
      <w:pPr>
        <w:pStyle w:val="Style1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4"/>
        <w:keepNext/>
        <w:keepLines/>
        <w:widowControl w:val="0"/>
        <w:shd w:val="clear" w:color="auto" w:fill="auto"/>
        <w:tabs>
          <w:tab w:pos="378" w:val="left"/>
        </w:tabs>
        <w:bidi w:val="0"/>
        <w:spacing w:before="0" w:after="360" w:line="240" w:lineRule="auto"/>
        <w:ind w:left="0" w:right="0" w:firstLine="0"/>
        <w:jc w:val="left"/>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3</w:t>
      </w:r>
      <w:bookmarkEnd w:id="182"/>
      <w:r>
        <w:rPr>
          <w:color w:val="000000"/>
          <w:spacing w:val="0"/>
          <w:w w:val="100"/>
          <w:position w:val="0"/>
        </w:rPr>
        <w:t>、</w:t>
        <w:tab/>
        <w:t>报告期内正在进行的重大的非股权投资情况</w:t>
      </w:r>
      <w:bookmarkEnd w:id="180"/>
      <w:bookmarkEnd w:id="181"/>
      <w:bookmarkEnd w:id="183"/>
    </w:p>
    <w:p>
      <w:pPr>
        <w:pStyle w:val="Style1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378" w:val="left"/>
        </w:tabs>
        <w:bidi w:val="0"/>
        <w:spacing w:before="0" w:after="360" w:line="240" w:lineRule="auto"/>
        <w:ind w:left="0" w:right="0" w:firstLine="0"/>
        <w:jc w:val="left"/>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4</w:t>
      </w:r>
      <w:bookmarkEnd w:id="186"/>
      <w:r>
        <w:rPr>
          <w:color w:val="000000"/>
          <w:spacing w:val="0"/>
          <w:w w:val="100"/>
          <w:position w:val="0"/>
        </w:rPr>
        <w:t>、</w:t>
        <w:tab/>
        <w:t>以公允价值计量的金融资产</w:t>
      </w:r>
      <w:bookmarkEnd w:id="184"/>
      <w:bookmarkEnd w:id="185"/>
      <w:bookmarkEnd w:id="187"/>
    </w:p>
    <w:p>
      <w:pPr>
        <w:pStyle w:val="Style1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898"/>
        <w:gridCol w:w="1090"/>
        <w:gridCol w:w="1176"/>
        <w:gridCol w:w="1195"/>
        <w:gridCol w:w="955"/>
        <w:gridCol w:w="955"/>
        <w:gridCol w:w="955"/>
        <w:gridCol w:w="96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资产类别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初始投资 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本期公允价</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计入权益的累 计公允价值变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报告期内购入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报告期内售</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出金额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累计投资收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期末金额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资金来源</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10,169,742</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2,707,837.12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1,129,000,000.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22,138,319.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202,877,579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自有资金及</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募集资金</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10,169,742</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2,707,837.12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1,129,000,000.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22,138,319.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202,877,579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left"/>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5</w:t>
      </w:r>
      <w:bookmarkEnd w:id="190"/>
      <w:r>
        <w:rPr>
          <w:color w:val="000000"/>
          <w:spacing w:val="0"/>
          <w:w w:val="100"/>
          <w:position w:val="0"/>
        </w:rPr>
        <w:t>、募集资金使用情况</w:t>
      </w:r>
      <w:bookmarkEnd w:id="188"/>
      <w:bookmarkEnd w:id="189"/>
      <w:bookmarkEnd w:id="191"/>
    </w:p>
    <w:p>
      <w:pPr>
        <w:pStyle w:val="Style1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02"/>
        <w:keepNext/>
        <w:keepLines/>
        <w:widowControl w:val="0"/>
        <w:shd w:val="clear" w:color="auto" w:fill="auto"/>
        <w:bidi w:val="0"/>
        <w:spacing w:before="0" w:line="240" w:lineRule="auto"/>
        <w:ind w:left="0" w:right="0" w:firstLine="0"/>
        <w:jc w:val="both"/>
      </w:pPr>
      <w:bookmarkStart w:id="192" w:name="bookmark192"/>
      <w:bookmarkStart w:id="193" w:name="bookmark193"/>
      <w:bookmarkStart w:id="194" w:name="bookmark194"/>
      <w:bookmarkStart w:id="195" w:name="bookmark195"/>
      <w:r>
        <w:rPr>
          <w:color w:val="000000"/>
          <w:spacing w:val="0"/>
          <w:w w:val="100"/>
          <w:position w:val="0"/>
        </w:rPr>
        <w:t>（</w:t>
      </w:r>
      <w:bookmarkEnd w:id="194"/>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92"/>
      <w:bookmarkEnd w:id="193"/>
      <w:bookmarkEnd w:id="195"/>
    </w:p>
    <w:p>
      <w:pPr>
        <w:pStyle w:val="Style1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74"/>
        <w:gridCol w:w="869"/>
        <w:gridCol w:w="869"/>
        <w:gridCol w:w="869"/>
        <w:gridCol w:w="874"/>
        <w:gridCol w:w="869"/>
        <w:gridCol w:w="869"/>
        <w:gridCol w:w="869"/>
        <w:gridCol w:w="874"/>
        <w:gridCol w:w="87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本期已使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8"/>
                <w:szCs w:val="18"/>
              </w:rPr>
              <w:t>已累计使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6" w:lineRule="exact"/>
              <w:ind w:left="0" w:right="0" w:firstLine="0"/>
              <w:jc w:val="center"/>
              <w:rPr>
                <w:sz w:val="18"/>
                <w:szCs w:val="18"/>
              </w:rPr>
            </w:pPr>
            <w:r>
              <w:rPr>
                <w:color w:val="000000"/>
                <w:spacing w:val="0"/>
                <w:w w:val="100"/>
                <w:position w:val="0"/>
                <w:sz w:val="18"/>
                <w:szCs w:val="18"/>
              </w:rPr>
              <w:t>报告期内 变更用途 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累计变更 用途的募 集资金总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累计变更 用途的募 集资金总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尚未使用 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rPr>
                <w:sz w:val="18"/>
                <w:szCs w:val="18"/>
              </w:rPr>
            </w:pPr>
            <w:r>
              <w:rPr>
                <w:color w:val="000000"/>
                <w:spacing w:val="0"/>
                <w:w w:val="100"/>
                <w:position w:val="0"/>
                <w:sz w:val="18"/>
                <w:szCs w:val="18"/>
              </w:rPr>
              <w:t>尚未使用 募集资金 用途及去 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闲置两年 以上募集 资金金额</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非公开发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53,810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8,543.31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项目已结</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项，节余资</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金永久补</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充流动资</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金</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非公开发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6,382.21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28,204.85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募集资金 专项账户 存储</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113,810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85,605.15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28,204.85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募集资金总体使用情况说明</w:t>
            </w:r>
          </w:p>
        </w:tc>
      </w:tr>
      <w:tr>
        <w:trPr>
          <w:trHeight w:val="998"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根据公司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年度股东大会决议及中国证券监督管理委员会《关于核准北京数字政通科技股份有限公司非公开发行股票 的批复》（证监许可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2017]284</w:t>
            </w:r>
            <w:r>
              <w:rPr>
                <w:color w:val="000000"/>
                <w:spacing w:val="0"/>
                <w:w w:val="100"/>
                <w:position w:val="0"/>
                <w:sz w:val="18"/>
                <w:szCs w:val="18"/>
              </w:rPr>
              <w:t>号）核准，公司于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 xml:space="preserve">日采用非公开发行方式向特定投资者发行股票数量为 </w:t>
            </w:r>
            <w:r>
              <w:rPr>
                <w:rFonts w:ascii="Times New Roman" w:eastAsia="Times New Roman" w:hAnsi="Times New Roman" w:cs="Times New Roman"/>
                <w:color w:val="000000"/>
                <w:spacing w:val="0"/>
                <w:w w:val="100"/>
                <w:position w:val="0"/>
                <w:sz w:val="18"/>
                <w:szCs w:val="18"/>
              </w:rPr>
              <w:t>29,039,395</w:t>
            </w:r>
            <w:r>
              <w:rPr>
                <w:color w:val="000000"/>
                <w:spacing w:val="0"/>
                <w:w w:val="100"/>
                <w:position w:val="0"/>
                <w:sz w:val="18"/>
                <w:szCs w:val="18"/>
              </w:rPr>
              <w:t>股（发行价每股</w:t>
            </w:r>
            <w:r>
              <w:rPr>
                <w:rFonts w:ascii="Times New Roman" w:eastAsia="Times New Roman" w:hAnsi="Times New Roman" w:cs="Times New Roman"/>
                <w:color w:val="000000"/>
                <w:spacing w:val="0"/>
                <w:w w:val="100"/>
                <w:position w:val="0"/>
                <w:sz w:val="18"/>
                <w:szCs w:val="18"/>
              </w:rPr>
              <w:t>18.53</w:t>
            </w:r>
            <w:r>
              <w:rPr>
                <w:color w:val="000000"/>
                <w:spacing w:val="0"/>
                <w:w w:val="100"/>
                <w:position w:val="0"/>
                <w:sz w:val="18"/>
                <w:szCs w:val="18"/>
              </w:rPr>
              <w:t>元），并申请增加注册资本人民币</w:t>
            </w:r>
            <w:r>
              <w:rPr>
                <w:rFonts w:ascii="Times New Roman" w:eastAsia="Times New Roman" w:hAnsi="Times New Roman" w:cs="Times New Roman"/>
                <w:color w:val="000000"/>
                <w:spacing w:val="0"/>
                <w:w w:val="100"/>
                <w:position w:val="0"/>
                <w:sz w:val="18"/>
                <w:szCs w:val="18"/>
              </w:rPr>
              <w:t>29,039,395.00</w:t>
            </w:r>
            <w:r>
              <w:rPr>
                <w:color w:val="000000"/>
                <w:spacing w:val="0"/>
                <w:w w:val="100"/>
                <w:position w:val="0"/>
                <w:sz w:val="18"/>
                <w:szCs w:val="18"/>
              </w:rPr>
              <w:t>元，由</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个发行对象投入，出资方式为</w:t>
            </w:r>
          </w:p>
        </w:tc>
      </w:tr>
    </w:tbl>
    <w:p>
      <w:pPr>
        <w:pStyle w:val="Style1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80" w:line="310" w:lineRule="exact"/>
        <w:ind w:left="0" w:right="0" w:firstLine="0"/>
        <w:jc w:val="both"/>
      </w:pPr>
      <w:r>
        <w:rPr>
          <w:color w:val="000000"/>
          <w:spacing w:val="0"/>
          <w:w w:val="100"/>
          <w:position w:val="0"/>
        </w:rPr>
        <w:t>货币。瑞华会计师事务所（特殊普通合伙）出具了</w:t>
      </w:r>
      <w:r>
        <w:rPr>
          <w:rFonts w:ascii="Times New Roman" w:eastAsia="Times New Roman" w:hAnsi="Times New Roman" w:cs="Times New Roman"/>
          <w:color w:val="000000"/>
          <w:spacing w:val="0"/>
          <w:w w:val="100"/>
          <w:position w:val="0"/>
        </w:rPr>
        <w:t>“</w:t>
      </w:r>
      <w:r>
        <w:rPr>
          <w:color w:val="000000"/>
          <w:spacing w:val="0"/>
          <w:w w:val="100"/>
          <w:position w:val="0"/>
        </w:rPr>
        <w:t>瑞华验字</w:t>
      </w:r>
      <w:r>
        <w:rPr>
          <w:rFonts w:ascii="Times New Roman" w:eastAsia="Times New Roman" w:hAnsi="Times New Roman" w:cs="Times New Roman"/>
          <w:color w:val="000000"/>
          <w:spacing w:val="0"/>
          <w:w w:val="100"/>
          <w:position w:val="0"/>
        </w:rPr>
        <w:t>［2017］01310007</w:t>
      </w:r>
      <w:r>
        <w:rPr>
          <w:color w:val="000000"/>
          <w:spacing w:val="0"/>
          <w:w w:val="100"/>
          <w:position w:val="0"/>
        </w:rPr>
        <w:t>号，的验资报告予以验证，根据该验资报告， 截至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日止，公司已收到主承销商转付的最终配售对象缴付的募集资金</w:t>
      </w:r>
      <w:r>
        <w:rPr>
          <w:rFonts w:ascii="Times New Roman" w:eastAsia="Times New Roman" w:hAnsi="Times New Roman" w:cs="Times New Roman"/>
          <w:color w:val="000000"/>
          <w:spacing w:val="0"/>
          <w:w w:val="100"/>
          <w:position w:val="0"/>
        </w:rPr>
        <w:t>538,099,989.35</w:t>
      </w:r>
      <w:r>
        <w:rPr>
          <w:color w:val="000000"/>
          <w:spacing w:val="0"/>
          <w:w w:val="100"/>
          <w:position w:val="0"/>
        </w:rPr>
        <w:t>元，扣除中泰证券股 份有限公司、瑞华会计师事务所（特殊普通合伙）、北京市康达律师事务所等中介机构的发行费用后实际募集资金净额人 民币</w:t>
      </w:r>
      <w:r>
        <w:rPr>
          <w:rFonts w:ascii="Times New Roman" w:eastAsia="Times New Roman" w:hAnsi="Times New Roman" w:cs="Times New Roman"/>
          <w:color w:val="000000"/>
          <w:spacing w:val="0"/>
          <w:w w:val="100"/>
          <w:position w:val="0"/>
        </w:rPr>
        <w:t>526,459,909.53</w:t>
      </w:r>
      <w:r>
        <w:rPr>
          <w:color w:val="000000"/>
          <w:spacing w:val="0"/>
          <w:w w:val="100"/>
          <w:position w:val="0"/>
        </w:rPr>
        <w:t>元，其中新增注册资本人民币</w:t>
      </w:r>
      <w:r>
        <w:rPr>
          <w:rFonts w:ascii="Times New Roman" w:eastAsia="Times New Roman" w:hAnsi="Times New Roman" w:cs="Times New Roman"/>
          <w:color w:val="000000"/>
          <w:spacing w:val="0"/>
          <w:w w:val="100"/>
          <w:position w:val="0"/>
        </w:rPr>
        <w:t>29,039,395.00</w:t>
      </w:r>
      <w:r>
        <w:rPr>
          <w:color w:val="000000"/>
          <w:spacing w:val="0"/>
          <w:w w:val="100"/>
          <w:position w:val="0"/>
        </w:rPr>
        <w:t>元，余额人民币</w:t>
      </w:r>
      <w:r>
        <w:rPr>
          <w:rFonts w:ascii="Times New Roman" w:eastAsia="Times New Roman" w:hAnsi="Times New Roman" w:cs="Times New Roman"/>
          <w:color w:val="000000"/>
          <w:spacing w:val="0"/>
          <w:w w:val="100"/>
          <w:position w:val="0"/>
        </w:rPr>
        <w:t>497,420,514.53</w:t>
      </w:r>
      <w:r>
        <w:rPr>
          <w:color w:val="000000"/>
          <w:spacing w:val="0"/>
          <w:w w:val="100"/>
          <w:position w:val="0"/>
        </w:rPr>
        <w:t>元转入资本公积。</w:t>
      </w:r>
    </w:p>
    <w:p>
      <w:pPr>
        <w:pStyle w:val="Style1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80" w:line="312" w:lineRule="exact"/>
        <w:ind w:left="0" w:right="0" w:firstLine="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2019</w:t>
      </w:r>
      <w:r>
        <w:rPr>
          <w:color w:val="000000"/>
          <w:spacing w:val="0"/>
          <w:w w:val="100"/>
          <w:position w:val="0"/>
        </w:rPr>
        <w:t>年第二次临时股东大会决议以及中国证券监督管理委员会《关于核准北京数字政通科技股份有限公司非公开发 行股票的批复》（证监发行字</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2020］997</w:t>
      </w:r>
      <w:r>
        <w:rPr>
          <w:color w:val="000000"/>
          <w:spacing w:val="0"/>
          <w:w w:val="100"/>
          <w:position w:val="0"/>
        </w:rPr>
        <w:t>号文）核准，公司于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月采用非公开发行方式向特定投资者发行股票数量 为</w:t>
      </w:r>
      <w:r>
        <w:rPr>
          <w:rFonts w:ascii="Times New Roman" w:eastAsia="Times New Roman" w:hAnsi="Times New Roman" w:cs="Times New Roman"/>
          <w:color w:val="000000"/>
          <w:spacing w:val="0"/>
          <w:w w:val="100"/>
          <w:position w:val="0"/>
        </w:rPr>
        <w:t>48,000,000</w:t>
      </w:r>
      <w:r>
        <w:rPr>
          <w:color w:val="000000"/>
          <w:spacing w:val="0"/>
          <w:w w:val="100"/>
          <w:position w:val="0"/>
        </w:rPr>
        <w:t>股（发行价格</w:t>
      </w:r>
      <w:r>
        <w:rPr>
          <w:rFonts w:ascii="Times New Roman" w:eastAsia="Times New Roman" w:hAnsi="Times New Roman" w:cs="Times New Roman"/>
          <w:color w:val="000000"/>
          <w:spacing w:val="0"/>
          <w:w w:val="100"/>
          <w:position w:val="0"/>
        </w:rPr>
        <w:t>12.5</w:t>
      </w:r>
      <w:r>
        <w:rPr>
          <w:color w:val="000000"/>
          <w:spacing w:val="0"/>
          <w:w w:val="100"/>
          <w:position w:val="0"/>
        </w:rPr>
        <w:t>元）。由</w:t>
      </w:r>
      <w:r>
        <w:rPr>
          <w:rFonts w:ascii="Times New Roman" w:eastAsia="Times New Roman" w:hAnsi="Times New Roman" w:cs="Times New Roman"/>
          <w:color w:val="000000"/>
          <w:spacing w:val="0"/>
          <w:w w:val="100"/>
          <w:position w:val="0"/>
        </w:rPr>
        <w:t>17</w:t>
      </w:r>
      <w:r>
        <w:rPr>
          <w:color w:val="000000"/>
          <w:spacing w:val="0"/>
          <w:w w:val="100"/>
          <w:position w:val="0"/>
        </w:rPr>
        <w:t>个特定投资者（发行对象）投入，出资方式为货币。上会会计师事务所（特 殊普通合伙）出具了</w:t>
      </w:r>
      <w:r>
        <w:rPr>
          <w:rFonts w:ascii="Times New Roman" w:eastAsia="Times New Roman" w:hAnsi="Times New Roman" w:cs="Times New Roman"/>
          <w:color w:val="000000"/>
          <w:spacing w:val="0"/>
          <w:w w:val="100"/>
          <w:position w:val="0"/>
        </w:rPr>
        <w:t>“</w:t>
      </w:r>
      <w:r>
        <w:rPr>
          <w:color w:val="000000"/>
          <w:spacing w:val="0"/>
          <w:w w:val="100"/>
          <w:position w:val="0"/>
        </w:rPr>
        <w:t>上会师报字</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第</w:t>
      </w:r>
      <w:r>
        <w:rPr>
          <w:rFonts w:ascii="Times New Roman" w:eastAsia="Times New Roman" w:hAnsi="Times New Roman" w:cs="Times New Roman"/>
          <w:color w:val="000000"/>
          <w:spacing w:val="0"/>
          <w:w w:val="100"/>
          <w:position w:val="0"/>
        </w:rPr>
        <w:t>6598</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的验资报告予以验证，根据该验资报告，截至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日止，公 司已收到主承销商转付的最终配售对象缴付的募集资金</w:t>
      </w:r>
      <w:r>
        <w:rPr>
          <w:rFonts w:ascii="Times New Roman" w:eastAsia="Times New Roman" w:hAnsi="Times New Roman" w:cs="Times New Roman"/>
          <w:color w:val="000000"/>
          <w:spacing w:val="0"/>
          <w:w w:val="100"/>
          <w:position w:val="0"/>
        </w:rPr>
        <w:t>600,000,000.00</w:t>
      </w:r>
      <w:r>
        <w:rPr>
          <w:color w:val="000000"/>
          <w:spacing w:val="0"/>
          <w:w w:val="100"/>
          <w:position w:val="0"/>
        </w:rPr>
        <w:t>元，扣除承销及保荐费用、发行登记费以及其他交 易费用共计人民币</w:t>
      </w:r>
      <w:r>
        <w:rPr>
          <w:rFonts w:ascii="Times New Roman" w:eastAsia="Times New Roman" w:hAnsi="Times New Roman" w:cs="Times New Roman"/>
          <w:color w:val="000000"/>
          <w:spacing w:val="0"/>
          <w:w w:val="100"/>
          <w:position w:val="0"/>
        </w:rPr>
        <w:t>14,141,218.30</w:t>
      </w:r>
      <w:r>
        <w:rPr>
          <w:color w:val="000000"/>
          <w:spacing w:val="0"/>
          <w:w w:val="100"/>
          <w:position w:val="0"/>
        </w:rPr>
        <w:t>元后，净募集资金共计人民币</w:t>
      </w:r>
      <w:r>
        <w:rPr>
          <w:rFonts w:ascii="Times New Roman" w:eastAsia="Times New Roman" w:hAnsi="Times New Roman" w:cs="Times New Roman"/>
          <w:color w:val="000000"/>
          <w:spacing w:val="0"/>
          <w:w w:val="100"/>
          <w:position w:val="0"/>
        </w:rPr>
        <w:t>585,858,781.70</w:t>
      </w:r>
      <w:r>
        <w:rPr>
          <w:color w:val="000000"/>
          <w:spacing w:val="0"/>
          <w:w w:val="100"/>
          <w:position w:val="0"/>
        </w:rPr>
        <w:t>元，其中增加股本人民币</w:t>
      </w:r>
      <w:r>
        <w:rPr>
          <w:rFonts w:ascii="Times New Roman" w:eastAsia="Times New Roman" w:hAnsi="Times New Roman" w:cs="Times New Roman"/>
          <w:color w:val="000000"/>
          <w:spacing w:val="0"/>
          <w:w w:val="100"/>
          <w:position w:val="0"/>
        </w:rPr>
        <w:t>48,000,000.00</w:t>
      </w:r>
      <w:r>
        <w:rPr>
          <w:color w:val="000000"/>
          <w:spacing w:val="0"/>
          <w:w w:val="100"/>
          <w:position w:val="0"/>
        </w:rPr>
        <w:t>元， 增加资本公积人民币</w:t>
      </w:r>
      <w:r>
        <w:rPr>
          <w:rFonts w:ascii="Times New Roman" w:eastAsia="Times New Roman" w:hAnsi="Times New Roman" w:cs="Times New Roman"/>
          <w:color w:val="000000"/>
          <w:spacing w:val="0"/>
          <w:w w:val="100"/>
          <w:position w:val="0"/>
        </w:rPr>
        <w:t>537,858,781.70</w:t>
      </w:r>
      <w:r>
        <w:rPr>
          <w:color w:val="000000"/>
          <w:spacing w:val="0"/>
          <w:w w:val="100"/>
          <w:position w:val="0"/>
        </w:rPr>
        <w:t>元。</w:t>
      </w:r>
    </w:p>
    <w:p>
      <w:pPr>
        <w:pStyle w:val="Style102"/>
        <w:keepNext/>
        <w:keepLines/>
        <w:widowControl w:val="0"/>
        <w:shd w:val="clear" w:color="auto" w:fill="auto"/>
        <w:bidi w:val="0"/>
        <w:spacing w:before="0" w:after="380" w:line="240" w:lineRule="auto"/>
        <w:ind w:left="0" w:right="0" w:firstLine="0"/>
        <w:jc w:val="both"/>
      </w:pPr>
      <w:bookmarkStart w:id="196" w:name="bookmark196"/>
      <w:bookmarkStart w:id="197" w:name="bookmark197"/>
      <w:bookmarkStart w:id="198" w:name="bookmark198"/>
      <w:bookmarkStart w:id="199" w:name="bookmark199"/>
      <w:r>
        <w:rPr>
          <w:color w:val="000000"/>
          <w:spacing w:val="0"/>
          <w:w w:val="100"/>
          <w:position w:val="0"/>
        </w:rPr>
        <w:t>（</w:t>
      </w:r>
      <w:bookmarkEnd w:id="198"/>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196"/>
      <w:bookmarkEnd w:id="197"/>
      <w:bookmarkEnd w:id="199"/>
    </w:p>
    <w:p>
      <w:pPr>
        <w:pStyle w:val="Style1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30"/>
        <w:gridCol w:w="725"/>
        <w:gridCol w:w="898"/>
        <w:gridCol w:w="893"/>
        <w:gridCol w:w="730"/>
        <w:gridCol w:w="898"/>
        <w:gridCol w:w="898"/>
        <w:gridCol w:w="725"/>
        <w:gridCol w:w="730"/>
        <w:gridCol w:w="898"/>
        <w:gridCol w:w="725"/>
        <w:gridCol w:w="734"/>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8"/>
                <w:szCs w:val="18"/>
              </w:rPr>
            </w:pPr>
            <w:r>
              <w:rPr>
                <w:color w:val="000000"/>
                <w:spacing w:val="0"/>
                <w:w w:val="100"/>
                <w:position w:val="0"/>
                <w:sz w:val="18"/>
                <w:szCs w:val="18"/>
              </w:rPr>
              <w:t>承诺投 资项目 和超募 资金投 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含部 分变更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募集资金 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调整后投</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本报告</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期投入</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8"/>
                <w:szCs w:val="18"/>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0" w:lineRule="exact"/>
              <w:ind w:left="0" w:right="0" w:firstLine="0"/>
              <w:jc w:val="center"/>
              <w:rPr>
                <w:sz w:val="18"/>
                <w:szCs w:val="18"/>
              </w:rPr>
            </w:pPr>
            <w:r>
              <w:rPr>
                <w:color w:val="000000"/>
                <w:spacing w:val="0"/>
                <w:w w:val="100"/>
                <w:position w:val="0"/>
                <w:sz w:val="18"/>
                <w:szCs w:val="18"/>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项目达 到预定 可使用 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本报告</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期实现</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截止报告 期末累计 实现的效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是否达</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到预计</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left"/>
              <w:rPr>
                <w:sz w:val="18"/>
                <w:szCs w:val="18"/>
              </w:rPr>
            </w:pPr>
            <w:r>
              <w:rPr>
                <w:color w:val="000000"/>
                <w:spacing w:val="0"/>
                <w:w w:val="100"/>
                <w:position w:val="0"/>
                <w:sz w:val="18"/>
                <w:szCs w:val="18"/>
              </w:rPr>
              <w:t>项目可 行性是 否发生 重大变</w:t>
            </w:r>
          </w:p>
          <w:p>
            <w:pPr>
              <w:pStyle w:val="Style2"/>
              <w:keepNext w:val="0"/>
              <w:keepLines w:val="0"/>
              <w:widowControl w:val="0"/>
              <w:shd w:val="clear" w:color="auto" w:fill="auto"/>
              <w:bidi w:val="0"/>
              <w:spacing w:before="0" w:after="0" w:line="318" w:lineRule="exact"/>
              <w:ind w:left="0" w:right="0" w:firstLine="260"/>
              <w:jc w:val="left"/>
              <w:rPr>
                <w:sz w:val="18"/>
                <w:szCs w:val="18"/>
              </w:rPr>
            </w:pPr>
            <w:r>
              <w:rPr>
                <w:color w:val="000000"/>
                <w:spacing w:val="0"/>
                <w:w w:val="100"/>
                <w:position w:val="0"/>
                <w:sz w:val="18"/>
                <w:szCs w:val="18"/>
              </w:rPr>
              <w:t>化</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承诺投资项目</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 xml:space="preserve">新一代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 xml:space="preserve">网格化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智慧 城市综 合信息 服务及 运营项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742.63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补充流</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动资金</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节余永 久性补 充流动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7,800.68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130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智慧化 城市综 合管理 服务平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17,556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17,556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3,147.07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2,066.94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2,066.94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bl>
    <w:p>
      <w:pPr>
        <w:widowControl w:val="0"/>
        <w:spacing w:line="1" w:lineRule="exact"/>
      </w:pPr>
      <w:r>
        <w:br w:type="page"/>
      </w:r>
    </w:p>
    <w:tbl>
      <w:tblPr>
        <w:tblOverlap w:val="never"/>
        <w:jc w:val="center"/>
        <w:tblLayout w:type="fixed"/>
      </w:tblPr>
      <w:tblGrid>
        <w:gridCol w:w="730"/>
        <w:gridCol w:w="725"/>
        <w:gridCol w:w="898"/>
        <w:gridCol w:w="893"/>
        <w:gridCol w:w="730"/>
        <w:gridCol w:w="898"/>
        <w:gridCol w:w="898"/>
        <w:gridCol w:w="725"/>
        <w:gridCol w:w="730"/>
        <w:gridCol w:w="898"/>
        <w:gridCol w:w="725"/>
        <w:gridCol w:w="734"/>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台建设</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基于物 联网的 智慧排 水综合 监管运 维一体 化平台 建设项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13,186.5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13,186.5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基于多 网合一 的社会 治理信 息平台 建设项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12,257.5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12,257.5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补充流</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动资金</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承诺投</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资项目</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113,810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113,810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14,925.5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85,605.15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16,328.48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超募资金投向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113,810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113,810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14,925.5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85,605.15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16,328.48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58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未达到 计划进 度或预 计收益 的情况 和原因</w:t>
            </w:r>
          </w:p>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（分具 体项目）</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不适用，新一代“网格化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”智慧城市综合信息服务及运营项目截止报告期末累计投入募集资金</w:t>
            </w:r>
            <w:r>
              <w:rPr>
                <w:rFonts w:ascii="Times New Roman" w:eastAsia="Times New Roman" w:hAnsi="Times New Roman" w:cs="Times New Roman"/>
                <w:color w:val="000000"/>
                <w:spacing w:val="0"/>
                <w:w w:val="100"/>
                <w:position w:val="0"/>
                <w:sz w:val="18"/>
                <w:szCs w:val="18"/>
              </w:rPr>
              <w:t>30,009.32</w:t>
            </w:r>
            <w:r>
              <w:rPr>
                <w:color w:val="000000"/>
                <w:spacing w:val="0"/>
                <w:w w:val="100"/>
                <w:position w:val="0"/>
                <w:sz w:val="18"/>
                <w:szCs w:val="18"/>
              </w:rPr>
              <w:t>万元， 累计实现效益</w:t>
            </w:r>
            <w:r>
              <w:rPr>
                <w:rFonts w:ascii="Times New Roman" w:eastAsia="Times New Roman" w:hAnsi="Times New Roman" w:cs="Times New Roman"/>
                <w:color w:val="000000"/>
                <w:spacing w:val="0"/>
                <w:w w:val="100"/>
                <w:position w:val="0"/>
                <w:sz w:val="18"/>
                <w:szCs w:val="18"/>
              </w:rPr>
              <w:t>12,543.91</w:t>
            </w:r>
            <w:r>
              <w:rPr>
                <w:color w:val="000000"/>
                <w:spacing w:val="0"/>
                <w:w w:val="100"/>
                <w:position w:val="0"/>
                <w:sz w:val="18"/>
                <w:szCs w:val="18"/>
              </w:rPr>
              <w:t>万元，投资回报率</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，高于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月公告的《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年度创业板非公开发行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股股 票预案》设定的财务内部收益率指标</w:t>
            </w:r>
            <w:r>
              <w:rPr>
                <w:rFonts w:ascii="Times New Roman" w:eastAsia="Times New Roman" w:hAnsi="Times New Roman" w:cs="Times New Roman"/>
                <w:color w:val="000000"/>
                <w:spacing w:val="0"/>
                <w:w w:val="100"/>
                <w:position w:val="0"/>
                <w:sz w:val="18"/>
                <w:szCs w:val="18"/>
              </w:rPr>
              <w:t>13.12%</w:t>
            </w:r>
            <w:r>
              <w:rPr>
                <w:color w:val="000000"/>
                <w:spacing w:val="0"/>
                <w:w w:val="100"/>
                <w:position w:val="0"/>
                <w:sz w:val="18"/>
                <w:szCs w:val="18"/>
              </w:rPr>
              <w:t>，达成预期目标。</w:t>
            </w:r>
          </w:p>
        </w:tc>
      </w:tr>
      <w:tr>
        <w:trPr>
          <w:trHeight w:val="16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项目可</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行性发</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生重大</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变化的</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情况说</w:t>
            </w: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bl>
    <w:p>
      <w:pPr>
        <w:widowControl w:val="0"/>
        <w:spacing w:line="1" w:lineRule="exact"/>
      </w:pPr>
      <w:r>
        <w:br w:type="page"/>
      </w:r>
    </w:p>
    <w:tbl>
      <w:tblPr>
        <w:tblOverlap w:val="never"/>
        <w:jc w:val="center"/>
        <w:tblLayout w:type="fixed"/>
      </w:tblPr>
      <w:tblGrid>
        <w:gridCol w:w="730"/>
        <w:gridCol w:w="8851"/>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明</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超募资 金的金 额、用途 及使用 进展情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募集资 金投资 项目实 施地点 变更情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15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8"/>
                <w:szCs w:val="18"/>
              </w:rPr>
              <w:t>募集资 金投资 项目实 施方式 调整情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162"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募集资 金投资 项目先 期投入 及置换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适用</w:t>
            </w:r>
          </w:p>
        </w:tc>
      </w:tr>
      <w:tr>
        <w:trPr>
          <w:trHeight w:val="2006"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31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日公司召开第三届董事会第二十九次会议，审议通过了《关于使用募集资金置换已预先投入募投 项目自筹资金的议案》，同意公司使用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 xml:space="preserve">月非公开发行股票募集资金置换预先投入募投项目的自筹资金 </w:t>
            </w:r>
            <w:r>
              <w:rPr>
                <w:rFonts w:ascii="Times New Roman" w:eastAsia="Times New Roman" w:hAnsi="Times New Roman" w:cs="Times New Roman"/>
                <w:color w:val="000000"/>
                <w:spacing w:val="0"/>
                <w:w w:val="100"/>
                <w:position w:val="0"/>
                <w:sz w:val="18"/>
                <w:szCs w:val="18"/>
              </w:rPr>
              <w:t xml:space="preserve">67,421,468.01 </w:t>
            </w:r>
            <w:r>
              <w:rPr>
                <w:color w:val="000000"/>
                <w:spacing w:val="0"/>
                <w:w w:val="100"/>
                <w:position w:val="0"/>
                <w:sz w:val="18"/>
                <w:szCs w:val="18"/>
              </w:rPr>
              <w:t>元。</w:t>
            </w:r>
          </w:p>
          <w:p>
            <w:pPr>
              <w:pStyle w:val="Style2"/>
              <w:keepNext w:val="0"/>
              <w:keepLines w:val="0"/>
              <w:widowControl w:val="0"/>
              <w:shd w:val="clear" w:color="auto" w:fill="auto"/>
              <w:bidi w:val="0"/>
              <w:spacing w:before="0" w:after="0" w:line="31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日公司召开第四届董事会第二十二次会议，审议通过了《关于用募集资金置换先期投入募投项目 自筹资金的议案》，同意公司使用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 xml:space="preserve">月非公开发行股票募集资金置换预先投入募投项目自筹资金共计 </w:t>
            </w:r>
            <w:r>
              <w:rPr>
                <w:rFonts w:ascii="Times New Roman" w:eastAsia="Times New Roman" w:hAnsi="Times New Roman" w:cs="Times New Roman"/>
                <w:color w:val="000000"/>
                <w:spacing w:val="0"/>
                <w:w w:val="100"/>
                <w:position w:val="0"/>
                <w:sz w:val="18"/>
                <w:szCs w:val="18"/>
              </w:rPr>
              <w:t xml:space="preserve">84,129,348.89 </w:t>
            </w:r>
            <w:r>
              <w:rPr>
                <w:color w:val="000000"/>
                <w:spacing w:val="0"/>
                <w:w w:val="100"/>
                <w:position w:val="0"/>
                <w:sz w:val="18"/>
                <w:szCs w:val="18"/>
              </w:rPr>
              <w:t>元。</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用闲置 募集资 金暂时 补充流 动资金</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8"/>
                <w:szCs w:val="18"/>
              </w:rPr>
              <w:t>项目实 施出现 募集资 金结余 的金额 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日，新一代</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网格化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智慧城市综合信息服务及运营项目募集资金专户余额</w:t>
            </w:r>
            <w:r>
              <w:rPr>
                <w:rFonts w:ascii="Times New Roman" w:eastAsia="Times New Roman" w:hAnsi="Times New Roman" w:cs="Times New Roman"/>
                <w:color w:val="000000"/>
                <w:spacing w:val="0"/>
                <w:w w:val="100"/>
                <w:position w:val="0"/>
                <w:sz w:val="18"/>
                <w:szCs w:val="18"/>
              </w:rPr>
              <w:t xml:space="preserve">99,953,362.81 </w:t>
            </w:r>
            <w:r>
              <w:rPr>
                <w:color w:val="000000"/>
                <w:spacing w:val="0"/>
                <w:w w:val="100"/>
                <w:position w:val="0"/>
                <w:sz w:val="18"/>
                <w:szCs w:val="18"/>
              </w:rPr>
              <w:t>元，扣除募集资金账户利息净收入</w:t>
            </w:r>
            <w:r>
              <w:rPr>
                <w:rFonts w:ascii="Times New Roman" w:eastAsia="Times New Roman" w:hAnsi="Times New Roman" w:cs="Times New Roman"/>
                <w:color w:val="000000"/>
                <w:spacing w:val="0"/>
                <w:w w:val="100"/>
                <w:position w:val="0"/>
                <w:sz w:val="18"/>
                <w:szCs w:val="18"/>
              </w:rPr>
              <w:t>21,946,538.43</w:t>
            </w:r>
            <w:r>
              <w:rPr>
                <w:color w:val="000000"/>
                <w:spacing w:val="0"/>
                <w:w w:val="100"/>
                <w:position w:val="0"/>
                <w:sz w:val="18"/>
                <w:szCs w:val="18"/>
              </w:rPr>
              <w:t>元.尚未使用的募集资金</w:t>
            </w:r>
            <w:r>
              <w:rPr>
                <w:rFonts w:ascii="Times New Roman" w:eastAsia="Times New Roman" w:hAnsi="Times New Roman" w:cs="Times New Roman"/>
                <w:color w:val="000000"/>
                <w:spacing w:val="0"/>
                <w:w w:val="100"/>
                <w:position w:val="0"/>
                <w:sz w:val="18"/>
                <w:szCs w:val="18"/>
              </w:rPr>
              <w:t>78,006,824.38</w:t>
            </w:r>
            <w:r>
              <w:rPr>
                <w:color w:val="000000"/>
                <w:spacing w:val="0"/>
                <w:w w:val="100"/>
                <w:position w:val="0"/>
                <w:sz w:val="18"/>
                <w:szCs w:val="18"/>
              </w:rPr>
              <w:t xml:space="preserve">元。产生结余原因为： 在项目建设中，公司充分考虑整体经济环境、市场需求以及资金的使用效益等因素，引入其他社会资本方融资 </w:t>
            </w:r>
            <w:r>
              <w:rPr>
                <w:rFonts w:ascii="Times New Roman" w:eastAsia="Times New Roman" w:hAnsi="Times New Roman" w:cs="Times New Roman"/>
                <w:color w:val="000000"/>
                <w:spacing w:val="0"/>
                <w:w w:val="100"/>
                <w:position w:val="0"/>
                <w:sz w:val="18"/>
                <w:szCs w:val="18"/>
              </w:rPr>
              <w:t>78,300,000.00</w:t>
            </w:r>
            <w:r>
              <w:rPr>
                <w:color w:val="000000"/>
                <w:spacing w:val="0"/>
                <w:w w:val="100"/>
                <w:position w:val="0"/>
                <w:sz w:val="18"/>
                <w:szCs w:val="18"/>
              </w:rPr>
              <w:t>元，用于支付募投项目款，导致募集资金账户结余</w:t>
            </w:r>
            <w:r>
              <w:rPr>
                <w:rFonts w:ascii="Times New Roman" w:eastAsia="Times New Roman" w:hAnsi="Times New Roman" w:cs="Times New Roman"/>
                <w:color w:val="000000"/>
                <w:spacing w:val="0"/>
                <w:w w:val="100"/>
                <w:position w:val="0"/>
                <w:sz w:val="18"/>
                <w:szCs w:val="18"/>
              </w:rPr>
              <w:t>78,006,824.38</w:t>
            </w:r>
            <w:r>
              <w:rPr>
                <w:color w:val="000000"/>
                <w:spacing w:val="0"/>
                <w:w w:val="100"/>
                <w:position w:val="0"/>
                <w:sz w:val="18"/>
                <w:szCs w:val="18"/>
              </w:rPr>
              <w:t>元。</w:t>
            </w:r>
          </w:p>
        </w:tc>
      </w:tr>
      <w:tr>
        <w:trPr>
          <w:trHeight w:val="130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6" w:lineRule="exact"/>
              <w:ind w:left="0" w:right="0" w:firstLine="0"/>
              <w:jc w:val="both"/>
              <w:rPr>
                <w:sz w:val="18"/>
                <w:szCs w:val="18"/>
              </w:rPr>
            </w:pPr>
            <w:r>
              <w:rPr>
                <w:color w:val="000000"/>
                <w:spacing w:val="0"/>
                <w:w w:val="100"/>
                <w:position w:val="0"/>
                <w:sz w:val="18"/>
                <w:szCs w:val="18"/>
              </w:rPr>
              <w:t>尚未使 用的募 集资金 用途及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年非公开发行股票募集资金，根据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年第二次临时股东大会决议，</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月非公开发行股票募集的尚 未使用的募集资金用于补充流动资金。</w:t>
            </w:r>
          </w:p>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年非公开发行股票募集资金，尚未使用的募集资金未来将继续用于承诺投资项目，截止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bl>
    <w:p>
      <w:pPr>
        <w:widowControl w:val="0"/>
        <w:spacing w:line="1" w:lineRule="exact"/>
      </w:pPr>
    </w:p>
    <w:tbl>
      <w:tblPr>
        <w:tblOverlap w:val="never"/>
        <w:jc w:val="center"/>
        <w:tblLayout w:type="fixed"/>
      </w:tblPr>
      <w:tblGrid>
        <w:gridCol w:w="730"/>
        <w:gridCol w:w="8851"/>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募集资金余额</w:t>
            </w:r>
            <w:r>
              <w:rPr>
                <w:rFonts w:ascii="Times New Roman" w:eastAsia="Times New Roman" w:hAnsi="Times New Roman" w:cs="Times New Roman"/>
                <w:color w:val="000000"/>
                <w:spacing w:val="0"/>
                <w:w w:val="100"/>
                <w:position w:val="0"/>
                <w:sz w:val="18"/>
                <w:szCs w:val="18"/>
              </w:rPr>
              <w:t>28,938.32</w:t>
            </w:r>
            <w:r>
              <w:rPr>
                <w:color w:val="000000"/>
                <w:spacing w:val="0"/>
                <w:w w:val="100"/>
                <w:position w:val="0"/>
                <w:sz w:val="18"/>
                <w:szCs w:val="18"/>
              </w:rPr>
              <w:t>万元（含存款利息）。</w:t>
            </w:r>
          </w:p>
        </w:tc>
      </w:tr>
      <w:tr>
        <w:trPr>
          <w:trHeight w:val="36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募集资</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金使用</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及披露</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中存在</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307"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的问题</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或其他</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情况</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02"/>
        <w:keepNext/>
        <w:keepLines/>
        <w:widowControl w:val="0"/>
        <w:shd w:val="clear" w:color="auto" w:fill="auto"/>
        <w:bidi w:val="0"/>
        <w:spacing w:before="0" w:after="340" w:line="240" w:lineRule="auto"/>
        <w:ind w:left="0" w:right="0" w:firstLine="0"/>
        <w:jc w:val="left"/>
      </w:pPr>
      <w:bookmarkStart w:id="200" w:name="bookmark200"/>
      <w:bookmarkStart w:id="201" w:name="bookmark201"/>
      <w:bookmarkStart w:id="202" w:name="bookmark202"/>
      <w:bookmarkStart w:id="203" w:name="bookmark203"/>
      <w:r>
        <w:rPr>
          <w:color w:val="000000"/>
          <w:spacing w:val="0"/>
          <w:w w:val="100"/>
          <w:position w:val="0"/>
        </w:rPr>
        <w:t>（</w:t>
      </w:r>
      <w:bookmarkEnd w:id="202"/>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00"/>
      <w:bookmarkEnd w:id="201"/>
      <w:bookmarkEnd w:id="203"/>
    </w:p>
    <w:p>
      <w:pPr>
        <w:pStyle w:val="Style1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公司报告期不存在募集资金变更项目情况。</w:t>
      </w:r>
    </w:p>
    <w:p>
      <w:pPr>
        <w:pStyle w:val="Style19"/>
        <w:keepNext/>
        <w:keepLines/>
        <w:widowControl w:val="0"/>
        <w:shd w:val="clear" w:color="auto" w:fill="auto"/>
        <w:tabs>
          <w:tab w:pos="512" w:val="left"/>
        </w:tabs>
        <w:bidi w:val="0"/>
        <w:spacing w:before="0" w:after="340" w:line="240" w:lineRule="auto"/>
        <w:ind w:left="0" w:right="0" w:firstLine="0"/>
        <w:jc w:val="left"/>
      </w:pPr>
      <w:bookmarkStart w:id="204" w:name="bookmark204"/>
      <w:bookmarkStart w:id="205" w:name="bookmark205"/>
      <w:bookmarkStart w:id="206" w:name="bookmark206"/>
      <w:bookmarkStart w:id="207" w:name="bookmark207"/>
      <w:r>
        <w:rPr>
          <w:color w:val="000000"/>
          <w:spacing w:val="0"/>
          <w:w w:val="100"/>
          <w:position w:val="0"/>
          <w:sz w:val="24"/>
          <w:szCs w:val="24"/>
        </w:rPr>
        <w:t>八</w:t>
      </w:r>
      <w:bookmarkEnd w:id="206"/>
      <w:r>
        <w:rPr>
          <w:color w:val="000000"/>
          <w:spacing w:val="0"/>
          <w:w w:val="100"/>
          <w:position w:val="0"/>
          <w:sz w:val="24"/>
          <w:szCs w:val="24"/>
        </w:rPr>
        <w:t>、</w:t>
        <w:tab/>
        <w:t>重大资产和股权出售</w:t>
      </w:r>
      <w:bookmarkEnd w:id="204"/>
      <w:bookmarkEnd w:id="205"/>
      <w:bookmarkEnd w:id="207"/>
    </w:p>
    <w:p>
      <w:pPr>
        <w:pStyle w:val="Style24"/>
        <w:keepNext/>
        <w:keepLines/>
        <w:widowControl w:val="0"/>
        <w:shd w:val="clear" w:color="auto" w:fill="auto"/>
        <w:tabs>
          <w:tab w:pos="404" w:val="left"/>
        </w:tabs>
        <w:bidi w:val="0"/>
        <w:spacing w:before="0" w:line="240" w:lineRule="auto"/>
        <w:ind w:left="0" w:right="0" w:firstLine="0"/>
        <w:jc w:val="left"/>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1</w:t>
      </w:r>
      <w:bookmarkEnd w:id="210"/>
      <w:r>
        <w:rPr>
          <w:color w:val="000000"/>
          <w:spacing w:val="0"/>
          <w:w w:val="100"/>
          <w:position w:val="0"/>
        </w:rPr>
        <w:t>、</w:t>
        <w:tab/>
        <w:t>出售重大资产情况</w:t>
      </w:r>
      <w:bookmarkEnd w:id="208"/>
      <w:bookmarkEnd w:id="209"/>
      <w:bookmarkEnd w:id="211"/>
    </w:p>
    <w:p>
      <w:pPr>
        <w:pStyle w:val="Style1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公司报告期未出售重大资产。</w:t>
      </w:r>
    </w:p>
    <w:p>
      <w:pPr>
        <w:pStyle w:val="Style24"/>
        <w:keepNext/>
        <w:keepLines/>
        <w:widowControl w:val="0"/>
        <w:shd w:val="clear" w:color="auto" w:fill="auto"/>
        <w:tabs>
          <w:tab w:pos="404" w:val="left"/>
        </w:tabs>
        <w:bidi w:val="0"/>
        <w:spacing w:before="0" w:line="240" w:lineRule="auto"/>
        <w:ind w:left="0" w:right="0" w:firstLine="0"/>
        <w:jc w:val="left"/>
      </w:pPr>
      <w:bookmarkStart w:id="212" w:name="bookmark212"/>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rPr>
        <w:t>2</w:t>
      </w:r>
      <w:bookmarkEnd w:id="214"/>
      <w:r>
        <w:rPr>
          <w:color w:val="000000"/>
          <w:spacing w:val="0"/>
          <w:w w:val="100"/>
          <w:position w:val="0"/>
        </w:rPr>
        <w:t>、</w:t>
        <w:tab/>
        <w:t>出售重大股权情况</w:t>
      </w:r>
      <w:bookmarkEnd w:id="212"/>
      <w:bookmarkEnd w:id="213"/>
      <w:bookmarkEnd w:id="215"/>
    </w:p>
    <w:p>
      <w:pPr>
        <w:pStyle w:val="Style1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keepLines/>
        <w:widowControl w:val="0"/>
        <w:shd w:val="clear" w:color="auto" w:fill="auto"/>
        <w:tabs>
          <w:tab w:pos="512" w:val="left"/>
        </w:tabs>
        <w:bidi w:val="0"/>
        <w:spacing w:before="0" w:after="340" w:line="240" w:lineRule="auto"/>
        <w:ind w:left="0" w:right="0" w:firstLine="0"/>
        <w:jc w:val="left"/>
      </w:pPr>
      <w:bookmarkStart w:id="216" w:name="bookmark216"/>
      <w:bookmarkStart w:id="217" w:name="bookmark217"/>
      <w:bookmarkStart w:id="218" w:name="bookmark218"/>
      <w:bookmarkStart w:id="219" w:name="bookmark219"/>
      <w:r>
        <w:rPr>
          <w:color w:val="000000"/>
          <w:spacing w:val="0"/>
          <w:w w:val="100"/>
          <w:position w:val="0"/>
          <w:sz w:val="24"/>
          <w:szCs w:val="24"/>
        </w:rPr>
        <w:t>九</w:t>
      </w:r>
      <w:bookmarkEnd w:id="218"/>
      <w:r>
        <w:rPr>
          <w:color w:val="000000"/>
          <w:spacing w:val="0"/>
          <w:w w:val="100"/>
          <w:position w:val="0"/>
          <w:sz w:val="24"/>
          <w:szCs w:val="24"/>
        </w:rPr>
        <w:t>、</w:t>
        <w:tab/>
        <w:t>主要控股参股公司分析</w:t>
      </w:r>
      <w:bookmarkEnd w:id="216"/>
      <w:bookmarkEnd w:id="217"/>
      <w:bookmarkEnd w:id="219"/>
    </w:p>
    <w:p>
      <w:pPr>
        <w:pStyle w:val="Style1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195"/>
        <w:gridCol w:w="1046"/>
        <w:gridCol w:w="1042"/>
        <w:gridCol w:w="1046"/>
        <w:gridCol w:w="1046"/>
        <w:gridCol w:w="1046"/>
        <w:gridCol w:w="1042"/>
        <w:gridCol w:w="105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净利润</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保定金迪地 下管线探测 工程有限公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地下管线探</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测检测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605,428,628.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430,287,373.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312,872,032.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68,985,571.4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60,719,937.8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bl>
    <w:p>
      <w:pPr>
        <w:widowControl w:val="0"/>
        <w:spacing w:after="99" w:line="1" w:lineRule="exact"/>
      </w:pP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报告期内取得和处置子公司的情况</w:t>
      </w:r>
    </w:p>
    <w:p>
      <w:pPr>
        <w:pStyle w:val="Style1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对整体生产经营和业绩的影响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安徽数字展通信息科技有限公司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天津数字政通科技有限公司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无重大影响</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成都数字政通科技有限公司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无重大影响</w:t>
            </w:r>
          </w:p>
        </w:tc>
      </w:tr>
    </w:tbl>
    <w:p>
      <w:pPr>
        <w:widowControl w:val="0"/>
        <w:spacing w:line="1" w:lineRule="exact"/>
      </w:pP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河南数字政通科技有限公司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长春数字政通科技有限公司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无重大影响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河南数字智通科技有限公司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嘉兴政通优势投资合伙企业（有限合伙）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广西数字政通科技有限公司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天津政通智行科技有限公司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无重大影响</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克拉玛依数字政通信息科技有限责任公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无重大影响</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139" w:line="1" w:lineRule="exact"/>
      </w:pPr>
    </w:p>
    <w:p>
      <w:pPr>
        <w:pStyle w:val="Style19"/>
        <w:keepNext/>
        <w:keepLines/>
        <w:widowControl w:val="0"/>
        <w:shd w:val="clear" w:color="auto" w:fill="auto"/>
        <w:bidi w:val="0"/>
        <w:spacing w:before="0" w:after="360" w:line="468" w:lineRule="exact"/>
        <w:ind w:left="0" w:right="0" w:firstLine="0"/>
        <w:jc w:val="left"/>
      </w:pPr>
      <w:bookmarkStart w:id="220" w:name="bookmark220"/>
      <w:bookmarkStart w:id="221" w:name="bookmark221"/>
      <w:bookmarkStart w:id="222" w:name="bookmark222"/>
      <w:r>
        <w:rPr>
          <w:color w:val="000000"/>
          <w:spacing w:val="0"/>
          <w:w w:val="100"/>
          <w:position w:val="0"/>
          <w:sz w:val="24"/>
          <w:szCs w:val="24"/>
        </w:rPr>
        <w:t>十、公司控制的结构化主体情况</w:t>
      </w:r>
      <w:bookmarkEnd w:id="220"/>
      <w:bookmarkEnd w:id="221"/>
      <w:bookmarkEnd w:id="222"/>
    </w:p>
    <w:p>
      <w:pPr>
        <w:pStyle w:val="Style1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keepLines/>
        <w:widowControl w:val="0"/>
        <w:shd w:val="clear" w:color="auto" w:fill="auto"/>
        <w:bidi w:val="0"/>
        <w:spacing w:before="0" w:after="220" w:line="468" w:lineRule="exact"/>
        <w:ind w:left="0" w:right="0" w:firstLine="0"/>
        <w:jc w:val="left"/>
      </w:pPr>
      <w:bookmarkStart w:id="223" w:name="bookmark223"/>
      <w:bookmarkStart w:id="224" w:name="bookmark224"/>
      <w:bookmarkStart w:id="225" w:name="bookmark225"/>
      <w:r>
        <w:rPr>
          <w:color w:val="000000"/>
          <w:spacing w:val="0"/>
          <w:w w:val="100"/>
          <w:position w:val="0"/>
          <w:sz w:val="24"/>
          <w:szCs w:val="24"/>
        </w:rPr>
        <w:t>十一、公司未来发展的展望</w:t>
      </w:r>
      <w:bookmarkEnd w:id="223"/>
      <w:bookmarkEnd w:id="224"/>
      <w:bookmarkEnd w:id="225"/>
    </w:p>
    <w:p>
      <w:pPr>
        <w:pStyle w:val="Style59"/>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新的一年，公司将在以下方面加强工作，努力提高经营业绩：</w:t>
      </w:r>
    </w:p>
    <w:p>
      <w:pPr>
        <w:pStyle w:val="Style24"/>
        <w:keepNext/>
        <w:keepLines/>
        <w:widowControl w:val="0"/>
        <w:shd w:val="clear" w:color="auto" w:fill="auto"/>
        <w:tabs>
          <w:tab w:pos="851" w:val="left"/>
        </w:tabs>
        <w:bidi w:val="0"/>
        <w:spacing w:before="0" w:after="0" w:line="468" w:lineRule="exact"/>
        <w:ind w:left="0" w:right="0" w:firstLine="480"/>
        <w:jc w:val="both"/>
        <w:rPr>
          <w:sz w:val="24"/>
          <w:szCs w:val="24"/>
        </w:rPr>
      </w:pPr>
      <w:bookmarkStart w:id="226" w:name="bookmark226"/>
      <w:bookmarkStart w:id="227" w:name="bookmark227"/>
      <w:bookmarkStart w:id="228" w:name="bookmark228"/>
      <w:bookmarkStart w:id="229" w:name="bookmark229"/>
      <w:r>
        <w:rPr>
          <w:color w:val="000000"/>
          <w:spacing w:val="0"/>
          <w:w w:val="100"/>
          <w:position w:val="0"/>
          <w:sz w:val="24"/>
          <w:szCs w:val="24"/>
        </w:rPr>
        <w:t>1</w:t>
      </w:r>
      <w:bookmarkEnd w:id="228"/>
      <w:r>
        <w:rPr>
          <w:color w:val="000000"/>
          <w:spacing w:val="0"/>
          <w:w w:val="100"/>
          <w:position w:val="0"/>
          <w:sz w:val="24"/>
          <w:szCs w:val="24"/>
        </w:rPr>
        <w:t>、</w:t>
        <w:tab/>
        <w:t>城市综合管理服务平台业务</w:t>
      </w:r>
      <w:bookmarkEnd w:id="226"/>
      <w:bookmarkEnd w:id="227"/>
      <w:bookmarkEnd w:id="229"/>
    </w:p>
    <w:p>
      <w:pPr>
        <w:pStyle w:val="Style59"/>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为落实《国民经济和社会发展第十四个五年规划和2035年远景目标纲要》和《住房和城 乡建设部办公厅关于全面加快建设城市运行管理服务平台的通知》等相关国家政策文件要求， 省级住房城乡建设（城市管理）主管部门、市县级城市管理主管部门都在围绕目标任务，加 快现有数字化或智慧化城市管理信息平台、城市综合管理服务平台等城市管理信息化系统的 迭代升级，全面建设城市运行管理服务平台，构建国家、省、市三级全国城市运行管理服务 “一张网”。</w:t>
      </w:r>
    </w:p>
    <w:p>
      <w:pPr>
        <w:pStyle w:val="Style59"/>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因此，建设城市运行管理服务平台已经成为各级政府近年来的重点信息化建设任务，呈 现快速建设、全国推广的良好态势，将覆盖全国近300个地级以上城市和2800多个县（市、区）， 市场规模将达千亿元，公司形成科学、务实的面向城市运行、管理、服务一体化的数字治理 解决方案，以新技术、新理念、新模式为各地政府治理赋能，更好地提升政府数字治理能力， 促进城市治理现代化和数字经济发展。</w:t>
      </w:r>
    </w:p>
    <w:p>
      <w:pPr>
        <w:pStyle w:val="Style24"/>
        <w:keepNext/>
        <w:keepLines/>
        <w:widowControl w:val="0"/>
        <w:shd w:val="clear" w:color="auto" w:fill="auto"/>
        <w:tabs>
          <w:tab w:pos="861" w:val="left"/>
        </w:tabs>
        <w:bidi w:val="0"/>
        <w:spacing w:before="0" w:after="0" w:line="468" w:lineRule="exact"/>
        <w:ind w:left="0" w:right="0" w:firstLine="480"/>
        <w:jc w:val="both"/>
        <w:rPr>
          <w:sz w:val="24"/>
          <w:szCs w:val="24"/>
        </w:rPr>
      </w:pPr>
      <w:bookmarkStart w:id="230" w:name="bookmark230"/>
      <w:bookmarkStart w:id="231" w:name="bookmark231"/>
      <w:bookmarkStart w:id="232" w:name="bookmark232"/>
      <w:bookmarkStart w:id="233" w:name="bookmark233"/>
      <w:r>
        <w:rPr>
          <w:color w:val="000000"/>
          <w:spacing w:val="0"/>
          <w:w w:val="100"/>
          <w:position w:val="0"/>
          <w:sz w:val="24"/>
          <w:szCs w:val="24"/>
        </w:rPr>
        <w:t>2</w:t>
      </w:r>
      <w:bookmarkEnd w:id="232"/>
      <w:r>
        <w:rPr>
          <w:color w:val="000000"/>
          <w:spacing w:val="0"/>
          <w:w w:val="100"/>
          <w:position w:val="0"/>
          <w:sz w:val="24"/>
          <w:szCs w:val="24"/>
        </w:rPr>
        <w:t>、</w:t>
        <w:tab/>
        <w:t>城市综合运行服务平台（一网统管平台）业务</w:t>
      </w:r>
      <w:bookmarkEnd w:id="230"/>
      <w:bookmarkEnd w:id="231"/>
      <w:bookmarkEnd w:id="233"/>
    </w:p>
    <w:p>
      <w:pPr>
        <w:pStyle w:val="Style59"/>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 xml:space="preserve">城市运行一网统管，是智慧城市建设模式的再创新，是智慧城市的核心组成部分。“智 慧城市”、“一网统管”被列入十四五规划，北京、上海、广东、江西等地也明确提出建设 城市运行一网统管，并把建设“一网统管”作为一项核心工作。在新形势下，地方政府为了 </w:t>
      </w:r>
      <w:r>
        <w:rPr>
          <w:color w:val="000000"/>
          <w:spacing w:val="0"/>
          <w:w w:val="100"/>
          <w:position w:val="0"/>
          <w:sz w:val="24"/>
          <w:szCs w:val="24"/>
        </w:rPr>
        <w:t>促进经济增长，必然大力发展数字经济，大力推进智慧城市建设，促进经济内循环。2022年3 月28日，住建部发布《关于全面加快建设城市运行管理服务平台的通知》，提出“2023年底 前，所有省、自治区建成省级城市运管服平台，地级以上城市基本建成城市运管服平台。2025 年底前，城市运行管理“一网统管”体制机制基本完善，城市运行效率和风险防控能力明显 增强，城市科学化精细化智能化治理水平大幅提升”。</w:t>
      </w:r>
    </w:p>
    <w:p>
      <w:pPr>
        <w:pStyle w:val="Style59"/>
        <w:keepNext w:val="0"/>
        <w:keepLines w:val="0"/>
        <w:widowControl w:val="0"/>
        <w:shd w:val="clear" w:color="auto" w:fill="auto"/>
        <w:bidi w:val="0"/>
        <w:spacing w:before="0" w:after="400" w:line="471" w:lineRule="exact"/>
        <w:ind w:left="0" w:right="0" w:firstLine="480"/>
        <w:jc w:val="both"/>
      </w:pPr>
      <w:r>
        <w:rPr>
          <w:color w:val="000000"/>
          <w:spacing w:val="0"/>
          <w:w w:val="100"/>
          <w:position w:val="0"/>
          <w:sz w:val="24"/>
          <w:szCs w:val="24"/>
        </w:rPr>
        <w:t>展望2022年，“一网统管”、“网格化管理”等有望成为数字经济建设重点。据中国智 慧城市工作委员会预测，2022年我国智慧城市市场规模将达到25万亿元，一网统管作为新型 智慧城市的必建环节，也将迎来巨大的市场机会。</w:t>
      </w:r>
    </w:p>
    <w:p>
      <w:pPr>
        <w:pStyle w:val="Style59"/>
        <w:keepNext w:val="0"/>
        <w:keepLines w:val="0"/>
        <w:widowControl w:val="0"/>
        <w:shd w:val="clear" w:color="auto" w:fill="auto"/>
        <w:bidi w:val="0"/>
        <w:spacing w:before="0" w:after="1100" w:line="240" w:lineRule="auto"/>
        <w:ind w:left="0" w:right="0" w:firstLine="820"/>
        <w:jc w:val="both"/>
        <w:rPr>
          <w:sz w:val="22"/>
          <w:szCs w:val="22"/>
        </w:rPr>
      </w:pPr>
      <w:r>
        <w:rPr>
          <w:rFonts w:ascii="Times New Roman" w:eastAsia="Times New Roman" w:hAnsi="Times New Roman" w:cs="Times New Roman"/>
          <w:b/>
          <w:bCs/>
          <w:color w:val="616163"/>
          <w:spacing w:val="0"/>
          <w:w w:val="100"/>
          <w:position w:val="0"/>
          <w:sz w:val="22"/>
          <w:szCs w:val="22"/>
        </w:rPr>
        <w:t>2014-2022</w:t>
      </w:r>
      <w:r>
        <w:rPr>
          <w:color w:val="616163"/>
          <w:spacing w:val="0"/>
          <w:w w:val="100"/>
          <w:position w:val="0"/>
          <w:sz w:val="22"/>
          <w:szCs w:val="22"/>
        </w:rPr>
        <w:t>年中国智慧城市市场规模及预测（单位：万亿元）</w:t>
      </w:r>
    </w:p>
    <w:p>
      <w:pPr>
        <w:widowControl w:val="0"/>
        <w:jc w:val="left"/>
        <w:rPr>
          <w:sz w:val="2"/>
          <w:szCs w:val="2"/>
        </w:rPr>
      </w:pPr>
      <w:r>
        <w:drawing>
          <wp:inline>
            <wp:extent cx="5066030" cy="1920240"/>
            <wp:docPr id="149" name="Picutre 149"/>
            <a:graphic xmlns:a="http://schemas.openxmlformats.org/drawingml/2006/main">
              <a:graphicData uri="http://schemas.openxmlformats.org/drawingml/2006/picture">
                <pic:pic xmlns:pic="http://schemas.openxmlformats.org/drawingml/2006/picture">
                  <pic:nvPicPr>
                    <pic:cNvPr id="149" name="Picture 149"/>
                    <pic:cNvPicPr/>
                  </pic:nvPicPr>
                  <pic:blipFill>
                    <a:blip r:embed="rId51"/>
                    <a:stretch/>
                  </pic:blipFill>
                  <pic:spPr>
                    <a:xfrm>
                      <a:ext cx="5066030" cy="1920240"/>
                    </a:xfrm>
                    <a:prstGeom prst="rect"/>
                  </pic:spPr>
                </pic:pic>
              </a:graphicData>
            </a:graphic>
          </wp:inline>
        </w:drawing>
      </w:r>
    </w:p>
    <w:p>
      <w:pPr>
        <w:widowControl w:val="0"/>
        <w:spacing w:after="179" w:line="1" w:lineRule="exact"/>
      </w:pPr>
    </w:p>
    <w:p>
      <w:pPr>
        <w:pStyle w:val="Style59"/>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2022年是城市运行一网统管的发展年，数字政通将充分发挥作为高新技术企业的社会责 任心，持续发挥“一网统管”的技术优势，凭借专业的解决方案及过硬的产品体系为各地政 府治理能力现代化和治理体系现代化赋能。</w:t>
      </w:r>
    </w:p>
    <w:p>
      <w:pPr>
        <w:pStyle w:val="Style24"/>
        <w:keepNext/>
        <w:keepLines/>
        <w:widowControl w:val="0"/>
        <w:shd w:val="clear" w:color="auto" w:fill="auto"/>
        <w:bidi w:val="0"/>
        <w:spacing w:before="0" w:after="0" w:line="469" w:lineRule="exact"/>
        <w:ind w:left="0" w:right="0" w:firstLine="480"/>
        <w:jc w:val="both"/>
        <w:rPr>
          <w:sz w:val="24"/>
          <w:szCs w:val="24"/>
        </w:rPr>
      </w:pPr>
      <w:bookmarkStart w:id="234" w:name="bookmark234"/>
      <w:bookmarkStart w:id="235" w:name="bookmark235"/>
      <w:bookmarkStart w:id="236" w:name="bookmark236"/>
      <w:bookmarkStart w:id="237" w:name="bookmark237"/>
      <w:r>
        <w:rPr>
          <w:color w:val="000000"/>
          <w:spacing w:val="0"/>
          <w:w w:val="100"/>
          <w:position w:val="0"/>
          <w:sz w:val="24"/>
          <w:szCs w:val="24"/>
        </w:rPr>
        <w:t>3</w:t>
      </w:r>
      <w:bookmarkEnd w:id="236"/>
      <w:r>
        <w:rPr>
          <w:color w:val="000000"/>
          <w:spacing w:val="0"/>
          <w:w w:val="100"/>
          <w:position w:val="0"/>
          <w:sz w:val="24"/>
          <w:szCs w:val="24"/>
        </w:rPr>
        <w:t>、城市大数据综合运营服务业务</w:t>
      </w:r>
      <w:bookmarkEnd w:id="234"/>
      <w:bookmarkEnd w:id="235"/>
      <w:bookmarkEnd w:id="237"/>
    </w:p>
    <w:p>
      <w:pPr>
        <w:pStyle w:val="Style59"/>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伴随数字经济的发展，城市管理工作逐渐向精细化、综合化方向发展，对各部门的协调 配合能力和数据联通能力提出了更高要求。在这一背景下“多网合一”、“一网统管”等管 理模式应运而生，城市管理市场化运营所涉及的环卫、市政、园林、停车等行业同样面临转 型升级的局面，“大运营”、“城市运营大管家”、“智慧运营平台”的概念和布局层出不 穷；物联网、通信、云计算、大数据等技术逐步与城市运营的各行各业深度融合，城市运营 服务市场呈现出一体化、网格化、智能化、精细化的发展趋势。</w:t>
      </w:r>
    </w:p>
    <w:p>
      <w:pPr>
        <w:pStyle w:val="Style59"/>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 xml:space="preserve">针对现有城市一线运行数据“采集难”，城市服务“事项多”，劳动密集型行业“招工 </w:t>
      </w:r>
      <w:r>
        <w:rPr>
          <w:color w:val="000000"/>
          <w:spacing w:val="0"/>
          <w:w w:val="100"/>
          <w:position w:val="0"/>
          <w:sz w:val="24"/>
          <w:szCs w:val="24"/>
        </w:rPr>
        <w:t>难”等困境，解决现有城市运营服务行业科技化含量低、数字化水平差、智能化手段少等现 状；通过科技赋能，发力全业务智能采集综合运营服务，提高城市信息采集效率，通过能力 提升，推动全科网格员运营服务，提升网格员职业化进程，“技术+能力”双轮驱动，提升城 市信息采集模式新变革；同时，构建城市运营综合监管与运营服务相结合的模式，深化建设 与运营一体化结合，推动信息化精细管理，创新数字驱动新资源，解决持续性财政压力，从 而实现政府高位监管、企业中位运营、作业低位实施的集约化管理目标，辅助政府部门对城 市运营服务工作进行自上而下的贯通式管理，以达到资金统筹、集约建设、智慧运营、降本 增效、优化服务的目标。</w:t>
      </w:r>
    </w:p>
    <w:p>
      <w:pPr>
        <w:pStyle w:val="Style24"/>
        <w:keepNext/>
        <w:keepLines/>
        <w:widowControl w:val="0"/>
        <w:shd w:val="clear" w:color="auto" w:fill="auto"/>
        <w:tabs>
          <w:tab w:pos="840" w:val="left"/>
        </w:tabs>
        <w:bidi w:val="0"/>
        <w:spacing w:before="0" w:after="0" w:line="468" w:lineRule="exact"/>
        <w:ind w:left="0" w:right="0" w:firstLine="480"/>
        <w:jc w:val="both"/>
        <w:rPr>
          <w:sz w:val="24"/>
          <w:szCs w:val="24"/>
        </w:rPr>
      </w:pPr>
      <w:bookmarkStart w:id="238" w:name="bookmark238"/>
      <w:bookmarkStart w:id="239" w:name="bookmark239"/>
      <w:bookmarkStart w:id="240" w:name="bookmark240"/>
      <w:bookmarkStart w:id="241" w:name="bookmark241"/>
      <w:r>
        <w:rPr>
          <w:color w:val="000000"/>
          <w:spacing w:val="0"/>
          <w:w w:val="100"/>
          <w:position w:val="0"/>
          <w:sz w:val="24"/>
          <w:szCs w:val="24"/>
        </w:rPr>
        <w:t>4</w:t>
      </w:r>
      <w:bookmarkEnd w:id="240"/>
      <w:r>
        <w:rPr>
          <w:color w:val="000000"/>
          <w:spacing w:val="0"/>
          <w:w w:val="100"/>
          <w:position w:val="0"/>
          <w:sz w:val="24"/>
          <w:szCs w:val="24"/>
        </w:rPr>
        <w:t>、</w:t>
        <w:tab/>
        <w:t>无人驾驶网格车业务</w:t>
      </w:r>
      <w:bookmarkEnd w:id="238"/>
      <w:bookmarkEnd w:id="239"/>
      <w:bookmarkEnd w:id="241"/>
    </w:p>
    <w:p>
      <w:pPr>
        <w:pStyle w:val="Style59"/>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智联网格车作为重要的信息采集节点，将为城市治理各类应用场景提供长效的数据源， 成为城市数字化管理的一个突破口。作为交通运输体系领域中的重要城市治理应用，车联网 是智联网格车的基础，其以支撑智能网联汽车应用和改善城市出行为切入点，通过建设城市 道路、建筑、公共设施融合的感知体系，打造交通运输万物互联网络。这也使得智联网格车 不仅是“城市病”的</w:t>
      </w:r>
      <w:r>
        <w:rPr>
          <w:color w:val="000000"/>
          <w:spacing w:val="0"/>
          <w:w w:val="100"/>
          <w:position w:val="0"/>
          <w:sz w:val="24"/>
          <w:szCs w:val="24"/>
        </w:rPr>
        <w:t>“CT</w:t>
      </w:r>
      <w:r>
        <w:rPr>
          <w:color w:val="000000"/>
          <w:spacing w:val="0"/>
          <w:w w:val="100"/>
          <w:position w:val="0"/>
          <w:sz w:val="24"/>
          <w:szCs w:val="24"/>
        </w:rPr>
        <w:t>扫描仪”，也是城市信息采集的移动终端，为城市治理的各类应用 场景提供实时、有效的数据。</w:t>
      </w:r>
    </w:p>
    <w:p>
      <w:pPr>
        <w:pStyle w:val="Style59"/>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智联网格车可以在加强基础设施养护方面，及时了解设施状态、分布以及实时运行情况， 实现对设施管养维修的精细化管理；在智能公交安全巡检、智慧停车巡检、智慧安检等安全 巡检应用场景方面，发挥智联网格车城市监管末梢优势，不断提升交通智能化城市运行管理 水平和居民出行服务体验；在疫情防控场景方面，面对现有严峻的境外疫情输入防控压力， 加强港口冷链、货物无人管控、消杀能力。</w:t>
      </w:r>
    </w:p>
    <w:p>
      <w:pPr>
        <w:pStyle w:val="Style59"/>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智能网格车加载各种数据采集设备，在多个场景采集数据，通过边缘计算能力实现相关 数据的计算，并将结果传输给指挥中心，最终实现建设到运营“线上+线下” 一体化发展，提 升城市安全运行动态感知能力，加强规划、审批、建设、运营、执法五位一体全过程监管能 力，真正实现城市治理能力与治理体系现代化。相关业务的推广也有望带来公司商业模式的 转变，具有</w:t>
      </w:r>
      <w:r>
        <w:rPr>
          <w:color w:val="000000"/>
          <w:spacing w:val="0"/>
          <w:w w:val="100"/>
          <w:position w:val="0"/>
          <w:sz w:val="24"/>
          <w:szCs w:val="24"/>
        </w:rPr>
        <w:t>SaaS</w:t>
      </w:r>
      <w:r>
        <w:rPr>
          <w:color w:val="000000"/>
          <w:spacing w:val="0"/>
          <w:w w:val="100"/>
          <w:position w:val="0"/>
          <w:sz w:val="24"/>
          <w:szCs w:val="24"/>
        </w:rPr>
        <w:t>转型潜力，同时助力人力成本不断优化。</w:t>
      </w:r>
    </w:p>
    <w:p>
      <w:pPr>
        <w:pStyle w:val="Style24"/>
        <w:keepNext/>
        <w:keepLines/>
        <w:widowControl w:val="0"/>
        <w:shd w:val="clear" w:color="auto" w:fill="auto"/>
        <w:tabs>
          <w:tab w:pos="840" w:val="left"/>
        </w:tabs>
        <w:bidi w:val="0"/>
        <w:spacing w:before="0" w:after="0" w:line="468" w:lineRule="exact"/>
        <w:ind w:left="0" w:right="0" w:firstLine="480"/>
        <w:jc w:val="both"/>
        <w:rPr>
          <w:sz w:val="24"/>
          <w:szCs w:val="24"/>
        </w:rPr>
      </w:pPr>
      <w:bookmarkStart w:id="242" w:name="bookmark242"/>
      <w:bookmarkStart w:id="243" w:name="bookmark243"/>
      <w:bookmarkStart w:id="244" w:name="bookmark244"/>
      <w:bookmarkStart w:id="245" w:name="bookmark245"/>
      <w:r>
        <w:rPr>
          <w:color w:val="000000"/>
          <w:spacing w:val="0"/>
          <w:w w:val="100"/>
          <w:position w:val="0"/>
          <w:sz w:val="24"/>
          <w:szCs w:val="24"/>
        </w:rPr>
        <w:t>5</w:t>
      </w:r>
      <w:bookmarkEnd w:id="244"/>
      <w:r>
        <w:rPr>
          <w:color w:val="000000"/>
          <w:spacing w:val="0"/>
          <w:w w:val="100"/>
          <w:position w:val="0"/>
          <w:sz w:val="24"/>
          <w:szCs w:val="24"/>
        </w:rPr>
        <w:t>、</w:t>
        <w:tab/>
        <w:t>市域社会治理平台业务</w:t>
      </w:r>
      <w:bookmarkEnd w:id="242"/>
      <w:bookmarkEnd w:id="243"/>
      <w:bookmarkEnd w:id="245"/>
    </w:p>
    <w:p>
      <w:pPr>
        <w:pStyle w:val="Style59"/>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 xml:space="preserve">2022年1月4日，《中共中央国务院关于做好2022年全面推进乡村振兴重点工作的意见》 作为中央一号文件发布，《意见》中指出“大力推进数字乡村建设”和“突出实效改进乡村 治理”，自2010年起数字政通积极藉着全国在推广社会管理的管理创新模式，融合“统筹城 </w:t>
      </w:r>
      <w:r>
        <w:rPr>
          <w:color w:val="000000"/>
          <w:spacing w:val="0"/>
          <w:w w:val="100"/>
          <w:position w:val="0"/>
          <w:sz w:val="24"/>
          <w:szCs w:val="24"/>
        </w:rPr>
        <w:t>乡、区域发展进行整体探索创新”理念，将农村也纳入社会治理的统筹范围，与城市建成区 社会治理相结合，目前已形成城镇一体的网格化创新管理模式。通过建设本项目以为民、便 民、惠民为宗旨，通过一体化社治理信息系统的建设，关心农民、服务农民，急农民之所急， 提高农村的信息化、现代化水平，坚持“权为民所用、情为民所系、利为民所谋“的执政理 念，为建立服务型政府，赢得民心，和农民共同发展农村。通过网格化管理、数字化赋能、 精细化服务的载体农村网格化管理信息系统，优化农村资源配置，强化村民自治功能，推动 农村综合服务管理工作科学合理、高效有序。最终建成以数字技术赋能乡村公共服务，推动</w:t>
      </w:r>
    </w:p>
    <w:p>
      <w:pPr>
        <w:pStyle w:val="Style59"/>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“互联网+政务服务”向乡村延伸覆盖的样板打造；进而以此落实《一号文件》关于健全党组 织领导的自治、法治、德治相结合的乡村治理体系为导向，发挥抓党建促乡村振兴作用，减 轻村级组织负担，健全农村新冠肺炎疫情常态化防控工作体系，严格落实联防联控、群防群 控措施，切实维护农村社会平安稳定的要求。</w:t>
      </w:r>
    </w:p>
    <w:p>
      <w:pPr>
        <w:pStyle w:val="Style59"/>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2022年1月12日，国务院印发《“十四五”数字经济发展规划》，明确了 “十四五”时期 推动数字经济健康发展的指导思想、基本原则、发展目标、重点任务和保障措施。</w:t>
      </w:r>
    </w:p>
    <w:p>
      <w:pPr>
        <w:pStyle w:val="Style59"/>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2022年1月15日至16日，中央政法工作会议召开，会议要求要坚定不移推进社会治理现代 化。坚持和发展新时代“枫桥经验”，从源头防范化解矛盾风险。常态化开展扫黑除恶斗争， 着力解决影响人民群众安全感的突出问题。作为省域社会治理、基层治理的承上启下的市域 关键环节，结合公司十余年社会治理业务理解和建设经验，公司的市域社会治理平台能够有 效丰富市域社会治理现代化建设的关键环节和智治支撑能力，从县域层面有效支撑市域作为 重大矛盾“终点站”，围绕“平安指数、重点人管控、矛盾化解”等实战应用，以建设更高 水平的平安中国为导向促进社会治理现代化。</w:t>
      </w:r>
    </w:p>
    <w:p>
      <w:pPr>
        <w:pStyle w:val="Style59"/>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数字政通积极响应规划，一直以来瞄准网络通信、关键软件、大数据、人工智能、区块 链等战略性前瞻性领域，不断投入数字技术基础研发力量，加强面向多元化应用场景的技术 融合和产品创新，构建新一代信息技术集成创新和融合应用，加快平台化、定制化、轻量化 服务模式。数字政通将进一步把北京、深圳、合肥、天津、浙江、山东等多地落地实践“一 网统管”丰富的优秀案例经验和“一网统管”的技术优势赋能社会治理，打造区域标杆，为 各地政府治理能力现代化和治理体系现代化赋能，支撑社会治理数字化转型提供经验支撑和 可复制可推广的落地做法。</w:t>
      </w:r>
    </w:p>
    <w:p>
      <w:pPr>
        <w:pStyle w:val="Style24"/>
        <w:keepNext/>
        <w:keepLines/>
        <w:widowControl w:val="0"/>
        <w:shd w:val="clear" w:color="auto" w:fill="auto"/>
        <w:bidi w:val="0"/>
        <w:spacing w:before="0" w:after="0" w:line="470" w:lineRule="exact"/>
        <w:ind w:left="0" w:right="0" w:firstLine="480"/>
        <w:jc w:val="both"/>
        <w:rPr>
          <w:sz w:val="24"/>
          <w:szCs w:val="24"/>
        </w:rPr>
      </w:pPr>
      <w:bookmarkStart w:id="246" w:name="bookmark246"/>
      <w:bookmarkStart w:id="247" w:name="bookmark247"/>
      <w:bookmarkStart w:id="248" w:name="bookmark248"/>
      <w:bookmarkStart w:id="249" w:name="bookmark249"/>
      <w:r>
        <w:rPr>
          <w:color w:val="000000"/>
          <w:spacing w:val="0"/>
          <w:w w:val="100"/>
          <w:position w:val="0"/>
          <w:sz w:val="24"/>
          <w:szCs w:val="24"/>
        </w:rPr>
        <w:t>6</w:t>
      </w:r>
      <w:bookmarkEnd w:id="248"/>
      <w:r>
        <w:rPr>
          <w:color w:val="000000"/>
          <w:spacing w:val="0"/>
          <w:w w:val="100"/>
          <w:position w:val="0"/>
          <w:sz w:val="24"/>
          <w:szCs w:val="24"/>
        </w:rPr>
        <w:t>、城市市政排水管网智慧监管平台业务</w:t>
      </w:r>
      <w:bookmarkEnd w:id="246"/>
      <w:bookmarkEnd w:id="247"/>
      <w:bookmarkEnd w:id="249"/>
    </w:p>
    <w:p>
      <w:pPr>
        <w:pStyle w:val="Style59"/>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 xml:space="preserve">城市管网被称为“城市血管”，是市政基础设施工程的重要一环，被誉为“城市生命线”， </w:t>
      </w:r>
      <w:r>
        <w:rPr>
          <w:color w:val="000000"/>
          <w:spacing w:val="0"/>
          <w:w w:val="100"/>
          <w:position w:val="0"/>
          <w:sz w:val="24"/>
          <w:szCs w:val="24"/>
        </w:rPr>
        <w:t>主要包含、排水管道、给水管道、燃气管道等，事关民生保障和城市高质量发展。一方面是 政策驱动，另一方面是人民日益增长的安全需要。为进一步加强城市地下管网建设管理，保 障城市地下管网运营安全，提高城市综合承载能力和城镇化发展质量，各地均在进行地下基 础设施补短板“地下管网”建设，扭转“重地上、轻地下”“重建设、轻管理”观念，污水 提质增效、城市内涝治理、供水管网漏损控制、燃气安全监管、地下市政基础设施普查及综 合管理成为城市刚需。</w:t>
      </w:r>
    </w:p>
    <w:p>
      <w:pPr>
        <w:pStyle w:val="Style59"/>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2021年，虽是城镇污水处理提质增效三年行动的收官之年，但由于2020年疫情等原因， 很多城市2021年才真正启动。同时，“十四五”规划也提出到2025年城市生活污水集中收集 率达到70%以上，比2020年再提升5个百分点以上。由此可见，围绕水环境治理、污水提质增 效、防洪排涝、常态化运维等管理问题，未来几年国内各城市仍将持续加大投入，粗略估计 市场空间达数千亿。</w:t>
      </w:r>
    </w:p>
    <w:p>
      <w:pPr>
        <w:pStyle w:val="Style59"/>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2022年至2025年，国家发展改革委、住房和城乡建设部办公厅联合发布《关于组织开展 公共供水管网漏损治理试点建设的通知》在全国开展50个供水管网漏损试点城市建设。建设 内容包括供水管网改造工程、供水管网分区计量工程、供水管网压力调控工程、供水管网智 能化建设等。将供水漏损控制固定资产投资项目纳入国家重大建设项目库，中央预算内投资 将对符合条件的项目予以适当支持。漏损控制智慧化建设大幕已经拉开，公司将依托武汉水 务等项目经验，服务好供水漏控试点建设工作。</w:t>
      </w:r>
    </w:p>
    <w:p>
      <w:pPr>
        <w:pStyle w:val="Style59"/>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2022年是全国城镇燃气安全隐患排查整治工作的关键一年，各地都在深入推动燃气行业 专项整治行动，推动燃气管线探测、隐患排查整治、智慧化监管等工作，公司将继续加大研 发与技术投入，将人防、物防与技防充分融合，为燃气行业贡献更多力量。</w:t>
      </w:r>
    </w:p>
    <w:p>
      <w:pPr>
        <w:pStyle w:val="Style24"/>
        <w:keepNext/>
        <w:keepLines/>
        <w:widowControl w:val="0"/>
        <w:shd w:val="clear" w:color="auto" w:fill="auto"/>
        <w:bidi w:val="0"/>
        <w:spacing w:before="0" w:after="0" w:line="470" w:lineRule="exact"/>
        <w:ind w:left="0" w:right="0" w:firstLine="480"/>
        <w:jc w:val="both"/>
        <w:rPr>
          <w:sz w:val="24"/>
          <w:szCs w:val="24"/>
        </w:rPr>
      </w:pPr>
      <w:bookmarkStart w:id="250" w:name="bookmark250"/>
      <w:bookmarkStart w:id="251" w:name="bookmark251"/>
      <w:bookmarkStart w:id="252" w:name="bookmark252"/>
      <w:bookmarkStart w:id="253" w:name="bookmark253"/>
      <w:r>
        <w:rPr>
          <w:color w:val="000000"/>
          <w:spacing w:val="0"/>
          <w:w w:val="100"/>
          <w:position w:val="0"/>
          <w:sz w:val="24"/>
          <w:szCs w:val="24"/>
        </w:rPr>
        <w:t>7</w:t>
      </w:r>
      <w:bookmarkEnd w:id="252"/>
      <w:r>
        <w:rPr>
          <w:color w:val="000000"/>
          <w:spacing w:val="0"/>
          <w:w w:val="100"/>
          <w:position w:val="0"/>
          <w:sz w:val="24"/>
          <w:szCs w:val="24"/>
        </w:rPr>
        <w:t>、元宇宙业务</w:t>
      </w:r>
      <w:bookmarkEnd w:id="250"/>
      <w:bookmarkEnd w:id="251"/>
      <w:bookmarkEnd w:id="253"/>
    </w:p>
    <w:p>
      <w:pPr>
        <w:pStyle w:val="Style59"/>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公司将与各地客户进行更加充分的需求分析讨论，根据实际情况逐步将元宇宙城市业务 进行落地。应用场景主要包括：</w:t>
      </w:r>
    </w:p>
    <w:p>
      <w:pPr>
        <w:pStyle w:val="Style59"/>
        <w:keepNext w:val="0"/>
        <w:keepLines w:val="0"/>
        <w:widowControl w:val="0"/>
        <w:shd w:val="clear" w:color="auto" w:fill="auto"/>
        <w:bidi w:val="0"/>
        <w:spacing w:before="0" w:after="0" w:line="470" w:lineRule="exact"/>
        <w:ind w:left="0" w:right="0" w:firstLine="480"/>
        <w:jc w:val="both"/>
      </w:pPr>
      <w:bookmarkStart w:id="254" w:name="bookmark254"/>
      <w:r>
        <w:rPr>
          <w:color w:val="000000"/>
          <w:spacing w:val="0"/>
          <w:w w:val="100"/>
          <w:position w:val="0"/>
          <w:sz w:val="24"/>
          <w:szCs w:val="24"/>
        </w:rPr>
        <w:t>（</w:t>
      </w:r>
      <w:bookmarkEnd w:id="254"/>
      <w:r>
        <w:rPr>
          <w:color w:val="000000"/>
          <w:spacing w:val="0"/>
          <w:w w:val="100"/>
          <w:position w:val="0"/>
          <w:sz w:val="24"/>
          <w:szCs w:val="24"/>
        </w:rPr>
        <w:t>1）一网统管场景：基于智能网联协同、数字挛生技术实现元宇宙城市运行一网统管应 用场景</w:t>
      </w:r>
    </w:p>
    <w:p>
      <w:pPr>
        <w:pStyle w:val="Style59"/>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 xml:space="preserve">如果将元宇宙看作是一个与现实世界数字映射并交互的虚拟世界，那么城市治理中所应 用到的数字挛生就是元宇宙的最初形态，也是元宇宙技术目前最具有可操作性的应用领域。 基于“晶石”数字挛生平台可构建一个与现实世界映射并交互的虚拟世界。通过“棋骥”智 联网格车在现实世界中运行，对城市基础设施和市容秩序进行巡查，对数据进行更新，对城 </w:t>
      </w:r>
      <w:r>
        <w:rPr>
          <w:color w:val="000000"/>
          <w:spacing w:val="0"/>
          <w:w w:val="100"/>
          <w:position w:val="0"/>
          <w:sz w:val="24"/>
          <w:szCs w:val="24"/>
        </w:rPr>
        <w:t>市管理问题进行智能发现和上报，构建虚实共生的支撑纽带。巡检人员可以通过</w:t>
      </w:r>
      <w:r>
        <w:rPr>
          <w:color w:val="000000"/>
          <w:spacing w:val="0"/>
          <w:w w:val="100"/>
          <w:position w:val="0"/>
          <w:sz w:val="24"/>
          <w:szCs w:val="24"/>
        </w:rPr>
        <w:t>AR</w:t>
      </w:r>
      <w:r>
        <w:rPr>
          <w:color w:val="000000"/>
          <w:spacing w:val="0"/>
          <w:w w:val="100"/>
          <w:position w:val="0"/>
          <w:sz w:val="24"/>
          <w:szCs w:val="24"/>
        </w:rPr>
        <w:t>眼镜在现 实世界中对地下管线进行巡查和检修，在这个过程中可以获取“晶石”数字挛生平台中的管 线模型数据、全生命周期数据进行对比分析。城市管理者可以通过</w:t>
      </w:r>
      <w:r>
        <w:rPr>
          <w:color w:val="000000"/>
          <w:spacing w:val="0"/>
          <w:w w:val="100"/>
          <w:position w:val="0"/>
          <w:sz w:val="24"/>
          <w:szCs w:val="24"/>
        </w:rPr>
        <w:t>XR</w:t>
      </w:r>
      <w:r>
        <w:rPr>
          <w:color w:val="000000"/>
          <w:spacing w:val="0"/>
          <w:w w:val="100"/>
          <w:position w:val="0"/>
          <w:sz w:val="24"/>
          <w:szCs w:val="24"/>
        </w:rPr>
        <w:t>设备在元宇宙城市运行 一网统管体系里以城市全局视角进行全域监测和城市治理的模拟决策，并可以反馈到现实世 界中。</w:t>
      </w:r>
    </w:p>
    <w:p>
      <w:pPr>
        <w:pStyle w:val="Style59"/>
        <w:keepNext w:val="0"/>
        <w:keepLines w:val="0"/>
        <w:widowControl w:val="0"/>
        <w:shd w:val="clear" w:color="auto" w:fill="auto"/>
        <w:tabs>
          <w:tab w:pos="981" w:val="left"/>
        </w:tabs>
        <w:bidi w:val="0"/>
        <w:spacing w:before="0" w:after="0" w:line="466" w:lineRule="exact"/>
        <w:ind w:left="0" w:right="0" w:firstLine="480"/>
        <w:jc w:val="both"/>
      </w:pPr>
      <w:bookmarkStart w:id="255" w:name="bookmark255"/>
      <w:r>
        <w:rPr>
          <w:color w:val="000000"/>
          <w:spacing w:val="0"/>
          <w:w w:val="100"/>
          <w:position w:val="0"/>
          <w:sz w:val="24"/>
          <w:szCs w:val="24"/>
        </w:rPr>
        <w:t>（</w:t>
      </w:r>
      <w:bookmarkEnd w:id="255"/>
      <w:r>
        <w:rPr>
          <w:color w:val="000000"/>
          <w:spacing w:val="0"/>
          <w:w w:val="100"/>
          <w:position w:val="0"/>
          <w:sz w:val="24"/>
          <w:szCs w:val="24"/>
        </w:rPr>
        <w:t>2）</w:t>
        <w:tab/>
        <w:t>行政执法场景：元宇宙超现实治理与法律编码</w:t>
      </w:r>
    </w:p>
    <w:p>
      <w:pPr>
        <w:pStyle w:val="Style59"/>
        <w:keepNext w:val="0"/>
        <w:keepLines w:val="0"/>
        <w:widowControl w:val="0"/>
        <w:shd w:val="clear" w:color="auto" w:fill="auto"/>
        <w:bidi w:val="0"/>
        <w:spacing w:before="0" w:after="0" w:line="466" w:lineRule="exact"/>
        <w:ind w:left="0" w:right="0" w:firstLine="480"/>
        <w:jc w:val="both"/>
      </w:pPr>
      <w:r>
        <w:rPr>
          <w:color w:val="000000"/>
          <w:spacing w:val="0"/>
          <w:w w:val="100"/>
          <w:position w:val="0"/>
          <w:sz w:val="24"/>
          <w:szCs w:val="24"/>
        </w:rPr>
        <w:t>在现实世界中，综合行政执法涉及到执法人员和当事人的交互。元宇宙技术的引入，将 基于元宇宙代码即法律，由代码构成的智能代码合约形成“自规则”，“法律前置”降低法 律执行成本；通过法律编码化与数字化，将现实的法律约束数字化，形成元宇宙的法则，维 持公共秩序，并对元宇宙中的</w:t>
      </w:r>
      <w:r>
        <w:rPr>
          <w:color w:val="000000"/>
          <w:spacing w:val="0"/>
          <w:w w:val="100"/>
          <w:position w:val="0"/>
          <w:sz w:val="24"/>
          <w:szCs w:val="24"/>
        </w:rPr>
        <w:t>AI</w:t>
      </w:r>
      <w:r>
        <w:rPr>
          <w:color w:val="000000"/>
          <w:spacing w:val="0"/>
          <w:w w:val="100"/>
          <w:position w:val="0"/>
          <w:sz w:val="24"/>
          <w:szCs w:val="24"/>
        </w:rPr>
        <w:t>数字人和现实居民进行信用编码。</w:t>
      </w:r>
    </w:p>
    <w:p>
      <w:pPr>
        <w:pStyle w:val="Style59"/>
        <w:keepNext w:val="0"/>
        <w:keepLines w:val="0"/>
        <w:widowControl w:val="0"/>
        <w:shd w:val="clear" w:color="auto" w:fill="auto"/>
        <w:tabs>
          <w:tab w:pos="981" w:val="left"/>
        </w:tabs>
        <w:bidi w:val="0"/>
        <w:spacing w:before="0" w:after="0" w:line="466" w:lineRule="exact"/>
        <w:ind w:left="0" w:right="0" w:firstLine="480"/>
        <w:jc w:val="both"/>
      </w:pPr>
      <w:bookmarkStart w:id="256" w:name="bookmark256"/>
      <w:r>
        <w:rPr>
          <w:color w:val="000000"/>
          <w:spacing w:val="0"/>
          <w:w w:val="100"/>
          <w:position w:val="0"/>
          <w:sz w:val="24"/>
          <w:szCs w:val="24"/>
        </w:rPr>
        <w:t>（</w:t>
      </w:r>
      <w:bookmarkEnd w:id="256"/>
      <w:r>
        <w:rPr>
          <w:color w:val="000000"/>
          <w:spacing w:val="0"/>
          <w:w w:val="100"/>
          <w:position w:val="0"/>
          <w:sz w:val="24"/>
          <w:szCs w:val="24"/>
        </w:rPr>
        <w:t>3）</w:t>
        <w:tab/>
        <w:t>基层治理场景：基于元宇宙数字契约，实现基层契约数字化治理</w:t>
      </w:r>
    </w:p>
    <w:p>
      <w:pPr>
        <w:pStyle w:val="Style59"/>
        <w:keepNext w:val="0"/>
        <w:keepLines w:val="0"/>
        <w:widowControl w:val="0"/>
        <w:shd w:val="clear" w:color="auto" w:fill="auto"/>
        <w:bidi w:val="0"/>
        <w:spacing w:before="0" w:after="0" w:line="466" w:lineRule="exact"/>
        <w:ind w:left="0" w:right="0" w:firstLine="480"/>
        <w:jc w:val="both"/>
      </w:pPr>
      <w:r>
        <w:rPr>
          <w:color w:val="000000"/>
          <w:spacing w:val="0"/>
          <w:w w:val="100"/>
          <w:position w:val="0"/>
          <w:sz w:val="24"/>
          <w:szCs w:val="24"/>
        </w:rPr>
        <w:t>在基层社会治理中，契约化治理是一种常见的治理手段。在元宇宙中，将现实世界中的 纸质契约（如初心契约、服务契约、清单契约等）进化为以区块链技术支撑的数字契约，可 以将基层治理的“居民公约”签约、履约、兑约进行信用数字化，进而构建元宇宙信用平台， 化解基层矛盾，提升基层社会治理水平。</w:t>
      </w:r>
    </w:p>
    <w:p>
      <w:pPr>
        <w:pStyle w:val="Style59"/>
        <w:keepNext w:val="0"/>
        <w:keepLines w:val="0"/>
        <w:widowControl w:val="0"/>
        <w:shd w:val="clear" w:color="auto" w:fill="auto"/>
        <w:tabs>
          <w:tab w:pos="981" w:val="left"/>
        </w:tabs>
        <w:bidi w:val="0"/>
        <w:spacing w:before="0" w:after="0" w:line="466" w:lineRule="exact"/>
        <w:ind w:left="0" w:right="0" w:firstLine="480"/>
        <w:jc w:val="both"/>
      </w:pPr>
      <w:bookmarkStart w:id="257" w:name="bookmark257"/>
      <w:r>
        <w:rPr>
          <w:color w:val="000000"/>
          <w:spacing w:val="0"/>
          <w:w w:val="100"/>
          <w:position w:val="0"/>
          <w:sz w:val="24"/>
          <w:szCs w:val="24"/>
        </w:rPr>
        <w:t>（</w:t>
      </w:r>
      <w:bookmarkEnd w:id="257"/>
      <w:r>
        <w:rPr>
          <w:color w:val="000000"/>
          <w:spacing w:val="0"/>
          <w:w w:val="100"/>
          <w:position w:val="0"/>
          <w:sz w:val="24"/>
          <w:szCs w:val="24"/>
        </w:rPr>
        <w:t>4）</w:t>
        <w:tab/>
        <w:t>便民服务场景：基于</w:t>
      </w:r>
      <w:r>
        <w:rPr>
          <w:color w:val="000000"/>
          <w:spacing w:val="0"/>
          <w:w w:val="100"/>
          <w:position w:val="0"/>
          <w:sz w:val="24"/>
          <w:szCs w:val="24"/>
        </w:rPr>
        <w:t>XR</w:t>
      </w:r>
      <w:r>
        <w:rPr>
          <w:color w:val="000000"/>
          <w:spacing w:val="0"/>
          <w:w w:val="100"/>
          <w:position w:val="0"/>
          <w:sz w:val="24"/>
          <w:szCs w:val="24"/>
        </w:rPr>
        <w:t>和</w:t>
      </w:r>
      <w:r>
        <w:rPr>
          <w:color w:val="000000"/>
          <w:spacing w:val="0"/>
          <w:w w:val="100"/>
          <w:position w:val="0"/>
          <w:sz w:val="24"/>
          <w:szCs w:val="24"/>
        </w:rPr>
        <w:t>AI</w:t>
      </w:r>
      <w:r>
        <w:rPr>
          <w:color w:val="000000"/>
          <w:spacing w:val="0"/>
          <w:w w:val="100"/>
          <w:position w:val="0"/>
          <w:sz w:val="24"/>
          <w:szCs w:val="24"/>
        </w:rPr>
        <w:t>技术实现元宇宙虚拟客服</w:t>
      </w:r>
    </w:p>
    <w:p>
      <w:pPr>
        <w:pStyle w:val="Style59"/>
        <w:keepNext w:val="0"/>
        <w:keepLines w:val="0"/>
        <w:widowControl w:val="0"/>
        <w:shd w:val="clear" w:color="auto" w:fill="auto"/>
        <w:bidi w:val="0"/>
        <w:spacing w:before="0" w:after="380" w:line="466" w:lineRule="exact"/>
        <w:ind w:left="0" w:right="0" w:firstLine="480"/>
        <w:jc w:val="both"/>
      </w:pPr>
      <w:r>
        <w:rPr>
          <w:color w:val="000000"/>
          <w:spacing w:val="0"/>
          <w:w w:val="100"/>
          <w:position w:val="0"/>
          <w:sz w:val="24"/>
          <w:szCs w:val="24"/>
        </w:rPr>
        <w:t>元宇宙与热线感知系统，通过语音识别与语义分析技术支撑，融合声感设备、热线感知 智能分析与研判技术，实现对元宇宙各类需求表达的随身识别，同时结合一网统管、一网通 办平台的智能联接，高效反馈解决需求问题，构建虚拟智能客服，随时随地解决烦心事。</w:t>
      </w:r>
    </w:p>
    <w:p>
      <w:pPr>
        <w:pStyle w:val="Style19"/>
        <w:keepNext/>
        <w:keepLines/>
        <w:widowControl w:val="0"/>
        <w:shd w:val="clear" w:color="auto" w:fill="auto"/>
        <w:bidi w:val="0"/>
        <w:spacing w:before="0" w:after="380" w:line="240" w:lineRule="auto"/>
        <w:ind w:left="0" w:right="0" w:firstLine="0"/>
        <w:jc w:val="both"/>
      </w:pPr>
      <w:bookmarkStart w:id="258" w:name="bookmark258"/>
      <w:bookmarkStart w:id="259" w:name="bookmark259"/>
      <w:bookmarkStart w:id="260" w:name="bookmark260"/>
      <w:r>
        <w:rPr>
          <w:color w:val="000000"/>
          <w:spacing w:val="0"/>
          <w:w w:val="100"/>
          <w:position w:val="0"/>
          <w:sz w:val="24"/>
          <w:szCs w:val="24"/>
        </w:rPr>
        <w:t>十二、报告期内接待调研、沟通、采访等活动登记表</w:t>
      </w:r>
      <w:bookmarkEnd w:id="258"/>
      <w:bookmarkEnd w:id="259"/>
      <w:bookmarkEnd w:id="260"/>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01"/>
        <w:gridCol w:w="1291"/>
        <w:gridCol w:w="1296"/>
        <w:gridCol w:w="1296"/>
        <w:gridCol w:w="1296"/>
        <w:gridCol w:w="1296"/>
        <w:gridCol w:w="180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接待对象类型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谈论的主要内 容及提供的资 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调研的基本情况索引</w:t>
            </w:r>
          </w:p>
        </w:tc>
      </w:tr>
      <w:tr>
        <w:trPr>
          <w:trHeight w:val="25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线上交流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国泰君安资管 景健、诺德基金 周高华、方正证 券刘海川、大正 投资张璟、上海 钧犀实业贾凯、 嘉实基金刘杰、 中信证券自营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年经 营情况、商誉是 否存在减值风 险、公司未来的 发展前景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 .com.</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w:t>
            </w:r>
          </w:p>
        </w:tc>
      </w:tr>
    </w:tbl>
    <w:p>
      <w:pPr>
        <w:widowControl w:val="0"/>
        <w:spacing w:line="1" w:lineRule="exact"/>
      </w:pPr>
      <w:r>
        <w:br w:type="page"/>
      </w:r>
    </w:p>
    <w:tbl>
      <w:tblPr>
        <w:tblOverlap w:val="never"/>
        <w:jc w:val="center"/>
        <w:tblLayout w:type="fixed"/>
      </w:tblPr>
      <w:tblGrid>
        <w:gridCol w:w="1301"/>
        <w:gridCol w:w="1291"/>
        <w:gridCol w:w="1296"/>
        <w:gridCol w:w="1296"/>
        <w:gridCol w:w="1296"/>
        <w:gridCol w:w="1296"/>
        <w:gridCol w:w="1805"/>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李建伟、湖南轻 盐雷宇、东吴基 金蔡秋实、兴全 基金赵梓焜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9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线上交流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兴业证券股份 有限公司蒋佳 霖、创金合信基 金管理有限公 司李晗、平安资 产管理有限责 任公司万淑珊、 鑫元基金管理 有限公司陈令 朝、深圳市普邦 恒升投资有限 公司陈文涛、交 银人寿保险有 限公司王耀永、 浙商资本任翔 宇、上海顶天投 资解茹、甬兴证 券有限公司陈 晓晨、杭州青士 投资管理有限 公司吴嘉诚、上 海云门投资管 理有限公司俞 忠华、中国民生 银行杨桐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年度报告 和</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一季度 报告的有关情 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 .com.</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w:t>
            </w:r>
          </w:p>
        </w:tc>
      </w:tr>
    </w:tbl>
    <w:p>
      <w:pPr>
        <w:sectPr>
          <w:footnotePr>
            <w:pos w:val="pageBottom"/>
            <w:numFmt w:val="decimal"/>
            <w:numRestart w:val="continuous"/>
          </w:footnotePr>
          <w:type w:val="continuous"/>
          <w:pgSz w:w="11900" w:h="16840"/>
          <w:pgMar w:top="1316" w:right="1033" w:bottom="1465" w:left="1070" w:header="0" w:footer="3" w:gutter="0"/>
          <w:cols w:space="720"/>
          <w:noEndnote/>
          <w:rtlGutter w:val="0"/>
          <w:docGrid w:linePitch="360"/>
        </w:sectPr>
      </w:pPr>
    </w:p>
    <w:p>
      <w:pPr>
        <w:pStyle w:val="Style8"/>
        <w:keepNext/>
        <w:keepLines/>
        <w:widowControl w:val="0"/>
        <w:shd w:val="clear" w:color="auto" w:fill="auto"/>
        <w:bidi w:val="0"/>
        <w:spacing w:before="600" w:after="340" w:line="240" w:lineRule="auto"/>
        <w:ind w:left="0" w:right="0" w:firstLine="0"/>
        <w:jc w:val="center"/>
      </w:pPr>
      <w:bookmarkStart w:id="261" w:name="bookmark261"/>
      <w:bookmarkStart w:id="262" w:name="bookmark262"/>
      <w:bookmarkStart w:id="263" w:name="bookmark263"/>
      <w:bookmarkStart w:id="264" w:name="bookmark264"/>
      <w:r>
        <w:rPr>
          <w:color w:val="000000"/>
          <w:spacing w:val="0"/>
          <w:w w:val="100"/>
          <w:position w:val="0"/>
        </w:rPr>
        <w:t>第四节公司治理</w:t>
      </w:r>
      <w:bookmarkEnd w:id="262"/>
      <w:bookmarkEnd w:id="263"/>
      <w:bookmarkEnd w:id="264"/>
      <w:bookmarkEnd w:id="261"/>
    </w:p>
    <w:p>
      <w:pPr>
        <w:pStyle w:val="Style19"/>
        <w:keepNext/>
        <w:keepLines/>
        <w:widowControl w:val="0"/>
        <w:shd w:val="clear" w:color="auto" w:fill="auto"/>
        <w:bidi w:val="0"/>
        <w:spacing w:before="0" w:after="200" w:line="470" w:lineRule="exact"/>
        <w:ind w:left="0" w:right="0" w:firstLine="0"/>
        <w:jc w:val="both"/>
      </w:pPr>
      <w:bookmarkStart w:id="265" w:name="bookmark265"/>
      <w:bookmarkStart w:id="266" w:name="bookmark266"/>
      <w:bookmarkStart w:id="267" w:name="bookmark267"/>
      <w:bookmarkStart w:id="268" w:name="bookmark268"/>
      <w:r>
        <w:rPr>
          <w:color w:val="000000"/>
          <w:spacing w:val="0"/>
          <w:w w:val="100"/>
          <w:position w:val="0"/>
          <w:sz w:val="24"/>
          <w:szCs w:val="24"/>
        </w:rPr>
        <w:t>一</w:t>
      </w:r>
      <w:bookmarkEnd w:id="267"/>
      <w:r>
        <w:rPr>
          <w:color w:val="000000"/>
          <w:spacing w:val="0"/>
          <w:w w:val="100"/>
          <w:position w:val="0"/>
          <w:sz w:val="24"/>
          <w:szCs w:val="24"/>
        </w:rPr>
        <w:t>、公司治理的基本状况</w:t>
      </w:r>
      <w:bookmarkEnd w:id="265"/>
      <w:bookmarkEnd w:id="266"/>
      <w:bookmarkEnd w:id="268"/>
    </w:p>
    <w:p>
      <w:pPr>
        <w:pStyle w:val="Style59"/>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报告期内，公司严格按照《公司法》、《证券法》、《上市公司治理准则》、《深圳证 券交易所创业板股票上市规则》、《深圳证券交易所创业板上市公司规范运作指引》等法律、 法规和中国证监会有关法律法规等的要求，不断完善公司的法人治理结构，建立健全公司内 部管理和控制制度，规范运作，严格进行信息披露工作，保护广大投资者利益。</w:t>
      </w:r>
    </w:p>
    <w:p>
      <w:pPr>
        <w:pStyle w:val="Style59"/>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截至报告期末，公司治理的实际情况基本符合中国证监会发布的有关上市公司治理的规 范性文件的要求，已经形成了权力机构、决策机构、监督机构与管理层之间权责分明、各司 其职、相互制衡、科学决策、协调运作的法人治理结构。</w:t>
      </w:r>
    </w:p>
    <w:p>
      <w:pPr>
        <w:pStyle w:val="Style59"/>
        <w:keepNext w:val="0"/>
        <w:keepLines w:val="0"/>
        <w:widowControl w:val="0"/>
        <w:shd w:val="clear" w:color="auto" w:fill="auto"/>
        <w:tabs>
          <w:tab w:pos="850" w:val="left"/>
        </w:tabs>
        <w:bidi w:val="0"/>
        <w:spacing w:before="0" w:after="0" w:line="470" w:lineRule="exact"/>
        <w:ind w:left="0" w:right="0" w:firstLine="480"/>
        <w:jc w:val="both"/>
      </w:pPr>
      <w:bookmarkStart w:id="269" w:name="bookmark269"/>
      <w:r>
        <w:rPr>
          <w:color w:val="000000"/>
          <w:spacing w:val="0"/>
          <w:w w:val="100"/>
          <w:position w:val="0"/>
          <w:sz w:val="24"/>
          <w:szCs w:val="24"/>
        </w:rPr>
        <w:t>1</w:t>
      </w:r>
      <w:bookmarkEnd w:id="269"/>
      <w:r>
        <w:rPr>
          <w:color w:val="000000"/>
          <w:spacing w:val="0"/>
          <w:w w:val="100"/>
          <w:position w:val="0"/>
          <w:sz w:val="24"/>
          <w:szCs w:val="24"/>
        </w:rPr>
        <w:t>、</w:t>
        <w:tab/>
        <w:t>关于股东与股东大会</w:t>
      </w:r>
    </w:p>
    <w:p>
      <w:pPr>
        <w:pStyle w:val="Style59"/>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公司股东大会均严格按照《上市公司股东大会规则》、《公司章程》、《股东大会议事 规则》等规定召集、召开，平等对待所有股东，并尽可能为股东参加股东大会提供便利，使 其充分行使股东权利。同时，公司聘请专业律师见证股东大会，确保会议召集召开以及表决 程序符合相关法律规定，维护股东的合法权益。</w:t>
      </w:r>
    </w:p>
    <w:p>
      <w:pPr>
        <w:pStyle w:val="Style59"/>
        <w:keepNext w:val="0"/>
        <w:keepLines w:val="0"/>
        <w:widowControl w:val="0"/>
        <w:shd w:val="clear" w:color="auto" w:fill="auto"/>
        <w:tabs>
          <w:tab w:pos="865" w:val="left"/>
        </w:tabs>
        <w:bidi w:val="0"/>
        <w:spacing w:before="0" w:after="0" w:line="470" w:lineRule="exact"/>
        <w:ind w:left="0" w:right="0" w:firstLine="480"/>
        <w:jc w:val="both"/>
      </w:pPr>
      <w:bookmarkStart w:id="270" w:name="bookmark270"/>
      <w:r>
        <w:rPr>
          <w:color w:val="000000"/>
          <w:spacing w:val="0"/>
          <w:w w:val="100"/>
          <w:position w:val="0"/>
          <w:sz w:val="24"/>
          <w:szCs w:val="24"/>
        </w:rPr>
        <w:t>2</w:t>
      </w:r>
      <w:bookmarkEnd w:id="270"/>
      <w:r>
        <w:rPr>
          <w:color w:val="000000"/>
          <w:spacing w:val="0"/>
          <w:w w:val="100"/>
          <w:position w:val="0"/>
          <w:sz w:val="24"/>
          <w:szCs w:val="24"/>
        </w:rPr>
        <w:t>、</w:t>
        <w:tab/>
        <w:t>关于公司与控股股东、实际控制人</w:t>
      </w:r>
    </w:p>
    <w:p>
      <w:pPr>
        <w:pStyle w:val="Style59"/>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公司控股股东、实际控制人严格规范自己的行为，没有超越股东大会直接或间接干预公 司的决策和经营活动，未损害公司及其他股东的利益，不存在控股股东占用公司资金的现象， 公司亦无为控股股东提供担保的情形。公司拥有独立完整的业务和自主经营能力，在业务、 人员、资产、机构、财务上独立于控股股东，公司董事会、监事会和内部机构独立运作。</w:t>
      </w:r>
    </w:p>
    <w:p>
      <w:pPr>
        <w:pStyle w:val="Style59"/>
        <w:keepNext w:val="0"/>
        <w:keepLines w:val="0"/>
        <w:widowControl w:val="0"/>
        <w:shd w:val="clear" w:color="auto" w:fill="auto"/>
        <w:tabs>
          <w:tab w:pos="865" w:val="left"/>
        </w:tabs>
        <w:bidi w:val="0"/>
        <w:spacing w:before="0" w:after="0" w:line="470" w:lineRule="exact"/>
        <w:ind w:left="0" w:right="0" w:firstLine="480"/>
        <w:jc w:val="both"/>
      </w:pPr>
      <w:bookmarkStart w:id="271" w:name="bookmark271"/>
      <w:r>
        <w:rPr>
          <w:color w:val="000000"/>
          <w:spacing w:val="0"/>
          <w:w w:val="100"/>
          <w:position w:val="0"/>
          <w:sz w:val="24"/>
          <w:szCs w:val="24"/>
        </w:rPr>
        <w:t>3</w:t>
      </w:r>
      <w:bookmarkEnd w:id="271"/>
      <w:r>
        <w:rPr>
          <w:color w:val="000000"/>
          <w:spacing w:val="0"/>
          <w:w w:val="100"/>
          <w:position w:val="0"/>
          <w:sz w:val="24"/>
          <w:szCs w:val="24"/>
        </w:rPr>
        <w:t>、</w:t>
        <w:tab/>
        <w:t>关于董事和董事会</w:t>
      </w:r>
    </w:p>
    <w:p>
      <w:pPr>
        <w:pStyle w:val="Style59"/>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公司董事会设董事7名，其中独立董事3名，董事会的人数及人员构成符合法律、法规和 《公司章程》的要求。公司董事能够依据《深圳证券交易所创业板上市公司规范运作指引》、 《董事会议事规则》、《独立董事工作制度》等开展工作，出席董事会和股东大会，勤勉尽 责地履行职责和义务，同时积极参加相关培训，熟悉相关法律法规。</w:t>
      </w:r>
    </w:p>
    <w:p>
      <w:pPr>
        <w:pStyle w:val="Style59"/>
        <w:keepNext w:val="0"/>
        <w:keepLines w:val="0"/>
        <w:widowControl w:val="0"/>
        <w:shd w:val="clear" w:color="auto" w:fill="auto"/>
        <w:tabs>
          <w:tab w:pos="869" w:val="left"/>
        </w:tabs>
        <w:bidi w:val="0"/>
        <w:spacing w:before="0" w:after="0" w:line="470" w:lineRule="exact"/>
        <w:ind w:left="0" w:right="0" w:firstLine="480"/>
        <w:jc w:val="both"/>
      </w:pPr>
      <w:bookmarkStart w:id="272" w:name="bookmark272"/>
      <w:r>
        <w:rPr>
          <w:color w:val="000000"/>
          <w:spacing w:val="0"/>
          <w:w w:val="100"/>
          <w:position w:val="0"/>
          <w:sz w:val="24"/>
          <w:szCs w:val="24"/>
        </w:rPr>
        <w:t>4</w:t>
      </w:r>
      <w:bookmarkEnd w:id="272"/>
      <w:r>
        <w:rPr>
          <w:color w:val="000000"/>
          <w:spacing w:val="0"/>
          <w:w w:val="100"/>
          <w:position w:val="0"/>
          <w:sz w:val="24"/>
          <w:szCs w:val="24"/>
        </w:rPr>
        <w:t>、</w:t>
        <w:tab/>
        <w:t>关于监事和监事会</w:t>
      </w:r>
    </w:p>
    <w:p>
      <w:pPr>
        <w:pStyle w:val="Style59"/>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 xml:space="preserve">公司监事会设监事3名，其中职工监事1名，监事会的人数和构成符合法律、法规的要求。 公司监事能够按照《深圳证券交易所创业板上市公司规范运作指引》、《监事会议事规则》 </w:t>
      </w:r>
      <w:r>
        <w:rPr>
          <w:color w:val="000000"/>
          <w:spacing w:val="0"/>
          <w:w w:val="100"/>
          <w:position w:val="0"/>
          <w:sz w:val="24"/>
          <w:szCs w:val="24"/>
        </w:rPr>
        <w:t>的要求，认真履行自己的职责，对公司重大事项、财务状况、董事和高级管理人员的履行职 责的合法合规性进行监督，维护公司及股东的合法权益。</w:t>
      </w:r>
    </w:p>
    <w:p>
      <w:pPr>
        <w:pStyle w:val="Style59"/>
        <w:keepNext w:val="0"/>
        <w:keepLines w:val="0"/>
        <w:widowControl w:val="0"/>
        <w:shd w:val="clear" w:color="auto" w:fill="auto"/>
        <w:tabs>
          <w:tab w:pos="887" w:val="left"/>
        </w:tabs>
        <w:bidi w:val="0"/>
        <w:spacing w:before="0" w:after="0" w:line="469" w:lineRule="exact"/>
        <w:ind w:left="0" w:right="0" w:firstLine="500"/>
        <w:jc w:val="both"/>
      </w:pPr>
      <w:bookmarkStart w:id="273" w:name="bookmark273"/>
      <w:r>
        <w:rPr>
          <w:color w:val="000000"/>
          <w:spacing w:val="0"/>
          <w:w w:val="100"/>
          <w:position w:val="0"/>
          <w:sz w:val="24"/>
          <w:szCs w:val="24"/>
        </w:rPr>
        <w:t>5</w:t>
      </w:r>
      <w:bookmarkEnd w:id="273"/>
      <w:r>
        <w:rPr>
          <w:color w:val="000000"/>
          <w:spacing w:val="0"/>
          <w:w w:val="100"/>
          <w:position w:val="0"/>
          <w:sz w:val="24"/>
          <w:szCs w:val="24"/>
        </w:rPr>
        <w:t>、</w:t>
        <w:tab/>
        <w:t>关于绩效评价与激励约束机制</w:t>
      </w:r>
    </w:p>
    <w:p>
      <w:pPr>
        <w:pStyle w:val="Style59"/>
        <w:keepNext w:val="0"/>
        <w:keepLines w:val="0"/>
        <w:widowControl w:val="0"/>
        <w:shd w:val="clear" w:color="auto" w:fill="auto"/>
        <w:bidi w:val="0"/>
        <w:spacing w:before="0" w:after="0" w:line="469" w:lineRule="exact"/>
        <w:ind w:left="0" w:right="0" w:firstLine="500"/>
        <w:jc w:val="both"/>
      </w:pPr>
      <w:r>
        <w:rPr>
          <w:color w:val="000000"/>
          <w:spacing w:val="0"/>
          <w:w w:val="100"/>
          <w:position w:val="0"/>
          <w:sz w:val="24"/>
          <w:szCs w:val="24"/>
        </w:rPr>
        <w:t>公司已建立企业绩效激励与评价体系，并不断完善。公司董事、监事和高级管理人员的 绩效评价标准和激励约束机制公开、透明，符合法律、法规的规定。公司董事会设立了薪酬 与考核委员会，负责薪酬政策及方案的制定与审定。公司高级管理人员均认真履行工作职责， 较好地完成了董事会制定的经营管理任务。</w:t>
      </w:r>
    </w:p>
    <w:p>
      <w:pPr>
        <w:pStyle w:val="Style59"/>
        <w:keepNext w:val="0"/>
        <w:keepLines w:val="0"/>
        <w:widowControl w:val="0"/>
        <w:shd w:val="clear" w:color="auto" w:fill="auto"/>
        <w:tabs>
          <w:tab w:pos="892" w:val="left"/>
        </w:tabs>
        <w:bidi w:val="0"/>
        <w:spacing w:before="0" w:after="0" w:line="469" w:lineRule="exact"/>
        <w:ind w:left="0" w:right="0" w:firstLine="500"/>
        <w:jc w:val="both"/>
      </w:pPr>
      <w:bookmarkStart w:id="274" w:name="bookmark274"/>
      <w:r>
        <w:rPr>
          <w:color w:val="000000"/>
          <w:spacing w:val="0"/>
          <w:w w:val="100"/>
          <w:position w:val="0"/>
          <w:sz w:val="24"/>
          <w:szCs w:val="24"/>
        </w:rPr>
        <w:t>6</w:t>
      </w:r>
      <w:bookmarkEnd w:id="274"/>
      <w:r>
        <w:rPr>
          <w:color w:val="000000"/>
          <w:spacing w:val="0"/>
          <w:w w:val="100"/>
          <w:position w:val="0"/>
          <w:sz w:val="24"/>
          <w:szCs w:val="24"/>
        </w:rPr>
        <w:t>、</w:t>
        <w:tab/>
        <w:t>关于信息披露与透明度</w:t>
      </w:r>
    </w:p>
    <w:p>
      <w:pPr>
        <w:pStyle w:val="Style59"/>
        <w:keepNext w:val="0"/>
        <w:keepLines w:val="0"/>
        <w:widowControl w:val="0"/>
        <w:shd w:val="clear" w:color="auto" w:fill="auto"/>
        <w:bidi w:val="0"/>
        <w:spacing w:before="0" w:after="0" w:line="469" w:lineRule="exact"/>
        <w:ind w:left="0" w:right="0" w:firstLine="500"/>
        <w:jc w:val="both"/>
      </w:pPr>
      <w:r>
        <w:rPr>
          <w:color w:val="000000"/>
          <w:spacing w:val="0"/>
          <w:w w:val="100"/>
          <w:position w:val="0"/>
          <w:sz w:val="24"/>
          <w:szCs w:val="24"/>
        </w:rPr>
        <w:t>公司严格按照《上市公司信息披露管理办法》、深圳证券交易所创业板上市公司的信息 披露格式指引等规定以及公司制定的《信息披露制度》等要求，真实、准确、及时、公平、 完整地披露有关信息；并指定公司董事会秘书负责信息披露工作，协调公司与投资者的关系， 接待股东来访，回答投资者咨询；并指定《证券时报》、《证券日报》等法定报纸和巨潮资 讯网</w:t>
      </w:r>
      <w:r>
        <w:rPr>
          <w:color w:val="000000"/>
          <w:spacing w:val="0"/>
          <w:w w:val="100"/>
          <w:position w:val="0"/>
          <w:sz w:val="24"/>
          <w:szCs w:val="24"/>
        </w:rPr>
        <w:t>(www.cninfo.com.cn)</w:t>
      </w:r>
      <w:r>
        <w:rPr>
          <w:color w:val="000000"/>
          <w:spacing w:val="0"/>
          <w:w w:val="100"/>
          <w:position w:val="0"/>
          <w:sz w:val="24"/>
          <w:szCs w:val="24"/>
        </w:rPr>
        <w:t>为公司信息披露的指定报纸和网站，确保公司所有股东能够以平 等的机会获得信息。</w:t>
      </w:r>
    </w:p>
    <w:p>
      <w:pPr>
        <w:pStyle w:val="Style59"/>
        <w:keepNext w:val="0"/>
        <w:keepLines w:val="0"/>
        <w:widowControl w:val="0"/>
        <w:shd w:val="clear" w:color="auto" w:fill="auto"/>
        <w:tabs>
          <w:tab w:pos="892" w:val="left"/>
        </w:tabs>
        <w:bidi w:val="0"/>
        <w:spacing w:before="0" w:after="0" w:line="469" w:lineRule="exact"/>
        <w:ind w:left="0" w:right="0" w:firstLine="500"/>
        <w:jc w:val="both"/>
      </w:pPr>
      <w:bookmarkStart w:id="275" w:name="bookmark275"/>
      <w:r>
        <w:rPr>
          <w:color w:val="000000"/>
          <w:spacing w:val="0"/>
          <w:w w:val="100"/>
          <w:position w:val="0"/>
          <w:sz w:val="24"/>
          <w:szCs w:val="24"/>
        </w:rPr>
        <w:t>7</w:t>
      </w:r>
      <w:bookmarkEnd w:id="275"/>
      <w:r>
        <w:rPr>
          <w:color w:val="000000"/>
          <w:spacing w:val="0"/>
          <w:w w:val="100"/>
          <w:position w:val="0"/>
          <w:sz w:val="24"/>
          <w:szCs w:val="24"/>
        </w:rPr>
        <w:t>、</w:t>
        <w:tab/>
        <w:t>关于相关利益者</w:t>
      </w:r>
    </w:p>
    <w:p>
      <w:pPr>
        <w:pStyle w:val="Style59"/>
        <w:keepNext w:val="0"/>
        <w:keepLines w:val="0"/>
        <w:widowControl w:val="0"/>
        <w:shd w:val="clear" w:color="auto" w:fill="auto"/>
        <w:bidi w:val="0"/>
        <w:spacing w:before="0" w:after="380" w:line="469" w:lineRule="exact"/>
        <w:ind w:left="0" w:right="0" w:firstLine="500"/>
        <w:jc w:val="both"/>
      </w:pPr>
      <w:r>
        <w:rPr>
          <w:color w:val="000000"/>
          <w:spacing w:val="0"/>
          <w:w w:val="100"/>
          <w:position w:val="0"/>
          <w:sz w:val="24"/>
          <w:szCs w:val="24"/>
        </w:rPr>
        <w:t>公司充分尊重和维护相关利益者的合法权益，实现社会、股东、公司、员工等各方面利 益的协调平衡，诚信对待供应商和客户，坚持与相关利益者互利共赢的原则，共同推动公司 持续、稳健发展。</w:t>
      </w:r>
    </w:p>
    <w:p>
      <w:pPr>
        <w:pStyle w:val="Style14"/>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公司治理的实际状况与法律、行政法规和中国证监会发布的关于上市公司治理的规定是否存在重大差异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4"/>
        <w:keepNext w:val="0"/>
        <w:keepLines w:val="0"/>
        <w:widowControl w:val="0"/>
        <w:shd w:val="clear" w:color="auto" w:fill="auto"/>
        <w:bidi w:val="0"/>
        <w:spacing w:before="0" w:after="340" w:line="346"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19"/>
        <w:keepNext/>
        <w:keepLines/>
        <w:widowControl w:val="0"/>
        <w:shd w:val="clear" w:color="auto" w:fill="auto"/>
        <w:tabs>
          <w:tab w:pos="517" w:val="left"/>
        </w:tabs>
        <w:bidi w:val="0"/>
        <w:spacing w:before="0" w:after="200" w:line="317" w:lineRule="exact"/>
        <w:ind w:left="0" w:right="0" w:firstLine="0"/>
        <w:jc w:val="left"/>
      </w:pPr>
      <w:bookmarkStart w:id="276" w:name="bookmark276"/>
      <w:bookmarkStart w:id="277" w:name="bookmark277"/>
      <w:bookmarkStart w:id="278" w:name="bookmark278"/>
      <w:bookmarkStart w:id="279" w:name="bookmark279"/>
      <w:r>
        <w:rPr>
          <w:color w:val="000000"/>
          <w:spacing w:val="0"/>
          <w:w w:val="100"/>
          <w:position w:val="0"/>
          <w:sz w:val="24"/>
          <w:szCs w:val="24"/>
        </w:rPr>
        <w:t>二</w:t>
      </w:r>
      <w:bookmarkEnd w:id="278"/>
      <w:r>
        <w:rPr>
          <w:color w:val="000000"/>
          <w:spacing w:val="0"/>
          <w:w w:val="100"/>
          <w:position w:val="0"/>
          <w:sz w:val="24"/>
          <w:szCs w:val="24"/>
        </w:rPr>
        <w:t>、</w:t>
        <w:tab/>
        <w:t>公司相对于控股股东、实际控制人在保证公司资产、人员、财务、机构、业务等方面的 独立情况</w:t>
      </w:r>
      <w:bookmarkEnd w:id="276"/>
      <w:bookmarkEnd w:id="277"/>
      <w:bookmarkEnd w:id="279"/>
    </w:p>
    <w:p>
      <w:pPr>
        <w:pStyle w:val="Style59"/>
        <w:keepNext w:val="0"/>
        <w:keepLines w:val="0"/>
        <w:widowControl w:val="0"/>
        <w:shd w:val="clear" w:color="auto" w:fill="auto"/>
        <w:bidi w:val="0"/>
        <w:spacing w:before="0" w:after="200" w:line="480" w:lineRule="exact"/>
        <w:ind w:left="0" w:right="0" w:firstLine="500"/>
        <w:jc w:val="both"/>
      </w:pPr>
      <w:r>
        <w:rPr>
          <w:color w:val="000000"/>
          <w:spacing w:val="0"/>
          <w:w w:val="100"/>
          <w:position w:val="0"/>
          <w:sz w:val="24"/>
          <w:szCs w:val="24"/>
        </w:rPr>
        <w:t>公司控股股东、实际控制人为自然人，公司与控股股东在业务、人员、资产、机构、财 务方面均保持独立。</w:t>
      </w:r>
    </w:p>
    <w:p>
      <w:pPr>
        <w:pStyle w:val="Style19"/>
        <w:keepNext/>
        <w:keepLines/>
        <w:widowControl w:val="0"/>
        <w:shd w:val="clear" w:color="auto" w:fill="auto"/>
        <w:tabs>
          <w:tab w:pos="517" w:val="left"/>
        </w:tabs>
        <w:bidi w:val="0"/>
        <w:spacing w:before="0" w:after="340" w:line="469" w:lineRule="exact"/>
        <w:ind w:left="0" w:right="0" w:firstLine="0"/>
        <w:jc w:val="left"/>
      </w:pPr>
      <w:bookmarkStart w:id="280" w:name="bookmark280"/>
      <w:bookmarkStart w:id="281" w:name="bookmark281"/>
      <w:bookmarkStart w:id="282" w:name="bookmark282"/>
      <w:bookmarkStart w:id="283" w:name="bookmark283"/>
      <w:r>
        <w:rPr>
          <w:color w:val="000000"/>
          <w:spacing w:val="0"/>
          <w:w w:val="100"/>
          <w:position w:val="0"/>
          <w:sz w:val="24"/>
          <w:szCs w:val="24"/>
        </w:rPr>
        <w:t>三</w:t>
      </w:r>
      <w:bookmarkEnd w:id="282"/>
      <w:r>
        <w:rPr>
          <w:color w:val="000000"/>
          <w:spacing w:val="0"/>
          <w:w w:val="100"/>
          <w:position w:val="0"/>
          <w:sz w:val="24"/>
          <w:szCs w:val="24"/>
        </w:rPr>
        <w:t>、</w:t>
        <w:tab/>
        <w:t>同业竞争情况</w:t>
      </w:r>
      <w:bookmarkEnd w:id="280"/>
      <w:bookmarkEnd w:id="281"/>
      <w:bookmarkEnd w:id="283"/>
    </w:p>
    <w:p>
      <w:pPr>
        <w:pStyle w:val="Style14"/>
        <w:keepNext w:val="0"/>
        <w:keepLines w:val="0"/>
        <w:widowControl w:val="0"/>
        <w:shd w:val="clear" w:color="auto" w:fill="auto"/>
        <w:bidi w:val="0"/>
        <w:spacing w:before="0" w:after="260" w:line="401"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19"/>
        <w:keepNext/>
        <w:keepLines/>
        <w:widowControl w:val="0"/>
        <w:shd w:val="clear" w:color="auto" w:fill="auto"/>
        <w:bidi w:val="0"/>
        <w:spacing w:before="0" w:after="340" w:line="240" w:lineRule="auto"/>
        <w:ind w:left="0" w:right="0" w:firstLine="0"/>
        <w:jc w:val="left"/>
      </w:pPr>
      <w:bookmarkStart w:id="284" w:name="bookmark284"/>
      <w:bookmarkStart w:id="285" w:name="bookmark285"/>
      <w:bookmarkStart w:id="286" w:name="bookmark286"/>
      <w:bookmarkStart w:id="287" w:name="bookmark287"/>
      <w:r>
        <w:rPr>
          <w:color w:val="000000"/>
          <w:spacing w:val="0"/>
          <w:w w:val="100"/>
          <w:position w:val="0"/>
          <w:sz w:val="24"/>
          <w:szCs w:val="24"/>
        </w:rPr>
        <w:t>四</w:t>
      </w:r>
      <w:bookmarkEnd w:id="286"/>
      <w:r>
        <w:rPr>
          <w:color w:val="000000"/>
          <w:spacing w:val="0"/>
          <w:w w:val="100"/>
          <w:position w:val="0"/>
          <w:sz w:val="24"/>
          <w:szCs w:val="24"/>
        </w:rPr>
        <w:t>、报告期内召开的年度股东大会和临时股东大会的有关情况</w:t>
      </w:r>
      <w:bookmarkEnd w:id="284"/>
      <w:bookmarkEnd w:id="285"/>
      <w:bookmarkEnd w:id="287"/>
    </w:p>
    <w:p>
      <w:pPr>
        <w:pStyle w:val="Style24"/>
        <w:keepNext/>
        <w:keepLines/>
        <w:widowControl w:val="0"/>
        <w:shd w:val="clear" w:color="auto" w:fill="auto"/>
        <w:bidi w:val="0"/>
        <w:spacing w:before="0" w:line="240" w:lineRule="auto"/>
        <w:ind w:left="0" w:right="0" w:firstLine="0"/>
        <w:jc w:val="left"/>
      </w:pPr>
      <w:bookmarkStart w:id="288" w:name="bookmark288"/>
      <w:bookmarkStart w:id="289" w:name="bookmark289"/>
      <w:bookmarkStart w:id="290" w:name="bookmark290"/>
      <w:bookmarkStart w:id="291" w:name="bookmark291"/>
      <w:r>
        <w:rPr>
          <w:rFonts w:ascii="Times New Roman" w:eastAsia="Times New Roman" w:hAnsi="Times New Roman" w:cs="Times New Roman"/>
          <w:color w:val="000000"/>
          <w:spacing w:val="0"/>
          <w:w w:val="100"/>
          <w:position w:val="0"/>
        </w:rPr>
        <w:t>1</w:t>
      </w:r>
      <w:bookmarkEnd w:id="290"/>
      <w:r>
        <w:rPr>
          <w:color w:val="000000"/>
          <w:spacing w:val="0"/>
          <w:w w:val="100"/>
          <w:position w:val="0"/>
        </w:rPr>
        <w:t>、本报告期股东大会情况</w:t>
      </w:r>
      <w:bookmarkEnd w:id="288"/>
      <w:bookmarkEnd w:id="289"/>
      <w:bookmarkEnd w:id="291"/>
    </w:p>
    <w:tbl>
      <w:tblPr>
        <w:tblOverlap w:val="never"/>
        <w:jc w:val="center"/>
        <w:tblLayout w:type="fixed"/>
      </w:tblPr>
      <w:tblGrid>
        <w:gridCol w:w="1603"/>
        <w:gridCol w:w="1594"/>
        <w:gridCol w:w="1594"/>
        <w:gridCol w:w="1594"/>
        <w:gridCol w:w="1594"/>
        <w:gridCol w:w="159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会议决议</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巨潮资讯网</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18"/>
                <w:szCs w:val="18"/>
              </w:rPr>
              <w:t>www.cninfo</w:t>
            </w:r>
            <w:r>
              <w:fldChar w:fldCharType="end"/>
            </w:r>
            <w:r>
              <w:rPr>
                <w:rFonts w:ascii="Times New Roman" w:eastAsia="Times New Roman" w:hAnsi="Times New Roman" w:cs="Times New Roman"/>
                <w:color w:val="000000"/>
                <w:spacing w:val="0"/>
                <w:w w:val="100"/>
                <w:position w:val="0"/>
                <w:sz w:val="18"/>
                <w:szCs w:val="18"/>
              </w:rPr>
              <w:t>. com.</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w:t>
            </w:r>
            <w:r>
              <w:rPr>
                <w:color w:val="000000"/>
                <w:spacing w:val="0"/>
                <w:w w:val="100"/>
                <w:position w:val="0"/>
                <w:sz w:val="18"/>
                <w:szCs w:val="18"/>
              </w:rPr>
              <w:t>）</w:t>
            </w:r>
            <w:r>
              <w:rPr>
                <w:color w:val="000000"/>
                <w:spacing w:val="0"/>
                <w:w w:val="100"/>
                <w:position w:val="0"/>
                <w:sz w:val="18"/>
                <w:szCs w:val="18"/>
              </w:rPr>
              <w:t>公告编号</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2021-041</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巨潮资讯网</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18"/>
                <w:szCs w:val="18"/>
              </w:rPr>
              <w:t>www.cninfO</w:t>
            </w:r>
            <w:r>
              <w:fldChar w:fldCharType="end"/>
            </w:r>
            <w:r>
              <w:rPr>
                <w:rFonts w:ascii="Times New Roman" w:eastAsia="Times New Roman" w:hAnsi="Times New Roman" w:cs="Times New Roman"/>
                <w:color w:val="000000"/>
                <w:spacing w:val="0"/>
                <w:w w:val="100"/>
                <w:position w:val="0"/>
                <w:sz w:val="18"/>
                <w:szCs w:val="18"/>
              </w:rPr>
              <w:t>. com.</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w:t>
            </w:r>
            <w:r>
              <w:rPr>
                <w:color w:val="000000"/>
                <w:spacing w:val="0"/>
                <w:w w:val="100"/>
                <w:position w:val="0"/>
                <w:sz w:val="18"/>
                <w:szCs w:val="18"/>
              </w:rPr>
              <w:t>）</w:t>
            </w:r>
            <w:r>
              <w:rPr>
                <w:color w:val="000000"/>
                <w:spacing w:val="0"/>
                <w:w w:val="100"/>
                <w:position w:val="0"/>
                <w:sz w:val="18"/>
                <w:szCs w:val="18"/>
              </w:rPr>
              <w:t>公告编号</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2021-044</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年第二次临时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巨潮资讯网</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18"/>
                <w:szCs w:val="18"/>
              </w:rPr>
              <w:t>www.cninfO</w:t>
            </w:r>
            <w:r>
              <w:fldChar w:fldCharType="end"/>
            </w:r>
            <w:r>
              <w:rPr>
                <w:rFonts w:ascii="Times New Roman" w:eastAsia="Times New Roman" w:hAnsi="Times New Roman" w:cs="Times New Roman"/>
                <w:color w:val="000000"/>
                <w:spacing w:val="0"/>
                <w:w w:val="100"/>
                <w:position w:val="0"/>
                <w:sz w:val="18"/>
                <w:szCs w:val="18"/>
              </w:rPr>
              <w:t>. com.</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w:t>
            </w:r>
            <w:r>
              <w:rPr>
                <w:color w:val="000000"/>
                <w:spacing w:val="0"/>
                <w:w w:val="100"/>
                <w:position w:val="0"/>
                <w:sz w:val="18"/>
                <w:szCs w:val="18"/>
              </w:rPr>
              <w:t>）</w:t>
            </w:r>
            <w:r>
              <w:rPr>
                <w:color w:val="000000"/>
                <w:spacing w:val="0"/>
                <w:w w:val="100"/>
                <w:position w:val="0"/>
                <w:sz w:val="18"/>
                <w:szCs w:val="18"/>
              </w:rPr>
              <w:t>公告编号</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2021-064</w:t>
            </w:r>
          </w:p>
        </w:tc>
      </w:tr>
      <w:tr>
        <w:trPr>
          <w:trHeight w:val="133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年第三次临时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26.61%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巨潮资讯网</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18"/>
                <w:szCs w:val="18"/>
              </w:rPr>
              <w:t>www.cninfO</w:t>
            </w:r>
            <w:r>
              <w:fldChar w:fldCharType="end"/>
            </w:r>
            <w:r>
              <w:rPr>
                <w:rFonts w:ascii="Times New Roman" w:eastAsia="Times New Roman" w:hAnsi="Times New Roman" w:cs="Times New Roman"/>
                <w:color w:val="000000"/>
                <w:spacing w:val="0"/>
                <w:w w:val="100"/>
                <w:position w:val="0"/>
                <w:sz w:val="18"/>
                <w:szCs w:val="18"/>
              </w:rPr>
              <w:t>. com.</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w:t>
            </w:r>
            <w:r>
              <w:rPr>
                <w:color w:val="000000"/>
                <w:spacing w:val="0"/>
                <w:w w:val="100"/>
                <w:position w:val="0"/>
                <w:sz w:val="18"/>
                <w:szCs w:val="18"/>
              </w:rPr>
              <w:t>）</w:t>
            </w:r>
            <w:r>
              <w:rPr>
                <w:color w:val="000000"/>
                <w:spacing w:val="0"/>
                <w:w w:val="100"/>
                <w:position w:val="0"/>
                <w:sz w:val="18"/>
                <w:szCs w:val="18"/>
              </w:rPr>
              <w:t>公告编号</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2021-090</w:t>
            </w:r>
          </w:p>
        </w:tc>
      </w:tr>
    </w:tbl>
    <w:p>
      <w:pPr>
        <w:widowControl w:val="0"/>
        <w:spacing w:after="339" w:line="1" w:lineRule="exact"/>
      </w:pPr>
    </w:p>
    <w:p>
      <w:pPr>
        <w:pStyle w:val="Style24"/>
        <w:keepNext/>
        <w:keepLines/>
        <w:widowControl w:val="0"/>
        <w:shd w:val="clear" w:color="auto" w:fill="auto"/>
        <w:bidi w:val="0"/>
        <w:spacing w:before="0" w:line="240" w:lineRule="auto"/>
        <w:ind w:left="0" w:right="0" w:firstLine="0"/>
        <w:jc w:val="left"/>
      </w:pPr>
      <w:bookmarkStart w:id="292" w:name="bookmark292"/>
      <w:bookmarkStart w:id="293" w:name="bookmark293"/>
      <w:bookmarkStart w:id="294" w:name="bookmark294"/>
      <w:bookmarkStart w:id="295" w:name="bookmark295"/>
      <w:r>
        <w:rPr>
          <w:rFonts w:ascii="Times New Roman" w:eastAsia="Times New Roman" w:hAnsi="Times New Roman" w:cs="Times New Roman"/>
          <w:color w:val="000000"/>
          <w:spacing w:val="0"/>
          <w:w w:val="100"/>
          <w:position w:val="0"/>
        </w:rPr>
        <w:t>2</w:t>
      </w:r>
      <w:bookmarkEnd w:id="294"/>
      <w:r>
        <w:rPr>
          <w:color w:val="000000"/>
          <w:spacing w:val="0"/>
          <w:w w:val="100"/>
          <w:position w:val="0"/>
        </w:rPr>
        <w:t>、表决权恢复的优先股股东请求召开临时股东大会</w:t>
      </w:r>
      <w:bookmarkEnd w:id="292"/>
      <w:bookmarkEnd w:id="293"/>
      <w:bookmarkEnd w:id="295"/>
    </w:p>
    <w:p>
      <w:pPr>
        <w:pStyle w:val="Style1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keepLines/>
        <w:widowControl w:val="0"/>
        <w:shd w:val="clear" w:color="auto" w:fill="auto"/>
        <w:tabs>
          <w:tab w:pos="512" w:val="left"/>
        </w:tabs>
        <w:bidi w:val="0"/>
        <w:spacing w:before="0" w:after="340" w:line="240" w:lineRule="auto"/>
        <w:ind w:left="0" w:right="0" w:firstLine="0"/>
        <w:jc w:val="left"/>
      </w:pPr>
      <w:bookmarkStart w:id="296" w:name="bookmark296"/>
      <w:bookmarkStart w:id="297" w:name="bookmark297"/>
      <w:bookmarkStart w:id="298" w:name="bookmark298"/>
      <w:bookmarkStart w:id="299" w:name="bookmark299"/>
      <w:r>
        <w:rPr>
          <w:color w:val="000000"/>
          <w:spacing w:val="0"/>
          <w:w w:val="100"/>
          <w:position w:val="0"/>
          <w:sz w:val="24"/>
          <w:szCs w:val="24"/>
        </w:rPr>
        <w:t>五</w:t>
      </w:r>
      <w:bookmarkEnd w:id="298"/>
      <w:r>
        <w:rPr>
          <w:color w:val="000000"/>
          <w:spacing w:val="0"/>
          <w:w w:val="100"/>
          <w:position w:val="0"/>
          <w:sz w:val="24"/>
          <w:szCs w:val="24"/>
        </w:rPr>
        <w:t>、</w:t>
        <w:tab/>
        <w:t>公司具有表决权差异安排</w:t>
      </w:r>
      <w:bookmarkEnd w:id="296"/>
      <w:bookmarkEnd w:id="297"/>
      <w:bookmarkEnd w:id="299"/>
    </w:p>
    <w:p>
      <w:pPr>
        <w:pStyle w:val="Style1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keepLines/>
        <w:widowControl w:val="0"/>
        <w:shd w:val="clear" w:color="auto" w:fill="auto"/>
        <w:tabs>
          <w:tab w:pos="512" w:val="left"/>
        </w:tabs>
        <w:bidi w:val="0"/>
        <w:spacing w:before="0" w:after="340" w:line="240" w:lineRule="auto"/>
        <w:ind w:left="0" w:right="0" w:firstLine="0"/>
        <w:jc w:val="left"/>
      </w:pPr>
      <w:bookmarkStart w:id="300" w:name="bookmark300"/>
      <w:bookmarkStart w:id="301" w:name="bookmark301"/>
      <w:bookmarkStart w:id="302" w:name="bookmark302"/>
      <w:bookmarkStart w:id="303" w:name="bookmark303"/>
      <w:r>
        <w:rPr>
          <w:color w:val="000000"/>
          <w:spacing w:val="0"/>
          <w:w w:val="100"/>
          <w:position w:val="0"/>
          <w:sz w:val="24"/>
          <w:szCs w:val="24"/>
        </w:rPr>
        <w:t>六</w:t>
      </w:r>
      <w:bookmarkEnd w:id="302"/>
      <w:r>
        <w:rPr>
          <w:color w:val="000000"/>
          <w:spacing w:val="0"/>
          <w:w w:val="100"/>
          <w:position w:val="0"/>
          <w:sz w:val="24"/>
          <w:szCs w:val="24"/>
        </w:rPr>
        <w:t>、</w:t>
        <w:tab/>
        <w:t>红筹架构公司治理情况</w:t>
      </w:r>
      <w:bookmarkEnd w:id="300"/>
      <w:bookmarkEnd w:id="301"/>
      <w:bookmarkEnd w:id="303"/>
    </w:p>
    <w:p>
      <w:pPr>
        <w:pStyle w:val="Style1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keepLines/>
        <w:widowControl w:val="0"/>
        <w:shd w:val="clear" w:color="auto" w:fill="auto"/>
        <w:tabs>
          <w:tab w:pos="517" w:val="left"/>
        </w:tabs>
        <w:bidi w:val="0"/>
        <w:spacing w:before="0" w:after="340" w:line="240" w:lineRule="auto"/>
        <w:ind w:left="0" w:right="0" w:firstLine="0"/>
        <w:jc w:val="left"/>
      </w:pPr>
      <w:bookmarkStart w:id="304" w:name="bookmark304"/>
      <w:bookmarkStart w:id="305" w:name="bookmark305"/>
      <w:bookmarkStart w:id="306" w:name="bookmark306"/>
      <w:bookmarkStart w:id="307" w:name="bookmark307"/>
      <w:r>
        <w:rPr>
          <w:color w:val="000000"/>
          <w:spacing w:val="0"/>
          <w:w w:val="100"/>
          <w:position w:val="0"/>
          <w:sz w:val="24"/>
          <w:szCs w:val="24"/>
        </w:rPr>
        <w:t>七</w:t>
      </w:r>
      <w:bookmarkEnd w:id="306"/>
      <w:r>
        <w:rPr>
          <w:color w:val="000000"/>
          <w:spacing w:val="0"/>
          <w:w w:val="100"/>
          <w:position w:val="0"/>
          <w:sz w:val="24"/>
          <w:szCs w:val="24"/>
        </w:rPr>
        <w:t>、</w:t>
        <w:tab/>
        <w:t>董事、监事和高级管理人员情况</w:t>
      </w:r>
      <w:bookmarkEnd w:id="304"/>
      <w:bookmarkEnd w:id="305"/>
      <w:bookmarkEnd w:id="307"/>
    </w:p>
    <w:p>
      <w:pPr>
        <w:pStyle w:val="Style24"/>
        <w:keepNext/>
        <w:keepLines/>
        <w:widowControl w:val="0"/>
        <w:shd w:val="clear" w:color="auto" w:fill="auto"/>
        <w:bidi w:val="0"/>
        <w:spacing w:before="0" w:line="240" w:lineRule="auto"/>
        <w:ind w:left="0" w:right="0" w:firstLine="0"/>
        <w:jc w:val="left"/>
      </w:pPr>
      <w:bookmarkStart w:id="308" w:name="bookmark308"/>
      <w:bookmarkStart w:id="309" w:name="bookmark309"/>
      <w:bookmarkStart w:id="310" w:name="bookmark310"/>
      <w:bookmarkStart w:id="311" w:name="bookmark311"/>
      <w:r>
        <w:rPr>
          <w:rFonts w:ascii="Times New Roman" w:eastAsia="Times New Roman" w:hAnsi="Times New Roman" w:cs="Times New Roman"/>
          <w:color w:val="000000"/>
          <w:spacing w:val="0"/>
          <w:w w:val="100"/>
          <w:position w:val="0"/>
        </w:rPr>
        <w:t>1</w:t>
      </w:r>
      <w:bookmarkEnd w:id="310"/>
      <w:r>
        <w:rPr>
          <w:color w:val="000000"/>
          <w:spacing w:val="0"/>
          <w:w w:val="100"/>
          <w:position w:val="0"/>
        </w:rPr>
        <w:t>、基本情况</w:t>
      </w:r>
      <w:bookmarkEnd w:id="308"/>
      <w:bookmarkEnd w:id="309"/>
      <w:bookmarkEnd w:id="311"/>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任期起</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任期终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期初持</w:t>
            </w:r>
          </w:p>
          <w:p>
            <w:pPr>
              <w:pStyle w:val="Style2"/>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股数</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本期减</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持股份</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数量</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其他增</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减变动</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期末持</w:t>
            </w:r>
          </w:p>
          <w:p>
            <w:pPr>
              <w:pStyle w:val="Style2"/>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股数</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股份增 减变动 的原因</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吴强华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120,410,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120,410,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董事、总 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8"/>
                <w:szCs w:val="18"/>
              </w:rPr>
              <w:t>年</w:t>
            </w:r>
          </w:p>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409,355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邱鲁闽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董事、高 级副总 裁、董事 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8"/>
                <w:szCs w:val="18"/>
              </w:rPr>
              <w:t>年</w:t>
            </w:r>
          </w:p>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王洪深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董事、高</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级副总</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8"/>
                <w:szCs w:val="18"/>
              </w:rPr>
              <w:t>年</w:t>
            </w:r>
          </w:p>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2,124,20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1,924,20</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大宗交 易减持； 股权激 励行权</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陈向东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年</w:t>
            </w:r>
          </w:p>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8"/>
                <w:szCs w:val="18"/>
              </w:rPr>
              <w:t>年</w:t>
            </w:r>
          </w:p>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万碧玉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8"/>
                <w:szCs w:val="18"/>
              </w:rPr>
              <w:t>年</w:t>
            </w:r>
          </w:p>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李峰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p>
            <w:pPr>
              <w:pStyle w:val="Style2"/>
              <w:keepNext w:val="0"/>
              <w:keepLines w:val="0"/>
              <w:widowControl w:val="0"/>
              <w:shd w:val="clear" w:color="auto" w:fill="auto"/>
              <w:bidi w:val="0"/>
              <w:spacing w:before="0" w:after="0" w:line="331"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8"/>
                <w:szCs w:val="18"/>
              </w:rPr>
              <w:t>年</w:t>
            </w:r>
          </w:p>
          <w:p>
            <w:pPr>
              <w:pStyle w:val="Style2"/>
              <w:keepNext w:val="0"/>
              <w:keepLines w:val="0"/>
              <w:widowControl w:val="0"/>
              <w:shd w:val="clear" w:color="auto" w:fill="auto"/>
              <w:bidi w:val="0"/>
              <w:spacing w:before="0" w:after="0" w:line="331"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邵建平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8"/>
                <w:szCs w:val="18"/>
              </w:rPr>
              <w:t>年</w:t>
            </w:r>
          </w:p>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幸帮艳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8"/>
                <w:szCs w:val="18"/>
              </w:rPr>
              <w:t>年</w:t>
            </w:r>
          </w:p>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许菲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8"/>
                <w:szCs w:val="18"/>
              </w:rPr>
              <w:t>年</w:t>
            </w:r>
          </w:p>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冯长浩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18"/>
                <w:szCs w:val="18"/>
              </w:rPr>
              <w:t>财务总 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p>
            <w:pPr>
              <w:pStyle w:val="Style2"/>
              <w:keepNext w:val="0"/>
              <w:keepLines w:val="0"/>
              <w:widowControl w:val="0"/>
              <w:shd w:val="clear" w:color="auto" w:fill="auto"/>
              <w:bidi w:val="0"/>
              <w:spacing w:before="0" w:after="0" w:line="331"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8"/>
                <w:szCs w:val="18"/>
              </w:rPr>
              <w:t>年</w:t>
            </w:r>
          </w:p>
          <w:p>
            <w:pPr>
              <w:pStyle w:val="Style2"/>
              <w:keepNext w:val="0"/>
              <w:keepLines w:val="0"/>
              <w:widowControl w:val="0"/>
              <w:shd w:val="clear" w:color="auto" w:fill="auto"/>
              <w:bidi w:val="0"/>
              <w:spacing w:before="0" w:after="0" w:line="331"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胡环宇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年</w:t>
            </w:r>
          </w:p>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1,149,80</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大宗交</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易减持</w:t>
            </w: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朱华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董事、高</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级副总</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年</w:t>
            </w:r>
          </w:p>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5,797,72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6,097,72</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股权激</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励行权</w:t>
            </w:r>
          </w:p>
        </w:tc>
      </w:tr>
    </w:tbl>
    <w:p>
      <w:pPr>
        <w:spacing w:lineRule="exact" w:line="1"/>
        <w:rPr>
          <w:sz w:val="2"/>
          <w:szCs w:val="2"/>
        </w:rPr>
      </w:pPr>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4"/>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刘先林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独立董</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年</w:t>
            </w:r>
          </w:p>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邬伦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独立董</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年</w:t>
            </w:r>
          </w:p>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叶金福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独立董</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年</w:t>
            </w:r>
          </w:p>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殷小敏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18"/>
                <w:szCs w:val="18"/>
              </w:rPr>
              <w:t>财务总 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年</w:t>
            </w:r>
          </w:p>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集中竞</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价减持</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131,218, 893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130,911,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报告期是否存在任期内董事、监事离任和高级管理人员解聘的情况</w:t>
      </w:r>
    </w:p>
    <w:p>
      <w:pPr>
        <w:widowControl w:val="0"/>
        <w:spacing w:after="119" w:line="1" w:lineRule="exact"/>
      </w:pPr>
    </w:p>
    <w:p>
      <w:pPr>
        <w:pStyle w:val="Style1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公司董事、监事、高级管理人员变动情况</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34"/>
        <w:gridCol w:w="1330"/>
        <w:gridCol w:w="1334"/>
        <w:gridCol w:w="1330"/>
        <w:gridCol w:w="424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胡环宇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因任期届满离任。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董事、高级副总 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因任期届满离任。</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刘先林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因任期届满离任。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邬伦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因任期届满离任。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叶金福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因任期届满离任。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殷小敏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因任期届满离任。</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陈向东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年第三次临时股东大会选举为第五届董事会独 立董事。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万碧玉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年第三次临时股东大会选举为第五届董事会独 立董事。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年第三次临时股东大会选举为第五届董事会独 立董事。</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冯长浩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财务总监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聘任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第五届董事会第一次会议被聘任为公司财务总监。</w:t>
            </w:r>
          </w:p>
        </w:tc>
      </w:tr>
    </w:tbl>
    <w:p>
      <w:pPr>
        <w:pStyle w:val="Style24"/>
        <w:keepNext/>
        <w:keepLines/>
        <w:widowControl w:val="0"/>
        <w:shd w:val="clear" w:color="auto" w:fill="auto"/>
        <w:bidi w:val="0"/>
        <w:spacing w:before="0" w:after="380" w:line="240" w:lineRule="auto"/>
        <w:ind w:left="0" w:right="0" w:firstLine="0"/>
        <w:jc w:val="left"/>
      </w:pPr>
      <w:bookmarkStart w:id="312" w:name="bookmark312"/>
      <w:bookmarkStart w:id="313" w:name="bookmark313"/>
      <w:bookmarkStart w:id="314" w:name="bookmark314"/>
      <w:bookmarkStart w:id="315" w:name="bookmark315"/>
      <w:r>
        <w:rPr>
          <w:rFonts w:ascii="Times New Roman" w:eastAsia="Times New Roman" w:hAnsi="Times New Roman" w:cs="Times New Roman"/>
          <w:color w:val="000000"/>
          <w:spacing w:val="0"/>
          <w:w w:val="100"/>
          <w:position w:val="0"/>
        </w:rPr>
        <w:t>2</w:t>
      </w:r>
      <w:bookmarkEnd w:id="314"/>
      <w:r>
        <w:rPr>
          <w:color w:val="000000"/>
          <w:spacing w:val="0"/>
          <w:w w:val="100"/>
          <w:position w:val="0"/>
        </w:rPr>
        <w:t>、任职情况</w:t>
      </w:r>
      <w:bookmarkEnd w:id="312"/>
      <w:bookmarkEnd w:id="313"/>
      <w:bookmarkEnd w:id="315"/>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59"/>
        <w:keepNext w:val="0"/>
        <w:keepLines w:val="0"/>
        <w:widowControl w:val="0"/>
        <w:numPr>
          <w:ilvl w:val="0"/>
          <w:numId w:val="5"/>
        </w:numPr>
        <w:shd w:val="clear" w:color="auto" w:fill="auto"/>
        <w:tabs>
          <w:tab w:pos="809" w:val="left"/>
        </w:tabs>
        <w:bidi w:val="0"/>
        <w:spacing w:before="0" w:after="0" w:line="472" w:lineRule="exact"/>
        <w:ind w:left="0" w:right="0" w:firstLine="500"/>
        <w:jc w:val="both"/>
      </w:pPr>
      <w:bookmarkStart w:id="316" w:name="bookmark316"/>
      <w:bookmarkEnd w:id="316"/>
      <w:r>
        <w:rPr>
          <w:color w:val="000000"/>
          <w:spacing w:val="0"/>
          <w:w w:val="100"/>
          <w:position w:val="0"/>
          <w:sz w:val="24"/>
          <w:szCs w:val="24"/>
        </w:rPr>
        <w:t>公司现任董事</w:t>
      </w:r>
    </w:p>
    <w:p>
      <w:pPr>
        <w:pStyle w:val="Style59"/>
        <w:keepNext w:val="0"/>
        <w:keepLines w:val="0"/>
        <w:widowControl w:val="0"/>
        <w:shd w:val="clear" w:color="auto" w:fill="auto"/>
        <w:bidi w:val="0"/>
        <w:spacing w:before="0" w:after="0" w:line="472" w:lineRule="exact"/>
        <w:ind w:left="0" w:right="0" w:firstLine="500"/>
        <w:jc w:val="both"/>
      </w:pPr>
      <w:r>
        <w:rPr>
          <w:color w:val="000000"/>
          <w:spacing w:val="0"/>
          <w:w w:val="100"/>
          <w:position w:val="0"/>
          <w:sz w:val="24"/>
          <w:szCs w:val="24"/>
        </w:rPr>
        <w:t>吴强华，男，52岁，中国国籍，无境外居留权。1994年毕业于北京林业大学，研究生学 历，地理信息和测绘专业教授级高级工程师。1994年至2002年担任北京建设电子信息工程公 司研发工程师、技术部经理；2003年加入数字政通，历任董事长、总裁，现任公司董事长。</w:t>
      </w:r>
    </w:p>
    <w:p>
      <w:pPr>
        <w:pStyle w:val="Style59"/>
        <w:keepNext w:val="0"/>
        <w:keepLines w:val="0"/>
        <w:widowControl w:val="0"/>
        <w:shd w:val="clear" w:color="auto" w:fill="auto"/>
        <w:bidi w:val="0"/>
        <w:spacing w:before="0" w:after="0" w:line="472" w:lineRule="exact"/>
        <w:ind w:left="0" w:right="0" w:firstLine="500"/>
        <w:jc w:val="both"/>
      </w:pPr>
      <w:r>
        <w:rPr>
          <w:color w:val="000000"/>
          <w:spacing w:val="0"/>
          <w:w w:val="100"/>
          <w:position w:val="0"/>
          <w:sz w:val="24"/>
          <w:szCs w:val="24"/>
        </w:rPr>
        <w:t>王东，男，52岁，中国国籍，无境外居留权。研究生学历。2010年11月加入数字政通， 历任公司副总裁，现任公司董事、总裁。</w:t>
      </w:r>
    </w:p>
    <w:p>
      <w:pPr>
        <w:pStyle w:val="Style59"/>
        <w:keepNext w:val="0"/>
        <w:keepLines w:val="0"/>
        <w:widowControl w:val="0"/>
        <w:shd w:val="clear" w:color="auto" w:fill="auto"/>
        <w:bidi w:val="0"/>
        <w:spacing w:before="0" w:after="0" w:line="475" w:lineRule="exact"/>
        <w:ind w:left="0" w:right="0" w:firstLine="500"/>
        <w:jc w:val="both"/>
      </w:pPr>
      <w:r>
        <w:rPr>
          <w:color w:val="000000"/>
          <w:spacing w:val="0"/>
          <w:w w:val="100"/>
          <w:position w:val="0"/>
          <w:sz w:val="24"/>
          <w:szCs w:val="24"/>
        </w:rPr>
        <w:t>王洪深，男，45岁，中国国籍，无境外居留权。2002年毕业于清华大学，研究生学历， 地理信息和测绘专业教授级高级工程师。2002年加入数字政通，历任研发组组长、研发部经 理、数字城管事业部副总经理、技术总监，现任公司董事、高级副总裁。</w:t>
      </w:r>
    </w:p>
    <w:p>
      <w:pPr>
        <w:pStyle w:val="Style59"/>
        <w:keepNext w:val="0"/>
        <w:keepLines w:val="0"/>
        <w:widowControl w:val="0"/>
        <w:shd w:val="clear" w:color="auto" w:fill="auto"/>
        <w:bidi w:val="0"/>
        <w:spacing w:before="0" w:after="0" w:line="472" w:lineRule="exact"/>
        <w:ind w:left="0" w:right="0" w:firstLine="500"/>
        <w:jc w:val="both"/>
      </w:pPr>
      <w:r>
        <w:rPr>
          <w:color w:val="000000"/>
          <w:spacing w:val="0"/>
          <w:w w:val="100"/>
          <w:position w:val="0"/>
          <w:sz w:val="24"/>
          <w:szCs w:val="24"/>
        </w:rPr>
        <w:t>邱鲁闽，男，45岁，中国国籍，无境外居留权。2002年毕业于清华大学，研究生学历。 曾任北京华胜天成科技股份有限公司投资总监及董事会秘书，2012年2月加入数字政通，现任 公司董事、高级副总裁、董事会秘书。</w:t>
      </w:r>
    </w:p>
    <w:p>
      <w:pPr>
        <w:pStyle w:val="Style59"/>
        <w:keepNext w:val="0"/>
        <w:keepLines w:val="0"/>
        <w:widowControl w:val="0"/>
        <w:shd w:val="clear" w:color="auto" w:fill="auto"/>
        <w:bidi w:val="0"/>
        <w:spacing w:before="0" w:after="0" w:line="472" w:lineRule="exact"/>
        <w:ind w:left="0" w:right="0" w:firstLine="500"/>
        <w:jc w:val="both"/>
      </w:pPr>
      <w:r>
        <w:rPr>
          <w:color w:val="000000"/>
          <w:spacing w:val="0"/>
          <w:w w:val="100"/>
          <w:position w:val="0"/>
          <w:sz w:val="24"/>
          <w:szCs w:val="24"/>
        </w:rPr>
        <w:t>万碧玉，男，48岁，中国国籍，无境外居留权，2003年3月毕业于日本国立神户大学，获 得工学博士学位。曾任中国城市科学研究会数字城市工程研究中心总工程师，2014年5月起任 中国城市科学研究会智慧城市联合实验室首席科学家，中城智慧（北京）城市规划设计研究院 有限公司首席科学家、董事长。现任公司独立董事。</w:t>
      </w:r>
    </w:p>
    <w:p>
      <w:pPr>
        <w:pStyle w:val="Style59"/>
        <w:keepNext w:val="0"/>
        <w:keepLines w:val="0"/>
        <w:widowControl w:val="0"/>
        <w:shd w:val="clear" w:color="auto" w:fill="auto"/>
        <w:bidi w:val="0"/>
        <w:spacing w:before="0" w:after="0" w:line="472" w:lineRule="exact"/>
        <w:ind w:left="0" w:right="0" w:firstLine="500"/>
        <w:jc w:val="both"/>
      </w:pPr>
      <w:r>
        <w:rPr>
          <w:color w:val="000000"/>
          <w:spacing w:val="0"/>
          <w:w w:val="100"/>
          <w:position w:val="0"/>
          <w:sz w:val="24"/>
          <w:szCs w:val="24"/>
        </w:rPr>
        <w:t>陈向东，男，58岁，中国国籍，无境外居留权，毕业于中国测绘科学研究院，获得摄影 测量与遥感硕士学位，1991年至今担任中国测绘科学研究院研究员，1997年至今担任中国测 绘学会智慧城市工作委员会副主任委员。现任公司独立董事。</w:t>
      </w:r>
    </w:p>
    <w:p>
      <w:pPr>
        <w:pStyle w:val="Style59"/>
        <w:keepNext w:val="0"/>
        <w:keepLines w:val="0"/>
        <w:widowControl w:val="0"/>
        <w:shd w:val="clear" w:color="auto" w:fill="auto"/>
        <w:bidi w:val="0"/>
        <w:spacing w:before="0" w:after="0" w:line="477" w:lineRule="exact"/>
        <w:ind w:left="0" w:right="0" w:firstLine="500"/>
        <w:jc w:val="both"/>
      </w:pPr>
      <w:r>
        <w:rPr>
          <w:color w:val="000000"/>
          <w:spacing w:val="0"/>
          <w:w w:val="100"/>
          <w:position w:val="0"/>
          <w:sz w:val="24"/>
          <w:szCs w:val="24"/>
        </w:rPr>
        <w:t>李峰，男，42岁，中国国籍，无境外居留权。2001年毕业于武汉大学，本科学历，具有 中国注册会计师资格。2001年至2011年在华证会计师事务所、天健正信会计师事务所等任职， 历任审计员、项目经理、高级经理、授薪合伙人，2012年加入大华会计师事务所，现任大华 会计师事务所合伙人。现任公司独立董事。</w:t>
      </w:r>
    </w:p>
    <w:p>
      <w:pPr>
        <w:pStyle w:val="Style59"/>
        <w:keepNext w:val="0"/>
        <w:keepLines w:val="0"/>
        <w:widowControl w:val="0"/>
        <w:numPr>
          <w:ilvl w:val="0"/>
          <w:numId w:val="5"/>
        </w:numPr>
        <w:shd w:val="clear" w:color="auto" w:fill="auto"/>
        <w:tabs>
          <w:tab w:pos="823" w:val="left"/>
        </w:tabs>
        <w:bidi w:val="0"/>
        <w:spacing w:before="0" w:after="0" w:line="466" w:lineRule="exact"/>
        <w:ind w:left="0" w:right="0" w:firstLine="500"/>
        <w:jc w:val="both"/>
      </w:pPr>
      <w:bookmarkStart w:id="317" w:name="bookmark317"/>
      <w:bookmarkEnd w:id="317"/>
      <w:r>
        <w:rPr>
          <w:color w:val="000000"/>
          <w:spacing w:val="0"/>
          <w:w w:val="100"/>
          <w:position w:val="0"/>
          <w:sz w:val="24"/>
          <w:szCs w:val="24"/>
        </w:rPr>
        <w:t>公司现任监事</w:t>
      </w:r>
    </w:p>
    <w:p>
      <w:pPr>
        <w:pStyle w:val="Style59"/>
        <w:keepNext w:val="0"/>
        <w:keepLines w:val="0"/>
        <w:widowControl w:val="0"/>
        <w:shd w:val="clear" w:color="auto" w:fill="auto"/>
        <w:bidi w:val="0"/>
        <w:spacing w:before="0" w:after="0" w:line="466" w:lineRule="exact"/>
        <w:ind w:left="0" w:right="0" w:firstLine="500"/>
        <w:jc w:val="both"/>
      </w:pPr>
      <w:r>
        <w:rPr>
          <w:color w:val="000000"/>
          <w:spacing w:val="0"/>
          <w:w w:val="100"/>
          <w:position w:val="0"/>
          <w:sz w:val="24"/>
          <w:szCs w:val="24"/>
        </w:rPr>
        <w:t>邵建平，男，68岁，中国国籍，无境外居留权。1977年毕业于清华大学电子工程系计算 机专业，本科学历。1977年至1985年担任北京计算机三厂厂长助理职务；1985年至1988年担 任日本</w:t>
      </w:r>
      <w:r>
        <w:rPr>
          <w:color w:val="000000"/>
          <w:spacing w:val="0"/>
          <w:w w:val="100"/>
          <w:position w:val="0"/>
          <w:sz w:val="24"/>
          <w:szCs w:val="24"/>
        </w:rPr>
        <w:t>DCL</w:t>
      </w:r>
      <w:r>
        <w:rPr>
          <w:color w:val="000000"/>
          <w:spacing w:val="0"/>
          <w:w w:val="100"/>
          <w:position w:val="0"/>
          <w:sz w:val="24"/>
          <w:szCs w:val="24"/>
        </w:rPr>
        <w:t xml:space="preserve">株式会社软件开发研修生职务；1988年至1989年担任北京计算机三厂厂长助理职 </w:t>
      </w:r>
      <w:r>
        <w:rPr>
          <w:color w:val="000000"/>
          <w:spacing w:val="0"/>
          <w:w w:val="100"/>
          <w:position w:val="0"/>
          <w:sz w:val="24"/>
          <w:szCs w:val="24"/>
        </w:rPr>
        <w:t>务；1989年至1990年任职于京电香港有限公司；1990年至2001年担任北京计算机三厂厂长助 理职务；2001年至2006年担任首都信息发展股份有限公司副总裁职务；2006年至今担任首都 信息发展股份有限公司顾问职务。现任公司监事。</w:t>
      </w:r>
    </w:p>
    <w:p>
      <w:pPr>
        <w:pStyle w:val="Style59"/>
        <w:keepNext w:val="0"/>
        <w:keepLines w:val="0"/>
        <w:widowControl w:val="0"/>
        <w:shd w:val="clear" w:color="auto" w:fill="auto"/>
        <w:bidi w:val="0"/>
        <w:spacing w:before="0" w:after="0" w:line="474" w:lineRule="exact"/>
        <w:ind w:left="0" w:right="0" w:firstLine="500"/>
        <w:jc w:val="both"/>
      </w:pPr>
      <w:r>
        <w:rPr>
          <w:color w:val="000000"/>
          <w:spacing w:val="0"/>
          <w:w w:val="100"/>
          <w:position w:val="0"/>
          <w:sz w:val="24"/>
          <w:szCs w:val="24"/>
        </w:rPr>
        <w:t>幸帮艳，女，47岁，中国国籍，无境外居留权。2003年加入数字政通，现任公司监事。</w:t>
      </w:r>
    </w:p>
    <w:p>
      <w:pPr>
        <w:pStyle w:val="Style59"/>
        <w:keepNext w:val="0"/>
        <w:keepLines w:val="0"/>
        <w:widowControl w:val="0"/>
        <w:shd w:val="clear" w:color="auto" w:fill="auto"/>
        <w:bidi w:val="0"/>
        <w:spacing w:before="0" w:after="0" w:line="474" w:lineRule="exact"/>
        <w:ind w:left="0" w:right="0" w:firstLine="500"/>
        <w:jc w:val="both"/>
      </w:pPr>
      <w:r>
        <w:rPr>
          <w:color w:val="000000"/>
          <w:spacing w:val="0"/>
          <w:w w:val="100"/>
          <w:position w:val="0"/>
          <w:sz w:val="24"/>
          <w:szCs w:val="24"/>
        </w:rPr>
        <w:t>许菲，男，35岁，中国国籍，无境外居留权，本科学历。2012年5月起就职于公司证券事 务部，担任证券事务代表。现任公司监事。</w:t>
      </w:r>
    </w:p>
    <w:p>
      <w:pPr>
        <w:pStyle w:val="Style59"/>
        <w:keepNext w:val="0"/>
        <w:keepLines w:val="0"/>
        <w:widowControl w:val="0"/>
        <w:numPr>
          <w:ilvl w:val="0"/>
          <w:numId w:val="5"/>
        </w:numPr>
        <w:shd w:val="clear" w:color="auto" w:fill="auto"/>
        <w:bidi w:val="0"/>
        <w:spacing w:before="0" w:after="0" w:line="474" w:lineRule="exact"/>
        <w:ind w:left="0" w:right="0" w:firstLine="500"/>
        <w:jc w:val="both"/>
      </w:pPr>
      <w:bookmarkStart w:id="318" w:name="bookmark318"/>
      <w:bookmarkEnd w:id="318"/>
      <w:r>
        <w:rPr>
          <w:color w:val="000000"/>
          <w:spacing w:val="0"/>
          <w:w w:val="100"/>
          <w:position w:val="0"/>
          <w:sz w:val="24"/>
          <w:szCs w:val="24"/>
        </w:rPr>
        <w:t>公司现任高级管理人员</w:t>
      </w:r>
    </w:p>
    <w:p>
      <w:pPr>
        <w:pStyle w:val="Style59"/>
        <w:keepNext w:val="0"/>
        <w:keepLines w:val="0"/>
        <w:widowControl w:val="0"/>
        <w:shd w:val="clear" w:color="auto" w:fill="auto"/>
        <w:bidi w:val="0"/>
        <w:spacing w:before="0" w:after="0" w:line="474" w:lineRule="exact"/>
        <w:ind w:left="0" w:right="0" w:firstLine="500"/>
        <w:jc w:val="both"/>
      </w:pPr>
      <w:r>
        <w:rPr>
          <w:color w:val="000000"/>
          <w:spacing w:val="0"/>
          <w:w w:val="100"/>
          <w:position w:val="0"/>
          <w:sz w:val="24"/>
          <w:szCs w:val="24"/>
        </w:rPr>
        <w:t>王东，男，现任公司总裁，详见董事简历。</w:t>
      </w:r>
    </w:p>
    <w:p>
      <w:pPr>
        <w:pStyle w:val="Style59"/>
        <w:keepNext w:val="0"/>
        <w:keepLines w:val="0"/>
        <w:widowControl w:val="0"/>
        <w:shd w:val="clear" w:color="auto" w:fill="auto"/>
        <w:bidi w:val="0"/>
        <w:spacing w:before="0" w:after="0" w:line="474" w:lineRule="exact"/>
        <w:ind w:left="0" w:right="0" w:firstLine="500"/>
        <w:jc w:val="both"/>
      </w:pPr>
      <w:r>
        <w:rPr>
          <w:color w:val="000000"/>
          <w:spacing w:val="0"/>
          <w:w w:val="100"/>
          <w:position w:val="0"/>
          <w:sz w:val="24"/>
          <w:szCs w:val="24"/>
        </w:rPr>
        <w:t>王洪深，男，现任公司高级副总裁，详见董事简历。</w:t>
      </w:r>
    </w:p>
    <w:p>
      <w:pPr>
        <w:pStyle w:val="Style59"/>
        <w:keepNext w:val="0"/>
        <w:keepLines w:val="0"/>
        <w:widowControl w:val="0"/>
        <w:shd w:val="clear" w:color="auto" w:fill="auto"/>
        <w:bidi w:val="0"/>
        <w:spacing w:before="0" w:after="0" w:line="474" w:lineRule="exact"/>
        <w:ind w:left="0" w:right="0" w:firstLine="500"/>
        <w:jc w:val="both"/>
      </w:pPr>
      <w:r>
        <w:rPr>
          <w:color w:val="000000"/>
          <w:spacing w:val="0"/>
          <w:w w:val="100"/>
          <w:position w:val="0"/>
          <w:sz w:val="24"/>
          <w:szCs w:val="24"/>
        </w:rPr>
        <w:t>邱鲁闽，男，现任公司高级副总裁，详见董事简历。</w:t>
      </w:r>
    </w:p>
    <w:p>
      <w:pPr>
        <w:pStyle w:val="Style59"/>
        <w:keepNext w:val="0"/>
        <w:keepLines w:val="0"/>
        <w:widowControl w:val="0"/>
        <w:shd w:val="clear" w:color="auto" w:fill="auto"/>
        <w:bidi w:val="0"/>
        <w:spacing w:before="0" w:after="520" w:line="474" w:lineRule="exact"/>
        <w:ind w:left="0" w:right="0" w:firstLine="500"/>
        <w:jc w:val="both"/>
      </w:pPr>
      <w:r>
        <w:rPr>
          <w:color w:val="000000"/>
          <w:spacing w:val="0"/>
          <w:w w:val="100"/>
          <w:position w:val="0"/>
          <w:sz w:val="24"/>
          <w:szCs w:val="24"/>
        </w:rPr>
        <w:t>冯长浩，男，41岁，中国国籍，无境外居留权。研究生学历，会计师，中国注册会计师 非执业会员。曾任广联达科技股份有限公司财务部总经理、经营管理部总经理，2018年加入 数字政通，任财务副总监。现任本公司财务总监。</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在股东单位任职情况</w:t>
      </w:r>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在其他单位任职情况</w:t>
      </w:r>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38"/>
        <w:gridCol w:w="3278"/>
        <w:gridCol w:w="1090"/>
        <w:gridCol w:w="1229"/>
        <w:gridCol w:w="1363"/>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在其他单位</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在其他单位是否 领取报酬津贴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陈向东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中国测绘科学研究院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研究员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万碧玉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中城智慧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城市规划设计研究院有限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首席科学家、</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大华会计师事务所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合伙人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bl>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widowControl w:val="0"/>
        <w:spacing w:after="379" w:line="1" w:lineRule="exact"/>
      </w:pPr>
    </w:p>
    <w:p>
      <w:pPr>
        <w:pStyle w:val="Style24"/>
        <w:keepNext/>
        <w:keepLines/>
        <w:widowControl w:val="0"/>
        <w:shd w:val="clear" w:color="auto" w:fill="auto"/>
        <w:bidi w:val="0"/>
        <w:spacing w:before="0" w:after="380" w:line="240" w:lineRule="auto"/>
        <w:ind w:left="0" w:right="0" w:firstLine="0"/>
        <w:jc w:val="left"/>
      </w:pPr>
      <w:bookmarkStart w:id="319" w:name="bookmark319"/>
      <w:bookmarkStart w:id="320" w:name="bookmark320"/>
      <w:bookmarkStart w:id="321" w:name="bookmark321"/>
      <w:bookmarkStart w:id="322" w:name="bookmark322"/>
      <w:r>
        <w:rPr>
          <w:rFonts w:ascii="Times New Roman" w:eastAsia="Times New Roman" w:hAnsi="Times New Roman" w:cs="Times New Roman"/>
          <w:color w:val="000000"/>
          <w:spacing w:val="0"/>
          <w:w w:val="100"/>
          <w:position w:val="0"/>
        </w:rPr>
        <w:t>3</w:t>
      </w:r>
      <w:bookmarkEnd w:id="321"/>
      <w:r>
        <w:rPr>
          <w:color w:val="000000"/>
          <w:spacing w:val="0"/>
          <w:w w:val="100"/>
          <w:position w:val="0"/>
        </w:rPr>
        <w:t>、董事、监事、高级管理人员报酬情况</w:t>
      </w:r>
      <w:bookmarkEnd w:id="319"/>
      <w:bookmarkEnd w:id="320"/>
      <w:bookmarkEnd w:id="322"/>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p>
      <w:pPr>
        <w:pStyle w:val="Style59"/>
        <w:keepNext w:val="0"/>
        <w:keepLines w:val="0"/>
        <w:widowControl w:val="0"/>
        <w:numPr>
          <w:ilvl w:val="0"/>
          <w:numId w:val="7"/>
        </w:numPr>
        <w:shd w:val="clear" w:color="auto" w:fill="auto"/>
        <w:tabs>
          <w:tab w:pos="834" w:val="left"/>
        </w:tabs>
        <w:bidi w:val="0"/>
        <w:spacing w:before="0" w:after="0" w:line="480" w:lineRule="exact"/>
        <w:ind w:left="0" w:right="0" w:firstLine="500"/>
        <w:jc w:val="both"/>
      </w:pPr>
      <w:bookmarkStart w:id="323" w:name="bookmark323"/>
      <w:bookmarkEnd w:id="323"/>
      <w:r>
        <w:rPr>
          <w:color w:val="000000"/>
          <w:spacing w:val="0"/>
          <w:w w:val="100"/>
          <w:position w:val="0"/>
          <w:sz w:val="24"/>
          <w:szCs w:val="24"/>
        </w:rPr>
        <w:t>董事、监事、高级管理人员报酬的决策程序：董事、监事、高级管理人员薪酬由董事 会薪酬与考核委员会组织并考核。</w:t>
      </w:r>
    </w:p>
    <w:p>
      <w:pPr>
        <w:pStyle w:val="Style59"/>
        <w:keepNext w:val="0"/>
        <w:keepLines w:val="0"/>
        <w:widowControl w:val="0"/>
        <w:numPr>
          <w:ilvl w:val="0"/>
          <w:numId w:val="7"/>
        </w:numPr>
        <w:shd w:val="clear" w:color="auto" w:fill="auto"/>
        <w:tabs>
          <w:tab w:pos="829" w:val="left"/>
        </w:tabs>
        <w:bidi w:val="0"/>
        <w:spacing w:before="0" w:after="380" w:line="475" w:lineRule="exact"/>
        <w:ind w:left="0" w:right="0" w:firstLine="500"/>
        <w:jc w:val="both"/>
      </w:pPr>
      <w:bookmarkStart w:id="324" w:name="bookmark324"/>
      <w:bookmarkEnd w:id="324"/>
      <w:r>
        <w:rPr>
          <w:color w:val="000000"/>
          <w:spacing w:val="0"/>
          <w:w w:val="100"/>
          <w:position w:val="0"/>
          <w:sz w:val="24"/>
          <w:szCs w:val="24"/>
        </w:rPr>
        <w:t>董事、监事、高级管理人员报酬确定依据：根据公司经营业绩，高级管理人员的报酬 根据公司薪酬分配政策，结合其经营绩效、工作能力、岗位职责等考核确定并发放。</w:t>
      </w:r>
      <w:r>
        <w:br w:type="page"/>
      </w:r>
    </w:p>
    <w:p>
      <w:pPr>
        <w:pStyle w:val="Style59"/>
        <w:keepNext w:val="0"/>
        <w:keepLines w:val="0"/>
        <w:widowControl w:val="0"/>
        <w:numPr>
          <w:ilvl w:val="0"/>
          <w:numId w:val="7"/>
        </w:numPr>
        <w:shd w:val="clear" w:color="auto" w:fill="auto"/>
        <w:bidi w:val="0"/>
        <w:spacing w:before="0" w:after="180" w:line="470" w:lineRule="exact"/>
        <w:ind w:left="0" w:right="0" w:firstLine="480"/>
        <w:jc w:val="left"/>
      </w:pPr>
      <w:bookmarkStart w:id="325" w:name="bookmark325"/>
      <w:bookmarkEnd w:id="325"/>
      <w:r>
        <w:rPr>
          <w:color w:val="000000"/>
          <w:spacing w:val="0"/>
          <w:w w:val="100"/>
          <w:position w:val="0"/>
          <w:sz w:val="24"/>
          <w:szCs w:val="24"/>
        </w:rPr>
        <w:t>董事、监事、高级管理人员报酬的实际支付情况：已按相关规定及时支付董事、监事 和高级管理人员报酬。</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公司报告期内董事、监事和高级管理人员报酬情况</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8"/>
        <w:gridCol w:w="1368"/>
        <w:gridCol w:w="1363"/>
        <w:gridCol w:w="137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吴强华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胡环宇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董事、高级副总 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王洪深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董事、高级副总 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邱鲁闽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董事、高级副总 裁、董事会秘书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刘先林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叶金福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邬伦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陈向东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万碧玉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邵建平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幸帮艳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许菲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殷小敏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冯长浩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19"/>
        <w:keepNext/>
        <w:keepLines/>
        <w:widowControl w:val="0"/>
        <w:shd w:val="clear" w:color="auto" w:fill="auto"/>
        <w:bidi w:val="0"/>
        <w:spacing w:before="0" w:line="240" w:lineRule="auto"/>
        <w:ind w:left="0" w:right="0" w:firstLine="0"/>
        <w:jc w:val="left"/>
      </w:pPr>
      <w:bookmarkStart w:id="326" w:name="bookmark326"/>
      <w:bookmarkStart w:id="327" w:name="bookmark327"/>
      <w:bookmarkStart w:id="328" w:name="bookmark328"/>
      <w:bookmarkStart w:id="329" w:name="bookmark329"/>
      <w:r>
        <w:rPr>
          <w:color w:val="000000"/>
          <w:spacing w:val="0"/>
          <w:w w:val="100"/>
          <w:position w:val="0"/>
          <w:sz w:val="24"/>
          <w:szCs w:val="24"/>
        </w:rPr>
        <w:t>八</w:t>
      </w:r>
      <w:bookmarkEnd w:id="328"/>
      <w:r>
        <w:rPr>
          <w:color w:val="000000"/>
          <w:spacing w:val="0"/>
          <w:w w:val="100"/>
          <w:position w:val="0"/>
          <w:sz w:val="24"/>
          <w:szCs w:val="24"/>
        </w:rPr>
        <w:t>、报告期内董事履行职责的情况</w:t>
      </w:r>
      <w:bookmarkEnd w:id="326"/>
      <w:bookmarkEnd w:id="327"/>
      <w:bookmarkEnd w:id="329"/>
    </w:p>
    <w:p>
      <w:pPr>
        <w:pStyle w:val="Style24"/>
        <w:keepNext/>
        <w:keepLines/>
        <w:widowControl w:val="0"/>
        <w:shd w:val="clear" w:color="auto" w:fill="auto"/>
        <w:bidi w:val="0"/>
        <w:spacing w:before="0" w:after="320" w:line="240" w:lineRule="auto"/>
        <w:ind w:left="0" w:right="0" w:firstLine="0"/>
        <w:jc w:val="left"/>
      </w:pPr>
      <w:bookmarkStart w:id="330" w:name="bookmark330"/>
      <w:bookmarkStart w:id="331" w:name="bookmark331"/>
      <w:bookmarkStart w:id="332" w:name="bookmark332"/>
      <w:bookmarkStart w:id="333" w:name="bookmark333"/>
      <w:r>
        <w:rPr>
          <w:rFonts w:ascii="Times New Roman" w:eastAsia="Times New Roman" w:hAnsi="Times New Roman" w:cs="Times New Roman"/>
          <w:color w:val="000000"/>
          <w:spacing w:val="0"/>
          <w:w w:val="100"/>
          <w:position w:val="0"/>
        </w:rPr>
        <w:t>1</w:t>
      </w:r>
      <w:bookmarkEnd w:id="332"/>
      <w:r>
        <w:rPr>
          <w:color w:val="000000"/>
          <w:spacing w:val="0"/>
          <w:w w:val="100"/>
          <w:position w:val="0"/>
        </w:rPr>
        <w:t>、本报告期董事会情况</w:t>
      </w:r>
      <w:bookmarkEnd w:id="330"/>
      <w:bookmarkEnd w:id="331"/>
      <w:bookmarkEnd w:id="333"/>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会议决议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第四届董事会第二十三次会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巨潮资讯网《第四届董事会第</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二十三次会议决议公告》</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2021-001）</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第四届董事会第二十四次会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巨潮资讯网《第四届董事会第</w:t>
            </w:r>
          </w:p>
        </w:tc>
      </w:tr>
    </w:tbl>
    <w:p>
      <w:pPr>
        <w:spacing w:lineRule="exact" w:line="1"/>
        <w:rPr>
          <w:sz w:val="2"/>
          <w:szCs w:val="2"/>
        </w:rPr>
      </w:pPr>
      <w:r>
        <w:br w:type="page"/>
      </w:r>
    </w:p>
    <w:tbl>
      <w:tblPr>
        <w:tblOverlap w:val="never"/>
        <w:jc w:val="center"/>
        <w:tblLayout w:type="fixed"/>
      </w:tblPr>
      <w:tblGrid>
        <w:gridCol w:w="2400"/>
        <w:gridCol w:w="2390"/>
        <w:gridCol w:w="2390"/>
        <w:gridCol w:w="2400"/>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二十四次会议决议公告》</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2021-006）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第四届董事会第二十五次会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巨潮资讯网《第四届董事会第</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二十五次会议决议公告》</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2021-011）</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第四届董事会第二十六次会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巨潮资讯网《第四届董事会第</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二十六次会议决议公告》</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2021-015）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第四届董事会第二十七次会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巨潮资讯网《第四届董事会第</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二十七次会议决议公告》</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2021-018）</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第四届董事会第二十八次会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巨潮资讯网《第四届董事会第</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二十八次会议决议公告》</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2021-028）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第四届董事会第二十九次会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审议通过《公司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年第一 季度报告的议案》</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第四届董事会第三十次会议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巨潮资讯网《第四届董事会第</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三十次会议决议公告》</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2021-037）</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第四届董事会第三十一次会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巨潮资讯网《第四届董事会第</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三十一次会议决议公告》</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2021-045）</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8"/>
                <w:szCs w:val="18"/>
              </w:rPr>
            </w:pPr>
            <w:r>
              <w:rPr>
                <w:color w:val="000000"/>
                <w:spacing w:val="0"/>
                <w:w w:val="100"/>
                <w:position w:val="0"/>
                <w:sz w:val="18"/>
                <w:szCs w:val="18"/>
              </w:rPr>
              <w:t>第四届董事会第三十二次会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巨潮资讯网《第四届董事会第</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三十二次会议决议公告》</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2021-049）</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8"/>
                <w:szCs w:val="18"/>
              </w:rPr>
            </w:pPr>
            <w:r>
              <w:rPr>
                <w:color w:val="000000"/>
                <w:spacing w:val="0"/>
                <w:w w:val="100"/>
                <w:position w:val="0"/>
                <w:sz w:val="18"/>
                <w:szCs w:val="18"/>
              </w:rPr>
              <w:t>第四届董事会第三十三次会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巨潮资讯网《第四届董事会第</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三十三次会议决议公告》</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2021-058）</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8"/>
                <w:szCs w:val="18"/>
              </w:rPr>
            </w:pPr>
            <w:r>
              <w:rPr>
                <w:color w:val="000000"/>
                <w:spacing w:val="0"/>
                <w:w w:val="100"/>
                <w:position w:val="0"/>
                <w:sz w:val="18"/>
                <w:szCs w:val="18"/>
              </w:rPr>
              <w:t>第四届董事会第三十四次会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巨潮资讯网《第四届董事会第</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三十四次会议决议公告》</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2021-063）</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8"/>
                <w:szCs w:val="18"/>
              </w:rPr>
            </w:pPr>
            <w:r>
              <w:rPr>
                <w:color w:val="000000"/>
                <w:spacing w:val="0"/>
                <w:w w:val="100"/>
                <w:position w:val="0"/>
                <w:sz w:val="18"/>
                <w:szCs w:val="18"/>
              </w:rPr>
              <w:t>第四届董事会第三十五次会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巨潮资讯网《第四届董事会第</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三十五次会议决议公告》</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2021-066）</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8"/>
                <w:szCs w:val="18"/>
              </w:rPr>
            </w:pPr>
            <w:r>
              <w:rPr>
                <w:color w:val="000000"/>
                <w:spacing w:val="0"/>
                <w:w w:val="100"/>
                <w:position w:val="0"/>
                <w:sz w:val="18"/>
                <w:szCs w:val="18"/>
              </w:rPr>
              <w:t>第四届董事会第三十六次会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巨潮资讯网《第四届董事会第</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三十六次会议决议公告》</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2021-072）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第四届董事会第三十七次会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审议通过《公司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年第三 季度报告的议案》</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第四届董事会第三十八次会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巨潮资讯网《第四届董事会第</w:t>
            </w:r>
          </w:p>
        </w:tc>
      </w:tr>
    </w:tbl>
    <w:p>
      <w:pPr>
        <w:spacing w:lineRule="exact" w:line="1"/>
        <w:rPr>
          <w:sz w:val="2"/>
          <w:szCs w:val="2"/>
        </w:rPr>
      </w:pPr>
      <w:r>
        <w:br w:type="page"/>
      </w:r>
    </w:p>
    <w:tbl>
      <w:tblPr>
        <w:tblOverlap w:val="never"/>
        <w:jc w:val="center"/>
        <w:tblLayout w:type="fixed"/>
      </w:tblPr>
      <w:tblGrid>
        <w:gridCol w:w="2400"/>
        <w:gridCol w:w="2390"/>
        <w:gridCol w:w="2390"/>
        <w:gridCol w:w="2400"/>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三十八次会议决议公告》</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2021-079）</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第四届董事会第三十九次会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巨潮资讯网《第四届董事会第</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三十九次会议决议公告》</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2021-081）</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第四届董事会第四十次会议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巨潮资讯网《第四届董事会第</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四十次会议决议公告》</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2021-083）</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第五届董事会第一次会议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巨潮资讯网《第五届董事会第 一次会议决议公告》</w:t>
            </w:r>
          </w:p>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2021-093）</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334" w:name="bookmark334"/>
      <w:bookmarkStart w:id="335" w:name="bookmark335"/>
      <w:bookmarkStart w:id="336" w:name="bookmark336"/>
      <w:bookmarkStart w:id="337" w:name="bookmark337"/>
      <w:r>
        <w:rPr>
          <w:rFonts w:ascii="Times New Roman" w:eastAsia="Times New Roman" w:hAnsi="Times New Roman" w:cs="Times New Roman"/>
          <w:color w:val="000000"/>
          <w:spacing w:val="0"/>
          <w:w w:val="100"/>
          <w:position w:val="0"/>
        </w:rPr>
        <w:t>2</w:t>
      </w:r>
      <w:bookmarkEnd w:id="336"/>
      <w:r>
        <w:rPr>
          <w:color w:val="000000"/>
          <w:spacing w:val="0"/>
          <w:w w:val="100"/>
          <w:position w:val="0"/>
        </w:rPr>
        <w:t>、董事出席董事会及股东大会的情况</w:t>
      </w:r>
      <w:bookmarkEnd w:id="334"/>
      <w:bookmarkEnd w:id="335"/>
      <w:bookmarkEnd w:id="337"/>
    </w:p>
    <w:tbl>
      <w:tblPr>
        <w:tblOverlap w:val="never"/>
        <w:jc w:val="center"/>
        <w:tblLayout w:type="fixed"/>
      </w:tblPr>
      <w:tblGrid>
        <w:gridCol w:w="1435"/>
        <w:gridCol w:w="1162"/>
        <w:gridCol w:w="1166"/>
        <w:gridCol w:w="1162"/>
        <w:gridCol w:w="1162"/>
        <w:gridCol w:w="1162"/>
        <w:gridCol w:w="1166"/>
        <w:gridCol w:w="1166"/>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董事出席董事会及股东大会的情况</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本报告期应参</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right"/>
              <w:rPr>
                <w:sz w:val="18"/>
                <w:szCs w:val="18"/>
              </w:rPr>
            </w:pPr>
            <w:r>
              <w:rPr>
                <w:color w:val="000000"/>
                <w:spacing w:val="0"/>
                <w:w w:val="100"/>
                <w:position w:val="0"/>
                <w:sz w:val="18"/>
                <w:szCs w:val="18"/>
              </w:rPr>
              <w:t>以通讯方式参 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是否连续两次</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未亲自参加董</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color w:val="000000"/>
                <w:spacing w:val="0"/>
                <w:w w:val="100"/>
                <w:position w:val="0"/>
                <w:sz w:val="18"/>
                <w:szCs w:val="18"/>
              </w:rPr>
              <w:t>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吴强华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胡环宇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王洪深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邱鲁闽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刘先林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叶金福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邬伦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陈向东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万碧玉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119" w:line="1" w:lineRule="exact"/>
      </w:pPr>
    </w:p>
    <w:p>
      <w:pPr>
        <w:pStyle w:val="Style14"/>
        <w:keepNext w:val="0"/>
        <w:keepLines w:val="0"/>
        <w:widowControl w:val="0"/>
        <w:shd w:val="clear" w:color="auto" w:fill="auto"/>
        <w:bidi w:val="0"/>
        <w:spacing w:before="0" w:after="360" w:line="240" w:lineRule="auto"/>
        <w:ind w:left="0" w:right="0" w:firstLine="0"/>
        <w:jc w:val="left"/>
      </w:pPr>
      <w:r>
        <w:rPr>
          <w:color w:val="000000"/>
          <w:spacing w:val="0"/>
          <w:w w:val="100"/>
          <w:position w:val="0"/>
        </w:rPr>
        <w:t>连续两次未亲自出席董事会的说明</w:t>
      </w:r>
    </w:p>
    <w:p>
      <w:pPr>
        <w:pStyle w:val="Style24"/>
        <w:keepNext/>
        <w:keepLines/>
        <w:widowControl w:val="0"/>
        <w:shd w:val="clear" w:color="auto" w:fill="auto"/>
        <w:bidi w:val="0"/>
        <w:spacing w:before="0" w:after="360" w:line="240" w:lineRule="auto"/>
        <w:ind w:left="0" w:right="0" w:firstLine="0"/>
        <w:jc w:val="left"/>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3</w:t>
      </w:r>
      <w:bookmarkEnd w:id="340"/>
      <w:r>
        <w:rPr>
          <w:color w:val="000000"/>
          <w:spacing w:val="0"/>
          <w:w w:val="100"/>
          <w:position w:val="0"/>
        </w:rPr>
        <w:t>、董事对公司有关事项提出异议的情况</w:t>
      </w:r>
      <w:bookmarkEnd w:id="338"/>
      <w:bookmarkEnd w:id="339"/>
      <w:bookmarkEnd w:id="341"/>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董事对公司有关事项是否提出异议</w:t>
      </w:r>
    </w:p>
    <w:p>
      <w:pPr>
        <w:pStyle w:val="Style1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4"/>
        <w:keepNext w:val="0"/>
        <w:keepLines w:val="0"/>
        <w:widowControl w:val="0"/>
        <w:shd w:val="clear" w:color="auto" w:fill="auto"/>
        <w:bidi w:val="0"/>
        <w:spacing w:before="0" w:after="320" w:line="240" w:lineRule="auto"/>
        <w:ind w:left="0" w:right="0" w:firstLine="0"/>
        <w:jc w:val="left"/>
        <w:sectPr>
          <w:footnotePr>
            <w:pos w:val="pageBottom"/>
            <w:numFmt w:val="decimal"/>
            <w:numRestart w:val="continuous"/>
          </w:footnotePr>
          <w:pgSz w:w="11900" w:h="16840"/>
          <w:pgMar w:top="1321" w:right="1052" w:bottom="1460" w:left="1047" w:header="0" w:footer="3" w:gutter="0"/>
          <w:cols w:space="720"/>
          <w:noEndnote/>
          <w:rtlGutter w:val="0"/>
          <w:docGrid w:linePitch="360"/>
        </w:sectPr>
      </w:pPr>
      <w:r>
        <w:rPr>
          <w:color w:val="000000"/>
          <w:spacing w:val="0"/>
          <w:w w:val="100"/>
          <w:position w:val="0"/>
        </w:rPr>
        <w:t>报告期内董事对公司有关事项未提出异议。</w:t>
      </w:r>
    </w:p>
    <w:p>
      <w:pPr>
        <w:widowControl w:val="0"/>
        <w:spacing w:line="239" w:lineRule="exact"/>
        <w:rPr>
          <w:sz w:val="19"/>
          <w:szCs w:val="19"/>
        </w:rPr>
      </w:pPr>
    </w:p>
    <w:p>
      <w:pPr>
        <w:widowControl w:val="0"/>
        <w:spacing w:line="1" w:lineRule="exact"/>
        <w:sectPr>
          <w:footnotePr>
            <w:pos w:val="pageBottom"/>
            <w:numFmt w:val="decimal"/>
            <w:numRestart w:val="continuous"/>
          </w:footnotePr>
          <w:pgSz w:w="11900" w:h="16840"/>
          <w:pgMar w:top="1152" w:right="992" w:bottom="1158" w:left="1107" w:header="0" w:footer="3" w:gutter="0"/>
          <w:cols w:space="720"/>
          <w:noEndnote/>
          <w:rtlGutter w:val="0"/>
          <w:docGrid w:linePitch="360"/>
        </w:sectPr>
      </w:pPr>
    </w:p>
    <w:p>
      <w:pPr>
        <w:pStyle w:val="Style24"/>
        <w:keepNext/>
        <w:keepLines/>
        <w:framePr w:w="2678" w:h="307" w:wrap="none" w:vAnchor="text" w:hAnchor="page" w:x="1108" w:y="21"/>
        <w:widowControl w:val="0"/>
        <w:shd w:val="clear" w:color="auto" w:fill="auto"/>
        <w:bidi w:val="0"/>
        <w:spacing w:before="0" w:after="0" w:line="240" w:lineRule="auto"/>
        <w:ind w:left="0" w:right="0" w:firstLine="0"/>
        <w:jc w:val="left"/>
      </w:pPr>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rPr>
        <w:t>4</w:t>
      </w:r>
      <w:r>
        <w:rPr>
          <w:color w:val="000000"/>
          <w:spacing w:val="0"/>
          <w:w w:val="100"/>
          <w:position w:val="0"/>
        </w:rPr>
        <w:t>、董事履行职责的其他说明</w:t>
      </w:r>
      <w:bookmarkEnd w:id="342"/>
      <w:bookmarkEnd w:id="343"/>
      <w:bookmarkEnd w:id="344"/>
    </w:p>
    <w:p>
      <w:pPr>
        <w:pStyle w:val="Style14"/>
        <w:keepNext w:val="0"/>
        <w:keepLines w:val="0"/>
        <w:framePr w:w="3638" w:h="936" w:wrap="none" w:vAnchor="text" w:hAnchor="page" w:x="1112" w:y="649"/>
        <w:widowControl w:val="0"/>
        <w:shd w:val="clear" w:color="auto" w:fill="auto"/>
        <w:bidi w:val="0"/>
        <w:spacing w:before="0" w:line="240" w:lineRule="auto"/>
        <w:ind w:left="0" w:right="0" w:firstLine="0"/>
        <w:jc w:val="left"/>
      </w:pPr>
      <w:r>
        <w:rPr>
          <w:color w:val="000000"/>
          <w:spacing w:val="0"/>
          <w:w w:val="100"/>
          <w:position w:val="0"/>
        </w:rPr>
        <w:t>董事对公司有关建议是否被采纳</w:t>
      </w:r>
    </w:p>
    <w:p>
      <w:pPr>
        <w:pStyle w:val="Style14"/>
        <w:keepNext w:val="0"/>
        <w:keepLines w:val="0"/>
        <w:framePr w:w="3638" w:h="936" w:wrap="none" w:vAnchor="text" w:hAnchor="page" w:x="1112" w:y="649"/>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14"/>
        <w:keepNext w:val="0"/>
        <w:keepLines w:val="0"/>
        <w:framePr w:w="3638" w:h="936" w:wrap="none" w:vAnchor="text" w:hAnchor="page" w:x="1112" w:y="649"/>
        <w:widowControl w:val="0"/>
        <w:shd w:val="clear" w:color="auto" w:fill="auto"/>
        <w:bidi w:val="0"/>
        <w:spacing w:before="0" w:line="240" w:lineRule="auto"/>
        <w:ind w:left="0" w:right="0" w:firstLine="0"/>
        <w:jc w:val="left"/>
      </w:pPr>
      <w:r>
        <w:rPr>
          <w:color w:val="000000"/>
          <w:spacing w:val="0"/>
          <w:w w:val="100"/>
          <w:position w:val="0"/>
        </w:rPr>
        <w:t>董事对公司有关建议被采纳或未被采纳的说明</w:t>
      </w:r>
    </w:p>
    <w:p>
      <w:pPr>
        <w:pStyle w:val="Style59"/>
        <w:keepNext w:val="0"/>
        <w:keepLines w:val="0"/>
        <w:framePr w:w="9792" w:h="2371" w:wrap="none" w:vAnchor="text" w:hAnchor="page" w:x="1117" w:y="1590"/>
        <w:widowControl w:val="0"/>
        <w:shd w:val="clear" w:color="auto" w:fill="auto"/>
        <w:bidi w:val="0"/>
        <w:spacing w:before="0" w:after="0" w:line="470" w:lineRule="exact"/>
        <w:ind w:left="0" w:right="0" w:firstLine="480"/>
        <w:jc w:val="left"/>
      </w:pPr>
      <w:r>
        <w:rPr>
          <w:color w:val="000000"/>
          <w:spacing w:val="0"/>
          <w:w w:val="100"/>
          <w:position w:val="0"/>
          <w:sz w:val="24"/>
          <w:szCs w:val="24"/>
        </w:rPr>
        <w:t>报告期内，公司全体董事勤勉尽责，严格按照中国证监会的相关规定及《公司章程》、 《董事会议事规则》等制度开展工作，关注公司运作，高度关注公司规范运作和经营情况， 根据公司的实际情况，对公司的重大治理和经营决策提出了相关的意见，经过充分沟通讨论， 形成一致意见，并坚决监督和推动董事会决议的执行，确保决策科学、及时、高效，维护公 司和全体股东的合法权益。</w:t>
      </w:r>
    </w:p>
    <w:p>
      <w:pPr>
        <w:pStyle w:val="Style19"/>
        <w:keepNext/>
        <w:keepLines/>
        <w:framePr w:w="4853" w:h="302" w:wrap="none" w:vAnchor="text" w:hAnchor="page" w:x="1117" w:y="4316"/>
        <w:widowControl w:val="0"/>
        <w:shd w:val="clear" w:color="auto" w:fill="auto"/>
        <w:bidi w:val="0"/>
        <w:spacing w:before="0" w:after="0" w:line="240" w:lineRule="auto"/>
        <w:ind w:left="0" w:right="0" w:firstLine="0"/>
        <w:jc w:val="left"/>
      </w:pPr>
      <w:bookmarkStart w:id="345" w:name="bookmark345"/>
      <w:bookmarkStart w:id="346" w:name="bookmark346"/>
      <w:bookmarkStart w:id="347" w:name="bookmark347"/>
      <w:r>
        <w:rPr>
          <w:color w:val="000000"/>
          <w:spacing w:val="0"/>
          <w:w w:val="100"/>
          <w:position w:val="0"/>
          <w:sz w:val="24"/>
          <w:szCs w:val="24"/>
        </w:rPr>
        <w:t>九、董事会下设专门委员会在报告期内的情况</w:t>
      </w:r>
      <w:bookmarkEnd w:id="345"/>
      <w:bookmarkEnd w:id="346"/>
      <w:bookmarkEnd w:id="347"/>
    </w:p>
    <w:tbl>
      <w:tblPr>
        <w:tblOverlap w:val="never"/>
        <w:jc w:val="left"/>
        <w:tblLayout w:type="fixed"/>
      </w:tblPr>
      <w:tblGrid>
        <w:gridCol w:w="1205"/>
        <w:gridCol w:w="1195"/>
        <w:gridCol w:w="1195"/>
        <w:gridCol w:w="1200"/>
      </w:tblGrid>
      <w:tr>
        <w:trPr>
          <w:trHeight w:val="715" w:hRule="exact"/>
        </w:trPr>
        <w:tc>
          <w:tcPr>
            <w:tcBorders>
              <w:top w:val="single" w:sz="4"/>
              <w:left w:val="single" w:sz="4"/>
            </w:tcBorders>
            <w:shd w:val="clear" w:color="auto" w:fill="D3D3D3"/>
            <w:vAlign w:val="center"/>
          </w:tcPr>
          <w:p>
            <w:pPr>
              <w:pStyle w:val="Style2"/>
              <w:keepNext w:val="0"/>
              <w:keepLines w:val="0"/>
              <w:framePr w:w="4795" w:h="8880" w:wrap="none" w:vAnchor="text" w:hAnchor="page" w:x="1127" w:y="4916"/>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委员会名称</w:t>
            </w:r>
          </w:p>
        </w:tc>
        <w:tc>
          <w:tcPr>
            <w:tcBorders>
              <w:top w:val="single" w:sz="4"/>
              <w:left w:val="single" w:sz="4"/>
            </w:tcBorders>
            <w:shd w:val="clear" w:color="auto" w:fill="D3D3D3"/>
            <w:vAlign w:val="center"/>
          </w:tcPr>
          <w:p>
            <w:pPr>
              <w:pStyle w:val="Style2"/>
              <w:keepNext w:val="0"/>
              <w:keepLines w:val="0"/>
              <w:framePr w:w="4795" w:h="8880" w:wrap="none" w:vAnchor="text" w:hAnchor="page" w:x="1127" w:y="4916"/>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成员情况</w:t>
            </w:r>
          </w:p>
        </w:tc>
        <w:tc>
          <w:tcPr>
            <w:tcBorders>
              <w:top w:val="single" w:sz="4"/>
              <w:left w:val="single" w:sz="4"/>
            </w:tcBorders>
            <w:shd w:val="clear" w:color="auto" w:fill="D3D3D3"/>
            <w:vAlign w:val="center"/>
          </w:tcPr>
          <w:p>
            <w:pPr>
              <w:pStyle w:val="Style2"/>
              <w:keepNext w:val="0"/>
              <w:keepLines w:val="0"/>
              <w:framePr w:w="4795" w:h="8880" w:wrap="none" w:vAnchor="text" w:hAnchor="page" w:x="1127" w:y="4916"/>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召开会议次数</w:t>
            </w:r>
          </w:p>
        </w:tc>
        <w:tc>
          <w:tcPr>
            <w:tcBorders>
              <w:top w:val="single" w:sz="4"/>
              <w:left w:val="single" w:sz="4"/>
              <w:right w:val="single" w:sz="4"/>
            </w:tcBorders>
            <w:shd w:val="clear" w:color="auto" w:fill="D3D3D3"/>
            <w:vAlign w:val="center"/>
          </w:tcPr>
          <w:p>
            <w:pPr>
              <w:pStyle w:val="Style2"/>
              <w:keepNext w:val="0"/>
              <w:keepLines w:val="0"/>
              <w:framePr w:w="4795" w:h="8880" w:wrap="none" w:vAnchor="text" w:hAnchor="page" w:x="1127" w:y="4916"/>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召开日期</w:t>
            </w:r>
          </w:p>
        </w:tc>
      </w:tr>
      <w:tr>
        <w:trPr>
          <w:trHeight w:val="5083" w:hRule="exact"/>
        </w:trPr>
        <w:tc>
          <w:tcPr>
            <w:vMerge w:val="restart"/>
            <w:tcBorders>
              <w:top w:val="single" w:sz="4"/>
              <w:left w:val="single" w:sz="4"/>
            </w:tcBorders>
            <w:shd w:val="clear" w:color="auto" w:fill="FFFFFF"/>
            <w:vAlign w:val="center"/>
          </w:tcPr>
          <w:p>
            <w:pPr>
              <w:pStyle w:val="Style2"/>
              <w:keepNext w:val="0"/>
              <w:keepLines w:val="0"/>
              <w:framePr w:w="4795" w:h="8880" w:wrap="none" w:vAnchor="text" w:hAnchor="page" w:x="1127" w:y="491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审计委员会</w:t>
            </w:r>
          </w:p>
        </w:tc>
        <w:tc>
          <w:tcPr>
            <w:vMerge w:val="restart"/>
            <w:tcBorders>
              <w:top w:val="single" w:sz="4"/>
              <w:left w:val="single" w:sz="4"/>
            </w:tcBorders>
            <w:shd w:val="clear" w:color="auto" w:fill="FFFFFF"/>
            <w:vAlign w:val="center"/>
          </w:tcPr>
          <w:p>
            <w:pPr>
              <w:pStyle w:val="Style2"/>
              <w:keepNext w:val="0"/>
              <w:keepLines w:val="0"/>
              <w:framePr w:w="4795" w:h="8880" w:wrap="none" w:vAnchor="text" w:hAnchor="page" w:x="1127" w:y="4916"/>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叶金福、邬伦、</w:t>
            </w:r>
          </w:p>
          <w:p>
            <w:pPr>
              <w:pStyle w:val="Style2"/>
              <w:keepNext w:val="0"/>
              <w:keepLines w:val="0"/>
              <w:framePr w:w="4795" w:h="8880" w:wrap="none" w:vAnchor="text" w:hAnchor="page" w:x="1127" w:y="491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王洪深</w:t>
            </w:r>
          </w:p>
        </w:tc>
        <w:tc>
          <w:tcPr>
            <w:vMerge w:val="restart"/>
            <w:tcBorders>
              <w:top w:val="single" w:sz="4"/>
              <w:left w:val="single" w:sz="4"/>
            </w:tcBorders>
            <w:shd w:val="clear" w:color="auto" w:fill="FFFFFF"/>
            <w:vAlign w:val="center"/>
          </w:tcPr>
          <w:p>
            <w:pPr>
              <w:pStyle w:val="Style2"/>
              <w:keepNext w:val="0"/>
              <w:keepLines w:val="0"/>
              <w:framePr w:w="4795" w:h="8880" w:wrap="none" w:vAnchor="text" w:hAnchor="page" w:x="1127" w:y="491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framePr w:w="4795" w:h="8880" w:wrap="none" w:vAnchor="text" w:hAnchor="page" w:x="1127" w:y="4916"/>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p>
          <w:p>
            <w:pPr>
              <w:pStyle w:val="Style2"/>
              <w:keepNext w:val="0"/>
              <w:keepLines w:val="0"/>
              <w:framePr w:w="4795" w:h="8880" w:wrap="none" w:vAnchor="text" w:hAnchor="page" w:x="1127" w:y="491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r>
      <w:tr>
        <w:trPr>
          <w:trHeight w:val="1339" w:hRule="exact"/>
        </w:trPr>
        <w:tc>
          <w:tcPr>
            <w:vMerge/>
            <w:tcBorders>
              <w:left w:val="single" w:sz="4"/>
            </w:tcBorders>
            <w:shd w:val="clear" w:color="auto" w:fill="FFFFFF"/>
            <w:vAlign w:val="center"/>
          </w:tcPr>
          <w:p>
            <w:pPr>
              <w:framePr w:w="4795" w:h="8880" w:wrap="none" w:vAnchor="text" w:hAnchor="page" w:x="1127" w:y="4916"/>
            </w:pPr>
          </w:p>
        </w:tc>
        <w:tc>
          <w:tcPr>
            <w:vMerge/>
            <w:tcBorders>
              <w:left w:val="single" w:sz="4"/>
            </w:tcBorders>
            <w:shd w:val="clear" w:color="auto" w:fill="FFFFFF"/>
            <w:vAlign w:val="center"/>
          </w:tcPr>
          <w:p>
            <w:pPr>
              <w:framePr w:w="4795" w:h="8880" w:wrap="none" w:vAnchor="text" w:hAnchor="page" w:x="1127" w:y="4916"/>
            </w:pPr>
          </w:p>
        </w:tc>
        <w:tc>
          <w:tcPr>
            <w:vMerge/>
            <w:tcBorders>
              <w:left w:val="single" w:sz="4"/>
            </w:tcBorders>
            <w:shd w:val="clear" w:color="auto" w:fill="FFFFFF"/>
            <w:vAlign w:val="center"/>
          </w:tcPr>
          <w:p>
            <w:pPr>
              <w:framePr w:w="4795" w:h="8880" w:wrap="none" w:vAnchor="text" w:hAnchor="page" w:x="1127" w:y="4916"/>
            </w:pPr>
          </w:p>
        </w:tc>
        <w:tc>
          <w:tcPr>
            <w:tcBorders>
              <w:top w:val="single" w:sz="4"/>
              <w:left w:val="single" w:sz="4"/>
              <w:right w:val="single" w:sz="4"/>
            </w:tcBorders>
            <w:shd w:val="clear" w:color="auto" w:fill="FFFFFF"/>
            <w:vAlign w:val="center"/>
          </w:tcPr>
          <w:p>
            <w:pPr>
              <w:pStyle w:val="Style2"/>
              <w:keepNext w:val="0"/>
              <w:keepLines w:val="0"/>
              <w:framePr w:w="4795" w:h="8880" w:wrap="none" w:vAnchor="text" w:hAnchor="page" w:x="1127" w:y="4916"/>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p>
          <w:p>
            <w:pPr>
              <w:pStyle w:val="Style2"/>
              <w:keepNext w:val="0"/>
              <w:keepLines w:val="0"/>
              <w:framePr w:w="4795" w:h="8880" w:wrap="none" w:vAnchor="text" w:hAnchor="page" w:x="1127" w:y="491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r>
      <w:tr>
        <w:trPr>
          <w:trHeight w:val="1027" w:hRule="exact"/>
        </w:trPr>
        <w:tc>
          <w:tcPr>
            <w:vMerge/>
            <w:tcBorders>
              <w:left w:val="single" w:sz="4"/>
            </w:tcBorders>
            <w:shd w:val="clear" w:color="auto" w:fill="FFFFFF"/>
            <w:vAlign w:val="center"/>
          </w:tcPr>
          <w:p>
            <w:pPr>
              <w:framePr w:w="4795" w:h="8880" w:wrap="none" w:vAnchor="text" w:hAnchor="page" w:x="1127" w:y="4916"/>
            </w:pPr>
          </w:p>
        </w:tc>
        <w:tc>
          <w:tcPr>
            <w:vMerge/>
            <w:tcBorders>
              <w:left w:val="single" w:sz="4"/>
            </w:tcBorders>
            <w:shd w:val="clear" w:color="auto" w:fill="FFFFFF"/>
            <w:vAlign w:val="center"/>
          </w:tcPr>
          <w:p>
            <w:pPr>
              <w:framePr w:w="4795" w:h="8880" w:wrap="none" w:vAnchor="text" w:hAnchor="page" w:x="1127" w:y="4916"/>
            </w:pPr>
          </w:p>
        </w:tc>
        <w:tc>
          <w:tcPr>
            <w:vMerge/>
            <w:tcBorders>
              <w:left w:val="single" w:sz="4"/>
            </w:tcBorders>
            <w:shd w:val="clear" w:color="auto" w:fill="FFFFFF"/>
            <w:vAlign w:val="center"/>
          </w:tcPr>
          <w:p>
            <w:pPr>
              <w:framePr w:w="4795" w:h="8880" w:wrap="none" w:vAnchor="text" w:hAnchor="page" w:x="1127" w:y="4916"/>
            </w:pPr>
          </w:p>
        </w:tc>
        <w:tc>
          <w:tcPr>
            <w:tcBorders>
              <w:top w:val="single" w:sz="4"/>
              <w:left w:val="single" w:sz="4"/>
              <w:right w:val="single" w:sz="4"/>
            </w:tcBorders>
            <w:shd w:val="clear" w:color="auto" w:fill="FFFFFF"/>
            <w:vAlign w:val="center"/>
          </w:tcPr>
          <w:p>
            <w:pPr>
              <w:pStyle w:val="Style2"/>
              <w:keepNext w:val="0"/>
              <w:keepLines w:val="0"/>
              <w:framePr w:w="4795" w:h="8880" w:wrap="none" w:vAnchor="text" w:hAnchor="page" w:x="1127" w:y="4916"/>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p>
          <w:p>
            <w:pPr>
              <w:pStyle w:val="Style2"/>
              <w:keepNext w:val="0"/>
              <w:keepLines w:val="0"/>
              <w:framePr w:w="4795" w:h="8880" w:wrap="none" w:vAnchor="text" w:hAnchor="page" w:x="1127" w:y="491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r>
      <w:tr>
        <w:trPr>
          <w:trHeight w:val="715" w:hRule="exact"/>
        </w:trPr>
        <w:tc>
          <w:tcPr>
            <w:vMerge/>
            <w:tcBorders>
              <w:left w:val="single" w:sz="4"/>
              <w:bottom w:val="single" w:sz="4"/>
            </w:tcBorders>
            <w:shd w:val="clear" w:color="auto" w:fill="FFFFFF"/>
            <w:vAlign w:val="center"/>
          </w:tcPr>
          <w:p>
            <w:pPr>
              <w:framePr w:w="4795" w:h="8880" w:wrap="none" w:vAnchor="text" w:hAnchor="page" w:x="1127" w:y="4916"/>
            </w:pPr>
          </w:p>
        </w:tc>
        <w:tc>
          <w:tcPr>
            <w:vMerge/>
            <w:tcBorders>
              <w:left w:val="single" w:sz="4"/>
              <w:bottom w:val="single" w:sz="4"/>
            </w:tcBorders>
            <w:shd w:val="clear" w:color="auto" w:fill="FFFFFF"/>
            <w:vAlign w:val="center"/>
          </w:tcPr>
          <w:p>
            <w:pPr>
              <w:framePr w:w="4795" w:h="8880" w:wrap="none" w:vAnchor="text" w:hAnchor="page" w:x="1127" w:y="4916"/>
            </w:pPr>
          </w:p>
        </w:tc>
        <w:tc>
          <w:tcPr>
            <w:vMerge/>
            <w:tcBorders>
              <w:left w:val="single" w:sz="4"/>
              <w:bottom w:val="single" w:sz="4"/>
            </w:tcBorders>
            <w:shd w:val="clear" w:color="auto" w:fill="FFFFFF"/>
            <w:vAlign w:val="center"/>
          </w:tcPr>
          <w:p>
            <w:pPr>
              <w:framePr w:w="4795" w:h="8880" w:wrap="none" w:vAnchor="text" w:hAnchor="page" w:x="1127" w:y="4916"/>
            </w:pPr>
          </w:p>
        </w:tc>
        <w:tc>
          <w:tcPr>
            <w:tcBorders>
              <w:top w:val="single" w:sz="4"/>
              <w:left w:val="single" w:sz="4"/>
              <w:bottom w:val="single" w:sz="4"/>
              <w:right w:val="single" w:sz="4"/>
            </w:tcBorders>
            <w:shd w:val="clear" w:color="auto" w:fill="FFFFFF"/>
            <w:vAlign w:val="center"/>
          </w:tcPr>
          <w:p>
            <w:pPr>
              <w:pStyle w:val="Style2"/>
              <w:keepNext w:val="0"/>
              <w:keepLines w:val="0"/>
              <w:framePr w:w="4795" w:h="8880" w:wrap="none" w:vAnchor="text" w:hAnchor="page" w:x="1127" w:y="4916"/>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p>
          <w:p>
            <w:pPr>
              <w:pStyle w:val="Style2"/>
              <w:keepNext w:val="0"/>
              <w:keepLines w:val="0"/>
              <w:framePr w:w="4795" w:h="8880" w:wrap="none" w:vAnchor="text" w:hAnchor="page" w:x="1127" w:y="491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r>
    </w:tbl>
    <w:p>
      <w:pPr>
        <w:framePr w:w="4795" w:h="8880" w:wrap="none" w:vAnchor="text" w:hAnchor="page" w:x="1127" w:y="4916"/>
        <w:widowControl w:val="0"/>
        <w:spacing w:line="1" w:lineRule="exact"/>
      </w:pPr>
    </w:p>
    <w:tbl>
      <w:tblPr>
        <w:tblOverlap w:val="never"/>
        <w:jc w:val="left"/>
        <w:tblLayout w:type="fixed"/>
      </w:tblPr>
      <w:tblGrid>
        <w:gridCol w:w="1205"/>
        <w:gridCol w:w="1195"/>
        <w:gridCol w:w="1195"/>
        <w:gridCol w:w="1205"/>
      </w:tblGrid>
      <w:tr>
        <w:trPr>
          <w:trHeight w:val="715" w:hRule="exact"/>
        </w:trPr>
        <w:tc>
          <w:tcPr>
            <w:tcBorders>
              <w:top w:val="single" w:sz="4"/>
              <w:left w:val="single" w:sz="4"/>
            </w:tcBorders>
            <w:shd w:val="clear" w:color="auto" w:fill="D3D3D3"/>
            <w:vAlign w:val="center"/>
          </w:tcPr>
          <w:p>
            <w:pPr>
              <w:pStyle w:val="Style2"/>
              <w:keepNext w:val="0"/>
              <w:keepLines w:val="0"/>
              <w:framePr w:w="4800" w:h="8880" w:wrap="none" w:vAnchor="text" w:hAnchor="page" w:x="5908" w:y="491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会议内容</w:t>
            </w:r>
          </w:p>
        </w:tc>
        <w:tc>
          <w:tcPr>
            <w:tcBorders>
              <w:top w:val="single" w:sz="4"/>
              <w:left w:val="single" w:sz="4"/>
            </w:tcBorders>
            <w:shd w:val="clear" w:color="auto" w:fill="D3D3D3"/>
            <w:vAlign w:val="center"/>
          </w:tcPr>
          <w:p>
            <w:pPr>
              <w:pStyle w:val="Style2"/>
              <w:keepNext w:val="0"/>
              <w:keepLines w:val="0"/>
              <w:framePr w:w="4800" w:h="8880" w:wrap="none" w:vAnchor="text" w:hAnchor="page" w:x="5908" w:y="4916"/>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提出的重要意 见和建议</w:t>
            </w:r>
          </w:p>
        </w:tc>
        <w:tc>
          <w:tcPr>
            <w:tcBorders>
              <w:top w:val="single" w:sz="4"/>
              <w:left w:val="single" w:sz="4"/>
            </w:tcBorders>
            <w:shd w:val="clear" w:color="auto" w:fill="D3D3D3"/>
            <w:vAlign w:val="center"/>
          </w:tcPr>
          <w:p>
            <w:pPr>
              <w:pStyle w:val="Style2"/>
              <w:keepNext w:val="0"/>
              <w:keepLines w:val="0"/>
              <w:framePr w:w="4800" w:h="8880" w:wrap="none" w:vAnchor="text" w:hAnchor="page" w:x="5908" w:y="4916"/>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其他履行职责 的情况</w:t>
            </w:r>
          </w:p>
        </w:tc>
        <w:tc>
          <w:tcPr>
            <w:tcBorders>
              <w:top w:val="single" w:sz="4"/>
              <w:left w:val="single" w:sz="4"/>
              <w:right w:val="single" w:sz="4"/>
            </w:tcBorders>
            <w:shd w:val="clear" w:color="auto" w:fill="D3D3D3"/>
            <w:vAlign w:val="center"/>
          </w:tcPr>
          <w:p>
            <w:pPr>
              <w:pStyle w:val="Style2"/>
              <w:keepNext w:val="0"/>
              <w:keepLines w:val="0"/>
              <w:framePr w:w="4800" w:h="8880" w:wrap="none" w:vAnchor="text" w:hAnchor="page" w:x="5908" w:y="4916"/>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异议事项具体 情况（如有）</w:t>
            </w:r>
          </w:p>
        </w:tc>
      </w:tr>
      <w:tr>
        <w:trPr>
          <w:trHeight w:val="5083" w:hRule="exact"/>
        </w:trPr>
        <w:tc>
          <w:tcPr>
            <w:tcBorders>
              <w:top w:val="single" w:sz="4"/>
              <w:left w:val="single" w:sz="4"/>
            </w:tcBorders>
            <w:shd w:val="clear" w:color="auto" w:fill="FFFFFF"/>
            <w:vAlign w:val="center"/>
          </w:tcPr>
          <w:p>
            <w:pPr>
              <w:pStyle w:val="Style2"/>
              <w:keepNext w:val="0"/>
              <w:keepLines w:val="0"/>
              <w:framePr w:w="4800" w:h="8880" w:wrap="none" w:vAnchor="text" w:hAnchor="page" w:x="5908" w:y="4916"/>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审议《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 年度报告全文 及其摘要》； 审议《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 内部控制自我 评价报告》； 审议《关于公 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年度非 经营性资金占 用及其他关联 资金往来情况 的专项审核说 明》；审议《关 于续聘会计师 事务所的议 案》</w:t>
            </w:r>
          </w:p>
        </w:tc>
        <w:tc>
          <w:tcPr>
            <w:tcBorders>
              <w:top w:val="single" w:sz="4"/>
              <w:left w:val="single" w:sz="4"/>
            </w:tcBorders>
            <w:shd w:val="clear" w:color="auto" w:fill="FFFFFF"/>
            <w:vAlign w:val="top"/>
          </w:tcPr>
          <w:p>
            <w:pPr>
              <w:framePr w:w="4800" w:h="8880" w:wrap="none" w:vAnchor="text" w:hAnchor="page" w:x="5908" w:y="4916"/>
              <w:widowControl w:val="0"/>
              <w:rPr>
                <w:sz w:val="10"/>
                <w:szCs w:val="10"/>
              </w:rPr>
            </w:pPr>
          </w:p>
        </w:tc>
        <w:tc>
          <w:tcPr>
            <w:tcBorders>
              <w:top w:val="single" w:sz="4"/>
              <w:left w:val="single" w:sz="4"/>
            </w:tcBorders>
            <w:shd w:val="clear" w:color="auto" w:fill="FFFFFF"/>
            <w:vAlign w:val="top"/>
          </w:tcPr>
          <w:p>
            <w:pPr>
              <w:framePr w:w="4800" w:h="8880" w:wrap="none" w:vAnchor="text" w:hAnchor="page" w:x="5908" w:y="4916"/>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framePr w:w="4800" w:h="8880" w:wrap="none" w:vAnchor="text" w:hAnchor="page" w:x="5908" w:y="491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1339" w:hRule="exact"/>
        </w:trPr>
        <w:tc>
          <w:tcPr>
            <w:tcBorders>
              <w:top w:val="single" w:sz="4"/>
              <w:left w:val="single" w:sz="4"/>
            </w:tcBorders>
            <w:shd w:val="clear" w:color="auto" w:fill="FFFFFF"/>
            <w:vAlign w:val="center"/>
          </w:tcPr>
          <w:p>
            <w:pPr>
              <w:pStyle w:val="Style2"/>
              <w:keepNext w:val="0"/>
              <w:keepLines w:val="0"/>
              <w:framePr w:w="4800" w:h="8880" w:wrap="none" w:vAnchor="text" w:hAnchor="page" w:x="5908" w:y="4916"/>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p>
          <w:p>
            <w:pPr>
              <w:pStyle w:val="Style2"/>
              <w:keepNext w:val="0"/>
              <w:keepLines w:val="0"/>
              <w:framePr w:w="4800" w:h="8880" w:wrap="none" w:vAnchor="text" w:hAnchor="page" w:x="5908" w:y="4916"/>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第一季度报告</w:t>
            </w:r>
          </w:p>
          <w:p>
            <w:pPr>
              <w:pStyle w:val="Style2"/>
              <w:keepNext w:val="0"/>
              <w:keepLines w:val="0"/>
              <w:framePr w:w="4800" w:h="8880" w:wrap="none" w:vAnchor="text" w:hAnchor="page" w:x="5908" w:y="4916"/>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全文及其摘</w:t>
            </w:r>
          </w:p>
          <w:p>
            <w:pPr>
              <w:pStyle w:val="Style2"/>
              <w:keepNext w:val="0"/>
              <w:keepLines w:val="0"/>
              <w:framePr w:w="4800" w:h="8880" w:wrap="none" w:vAnchor="text" w:hAnchor="page" w:x="5908" w:y="4916"/>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要》</w:t>
            </w:r>
          </w:p>
        </w:tc>
        <w:tc>
          <w:tcPr>
            <w:tcBorders>
              <w:top w:val="single" w:sz="4"/>
              <w:left w:val="single" w:sz="4"/>
            </w:tcBorders>
            <w:shd w:val="clear" w:color="auto" w:fill="FFFFFF"/>
            <w:vAlign w:val="top"/>
          </w:tcPr>
          <w:p>
            <w:pPr>
              <w:framePr w:w="4800" w:h="8880" w:wrap="none" w:vAnchor="text" w:hAnchor="page" w:x="5908" w:y="4916"/>
              <w:widowControl w:val="0"/>
              <w:rPr>
                <w:sz w:val="10"/>
                <w:szCs w:val="10"/>
              </w:rPr>
            </w:pPr>
          </w:p>
        </w:tc>
        <w:tc>
          <w:tcPr>
            <w:tcBorders>
              <w:top w:val="single" w:sz="4"/>
              <w:left w:val="single" w:sz="4"/>
            </w:tcBorders>
            <w:shd w:val="clear" w:color="auto" w:fill="FFFFFF"/>
            <w:vAlign w:val="top"/>
          </w:tcPr>
          <w:p>
            <w:pPr>
              <w:framePr w:w="4800" w:h="8880" w:wrap="none" w:vAnchor="text" w:hAnchor="page" w:x="5908" w:y="4916"/>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framePr w:w="4800" w:h="8880" w:wrap="none" w:vAnchor="text" w:hAnchor="page" w:x="5908" w:y="491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1027" w:hRule="exact"/>
        </w:trPr>
        <w:tc>
          <w:tcPr>
            <w:tcBorders>
              <w:top w:val="single" w:sz="4"/>
              <w:left w:val="single" w:sz="4"/>
            </w:tcBorders>
            <w:shd w:val="clear" w:color="auto" w:fill="FFFFFF"/>
            <w:vAlign w:val="center"/>
          </w:tcPr>
          <w:p>
            <w:pPr>
              <w:pStyle w:val="Style2"/>
              <w:keepNext w:val="0"/>
              <w:keepLines w:val="0"/>
              <w:framePr w:w="4800" w:h="8880" w:wrap="none" w:vAnchor="text" w:hAnchor="page" w:x="5908" w:y="4916"/>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p>
          <w:p>
            <w:pPr>
              <w:pStyle w:val="Style2"/>
              <w:keepNext w:val="0"/>
              <w:keepLines w:val="0"/>
              <w:framePr w:w="4800" w:h="8880" w:wrap="none" w:vAnchor="text" w:hAnchor="page" w:x="5908" w:y="4916"/>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半年度报告全</w:t>
            </w:r>
          </w:p>
          <w:p>
            <w:pPr>
              <w:pStyle w:val="Style2"/>
              <w:keepNext w:val="0"/>
              <w:keepLines w:val="0"/>
              <w:framePr w:w="4800" w:h="8880" w:wrap="none" w:vAnchor="text" w:hAnchor="page" w:x="5908" w:y="4916"/>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文及其摘要》</w:t>
            </w:r>
          </w:p>
        </w:tc>
        <w:tc>
          <w:tcPr>
            <w:tcBorders>
              <w:top w:val="single" w:sz="4"/>
              <w:left w:val="single" w:sz="4"/>
            </w:tcBorders>
            <w:shd w:val="clear" w:color="auto" w:fill="FFFFFF"/>
            <w:vAlign w:val="top"/>
          </w:tcPr>
          <w:p>
            <w:pPr>
              <w:framePr w:w="4800" w:h="8880" w:wrap="none" w:vAnchor="text" w:hAnchor="page" w:x="5908" w:y="4916"/>
              <w:widowControl w:val="0"/>
              <w:rPr>
                <w:sz w:val="10"/>
                <w:szCs w:val="10"/>
              </w:rPr>
            </w:pPr>
          </w:p>
        </w:tc>
        <w:tc>
          <w:tcPr>
            <w:tcBorders>
              <w:top w:val="single" w:sz="4"/>
              <w:left w:val="single" w:sz="4"/>
            </w:tcBorders>
            <w:shd w:val="clear" w:color="auto" w:fill="FFFFFF"/>
            <w:vAlign w:val="top"/>
          </w:tcPr>
          <w:p>
            <w:pPr>
              <w:framePr w:w="4800" w:h="8880" w:wrap="none" w:vAnchor="text" w:hAnchor="page" w:x="5908" w:y="4916"/>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framePr w:w="4800" w:h="8880" w:wrap="none" w:vAnchor="text" w:hAnchor="page" w:x="5908" w:y="491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framePr w:w="4800" w:h="8880" w:wrap="none" w:vAnchor="text" w:hAnchor="page" w:x="5908" w:y="4916"/>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p>
          <w:p>
            <w:pPr>
              <w:pStyle w:val="Style2"/>
              <w:keepNext w:val="0"/>
              <w:keepLines w:val="0"/>
              <w:framePr w:w="4800" w:h="8880" w:wrap="none" w:vAnchor="text" w:hAnchor="page" w:x="5908" w:y="4916"/>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第三季度报告</w:t>
            </w:r>
          </w:p>
        </w:tc>
        <w:tc>
          <w:tcPr>
            <w:tcBorders>
              <w:top w:val="single" w:sz="4"/>
              <w:left w:val="single" w:sz="4"/>
              <w:bottom w:val="single" w:sz="4"/>
            </w:tcBorders>
            <w:shd w:val="clear" w:color="auto" w:fill="FFFFFF"/>
            <w:vAlign w:val="top"/>
          </w:tcPr>
          <w:p>
            <w:pPr>
              <w:framePr w:w="4800" w:h="8880" w:wrap="none" w:vAnchor="text" w:hAnchor="page" w:x="5908" w:y="4916"/>
              <w:widowControl w:val="0"/>
              <w:rPr>
                <w:sz w:val="10"/>
                <w:szCs w:val="10"/>
              </w:rPr>
            </w:pPr>
          </w:p>
        </w:tc>
        <w:tc>
          <w:tcPr>
            <w:tcBorders>
              <w:top w:val="single" w:sz="4"/>
              <w:left w:val="single" w:sz="4"/>
              <w:bottom w:val="single" w:sz="4"/>
            </w:tcBorders>
            <w:shd w:val="clear" w:color="auto" w:fill="FFFFFF"/>
            <w:vAlign w:val="top"/>
          </w:tcPr>
          <w:p>
            <w:pPr>
              <w:framePr w:w="4800" w:h="8880" w:wrap="none" w:vAnchor="text" w:hAnchor="page" w:x="5908" w:y="4916"/>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framePr w:w="4800" w:h="8880" w:wrap="none" w:vAnchor="text" w:hAnchor="page" w:x="5908" w:y="491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framePr w:w="4800" w:h="8880" w:wrap="none" w:vAnchor="text" w:hAnchor="page" w:x="5908" w:y="4916"/>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74" w:line="1" w:lineRule="exact"/>
      </w:pPr>
    </w:p>
    <w:p>
      <w:pPr>
        <w:widowControl w:val="0"/>
        <w:spacing w:line="1" w:lineRule="exact"/>
        <w:sectPr>
          <w:footnotePr>
            <w:pos w:val="pageBottom"/>
            <w:numFmt w:val="decimal"/>
            <w:numRestart w:val="continuous"/>
          </w:footnotePr>
          <w:type w:val="continuous"/>
          <w:pgSz w:w="11900" w:h="16840"/>
          <w:pgMar w:top="1152" w:right="992" w:bottom="1158" w:left="1107" w:header="0" w:footer="3" w:gutter="0"/>
          <w:cols w:space="720"/>
          <w:noEndnote/>
          <w:rtlGutter w:val="0"/>
          <w:docGrid w:linePitch="360"/>
        </w:sectPr>
      </w:pPr>
    </w:p>
    <w:p>
      <w:pPr>
        <w:widowControl w:val="0"/>
        <w:spacing w:after="119" w:line="1" w:lineRule="exact"/>
      </w:pPr>
    </w:p>
    <w:tbl>
      <w:tblPr>
        <w:tblOverlap w:val="never"/>
        <w:jc w:val="center"/>
        <w:tblLayout w:type="fixed"/>
      </w:tblPr>
      <w:tblGrid>
        <w:gridCol w:w="1205"/>
        <w:gridCol w:w="1195"/>
        <w:gridCol w:w="1195"/>
        <w:gridCol w:w="1195"/>
        <w:gridCol w:w="1195"/>
        <w:gridCol w:w="1195"/>
        <w:gridCol w:w="1195"/>
        <w:gridCol w:w="1205"/>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全文及其摘 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薪酬与考核委 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刘先林、叶金 福、朱华</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 xml:space="preserve">审议《公司非 独立董事、高 级管理人员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年年度绩 效考核情况》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196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8"/>
                <w:szCs w:val="18"/>
              </w:rPr>
              <w:t xml:space="preserve">审议《公司非 独立董事、高 级管理人员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年半年度 绩效考核情 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102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提名委员会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邬伦、叶金福、 邱鲁闽</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审议《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年度工作总</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38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审议《关于公 司董事会换届 选举暨提名第 五届董事会非 独立董事候选 人的议案》； 审议《关于公 司董事会换届 选举暨提名第 五届董事会独 立董事候选人 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71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战略委员会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吴强华、刘先 林、王东</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 发展规划》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1032"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半年度发展总</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widowControl w:val="0"/>
        <w:spacing w:after="299" w:line="1" w:lineRule="exact"/>
      </w:pPr>
    </w:p>
    <w:p>
      <w:pPr>
        <w:pStyle w:val="Style19"/>
        <w:keepNext/>
        <w:keepLines/>
        <w:widowControl w:val="0"/>
        <w:shd w:val="clear" w:color="auto" w:fill="auto"/>
        <w:bidi w:val="0"/>
        <w:spacing w:before="0" w:after="360" w:line="240" w:lineRule="auto"/>
        <w:ind w:left="0" w:right="0" w:firstLine="0"/>
        <w:jc w:val="left"/>
      </w:pPr>
      <w:bookmarkStart w:id="348" w:name="bookmark348"/>
      <w:bookmarkStart w:id="349" w:name="bookmark349"/>
      <w:bookmarkStart w:id="350" w:name="bookmark350"/>
      <w:r>
        <w:rPr>
          <w:color w:val="000000"/>
          <w:spacing w:val="0"/>
          <w:w w:val="100"/>
          <w:position w:val="0"/>
          <w:sz w:val="24"/>
          <w:szCs w:val="24"/>
        </w:rPr>
        <w:t>十、监事会工作情况</w:t>
      </w:r>
      <w:bookmarkEnd w:id="348"/>
      <w:bookmarkEnd w:id="349"/>
      <w:bookmarkEnd w:id="350"/>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1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rPr>
        <w:t>监事会对报告期内的监督事项无异议。</w:t>
      </w:r>
      <w:r>
        <w:br w:type="page"/>
      </w:r>
    </w:p>
    <w:p>
      <w:pPr>
        <w:pStyle w:val="Style19"/>
        <w:keepNext/>
        <w:keepLines/>
        <w:widowControl w:val="0"/>
        <w:shd w:val="clear" w:color="auto" w:fill="auto"/>
        <w:bidi w:val="0"/>
        <w:spacing w:before="0" w:line="240" w:lineRule="auto"/>
        <w:ind w:left="0" w:right="0" w:firstLine="0"/>
        <w:jc w:val="both"/>
      </w:pPr>
      <w:bookmarkStart w:id="351" w:name="bookmark351"/>
      <w:bookmarkStart w:id="352" w:name="bookmark352"/>
      <w:bookmarkStart w:id="353" w:name="bookmark353"/>
      <w:r>
        <w:rPr>
          <w:color w:val="000000"/>
          <w:spacing w:val="0"/>
          <w:w w:val="100"/>
          <w:position w:val="0"/>
          <w:sz w:val="24"/>
          <w:szCs w:val="24"/>
        </w:rPr>
        <w:t>十一、公司员工情况</w:t>
      </w:r>
      <w:bookmarkEnd w:id="351"/>
      <w:bookmarkEnd w:id="352"/>
      <w:bookmarkEnd w:id="353"/>
    </w:p>
    <w:p>
      <w:pPr>
        <w:pStyle w:val="Style24"/>
        <w:keepNext/>
        <w:keepLines/>
        <w:widowControl w:val="0"/>
        <w:shd w:val="clear" w:color="auto" w:fill="auto"/>
        <w:bidi w:val="0"/>
        <w:spacing w:before="0" w:after="320" w:line="240" w:lineRule="auto"/>
        <w:ind w:left="0" w:right="0" w:firstLine="0"/>
        <w:jc w:val="both"/>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1</w:t>
      </w:r>
      <w:bookmarkEnd w:id="356"/>
      <w:r>
        <w:rPr>
          <w:color w:val="000000"/>
          <w:spacing w:val="0"/>
          <w:w w:val="100"/>
          <w:position w:val="0"/>
        </w:rPr>
        <w:t>、员工数量、专业构成及教育程度</w:t>
      </w:r>
      <w:bookmarkEnd w:id="354"/>
      <w:bookmarkEnd w:id="355"/>
      <w:bookmarkEnd w:id="357"/>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1,027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6,899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7,926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7,926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信采人员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6,133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7,926</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教育程度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硕士及以上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1,364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1,750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4,514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7,926</w:t>
            </w:r>
          </w:p>
        </w:tc>
      </w:tr>
    </w:tbl>
    <w:p>
      <w:pPr>
        <w:widowControl w:val="0"/>
        <w:spacing w:after="319" w:line="1" w:lineRule="exact"/>
      </w:pPr>
    </w:p>
    <w:p>
      <w:pPr>
        <w:pStyle w:val="Style24"/>
        <w:keepNext/>
        <w:keepLines/>
        <w:widowControl w:val="0"/>
        <w:shd w:val="clear" w:color="auto" w:fill="auto"/>
        <w:bidi w:val="0"/>
        <w:spacing w:before="0" w:after="220" w:line="240" w:lineRule="auto"/>
        <w:ind w:left="0" w:right="0" w:firstLine="0"/>
        <w:jc w:val="both"/>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2</w:t>
      </w:r>
      <w:bookmarkEnd w:id="360"/>
      <w:r>
        <w:rPr>
          <w:color w:val="000000"/>
          <w:spacing w:val="0"/>
          <w:w w:val="100"/>
          <w:position w:val="0"/>
        </w:rPr>
        <w:t>、薪酬政策</w:t>
      </w:r>
      <w:bookmarkEnd w:id="358"/>
      <w:bookmarkEnd w:id="359"/>
      <w:bookmarkEnd w:id="361"/>
    </w:p>
    <w:p>
      <w:pPr>
        <w:pStyle w:val="Style59"/>
        <w:keepNext w:val="0"/>
        <w:keepLines w:val="0"/>
        <w:widowControl w:val="0"/>
        <w:shd w:val="clear" w:color="auto" w:fill="auto"/>
        <w:bidi w:val="0"/>
        <w:spacing w:before="0" w:after="320" w:line="468" w:lineRule="exact"/>
        <w:ind w:left="0" w:right="0" w:firstLine="480"/>
        <w:jc w:val="both"/>
      </w:pPr>
      <w:r>
        <w:rPr>
          <w:color w:val="000000"/>
          <w:spacing w:val="0"/>
          <w:w w:val="100"/>
          <w:position w:val="0"/>
          <w:sz w:val="24"/>
          <w:szCs w:val="24"/>
        </w:rPr>
        <w:t>员工薪酬分为基本薪酬+绩效奖金+岗位津贴，基本薪酬是根据员工的岗位价值、学历、 技能水平等因素确定，绩效奖金部分充分与公司的年度经营目标相结合，岗位津贴与员工日 常补贴相结合，根据不同岗位制定不同的绩效考核管理方式，将公司效益与员工利息有效的 紧密结合。公司通过提供有竞争力的薪酬福利待遇，建立公司与员工合理分享公司发展成果 的机制，使薪酬与岗位、与个人贡献相匹配。通过“创新、责任、诚信、人和”企业文化的 建设，努力实现公司及员工个人价值的最大化。</w:t>
      </w:r>
    </w:p>
    <w:p>
      <w:pPr>
        <w:pStyle w:val="Style59"/>
        <w:keepNext w:val="0"/>
        <w:keepLines w:val="0"/>
        <w:widowControl w:val="0"/>
        <w:shd w:val="clear" w:color="auto" w:fill="auto"/>
        <w:bidi w:val="0"/>
        <w:spacing w:before="0" w:after="0" w:line="485" w:lineRule="exact"/>
        <w:ind w:left="0" w:right="0" w:firstLine="500"/>
        <w:jc w:val="both"/>
      </w:pPr>
      <w:r>
        <w:rPr>
          <w:color w:val="000000"/>
          <w:spacing w:val="0"/>
          <w:w w:val="100"/>
          <w:position w:val="0"/>
          <w:sz w:val="24"/>
          <w:szCs w:val="24"/>
        </w:rPr>
        <w:t>公司需遵守《深圳证券交易所上市公司自律监管指引第3号</w:t>
      </w:r>
      <w:r>
        <w:rPr>
          <w:color w:val="000000"/>
          <w:spacing w:val="0"/>
          <w:w w:val="100"/>
          <w:position w:val="0"/>
          <w:sz w:val="24"/>
          <w:szCs w:val="24"/>
        </w:rPr>
        <w:t>一一</w:t>
      </w:r>
      <w:r>
        <w:rPr>
          <w:color w:val="000000"/>
          <w:spacing w:val="0"/>
          <w:w w:val="100"/>
          <w:position w:val="0"/>
          <w:sz w:val="24"/>
          <w:szCs w:val="24"/>
        </w:rPr>
        <w:t>行业信息披露》中的“软 件与信息技术服务业”的披露要求</w:t>
      </w:r>
    </w:p>
    <w:p>
      <w:pPr>
        <w:pStyle w:val="Style59"/>
        <w:keepNext w:val="0"/>
        <w:keepLines w:val="0"/>
        <w:widowControl w:val="0"/>
        <w:shd w:val="clear" w:color="auto" w:fill="auto"/>
        <w:bidi w:val="0"/>
        <w:spacing w:before="0" w:after="420" w:line="467" w:lineRule="exact"/>
        <w:ind w:left="0" w:right="0" w:firstLine="500"/>
        <w:jc w:val="both"/>
      </w:pPr>
      <w:r>
        <w:rPr>
          <w:color w:val="000000"/>
          <w:spacing w:val="0"/>
          <w:w w:val="100"/>
          <w:position w:val="0"/>
          <w:sz w:val="24"/>
          <w:szCs w:val="24"/>
        </w:rPr>
        <w:t xml:space="preserve">报告期内，公司职工薪酬总额56, </w:t>
      </w:r>
      <w:r>
        <w:rPr>
          <w:color w:val="000000"/>
          <w:spacing w:val="0"/>
          <w:w w:val="100"/>
          <w:position w:val="0"/>
          <w:sz w:val="24"/>
          <w:szCs w:val="24"/>
        </w:rPr>
        <w:t xml:space="preserve">056. </w:t>
      </w:r>
      <w:r>
        <w:rPr>
          <w:color w:val="000000"/>
          <w:spacing w:val="0"/>
          <w:w w:val="100"/>
          <w:position w:val="0"/>
          <w:sz w:val="24"/>
          <w:szCs w:val="24"/>
        </w:rPr>
        <w:t>83万元，其中计入营业总成本的金额为</w:t>
      </w:r>
      <w:r>
        <w:rPr>
          <w:color w:val="000000"/>
          <w:spacing w:val="0"/>
          <w:w w:val="100"/>
          <w:position w:val="0"/>
          <w:sz w:val="24"/>
          <w:szCs w:val="24"/>
        </w:rPr>
        <w:t xml:space="preserve">51,668.79 </w:t>
      </w:r>
      <w:r>
        <w:rPr>
          <w:color w:val="000000"/>
          <w:spacing w:val="0"/>
          <w:w w:val="100"/>
          <w:position w:val="0"/>
          <w:sz w:val="24"/>
          <w:szCs w:val="24"/>
        </w:rPr>
        <w:t>万元，占公司成本总额的41.37%。职工薪酬是营业总成本的主要项目，公司利润对职工薪酬 变化较为敏感。公司核心技术人员共计339人，占公司员工人数的4.28%，核心技术人员薪酬 占比</w:t>
      </w:r>
      <w:r>
        <w:rPr>
          <w:color w:val="000000"/>
          <w:spacing w:val="0"/>
          <w:w w:val="100"/>
          <w:position w:val="0"/>
          <w:sz w:val="24"/>
          <w:szCs w:val="24"/>
        </w:rPr>
        <w:t xml:space="preserve">13. </w:t>
      </w:r>
      <w:r>
        <w:rPr>
          <w:color w:val="000000"/>
          <w:spacing w:val="0"/>
          <w:w w:val="100"/>
          <w:position w:val="0"/>
          <w:sz w:val="24"/>
          <w:szCs w:val="24"/>
        </w:rPr>
        <w:t>78%。</w:t>
      </w:r>
    </w:p>
    <w:p>
      <w:pPr>
        <w:pStyle w:val="Style24"/>
        <w:keepNext/>
        <w:keepLines/>
        <w:widowControl w:val="0"/>
        <w:shd w:val="clear" w:color="auto" w:fill="auto"/>
        <w:tabs>
          <w:tab w:pos="370" w:val="left"/>
        </w:tabs>
        <w:bidi w:val="0"/>
        <w:spacing w:before="0" w:after="220" w:line="240" w:lineRule="auto"/>
        <w:ind w:left="0" w:right="0" w:firstLine="0"/>
        <w:jc w:val="both"/>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3</w:t>
      </w:r>
      <w:bookmarkEnd w:id="364"/>
      <w:r>
        <w:rPr>
          <w:color w:val="000000"/>
          <w:spacing w:val="0"/>
          <w:w w:val="100"/>
          <w:position w:val="0"/>
        </w:rPr>
        <w:t>、</w:t>
        <w:tab/>
        <w:t>培训计划</w:t>
      </w:r>
      <w:bookmarkEnd w:id="362"/>
      <w:bookmarkEnd w:id="363"/>
      <w:bookmarkEnd w:id="365"/>
    </w:p>
    <w:p>
      <w:pPr>
        <w:pStyle w:val="Style59"/>
        <w:keepNext w:val="0"/>
        <w:keepLines w:val="0"/>
        <w:widowControl w:val="0"/>
        <w:shd w:val="clear" w:color="auto" w:fill="auto"/>
        <w:bidi w:val="0"/>
        <w:spacing w:before="0" w:after="380" w:line="470" w:lineRule="exact"/>
        <w:ind w:left="0" w:right="0" w:firstLine="500"/>
        <w:jc w:val="both"/>
      </w:pPr>
      <w:r>
        <w:rPr>
          <w:color w:val="000000"/>
          <w:spacing w:val="0"/>
          <w:w w:val="100"/>
          <w:position w:val="0"/>
          <w:sz w:val="24"/>
          <w:szCs w:val="24"/>
        </w:rPr>
        <w:t>公司采用内部培训的方式，根据不同岗位制定具体培训计划，以提高员工素质与技能， 加强员工的岗位培训和技能培训，切实提高企业培训实效，实现人力资源增值。同时，为帮 助新入职员工增进对公司及工作环境的了解，迅速进入状态，根据当期新员工的数量，不定 期开展新员工入职培训。</w:t>
      </w:r>
    </w:p>
    <w:p>
      <w:pPr>
        <w:pStyle w:val="Style24"/>
        <w:keepNext/>
        <w:keepLines/>
        <w:widowControl w:val="0"/>
        <w:shd w:val="clear" w:color="auto" w:fill="auto"/>
        <w:tabs>
          <w:tab w:pos="370" w:val="left"/>
        </w:tabs>
        <w:bidi w:val="0"/>
        <w:spacing w:before="0" w:after="380" w:line="240" w:lineRule="auto"/>
        <w:ind w:left="0" w:right="0" w:firstLine="0"/>
        <w:jc w:val="left"/>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rPr>
        <w:t>4</w:t>
      </w:r>
      <w:bookmarkEnd w:id="368"/>
      <w:r>
        <w:rPr>
          <w:color w:val="000000"/>
          <w:spacing w:val="0"/>
          <w:w w:val="100"/>
          <w:position w:val="0"/>
        </w:rPr>
        <w:t>、</w:t>
        <w:tab/>
        <w:t>劳务外包情况</w:t>
      </w:r>
      <w:bookmarkEnd w:id="366"/>
      <w:bookmarkEnd w:id="367"/>
      <w:bookmarkEnd w:id="369"/>
    </w:p>
    <w:p>
      <w:pPr>
        <w:pStyle w:val="Style1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keepLines/>
        <w:widowControl w:val="0"/>
        <w:shd w:val="clear" w:color="auto" w:fill="auto"/>
        <w:bidi w:val="0"/>
        <w:spacing w:before="0" w:after="380" w:line="470" w:lineRule="exact"/>
        <w:ind w:left="0" w:right="0" w:firstLine="0"/>
        <w:jc w:val="left"/>
      </w:pPr>
      <w:bookmarkStart w:id="370" w:name="bookmark370"/>
      <w:bookmarkStart w:id="371" w:name="bookmark371"/>
      <w:bookmarkStart w:id="372" w:name="bookmark372"/>
      <w:r>
        <w:rPr>
          <w:color w:val="000000"/>
          <w:spacing w:val="0"/>
          <w:w w:val="100"/>
          <w:position w:val="0"/>
          <w:sz w:val="24"/>
          <w:szCs w:val="24"/>
        </w:rPr>
        <w:t>十二、公司利润分配及资本公积金转增股本情况</w:t>
      </w:r>
      <w:bookmarkEnd w:id="370"/>
      <w:bookmarkEnd w:id="371"/>
      <w:bookmarkEnd w:id="372"/>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报告期内利润分配政策，特别是现金分红政策的制定、执行或调整情况</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9"/>
        <w:keepNext w:val="0"/>
        <w:keepLines w:val="0"/>
        <w:widowControl w:val="0"/>
        <w:shd w:val="clear" w:color="auto" w:fill="auto"/>
        <w:bidi w:val="0"/>
        <w:spacing w:before="0" w:after="0" w:line="470" w:lineRule="exact"/>
        <w:ind w:left="0" w:right="0" w:firstLine="500"/>
        <w:jc w:val="left"/>
      </w:pPr>
      <w:r>
        <w:rPr>
          <w:color w:val="000000"/>
          <w:spacing w:val="0"/>
          <w:w w:val="100"/>
          <w:position w:val="0"/>
          <w:sz w:val="24"/>
          <w:szCs w:val="24"/>
        </w:rPr>
        <w:t>报告期内，公司严格按照《公司章程》相关利润分配政策和审议程序实施利润分配方案， 分红标准和分红比例明确清晰，相关的决策程序和机制完备。公司利润分配方案经由董事会、 监事会审议过后提交股东大会审议，并由独立董事发表独立意见，审议通过后在规定时间内 进行实施，切实保证了全体股东的利益。</w:t>
      </w:r>
    </w:p>
    <w:p>
      <w:pPr>
        <w:pStyle w:val="Style59"/>
        <w:keepNext w:val="0"/>
        <w:keepLines w:val="0"/>
        <w:widowControl w:val="0"/>
        <w:shd w:val="clear" w:color="auto" w:fill="auto"/>
        <w:bidi w:val="0"/>
        <w:spacing w:before="0" w:after="420" w:line="470" w:lineRule="exact"/>
        <w:ind w:left="0" w:right="0" w:firstLine="500"/>
        <w:jc w:val="left"/>
      </w:pPr>
      <w:r>
        <w:rPr>
          <w:color w:val="000000"/>
          <w:spacing w:val="0"/>
          <w:w w:val="100"/>
          <w:position w:val="0"/>
          <w:sz w:val="24"/>
          <w:szCs w:val="24"/>
        </w:rPr>
        <w:t>2021年5月20日，公司2020年度股东大会审议通过了 2020年度利润分配方案，具体方案为: 以公司现有总股本481,497, 305股为基数，向全体股东每10股派</w:t>
      </w:r>
      <w:r>
        <w:rPr>
          <w:color w:val="000000"/>
          <w:spacing w:val="0"/>
          <w:w w:val="100"/>
          <w:position w:val="0"/>
          <w:sz w:val="24"/>
          <w:szCs w:val="24"/>
        </w:rPr>
        <w:t>0.400000</w:t>
      </w:r>
      <w:r>
        <w:rPr>
          <w:color w:val="000000"/>
          <w:spacing w:val="0"/>
          <w:w w:val="100"/>
          <w:position w:val="0"/>
          <w:sz w:val="24"/>
          <w:szCs w:val="24"/>
        </w:rPr>
        <w:t>元。本年度不进行资 本公积金转增股本。本次权益分派股权登记日为：2021年6月1日，除权除息日为：2021年6 月2日。</w:t>
      </w:r>
    </w:p>
    <w:tbl>
      <w:tblPr>
        <w:tblOverlap w:val="never"/>
        <w:jc w:val="center"/>
        <w:tblLayout w:type="fixed"/>
      </w:tblPr>
      <w:tblGrid>
        <w:gridCol w:w="4790"/>
        <w:gridCol w:w="4790"/>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分红标准和比例是否明确和清晰：</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bl>
    <w:p>
      <w:pPr>
        <w:widowControl w:val="0"/>
        <w:spacing w:line="1" w:lineRule="exact"/>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现金分红政策进行调整或变更的，条件及程序是否合规、透</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bl>
    <w:p>
      <w:pPr>
        <w:widowControl w:val="0"/>
        <w:spacing w:after="11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1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5"/>
        <w:gridCol w:w="58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496,178,465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22,328,030.93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22,328,030.93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1,059,805,043.62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现金分红总额（含其他方式）占利润分配总额 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利润分配或资本公积金转增预案的详细情况说明</w:t>
            </w:r>
          </w:p>
        </w:tc>
      </w:tr>
      <w:tr>
        <w:trPr>
          <w:trHeight w:val="715"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公司拟以截止公告日总股本</w:t>
            </w:r>
            <w:r>
              <w:rPr>
                <w:rFonts w:ascii="Times New Roman" w:eastAsia="Times New Roman" w:hAnsi="Times New Roman" w:cs="Times New Roman"/>
                <w:color w:val="000000"/>
                <w:spacing w:val="0"/>
                <w:w w:val="100"/>
                <w:position w:val="0"/>
                <w:sz w:val="18"/>
                <w:szCs w:val="18"/>
              </w:rPr>
              <w:t>496,178,465</w:t>
            </w:r>
            <w:r>
              <w:rPr>
                <w:color w:val="000000"/>
                <w:spacing w:val="0"/>
                <w:w w:val="100"/>
                <w:position w:val="0"/>
                <w:sz w:val="18"/>
                <w:szCs w:val="18"/>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股派发现金红利</w:t>
            </w:r>
            <w:r>
              <w:rPr>
                <w:rFonts w:ascii="Times New Roman" w:eastAsia="Times New Roman" w:hAnsi="Times New Roman" w:cs="Times New Roman"/>
                <w:color w:val="000000"/>
                <w:spacing w:val="0"/>
                <w:w w:val="100"/>
                <w:position w:val="0"/>
                <w:sz w:val="18"/>
                <w:szCs w:val="18"/>
              </w:rPr>
              <w:t>0.45</w:t>
            </w:r>
            <w:r>
              <w:rPr>
                <w:color w:val="000000"/>
                <w:spacing w:val="0"/>
                <w:w w:val="100"/>
                <w:position w:val="0"/>
                <w:sz w:val="18"/>
                <w:szCs w:val="18"/>
              </w:rPr>
              <w:t xml:space="preserve">元（含税），共计派发现金红利 </w:t>
            </w:r>
            <w:r>
              <w:rPr>
                <w:rFonts w:ascii="Times New Roman" w:eastAsia="Times New Roman" w:hAnsi="Times New Roman" w:cs="Times New Roman"/>
                <w:color w:val="000000"/>
                <w:spacing w:val="0"/>
                <w:w w:val="100"/>
                <w:position w:val="0"/>
                <w:sz w:val="18"/>
                <w:szCs w:val="18"/>
              </w:rPr>
              <w:t>22,328,030.93</w:t>
            </w:r>
            <w:r>
              <w:rPr>
                <w:color w:val="000000"/>
                <w:spacing w:val="0"/>
                <w:w w:val="100"/>
                <w:position w:val="0"/>
                <w:sz w:val="18"/>
                <w:szCs w:val="18"/>
              </w:rPr>
              <w:t>元，剩余未分配利润结转以后年度分配。本年度不进行资本公积金转增股本。</w:t>
            </w:r>
          </w:p>
        </w:tc>
      </w:tr>
    </w:tbl>
    <w:p>
      <w:pPr>
        <w:widowControl w:val="0"/>
        <w:spacing w:after="11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1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keepLines/>
        <w:widowControl w:val="0"/>
        <w:shd w:val="clear" w:color="auto" w:fill="auto"/>
        <w:bidi w:val="0"/>
        <w:spacing w:before="0" w:after="360" w:line="480" w:lineRule="exact"/>
        <w:ind w:left="0" w:right="0" w:firstLine="0"/>
        <w:jc w:val="left"/>
      </w:pPr>
      <w:bookmarkStart w:id="373" w:name="bookmark373"/>
      <w:bookmarkStart w:id="374" w:name="bookmark374"/>
      <w:bookmarkStart w:id="375" w:name="bookmark375"/>
      <w:r>
        <w:rPr>
          <w:color w:val="000000"/>
          <w:spacing w:val="0"/>
          <w:w w:val="100"/>
          <w:position w:val="0"/>
          <w:sz w:val="24"/>
          <w:szCs w:val="24"/>
        </w:rPr>
        <w:t>十三、公司股权激励计划、员工持股计划或其他员工激励措施的实施情况</w:t>
      </w:r>
      <w:bookmarkEnd w:id="373"/>
      <w:bookmarkEnd w:id="374"/>
      <w:bookmarkEnd w:id="375"/>
    </w:p>
    <w:p>
      <w:pPr>
        <w:pStyle w:val="Style1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keepLines/>
        <w:widowControl w:val="0"/>
        <w:shd w:val="clear" w:color="auto" w:fill="auto"/>
        <w:bidi w:val="0"/>
        <w:spacing w:before="0" w:after="180" w:line="240" w:lineRule="auto"/>
        <w:ind w:left="0" w:right="0" w:firstLine="0"/>
        <w:jc w:val="left"/>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1</w:t>
      </w:r>
      <w:bookmarkEnd w:id="378"/>
      <w:r>
        <w:rPr>
          <w:color w:val="000000"/>
          <w:spacing w:val="0"/>
          <w:w w:val="100"/>
          <w:position w:val="0"/>
        </w:rPr>
        <w:t>、股权激励</w:t>
      </w:r>
      <w:bookmarkEnd w:id="376"/>
      <w:bookmarkEnd w:id="377"/>
      <w:bookmarkEnd w:id="379"/>
    </w:p>
    <w:p>
      <w:pPr>
        <w:pStyle w:val="Style59"/>
        <w:keepNext w:val="0"/>
        <w:keepLines w:val="0"/>
        <w:widowControl w:val="0"/>
        <w:shd w:val="clear" w:color="auto" w:fill="auto"/>
        <w:bidi w:val="0"/>
        <w:spacing w:before="0" w:after="0" w:line="480" w:lineRule="exact"/>
        <w:ind w:left="0" w:right="0" w:firstLine="480"/>
        <w:jc w:val="left"/>
      </w:pPr>
      <w:r>
        <w:rPr>
          <w:color w:val="000000"/>
          <w:spacing w:val="0"/>
          <w:w w:val="100"/>
          <w:position w:val="0"/>
          <w:sz w:val="24"/>
          <w:szCs w:val="24"/>
        </w:rPr>
        <w:t>2018年股票期权与限制性股票激励计划</w:t>
      </w:r>
    </w:p>
    <w:p>
      <w:pPr>
        <w:pStyle w:val="Style59"/>
        <w:keepNext w:val="0"/>
        <w:keepLines w:val="0"/>
        <w:widowControl w:val="0"/>
        <w:numPr>
          <w:ilvl w:val="0"/>
          <w:numId w:val="9"/>
        </w:numPr>
        <w:shd w:val="clear" w:color="auto" w:fill="auto"/>
        <w:tabs>
          <w:tab w:pos="840" w:val="left"/>
        </w:tabs>
        <w:bidi w:val="0"/>
        <w:spacing w:before="0" w:after="0" w:line="480" w:lineRule="exact"/>
        <w:ind w:left="0" w:right="0" w:firstLine="480"/>
        <w:jc w:val="both"/>
      </w:pPr>
      <w:bookmarkStart w:id="380" w:name="bookmark380"/>
      <w:bookmarkEnd w:id="380"/>
      <w:r>
        <w:rPr>
          <w:color w:val="000000"/>
          <w:spacing w:val="0"/>
          <w:w w:val="100"/>
          <w:position w:val="0"/>
          <w:sz w:val="24"/>
          <w:szCs w:val="24"/>
        </w:rPr>
        <w:t xml:space="preserve">2021年1月25日，公司第四届董事会第二十四次会议和第四届监二十三次会议审议通 过了《关于回购注销部分限制性股票和注销部分股票期权的议案》以及《关于公司2018年股 </w:t>
      </w:r>
      <w:r>
        <w:rPr>
          <w:color w:val="000000"/>
          <w:spacing w:val="0"/>
          <w:w w:val="100"/>
          <w:position w:val="0"/>
          <w:sz w:val="24"/>
          <w:szCs w:val="24"/>
        </w:rPr>
        <w:t>票期权与限制性股票激励计划第二期可行权/解除限售条件成就的议案》。公司独立董事对此 发表了同意的独立意见。</w:t>
      </w:r>
    </w:p>
    <w:p>
      <w:pPr>
        <w:pStyle w:val="Style59"/>
        <w:keepNext w:val="0"/>
        <w:keepLines w:val="0"/>
        <w:widowControl w:val="0"/>
        <w:numPr>
          <w:ilvl w:val="0"/>
          <w:numId w:val="9"/>
        </w:numPr>
        <w:shd w:val="clear" w:color="auto" w:fill="auto"/>
        <w:tabs>
          <w:tab w:pos="792" w:val="left"/>
        </w:tabs>
        <w:bidi w:val="0"/>
        <w:spacing w:before="0" w:after="0" w:line="471" w:lineRule="exact"/>
        <w:ind w:left="0" w:right="0" w:firstLine="480"/>
        <w:jc w:val="both"/>
      </w:pPr>
      <w:bookmarkStart w:id="381" w:name="bookmark381"/>
      <w:bookmarkEnd w:id="381"/>
      <w:r>
        <w:rPr>
          <w:color w:val="000000"/>
          <w:spacing w:val="0"/>
          <w:w w:val="100"/>
          <w:position w:val="0"/>
          <w:sz w:val="24"/>
          <w:szCs w:val="24"/>
        </w:rPr>
        <w:t>2021年6月2日，公司第四届董事会第三十二次会议和第四届监事会第三十次会议审议 通过了《关于调整公司2018年股票期权与限制性股票激励计划限制性股票回购价格和股票期 权行权价格、2020年股票期权激励计划股票期权行权价格及2021年限制性股票激励计划限制 性股票授予价格的议案》。公司独立董事对此发表了同意的独立意见。</w:t>
      </w:r>
    </w:p>
    <w:p>
      <w:pPr>
        <w:pStyle w:val="Style59"/>
        <w:keepNext w:val="0"/>
        <w:keepLines w:val="0"/>
        <w:widowControl w:val="0"/>
        <w:shd w:val="clear" w:color="auto" w:fill="auto"/>
        <w:bidi w:val="0"/>
        <w:spacing w:before="0" w:after="0" w:line="471" w:lineRule="exact"/>
        <w:ind w:left="0" w:right="0" w:firstLine="480"/>
        <w:jc w:val="both"/>
      </w:pPr>
      <w:r>
        <w:rPr>
          <w:color w:val="000000"/>
          <w:spacing w:val="0"/>
          <w:w w:val="100"/>
          <w:position w:val="0"/>
          <w:sz w:val="24"/>
          <w:szCs w:val="24"/>
        </w:rPr>
        <w:t>2020年股票期权激励计划</w:t>
      </w:r>
    </w:p>
    <w:p>
      <w:pPr>
        <w:pStyle w:val="Style59"/>
        <w:keepNext w:val="0"/>
        <w:keepLines w:val="0"/>
        <w:widowControl w:val="0"/>
        <w:numPr>
          <w:ilvl w:val="0"/>
          <w:numId w:val="11"/>
        </w:numPr>
        <w:shd w:val="clear" w:color="auto" w:fill="auto"/>
        <w:tabs>
          <w:tab w:pos="792" w:val="left"/>
        </w:tabs>
        <w:bidi w:val="0"/>
        <w:spacing w:before="0" w:after="0" w:line="471" w:lineRule="exact"/>
        <w:ind w:left="0" w:right="0" w:firstLine="480"/>
        <w:jc w:val="both"/>
      </w:pPr>
      <w:bookmarkStart w:id="382" w:name="bookmark382"/>
      <w:bookmarkEnd w:id="382"/>
      <w:r>
        <w:rPr>
          <w:color w:val="000000"/>
          <w:spacing w:val="0"/>
          <w:w w:val="100"/>
          <w:position w:val="0"/>
          <w:sz w:val="24"/>
          <w:szCs w:val="24"/>
        </w:rPr>
        <w:t>2021年6月2日，公司第四届董事会第三十二次会议和第四届监事会第三十次会议审议 通过了《关于调整公司2018年股票期权与限制性股票激励计划限制性股票回购价格和股票期 权行权价格、2020年股票期权激励计划股票期权行权价格及2021年限制性股票激励计划限制 性股票授予价格的议案》。公司独立董事对此发表了同意的独立意见。</w:t>
      </w:r>
    </w:p>
    <w:p>
      <w:pPr>
        <w:pStyle w:val="Style59"/>
        <w:keepNext w:val="0"/>
        <w:keepLines w:val="0"/>
        <w:widowControl w:val="0"/>
        <w:numPr>
          <w:ilvl w:val="0"/>
          <w:numId w:val="11"/>
        </w:numPr>
        <w:shd w:val="clear" w:color="auto" w:fill="auto"/>
        <w:tabs>
          <w:tab w:pos="792" w:val="left"/>
        </w:tabs>
        <w:bidi w:val="0"/>
        <w:spacing w:before="0" w:after="0" w:line="471" w:lineRule="exact"/>
        <w:ind w:left="0" w:right="0" w:firstLine="480"/>
        <w:jc w:val="both"/>
      </w:pPr>
      <w:bookmarkStart w:id="383" w:name="bookmark383"/>
      <w:bookmarkEnd w:id="383"/>
      <w:r>
        <w:rPr>
          <w:color w:val="000000"/>
          <w:spacing w:val="0"/>
          <w:w w:val="100"/>
          <w:position w:val="0"/>
          <w:sz w:val="24"/>
          <w:szCs w:val="24"/>
        </w:rPr>
        <w:t>2021年6月2日，公司第四届董事会第三十二次会议和第四届监事会第三十次会议审议 通过了《关于注销部分股票期权的议案》、《关于公司2020年股票股权激励计划第一期可行 权的议案》。公司独立董事对此发表了同意的独立意见。</w:t>
      </w:r>
    </w:p>
    <w:p>
      <w:pPr>
        <w:pStyle w:val="Style59"/>
        <w:keepNext w:val="0"/>
        <w:keepLines w:val="0"/>
        <w:widowControl w:val="0"/>
        <w:shd w:val="clear" w:color="auto" w:fill="auto"/>
        <w:bidi w:val="0"/>
        <w:spacing w:before="0" w:after="0" w:line="471" w:lineRule="exact"/>
        <w:ind w:left="0" w:right="0" w:firstLine="480"/>
        <w:jc w:val="both"/>
      </w:pPr>
      <w:r>
        <w:rPr>
          <w:color w:val="000000"/>
          <w:spacing w:val="0"/>
          <w:w w:val="100"/>
          <w:position w:val="0"/>
          <w:sz w:val="24"/>
          <w:szCs w:val="24"/>
        </w:rPr>
        <w:t>2021年限制性股票激励计划</w:t>
      </w:r>
    </w:p>
    <w:p>
      <w:pPr>
        <w:pStyle w:val="Style59"/>
        <w:keepNext w:val="0"/>
        <w:keepLines w:val="0"/>
        <w:widowControl w:val="0"/>
        <w:numPr>
          <w:ilvl w:val="0"/>
          <w:numId w:val="13"/>
        </w:numPr>
        <w:shd w:val="clear" w:color="auto" w:fill="auto"/>
        <w:tabs>
          <w:tab w:pos="792" w:val="left"/>
        </w:tabs>
        <w:bidi w:val="0"/>
        <w:spacing w:before="0" w:after="0" w:line="471" w:lineRule="exact"/>
        <w:ind w:left="0" w:right="0" w:firstLine="480"/>
        <w:jc w:val="both"/>
      </w:pPr>
      <w:bookmarkStart w:id="384" w:name="bookmark384"/>
      <w:bookmarkEnd w:id="384"/>
      <w:r>
        <w:rPr>
          <w:color w:val="000000"/>
          <w:spacing w:val="0"/>
          <w:w w:val="100"/>
          <w:position w:val="0"/>
          <w:sz w:val="24"/>
          <w:szCs w:val="24"/>
        </w:rPr>
        <w:t>2021年5月13日，公司第四届董事会第三十次会议审议通过了《关于公司＜2021年限制 性股票激励计划（草案）＞及其摘要的议案》、《关于公司＜2021年限制性股票激励计划实施 考核管理办法＞的议案》、《关于提请股东大会授权董事会办理股权激励相关事宜的议案》， 公司第四届监事会第二十八次会议审议通过了相关议案。公司已对激励对象名单在公司内部 进行了公示，公示期满后，监事会对本次股权激励计划授予激励对象名单进行了核查并对公 示情况进行了说明，公司独立董事就本次股权激励计划是否有利于公司的持续发展及是否存 在损害公司及全体股东利益的情形发表了独立意见。</w:t>
      </w:r>
    </w:p>
    <w:p>
      <w:pPr>
        <w:pStyle w:val="Style59"/>
        <w:keepNext w:val="0"/>
        <w:keepLines w:val="0"/>
        <w:widowControl w:val="0"/>
        <w:numPr>
          <w:ilvl w:val="0"/>
          <w:numId w:val="13"/>
        </w:numPr>
        <w:shd w:val="clear" w:color="auto" w:fill="auto"/>
        <w:tabs>
          <w:tab w:pos="792" w:val="left"/>
        </w:tabs>
        <w:bidi w:val="0"/>
        <w:spacing w:before="0" w:after="0" w:line="471" w:lineRule="exact"/>
        <w:ind w:left="0" w:right="0" w:firstLine="480"/>
        <w:jc w:val="both"/>
      </w:pPr>
      <w:bookmarkStart w:id="385" w:name="bookmark385"/>
      <w:bookmarkEnd w:id="385"/>
      <w:r>
        <w:rPr>
          <w:color w:val="000000"/>
          <w:spacing w:val="0"/>
          <w:w w:val="100"/>
          <w:position w:val="0"/>
          <w:sz w:val="24"/>
          <w:szCs w:val="24"/>
        </w:rPr>
        <w:t>2021年5月28日，公司2021年第一次临时股东大会审议并通过了《关于公司＜2021年限 制性股票激励计划（草案）＞及其摘要的议案》、《关于公司＜2021年股票期权与限制性股票 激励计划实施考核管理办法＞的议案》、《关于提请股东大会授权董事会办理公司股权激励计 划相关事宜的议案》。公司实施2021年限制性股票激励计划获得批准，董事会被授权确定授 予日、在激励对象符合条件时向激励对象授予股票期权与限制性股票，并办理授予所必须的 全部事宜。</w:t>
      </w:r>
    </w:p>
    <w:p>
      <w:pPr>
        <w:pStyle w:val="Style59"/>
        <w:keepNext w:val="0"/>
        <w:keepLines w:val="0"/>
        <w:widowControl w:val="0"/>
        <w:numPr>
          <w:ilvl w:val="0"/>
          <w:numId w:val="13"/>
        </w:numPr>
        <w:shd w:val="clear" w:color="auto" w:fill="auto"/>
        <w:tabs>
          <w:tab w:pos="312" w:val="left"/>
        </w:tabs>
        <w:bidi w:val="0"/>
        <w:spacing w:before="0" w:after="0" w:line="471" w:lineRule="exact"/>
        <w:ind w:left="0" w:right="0" w:firstLine="480"/>
        <w:jc w:val="both"/>
      </w:pPr>
      <w:bookmarkStart w:id="386" w:name="bookmark386"/>
      <w:bookmarkEnd w:id="386"/>
      <w:r>
        <w:rPr>
          <w:color w:val="000000"/>
          <w:spacing w:val="0"/>
          <w:w w:val="100"/>
          <w:position w:val="0"/>
          <w:sz w:val="24"/>
          <w:szCs w:val="24"/>
        </w:rPr>
        <w:t xml:space="preserve">2021年5月28日，公司召开第四届董事会第三十一次会议、第四届监事会第二十九次 </w:t>
      </w:r>
      <w:r>
        <w:rPr>
          <w:color w:val="000000"/>
          <w:spacing w:val="0"/>
          <w:w w:val="100"/>
          <w:position w:val="0"/>
          <w:sz w:val="24"/>
          <w:szCs w:val="24"/>
        </w:rPr>
        <w:t>会议，审议通过了《关于向激励对象授予限制性股票的议案》，公司监事会对首次授予激励 对象名单再次进行了核实并发表了明确同意的意见。公司独立董事对此发表了独立意见，认 为激励对象主体资格合法有效，董事会确定的授予日符合相关规定。</w:t>
      </w:r>
    </w:p>
    <w:p>
      <w:pPr>
        <w:pStyle w:val="Style59"/>
        <w:keepNext w:val="0"/>
        <w:keepLines w:val="0"/>
        <w:widowControl w:val="0"/>
        <w:numPr>
          <w:ilvl w:val="0"/>
          <w:numId w:val="13"/>
        </w:numPr>
        <w:shd w:val="clear" w:color="auto" w:fill="auto"/>
        <w:tabs>
          <w:tab w:pos="818" w:val="left"/>
        </w:tabs>
        <w:bidi w:val="0"/>
        <w:spacing w:before="0" w:after="180" w:line="470" w:lineRule="exact"/>
        <w:ind w:left="0" w:right="0" w:firstLine="480"/>
        <w:jc w:val="both"/>
      </w:pPr>
      <w:bookmarkStart w:id="387" w:name="bookmark387"/>
      <w:bookmarkEnd w:id="387"/>
      <w:r>
        <w:rPr>
          <w:color w:val="000000"/>
          <w:spacing w:val="0"/>
          <w:w w:val="100"/>
          <w:position w:val="0"/>
          <w:sz w:val="24"/>
          <w:szCs w:val="24"/>
        </w:rPr>
        <w:t>2021年6月2日，公司第四届董事会第三十二次会议和第四届监事会第三十次会议审议 通过了《关于调整公司2018年股票期权与限制性股票激励计划限制性股票回购价格和股票期 权行权价格、2020年股票期权激励计划股票期权行权价格及2021年限制性股票激励计划限制 性股票授予价格的议案》。公司独立董事对此发表了同意的独立意见。</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rPr>
        <w:t>董事、高级管理人员获得的股权激励情况</w:t>
      </w:r>
    </w:p>
    <w:p>
      <w:pPr>
        <w:pStyle w:val="Style1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4"/>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691"/>
        <w:gridCol w:w="686"/>
        <w:gridCol w:w="682"/>
        <w:gridCol w:w="682"/>
        <w:gridCol w:w="686"/>
        <w:gridCol w:w="682"/>
        <w:gridCol w:w="682"/>
        <w:gridCol w:w="682"/>
        <w:gridCol w:w="682"/>
        <w:gridCol w:w="686"/>
        <w:gridCol w:w="682"/>
        <w:gridCol w:w="682"/>
        <w:gridCol w:w="682"/>
        <w:gridCol w:w="691"/>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年初持</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有股票</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期权数</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报告期 新授予 股票期 权数量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报告期 内可行 权股数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报告期 内已行 权股数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8"/>
                <w:szCs w:val="18"/>
              </w:rPr>
              <w:t>报告期 内已行 权股数 行权价 格（元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期末持</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有股票</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期权数</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报告期 末市价 （元</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期初持 有限制 性股票 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报告期 新授予 限制性 股票数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center"/>
              <w:rPr>
                <w:sz w:val="18"/>
                <w:szCs w:val="18"/>
              </w:rPr>
            </w:pPr>
            <w:r>
              <w:rPr>
                <w:color w:val="000000"/>
                <w:spacing w:val="0"/>
                <w:w w:val="100"/>
                <w:position w:val="0"/>
                <w:sz w:val="18"/>
                <w:szCs w:val="18"/>
              </w:rPr>
              <w:t>限制性 股票的 授予价 格（元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本期已 解锁股 份数量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期末持 有限制 性股票 数量</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董事、 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王洪深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董事、 高级副 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1,200,0</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邱鲁闽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董事、 高级副 总裁、 董事会 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1,200,0</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冯长浩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财务总</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w:t>
            </w:r>
          </w:p>
          <w:p>
            <w:pPr>
              <w:pStyle w:val="Style2"/>
              <w:keepNext w:val="0"/>
              <w:keepLines w:val="0"/>
              <w:widowControl w:val="0"/>
              <w:shd w:val="clear" w:color="auto" w:fill="auto"/>
              <w:bidi w:val="0"/>
              <w:spacing w:before="0" w:after="0" w:line="180" w:lineRule="auto"/>
              <w:ind w:left="0" w:right="0" w:firstLine="0"/>
              <w:jc w:val="left"/>
              <w:rPr>
                <w:sz w:val="11"/>
                <w:szCs w:val="11"/>
              </w:rPr>
            </w:pPr>
            <w:r>
              <w:rPr>
                <w:rFonts w:ascii="Times New Roman" w:eastAsia="Times New Roman" w:hAnsi="Times New Roman" w:cs="Times New Roman"/>
                <w:b/>
                <w:bCs/>
                <w:color w:val="000000"/>
                <w:spacing w:val="0"/>
                <w:w w:val="100"/>
                <w:position w:val="0"/>
                <w:sz w:val="11"/>
                <w:szCs w:val="11"/>
                <w:u w:val="single"/>
              </w:rPr>
              <w:t>n~n.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冯长浩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财务总</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w:t>
            </w:r>
          </w:p>
          <w:p>
            <w:pPr>
              <w:pStyle w:val="Style2"/>
              <w:keepNext w:val="0"/>
              <w:keepLines w:val="0"/>
              <w:widowControl w:val="0"/>
              <w:shd w:val="clear" w:color="auto" w:fill="auto"/>
              <w:bidi w:val="0"/>
              <w:spacing w:before="0" w:after="0" w:line="180" w:lineRule="auto"/>
              <w:ind w:left="0" w:right="0" w:firstLine="0"/>
              <w:jc w:val="left"/>
              <w:rPr>
                <w:sz w:val="11"/>
                <w:szCs w:val="11"/>
              </w:rPr>
            </w:pPr>
            <w:r>
              <w:rPr>
                <w:rFonts w:ascii="Times New Roman" w:eastAsia="Times New Roman" w:hAnsi="Times New Roman" w:cs="Times New Roman"/>
                <w:b/>
                <w:bCs/>
                <w:color w:val="000000"/>
                <w:spacing w:val="0"/>
                <w:w w:val="100"/>
                <w:position w:val="0"/>
                <w:sz w:val="11"/>
                <w:szCs w:val="11"/>
                <w:u w:val="single"/>
              </w:rPr>
              <w:t>n~n.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1"/>
                <w:szCs w:val="11"/>
              </w:rPr>
            </w:pPr>
            <w:r>
              <w:rPr>
                <w:rFonts w:ascii="Times New Roman" w:eastAsia="Times New Roman" w:hAnsi="Times New Roman" w:cs="Times New Roman"/>
                <w:b/>
                <w:bCs/>
                <w:color w:val="000000"/>
                <w:spacing w:val="0"/>
                <w:w w:val="100"/>
                <w:position w:val="0"/>
                <w:sz w:val="11"/>
                <w:szCs w:val="11"/>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3,750,0</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475,000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高级管理人员的考评机制及激励情况</w:t>
      </w:r>
    </w:p>
    <w:p>
      <w:pPr>
        <w:pStyle w:val="Style59"/>
        <w:keepNext w:val="0"/>
        <w:keepLines w:val="0"/>
        <w:widowControl w:val="0"/>
        <w:shd w:val="clear" w:color="auto" w:fill="auto"/>
        <w:bidi w:val="0"/>
        <w:spacing w:before="0" w:after="400" w:line="463" w:lineRule="exact"/>
        <w:ind w:left="0" w:right="0" w:firstLine="480"/>
        <w:jc w:val="both"/>
      </w:pPr>
      <w:r>
        <w:rPr>
          <w:color w:val="000000"/>
          <w:spacing w:val="0"/>
          <w:w w:val="100"/>
          <w:position w:val="0"/>
          <w:sz w:val="24"/>
          <w:szCs w:val="24"/>
        </w:rPr>
        <w:t xml:space="preserve">公司建立了完善的高级管理人员绩效管理体系，明确了高级管理人员考核、晋升、培训 和奖惩激励机制，有效的提升了公司治理水平，进一步完善高级管理人员绩效评价和激励、 约束机制，最大限度地调动公司高级管理人员的积极性及创造性，确保公司各项业务的顺利 </w:t>
      </w:r>
      <w:r>
        <w:rPr>
          <w:color w:val="000000"/>
          <w:spacing w:val="0"/>
          <w:w w:val="100"/>
          <w:position w:val="0"/>
          <w:sz w:val="24"/>
          <w:szCs w:val="24"/>
        </w:rPr>
        <w:t>开展，促进了公司业绩稳定持续发展，更好维护广大投资者的根本利益。</w:t>
      </w:r>
    </w:p>
    <w:p>
      <w:pPr>
        <w:pStyle w:val="Style24"/>
        <w:keepNext/>
        <w:keepLines/>
        <w:widowControl w:val="0"/>
        <w:shd w:val="clear" w:color="auto" w:fill="auto"/>
        <w:tabs>
          <w:tab w:pos="378" w:val="left"/>
        </w:tabs>
        <w:bidi w:val="0"/>
        <w:spacing w:before="0" w:line="240" w:lineRule="auto"/>
        <w:ind w:left="0" w:right="0" w:firstLine="0"/>
        <w:jc w:val="left"/>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2</w:t>
      </w:r>
      <w:bookmarkEnd w:id="390"/>
      <w:r>
        <w:rPr>
          <w:color w:val="000000"/>
          <w:spacing w:val="0"/>
          <w:w w:val="100"/>
          <w:position w:val="0"/>
        </w:rPr>
        <w:t>、</w:t>
        <w:tab/>
        <w:t>员工持股计划的实施情况</w:t>
      </w:r>
      <w:bookmarkEnd w:id="388"/>
      <w:bookmarkEnd w:id="389"/>
      <w:bookmarkEnd w:id="391"/>
    </w:p>
    <w:p>
      <w:pPr>
        <w:pStyle w:val="Style14"/>
        <w:keepNext w:val="0"/>
        <w:keepLines w:val="0"/>
        <w:widowControl w:val="0"/>
        <w:shd w:val="clear" w:color="auto" w:fill="auto"/>
        <w:bidi w:val="0"/>
        <w:spacing w:before="0" w:line="514"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378" w:val="left"/>
        </w:tabs>
        <w:bidi w:val="0"/>
        <w:spacing w:before="0" w:line="240" w:lineRule="auto"/>
        <w:ind w:left="0" w:right="0" w:firstLine="0"/>
        <w:jc w:val="left"/>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3</w:t>
      </w:r>
      <w:bookmarkEnd w:id="394"/>
      <w:r>
        <w:rPr>
          <w:color w:val="000000"/>
          <w:spacing w:val="0"/>
          <w:w w:val="100"/>
          <w:position w:val="0"/>
        </w:rPr>
        <w:t>、</w:t>
        <w:tab/>
        <w:t>其他员工激励措施</w:t>
      </w:r>
      <w:bookmarkEnd w:id="392"/>
      <w:bookmarkEnd w:id="393"/>
      <w:bookmarkEnd w:id="395"/>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220" w:line="442" w:lineRule="exact"/>
        <w:ind w:left="500" w:right="0" w:hanging="500"/>
        <w:jc w:val="left"/>
        <w:rPr>
          <w:sz w:val="24"/>
          <w:szCs w:val="24"/>
        </w:rPr>
      </w:pPr>
      <w:r>
        <w:rPr>
          <w:color w:val="000000"/>
          <w:spacing w:val="0"/>
          <w:w w:val="100"/>
          <w:position w:val="0"/>
          <w:sz w:val="18"/>
          <w:szCs w:val="18"/>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 xml:space="preserve">的披露要求 </w:t>
      </w:r>
      <w:r>
        <w:rPr>
          <w:color w:val="000000"/>
          <w:spacing w:val="0"/>
          <w:w w:val="100"/>
          <w:position w:val="0"/>
          <w:sz w:val="24"/>
          <w:szCs w:val="24"/>
        </w:rPr>
        <w:t xml:space="preserve">报告期内，2021年度所需计提的股权激励费用为45, 342, </w:t>
      </w:r>
      <w:r>
        <w:rPr>
          <w:color w:val="000000"/>
          <w:spacing w:val="0"/>
          <w:w w:val="100"/>
          <w:position w:val="0"/>
          <w:sz w:val="24"/>
          <w:szCs w:val="24"/>
        </w:rPr>
        <w:t xml:space="preserve">500. </w:t>
      </w:r>
      <w:r>
        <w:rPr>
          <w:color w:val="000000"/>
          <w:spacing w:val="0"/>
          <w:w w:val="100"/>
          <w:position w:val="0"/>
          <w:sz w:val="24"/>
          <w:szCs w:val="24"/>
        </w:rPr>
        <w:t>00元。</w:t>
      </w:r>
    </w:p>
    <w:p>
      <w:pPr>
        <w:pStyle w:val="Style19"/>
        <w:keepNext/>
        <w:keepLines/>
        <w:widowControl w:val="0"/>
        <w:shd w:val="clear" w:color="auto" w:fill="auto"/>
        <w:bidi w:val="0"/>
        <w:spacing w:before="0" w:after="340" w:line="471" w:lineRule="exact"/>
        <w:ind w:left="0" w:right="0" w:firstLine="0"/>
        <w:jc w:val="left"/>
      </w:pPr>
      <w:bookmarkStart w:id="396" w:name="bookmark396"/>
      <w:bookmarkStart w:id="397" w:name="bookmark397"/>
      <w:bookmarkStart w:id="398" w:name="bookmark398"/>
      <w:r>
        <w:rPr>
          <w:color w:val="000000"/>
          <w:spacing w:val="0"/>
          <w:w w:val="100"/>
          <w:position w:val="0"/>
          <w:sz w:val="24"/>
          <w:szCs w:val="24"/>
        </w:rPr>
        <w:t>十四、报告期内的内部控制制度建设及实施情况</w:t>
      </w:r>
      <w:bookmarkEnd w:id="396"/>
      <w:bookmarkEnd w:id="397"/>
      <w:bookmarkEnd w:id="398"/>
    </w:p>
    <w:p>
      <w:pPr>
        <w:pStyle w:val="Style24"/>
        <w:keepNext/>
        <w:keepLines/>
        <w:widowControl w:val="0"/>
        <w:shd w:val="clear" w:color="auto" w:fill="auto"/>
        <w:tabs>
          <w:tab w:pos="368" w:val="left"/>
        </w:tabs>
        <w:bidi w:val="0"/>
        <w:spacing w:before="0" w:after="220" w:line="240" w:lineRule="auto"/>
        <w:ind w:left="0" w:right="0" w:firstLine="0"/>
        <w:jc w:val="left"/>
      </w:pPr>
      <w:bookmarkStart w:id="399" w:name="bookmark399"/>
      <w:bookmarkStart w:id="400" w:name="bookmark400"/>
      <w:bookmarkStart w:id="401" w:name="bookmark401"/>
      <w:bookmarkStart w:id="402" w:name="bookmark402"/>
      <w:r>
        <w:rPr>
          <w:rFonts w:ascii="Times New Roman" w:eastAsia="Times New Roman" w:hAnsi="Times New Roman" w:cs="Times New Roman"/>
          <w:color w:val="000000"/>
          <w:spacing w:val="0"/>
          <w:w w:val="100"/>
          <w:position w:val="0"/>
        </w:rPr>
        <w:t>1</w:t>
      </w:r>
      <w:bookmarkEnd w:id="401"/>
      <w:r>
        <w:rPr>
          <w:color w:val="000000"/>
          <w:spacing w:val="0"/>
          <w:w w:val="100"/>
          <w:position w:val="0"/>
        </w:rPr>
        <w:t>、</w:t>
        <w:tab/>
        <w:t>内部控制建设及实施情况</w:t>
      </w:r>
      <w:bookmarkEnd w:id="399"/>
      <w:bookmarkEnd w:id="400"/>
      <w:bookmarkEnd w:id="402"/>
    </w:p>
    <w:p>
      <w:pPr>
        <w:pStyle w:val="Style59"/>
        <w:keepNext w:val="0"/>
        <w:keepLines w:val="0"/>
        <w:widowControl w:val="0"/>
        <w:shd w:val="clear" w:color="auto" w:fill="auto"/>
        <w:tabs>
          <w:tab w:pos="872" w:val="left"/>
        </w:tabs>
        <w:bidi w:val="0"/>
        <w:spacing w:before="0" w:after="0" w:line="471" w:lineRule="exact"/>
        <w:ind w:left="0" w:right="0" w:firstLine="500"/>
        <w:jc w:val="both"/>
      </w:pPr>
      <w:bookmarkStart w:id="403" w:name="bookmark403"/>
      <w:r>
        <w:rPr>
          <w:color w:val="000000"/>
          <w:spacing w:val="0"/>
          <w:w w:val="100"/>
          <w:position w:val="0"/>
          <w:sz w:val="24"/>
          <w:szCs w:val="24"/>
        </w:rPr>
        <w:t>1</w:t>
      </w:r>
      <w:bookmarkEnd w:id="403"/>
      <w:r>
        <w:rPr>
          <w:color w:val="000000"/>
          <w:spacing w:val="0"/>
          <w:w w:val="100"/>
          <w:position w:val="0"/>
          <w:sz w:val="24"/>
          <w:szCs w:val="24"/>
        </w:rPr>
        <w:t>、</w:t>
        <w:tab/>
        <w:t>进一步完善内控制度建设，强化内部审计监督。梳理完善董事会审计委员会及内部审 计部门的职能职责，强化在董事会领导下行使监督权，加强内审部门对公司内部控制制度执 行情况的监督力度，提高内部审计工作的深度和广度。一方面，加强内审部门对公司内部控 制制度执行情况的监督力度，提高内部审计工作的深度和广度；另一方面，为防止资金占用 情况的发生，内审部门密切关注公司大额资金往来的情况，对相关业务部门大额资金使用进 行动态跟踪，并督促各部门严格按照相关规定履行审议、披露程序。</w:t>
      </w:r>
    </w:p>
    <w:p>
      <w:pPr>
        <w:pStyle w:val="Style59"/>
        <w:keepNext w:val="0"/>
        <w:keepLines w:val="0"/>
        <w:widowControl w:val="0"/>
        <w:shd w:val="clear" w:color="auto" w:fill="auto"/>
        <w:tabs>
          <w:tab w:pos="858" w:val="left"/>
        </w:tabs>
        <w:bidi w:val="0"/>
        <w:spacing w:before="0" w:after="0" w:line="471" w:lineRule="exact"/>
        <w:ind w:left="0" w:right="0" w:firstLine="500"/>
        <w:jc w:val="both"/>
      </w:pPr>
      <w:bookmarkStart w:id="404" w:name="bookmark404"/>
      <w:r>
        <w:rPr>
          <w:color w:val="000000"/>
          <w:spacing w:val="0"/>
          <w:w w:val="100"/>
          <w:position w:val="0"/>
          <w:sz w:val="24"/>
          <w:szCs w:val="24"/>
        </w:rPr>
        <w:t>2</w:t>
      </w:r>
      <w:bookmarkEnd w:id="404"/>
      <w:r>
        <w:rPr>
          <w:color w:val="000000"/>
          <w:spacing w:val="0"/>
          <w:w w:val="100"/>
          <w:position w:val="0"/>
          <w:sz w:val="24"/>
          <w:szCs w:val="24"/>
        </w:rPr>
        <w:t>、</w:t>
        <w:tab/>
        <w:t>强化董事会及关键岗位的内控意识和责任，充分认识内控在改善企业管理、增强风险 防控、帮助企业高质量发展中的重要性，明确具体责任人，发挥表率作用。</w:t>
      </w:r>
    </w:p>
    <w:p>
      <w:pPr>
        <w:pStyle w:val="Style59"/>
        <w:keepNext w:val="0"/>
        <w:keepLines w:val="0"/>
        <w:widowControl w:val="0"/>
        <w:shd w:val="clear" w:color="auto" w:fill="auto"/>
        <w:tabs>
          <w:tab w:pos="872" w:val="left"/>
        </w:tabs>
        <w:bidi w:val="0"/>
        <w:spacing w:before="0" w:after="400" w:line="471" w:lineRule="exact"/>
        <w:ind w:left="0" w:right="0" w:firstLine="500"/>
        <w:jc w:val="both"/>
      </w:pPr>
      <w:bookmarkStart w:id="405" w:name="bookmark405"/>
      <w:r>
        <w:rPr>
          <w:color w:val="000000"/>
          <w:spacing w:val="0"/>
          <w:w w:val="100"/>
          <w:position w:val="0"/>
          <w:sz w:val="24"/>
          <w:szCs w:val="24"/>
        </w:rPr>
        <w:t>3</w:t>
      </w:r>
      <w:bookmarkEnd w:id="405"/>
      <w:r>
        <w:rPr>
          <w:color w:val="000000"/>
          <w:spacing w:val="0"/>
          <w:w w:val="100"/>
          <w:position w:val="0"/>
          <w:sz w:val="24"/>
          <w:szCs w:val="24"/>
        </w:rPr>
        <w:t>、</w:t>
        <w:tab/>
        <w:t>加强内部控制培训及学习，提高管理层的公司治理水平，提高风险防范意识，强化合 规经营意识，确保内部控制制度得到有效执行，切实提升公司规范运作水平，促进公司健康 可持续发展。</w:t>
      </w:r>
    </w:p>
    <w:p>
      <w:pPr>
        <w:pStyle w:val="Style24"/>
        <w:keepNext/>
        <w:keepLines/>
        <w:widowControl w:val="0"/>
        <w:shd w:val="clear" w:color="auto" w:fill="auto"/>
        <w:tabs>
          <w:tab w:pos="378" w:val="left"/>
        </w:tabs>
        <w:bidi w:val="0"/>
        <w:spacing w:before="0" w:line="240" w:lineRule="auto"/>
        <w:ind w:left="0" w:right="0" w:firstLine="0"/>
        <w:jc w:val="left"/>
      </w:pPr>
      <w:bookmarkStart w:id="406" w:name="bookmark406"/>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rPr>
        <w:t>2</w:t>
      </w:r>
      <w:bookmarkEnd w:id="408"/>
      <w:r>
        <w:rPr>
          <w:color w:val="000000"/>
          <w:spacing w:val="0"/>
          <w:w w:val="100"/>
          <w:position w:val="0"/>
        </w:rPr>
        <w:t>、</w:t>
        <w:tab/>
        <w:t>报告期内发现的内部控制重大缺陷的具体情况</w:t>
      </w:r>
      <w:bookmarkEnd w:id="406"/>
      <w:bookmarkEnd w:id="407"/>
      <w:bookmarkEnd w:id="409"/>
    </w:p>
    <w:p>
      <w:pPr>
        <w:pStyle w:val="Style14"/>
        <w:keepNext w:val="0"/>
        <w:keepLines w:val="0"/>
        <w:widowControl w:val="0"/>
        <w:shd w:val="clear" w:color="auto" w:fill="auto"/>
        <w:bidi w:val="0"/>
        <w:spacing w:before="0" w:after="0" w:line="514"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9"/>
        <w:keepNext/>
        <w:keepLines/>
        <w:widowControl w:val="0"/>
        <w:shd w:val="clear" w:color="auto" w:fill="auto"/>
        <w:bidi w:val="0"/>
        <w:spacing w:before="0" w:after="340" w:line="471" w:lineRule="exact"/>
        <w:ind w:left="0" w:right="0" w:firstLine="0"/>
        <w:jc w:val="left"/>
      </w:pPr>
      <w:bookmarkStart w:id="410" w:name="bookmark410"/>
      <w:bookmarkStart w:id="411" w:name="bookmark411"/>
      <w:bookmarkStart w:id="412" w:name="bookmark412"/>
      <w:r>
        <w:rPr>
          <w:color w:val="000000"/>
          <w:spacing w:val="0"/>
          <w:w w:val="100"/>
          <w:position w:val="0"/>
          <w:sz w:val="24"/>
          <w:szCs w:val="24"/>
        </w:rPr>
        <w:t>十五、公司报告期内对子公司的管理控制情况</w:t>
      </w:r>
      <w:bookmarkEnd w:id="410"/>
      <w:bookmarkEnd w:id="411"/>
      <w:bookmarkEnd w:id="412"/>
    </w:p>
    <w:tbl>
      <w:tblPr>
        <w:tblOverlap w:val="never"/>
        <w:jc w:val="center"/>
        <w:tblLayout w:type="fixed"/>
      </w:tblPr>
      <w:tblGrid>
        <w:gridCol w:w="1373"/>
        <w:gridCol w:w="1368"/>
        <w:gridCol w:w="1368"/>
        <w:gridCol w:w="1363"/>
        <w:gridCol w:w="1368"/>
        <w:gridCol w:w="1368"/>
        <w:gridCol w:w="137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整合中遇到的问 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已采取的解决措 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解决进展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后续解决计划</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bl>
    <w:p>
      <w:pPr>
        <w:spacing w:lineRule="exact" w:line="1"/>
        <w:rPr>
          <w:sz w:val="2"/>
          <w:szCs w:val="2"/>
        </w:rPr>
      </w:pPr>
      <w:r>
        <w:br w:type="page"/>
      </w:r>
    </w:p>
    <w:p>
      <w:pPr>
        <w:pStyle w:val="Style19"/>
        <w:keepNext/>
        <w:keepLines/>
        <w:widowControl w:val="0"/>
        <w:shd w:val="clear" w:color="auto" w:fill="auto"/>
        <w:bidi w:val="0"/>
        <w:spacing w:before="0" w:line="240" w:lineRule="auto"/>
        <w:ind w:left="0" w:right="0" w:firstLine="0"/>
        <w:jc w:val="left"/>
      </w:pPr>
      <w:bookmarkStart w:id="413" w:name="bookmark413"/>
      <w:bookmarkStart w:id="414" w:name="bookmark414"/>
      <w:bookmarkStart w:id="415" w:name="bookmark415"/>
      <w:r>
        <w:rPr>
          <w:color w:val="000000"/>
          <w:spacing w:val="0"/>
          <w:w w:val="100"/>
          <w:position w:val="0"/>
          <w:sz w:val="24"/>
          <w:szCs w:val="24"/>
        </w:rPr>
        <w:t>十六、内部控制自我评价报告或内部控制审计报告</w:t>
      </w:r>
      <w:bookmarkEnd w:id="413"/>
      <w:bookmarkEnd w:id="414"/>
      <w:bookmarkEnd w:id="415"/>
    </w:p>
    <w:p>
      <w:pPr>
        <w:pStyle w:val="Style24"/>
        <w:keepNext/>
        <w:keepLines/>
        <w:widowControl w:val="0"/>
        <w:shd w:val="clear" w:color="auto" w:fill="auto"/>
        <w:bidi w:val="0"/>
        <w:spacing w:before="0" w:after="320" w:line="240" w:lineRule="auto"/>
        <w:ind w:left="0" w:right="0" w:firstLine="0"/>
        <w:jc w:val="left"/>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1</w:t>
      </w:r>
      <w:bookmarkEnd w:id="418"/>
      <w:r>
        <w:rPr>
          <w:color w:val="000000"/>
          <w:spacing w:val="0"/>
          <w:w w:val="100"/>
          <w:position w:val="0"/>
        </w:rPr>
        <w:t>、内控自我评价报告</w:t>
      </w:r>
      <w:bookmarkEnd w:id="416"/>
      <w:bookmarkEnd w:id="417"/>
      <w:bookmarkEnd w:id="419"/>
    </w:p>
    <w:tbl>
      <w:tblPr>
        <w:tblOverlap w:val="never"/>
        <w:jc w:val="center"/>
        <w:tblLayout w:type="fixed"/>
      </w:tblPr>
      <w:tblGrid>
        <w:gridCol w:w="3202"/>
        <w:gridCol w:w="3322"/>
        <w:gridCol w:w="30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纳入评价范围单位营业收入占公司合并 财务报表营业总收入的比例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非财务报告</w:t>
            </w:r>
          </w:p>
        </w:tc>
      </w:tr>
      <w:tr>
        <w:trPr>
          <w:trHeight w:val="25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）控制环境无效；（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）公司董事、监 事和高级管理人员舞弊并给企业造成重大 损失和不利影响；（</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）注册会计师发现当 期财务报告存在重大错误，而内部控制在 运行过程中未能发现该错报；（</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）已经发 现并报告给管理层的重要缺陷在合理的时 间内未加以改正；（</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）审计委员会和内部 审计部对公司的内部控制监督无效。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）公司经营活动严重违反国家法律 法规；（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）媒体负面新闻频频曝光， 对公司声誉造成重大损害；（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）中高 级管理人员和高级技术人员严重流失；</w:t>
            </w:r>
          </w:p>
          <w:p>
            <w:pPr>
              <w:pStyle w:val="Style2"/>
              <w:keepNext w:val="0"/>
              <w:keepLines w:val="0"/>
              <w:widowControl w:val="0"/>
              <w:shd w:val="clear" w:color="auto" w:fill="auto"/>
              <w:bidi w:val="0"/>
              <w:spacing w:before="0" w:after="0" w:line="315"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）重要业务缺乏制度控制或制度系 统性失效；（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）内部控制评价的结果 特别是重大缺陷或重要缺陷未得到整 改。</w:t>
            </w:r>
          </w:p>
        </w:tc>
      </w:tr>
      <w:tr>
        <w:trPr>
          <w:trHeight w:val="508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内部控制缺陷可能导致或导致的损失与利 润表相关的，以营业收入指标衡量，如果 该缺陷单独或连同其他缺陷可能导致的财 务报告错报金额小于营业收入的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，则认 定为一般缺陷；如果超过营业收入的</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但小于</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，则认定为重要缺陷；如果超 过营业收入</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的，则认定为重大缺陷。 内部控制缺陷可能导致或导致的损失与资 产管理相关的，以资产总额指标衡量。如 果该缺陷单独或连同其他缺陷可能导致的 财务报告错报金额小于资产总额的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 xml:space="preserve">， 则认定为一般缺陷；如果超出资产总额的 </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。则认定为重要缺陷；如 果超出资产总额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，则认定为重大缺陷。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内部控制缺陷可能导致或导致的损失 与利润表相关的，以营业收入指标衡 量，如果该缺陷单独或连同其他缺陷可 能导致的财务报告错报金额小于营业 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，则认定为一般缺陷；如果 超过营业收入</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但小于</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，则，认定 为重要缺陷；如果超过营业收入</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8"/>
                <w:szCs w:val="18"/>
              </w:rPr>
              <w:t xml:space="preserve">的，则认定为重大缺陷。内部控制缺陷 可能导致或导致的损失与资产管理相 关的，以资产总额指标衡量。如果该缺 陷单独或连同其他缺陷可能导致的财 务报告错报金额小于资产总额的 </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，则认定为一般缺陷；如果超出资 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，则认定为重 要缺陷；如果超出资产总额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，则认 定为重大缺陷。</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4"/>
        <w:keepNext/>
        <w:keepLines/>
        <w:widowControl w:val="0"/>
        <w:shd w:val="clear" w:color="auto" w:fill="auto"/>
        <w:bidi w:val="0"/>
        <w:spacing w:before="0" w:after="380" w:line="240" w:lineRule="auto"/>
        <w:ind w:left="0" w:right="0" w:firstLine="0"/>
        <w:jc w:val="left"/>
      </w:pPr>
      <w:bookmarkStart w:id="420" w:name="bookmark420"/>
      <w:bookmarkStart w:id="421" w:name="bookmark421"/>
      <w:bookmarkStart w:id="422" w:name="bookmark422"/>
      <w:bookmarkStart w:id="423" w:name="bookmark423"/>
      <w:r>
        <w:rPr>
          <w:rFonts w:ascii="Times New Roman" w:eastAsia="Times New Roman" w:hAnsi="Times New Roman" w:cs="Times New Roman"/>
          <w:color w:val="000000"/>
          <w:spacing w:val="0"/>
          <w:w w:val="100"/>
          <w:position w:val="0"/>
        </w:rPr>
        <w:t>2</w:t>
      </w:r>
      <w:bookmarkEnd w:id="422"/>
      <w:r>
        <w:rPr>
          <w:color w:val="000000"/>
          <w:spacing w:val="0"/>
          <w:w w:val="100"/>
          <w:position w:val="0"/>
        </w:rPr>
        <w:t>、内部控制审计报告或鉴证报告</w:t>
      </w:r>
      <w:bookmarkEnd w:id="420"/>
      <w:bookmarkEnd w:id="421"/>
      <w:bookmarkEnd w:id="423"/>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内部控制鉴证报告</w:t>
      </w:r>
    </w:p>
    <w:tbl>
      <w:tblPr>
        <w:tblOverlap w:val="never"/>
        <w:jc w:val="center"/>
        <w:tblLayout w:type="fixed"/>
      </w:tblPr>
      <w:tblGrid>
        <w:gridCol w:w="2669"/>
        <w:gridCol w:w="6912"/>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内部控制鉴证报告中的审议意见段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我们认为，数字政通公司按照财政部等五部委颁发的《企业内部控制基本规范》及相关规定于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日在所有 重大方面保持了与财务报表相关的有效的内部控制。</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内控鉴证报告披露情况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披露</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内部控制鉴证报告全文披露日期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内部控制鉴证报告全文披露索引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内控鉴证报告意见类型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标准无保留意见</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bl>
    <w:p>
      <w:pPr>
        <w:widowControl w:val="0"/>
        <w:spacing w:after="99" w:line="1" w:lineRule="exact"/>
      </w:pP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会计师事务所是否出具非标准意见的内部控制鉴证报告</w:t>
      </w:r>
    </w:p>
    <w:p>
      <w:pPr>
        <w:pStyle w:val="Style14"/>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会计师事务所出具的内部控制鉴证报告与董事会的自我评价报告意见是否一致</w:t>
      </w:r>
    </w:p>
    <w:p>
      <w:pPr>
        <w:pStyle w:val="Style14"/>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19"/>
        <w:keepNext/>
        <w:keepLines/>
        <w:widowControl w:val="0"/>
        <w:shd w:val="clear" w:color="auto" w:fill="auto"/>
        <w:bidi w:val="0"/>
        <w:spacing w:before="0" w:after="220" w:line="470" w:lineRule="exact"/>
        <w:ind w:left="0" w:right="0" w:firstLine="0"/>
        <w:jc w:val="left"/>
      </w:pPr>
      <w:bookmarkStart w:id="424" w:name="bookmark424"/>
      <w:bookmarkStart w:id="425" w:name="bookmark425"/>
      <w:bookmarkStart w:id="426" w:name="bookmark426"/>
      <w:r>
        <w:rPr>
          <w:color w:val="000000"/>
          <w:spacing w:val="0"/>
          <w:w w:val="100"/>
          <w:position w:val="0"/>
          <w:sz w:val="24"/>
          <w:szCs w:val="24"/>
        </w:rPr>
        <w:t>十七、上市公司治理专项行动自查问题整改情况</w:t>
      </w:r>
      <w:bookmarkEnd w:id="424"/>
      <w:bookmarkEnd w:id="425"/>
      <w:bookmarkEnd w:id="426"/>
    </w:p>
    <w:p>
      <w:pPr>
        <w:pStyle w:val="Style59"/>
        <w:keepNext w:val="0"/>
        <w:keepLines w:val="0"/>
        <w:widowControl w:val="0"/>
        <w:shd w:val="clear" w:color="auto" w:fill="auto"/>
        <w:bidi w:val="0"/>
        <w:spacing w:before="0" w:after="100" w:line="470" w:lineRule="exact"/>
        <w:ind w:left="0" w:right="0" w:firstLine="500"/>
        <w:jc w:val="left"/>
        <w:sectPr>
          <w:footnotePr>
            <w:pos w:val="pageBottom"/>
            <w:numFmt w:val="decimal"/>
            <w:numRestart w:val="continuous"/>
          </w:footnotePr>
          <w:pgSz w:w="11900" w:h="16840"/>
          <w:pgMar w:top="1311" w:right="1047" w:bottom="1671" w:left="1052" w:header="0" w:footer="3" w:gutter="0"/>
          <w:cols w:space="720"/>
          <w:noEndnote/>
          <w:rtlGutter w:val="0"/>
          <w:docGrid w:linePitch="360"/>
        </w:sectPr>
      </w:pPr>
      <w:r>
        <w:rPr>
          <w:color w:val="000000"/>
          <w:spacing w:val="0"/>
          <w:w w:val="100"/>
          <w:position w:val="0"/>
          <w:sz w:val="24"/>
          <w:szCs w:val="24"/>
        </w:rPr>
        <w:t>通过本次自查，公司认为公司治理符合《公司法》《证券法》《规范运作指引》《上市 公司章程指引》等法律、法规的要求，公司治理结构较为完善，运作规范，不存在重大问题 的失误和需要整改的情况。</w:t>
      </w:r>
    </w:p>
    <w:p>
      <w:pPr>
        <w:pStyle w:val="Style8"/>
        <w:keepNext/>
        <w:keepLines/>
        <w:widowControl w:val="0"/>
        <w:shd w:val="clear" w:color="auto" w:fill="auto"/>
        <w:bidi w:val="0"/>
        <w:spacing w:before="700" w:after="520" w:line="240" w:lineRule="auto"/>
        <w:ind w:left="0" w:right="0" w:firstLine="0"/>
        <w:jc w:val="center"/>
      </w:pPr>
      <w:bookmarkStart w:id="427" w:name="bookmark427"/>
      <w:bookmarkStart w:id="428" w:name="bookmark428"/>
      <w:bookmarkStart w:id="429" w:name="bookmark429"/>
      <w:bookmarkStart w:id="430" w:name="bookmark430"/>
      <w:r>
        <w:rPr>
          <w:color w:val="000000"/>
          <w:spacing w:val="0"/>
          <w:w w:val="100"/>
          <w:position w:val="0"/>
        </w:rPr>
        <w:t>第五节环境和社会责任</w:t>
      </w:r>
      <w:bookmarkEnd w:id="428"/>
      <w:bookmarkEnd w:id="429"/>
      <w:bookmarkEnd w:id="430"/>
      <w:bookmarkEnd w:id="427"/>
    </w:p>
    <w:p>
      <w:pPr>
        <w:pStyle w:val="Style19"/>
        <w:keepNext/>
        <w:keepLines/>
        <w:widowControl w:val="0"/>
        <w:shd w:val="clear" w:color="auto" w:fill="auto"/>
        <w:bidi w:val="0"/>
        <w:spacing w:before="0" w:after="360" w:line="240" w:lineRule="auto"/>
        <w:ind w:left="0" w:right="0" w:firstLine="0"/>
        <w:jc w:val="both"/>
      </w:pPr>
      <w:bookmarkStart w:id="431" w:name="bookmark431"/>
      <w:bookmarkStart w:id="432" w:name="bookmark432"/>
      <w:bookmarkStart w:id="433" w:name="bookmark433"/>
      <w:bookmarkStart w:id="434" w:name="bookmark434"/>
      <w:r>
        <w:rPr>
          <w:color w:val="000000"/>
          <w:spacing w:val="0"/>
          <w:w w:val="100"/>
          <w:position w:val="0"/>
          <w:sz w:val="24"/>
          <w:szCs w:val="24"/>
        </w:rPr>
        <w:t>一</w:t>
      </w:r>
      <w:bookmarkEnd w:id="433"/>
      <w:r>
        <w:rPr>
          <w:color w:val="000000"/>
          <w:spacing w:val="0"/>
          <w:w w:val="100"/>
          <w:position w:val="0"/>
          <w:sz w:val="24"/>
          <w:szCs w:val="24"/>
        </w:rPr>
        <w:t>、重大环保问题</w:t>
      </w:r>
      <w:bookmarkEnd w:id="431"/>
      <w:bookmarkEnd w:id="432"/>
      <w:bookmarkEnd w:id="434"/>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上市公司及其子公司是否属于环境保护部门公布的重点排污单位</w:t>
      </w:r>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4"/>
        <w:gridCol w:w="1594"/>
        <w:gridCol w:w="1594"/>
        <w:gridCol w:w="159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公司或子公司名称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对上市公司生产经 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公司的整改措施</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bl>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参照重点排污单位披露的其他环境信息</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本公司及其子公司均不属于环境保护部门公布的重点排污单位。</w:t>
      </w:r>
    </w:p>
    <w:p>
      <w:pPr>
        <w:widowControl w:val="0"/>
        <w:spacing w:after="419" w:line="1" w:lineRule="exact"/>
      </w:pPr>
    </w:p>
    <w:p>
      <w:pPr>
        <w:pStyle w:val="Style1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在报告期内为减少其碳排放所采取的措施及效果</w:t>
      </w:r>
    </w:p>
    <w:p>
      <w:pPr>
        <w:pStyle w:val="Style1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未披露其他环境信息的原因</w:t>
      </w:r>
    </w:p>
    <w:p>
      <w:pPr>
        <w:pStyle w:val="Style14"/>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本公司及其子公司均不属于环境保护部门公布的重点排污单位。</w:t>
      </w:r>
    </w:p>
    <w:p>
      <w:pPr>
        <w:pStyle w:val="Style19"/>
        <w:keepNext/>
        <w:keepLines/>
        <w:widowControl w:val="0"/>
        <w:shd w:val="clear" w:color="auto" w:fill="auto"/>
        <w:bidi w:val="0"/>
        <w:spacing w:before="0" w:after="220" w:line="468" w:lineRule="exact"/>
        <w:ind w:left="0" w:right="0" w:firstLine="0"/>
        <w:jc w:val="both"/>
      </w:pPr>
      <w:bookmarkStart w:id="435" w:name="bookmark435"/>
      <w:bookmarkStart w:id="436" w:name="bookmark436"/>
      <w:bookmarkStart w:id="437" w:name="bookmark437"/>
      <w:bookmarkStart w:id="438" w:name="bookmark438"/>
      <w:r>
        <w:rPr>
          <w:color w:val="000000"/>
          <w:spacing w:val="0"/>
          <w:w w:val="100"/>
          <w:position w:val="0"/>
          <w:sz w:val="24"/>
          <w:szCs w:val="24"/>
        </w:rPr>
        <w:t>二</w:t>
      </w:r>
      <w:bookmarkEnd w:id="437"/>
      <w:r>
        <w:rPr>
          <w:color w:val="000000"/>
          <w:spacing w:val="0"/>
          <w:w w:val="100"/>
          <w:position w:val="0"/>
          <w:sz w:val="24"/>
          <w:szCs w:val="24"/>
        </w:rPr>
        <w:t>、社会责任情况</w:t>
      </w:r>
      <w:bookmarkEnd w:id="435"/>
      <w:bookmarkEnd w:id="436"/>
      <w:bookmarkEnd w:id="438"/>
    </w:p>
    <w:p>
      <w:pPr>
        <w:pStyle w:val="Style59"/>
        <w:keepNext w:val="0"/>
        <w:keepLines w:val="0"/>
        <w:widowControl w:val="0"/>
        <w:shd w:val="clear" w:color="auto" w:fill="auto"/>
        <w:tabs>
          <w:tab w:pos="1006" w:val="left"/>
        </w:tabs>
        <w:bidi w:val="0"/>
        <w:spacing w:before="0" w:after="0" w:line="468" w:lineRule="exact"/>
        <w:ind w:left="0" w:right="0" w:firstLine="480"/>
        <w:jc w:val="both"/>
      </w:pPr>
      <w:bookmarkStart w:id="439" w:name="bookmark439"/>
      <w:r>
        <w:rPr>
          <w:color w:val="000000"/>
          <w:spacing w:val="0"/>
          <w:w w:val="100"/>
          <w:position w:val="0"/>
          <w:sz w:val="24"/>
          <w:szCs w:val="24"/>
        </w:rPr>
        <w:t>（</w:t>
      </w:r>
      <w:bookmarkEnd w:id="439"/>
      <w:r>
        <w:rPr>
          <w:color w:val="000000"/>
          <w:spacing w:val="0"/>
          <w:w w:val="100"/>
          <w:position w:val="0"/>
          <w:sz w:val="24"/>
          <w:szCs w:val="24"/>
        </w:rPr>
        <w:t>1）</w:t>
        <w:tab/>
        <w:t>职工权益保护</w:t>
      </w:r>
    </w:p>
    <w:p>
      <w:pPr>
        <w:pStyle w:val="Style59"/>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公司致力于保障员工合法权益，为员工提供健康、安全的工作环境，定期组织员工进行 体检，为员工提供补充医疗保险，关注员工的身心健康；尊重员工，积极采纳员工合理化建 议，增强公司凝聚力；致力于培养出优秀的人才，帮助每一位员工实现自我价值，与企业共 同成长。不断完善人力资源管理体系，努力为员工提供更大的发展空间及更多的人文关怀。</w:t>
      </w:r>
    </w:p>
    <w:p>
      <w:pPr>
        <w:pStyle w:val="Style59"/>
        <w:keepNext w:val="0"/>
        <w:keepLines w:val="0"/>
        <w:widowControl w:val="0"/>
        <w:shd w:val="clear" w:color="auto" w:fill="auto"/>
        <w:tabs>
          <w:tab w:pos="1006" w:val="left"/>
        </w:tabs>
        <w:bidi w:val="0"/>
        <w:spacing w:before="0" w:after="0" w:line="468" w:lineRule="exact"/>
        <w:ind w:left="0" w:right="0" w:firstLine="480"/>
        <w:jc w:val="both"/>
      </w:pPr>
      <w:bookmarkStart w:id="440" w:name="bookmark440"/>
      <w:r>
        <w:rPr>
          <w:color w:val="000000"/>
          <w:spacing w:val="0"/>
          <w:w w:val="100"/>
          <w:position w:val="0"/>
          <w:sz w:val="24"/>
          <w:szCs w:val="24"/>
        </w:rPr>
        <w:t>（</w:t>
      </w:r>
      <w:bookmarkEnd w:id="440"/>
      <w:r>
        <w:rPr>
          <w:color w:val="000000"/>
          <w:spacing w:val="0"/>
          <w:w w:val="100"/>
          <w:position w:val="0"/>
          <w:sz w:val="24"/>
          <w:szCs w:val="24"/>
        </w:rPr>
        <w:t>2）</w:t>
        <w:tab/>
        <w:t>股东及债权人权益保护</w:t>
      </w:r>
    </w:p>
    <w:p>
      <w:pPr>
        <w:pStyle w:val="Style59"/>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公司严格按照《公司法》、《证券法》、《公司章程》等法律、法规、规范性文件及制 度的要求，规范股东大会召集、召开、表决程序，确保所有股东享有平等的股东地位、平等 的股东权利；充分保护股东的合法权益，让中小投资者充分行使自己的权利；明确分红政策， 积极实施现金分红政策，确保股东投资回报。同时，公司财务政策稳健，与供应商及其他债 权人合作情况良好，公司在维护股东利益的同时兼顾债权人的利益。</w:t>
      </w:r>
    </w:p>
    <w:p>
      <w:pPr>
        <w:pStyle w:val="Style59"/>
        <w:keepNext w:val="0"/>
        <w:keepLines w:val="0"/>
        <w:widowControl w:val="0"/>
        <w:shd w:val="clear" w:color="auto" w:fill="auto"/>
        <w:tabs>
          <w:tab w:pos="1006" w:val="left"/>
        </w:tabs>
        <w:bidi w:val="0"/>
        <w:spacing w:before="0" w:after="0" w:line="468" w:lineRule="exact"/>
        <w:ind w:left="0" w:right="0" w:firstLine="480"/>
        <w:jc w:val="both"/>
      </w:pPr>
      <w:bookmarkStart w:id="441" w:name="bookmark441"/>
      <w:r>
        <w:rPr>
          <w:color w:val="000000"/>
          <w:spacing w:val="0"/>
          <w:w w:val="100"/>
          <w:position w:val="0"/>
          <w:sz w:val="24"/>
          <w:szCs w:val="24"/>
        </w:rPr>
        <w:t>（</w:t>
      </w:r>
      <w:bookmarkEnd w:id="441"/>
      <w:r>
        <w:rPr>
          <w:color w:val="000000"/>
          <w:spacing w:val="0"/>
          <w:w w:val="100"/>
          <w:position w:val="0"/>
          <w:sz w:val="24"/>
          <w:szCs w:val="24"/>
        </w:rPr>
        <w:t>3）</w:t>
        <w:tab/>
        <w:t>履行其他社会责任</w:t>
      </w:r>
    </w:p>
    <w:p>
      <w:pPr>
        <w:pStyle w:val="Style59"/>
        <w:keepNext w:val="0"/>
        <w:keepLines w:val="0"/>
        <w:widowControl w:val="0"/>
        <w:shd w:val="clear" w:color="auto" w:fill="auto"/>
        <w:bidi w:val="0"/>
        <w:spacing w:before="0" w:after="200" w:line="468" w:lineRule="exact"/>
        <w:ind w:left="0" w:right="0" w:firstLine="480"/>
        <w:jc w:val="both"/>
      </w:pPr>
      <w:r>
        <w:rPr>
          <w:color w:val="000000"/>
          <w:spacing w:val="0"/>
          <w:w w:val="100"/>
          <w:position w:val="0"/>
          <w:sz w:val="24"/>
          <w:szCs w:val="24"/>
        </w:rPr>
        <w:t xml:space="preserve">公司诚信经营，遵纪守法，依法纳税，增加国家财政收入；公司根据自身需求，面向社 </w:t>
      </w:r>
      <w:r>
        <w:rPr>
          <w:color w:val="000000"/>
          <w:spacing w:val="0"/>
          <w:w w:val="100"/>
          <w:position w:val="0"/>
          <w:sz w:val="24"/>
          <w:szCs w:val="24"/>
        </w:rPr>
        <w:t>会公开招聘员工，促进就业；公司响应国家环保政策，坚持不懈的为社会和行业的可持续发 展做出积极贡献。</w:t>
      </w:r>
    </w:p>
    <w:p>
      <w:pPr>
        <w:pStyle w:val="Style19"/>
        <w:keepNext/>
        <w:keepLines/>
        <w:widowControl w:val="0"/>
        <w:shd w:val="clear" w:color="auto" w:fill="auto"/>
        <w:bidi w:val="0"/>
        <w:spacing w:before="0" w:after="360" w:line="470" w:lineRule="exact"/>
        <w:ind w:left="0" w:right="0" w:firstLine="0"/>
        <w:jc w:val="left"/>
      </w:pPr>
      <w:bookmarkStart w:id="442" w:name="bookmark442"/>
      <w:bookmarkStart w:id="443" w:name="bookmark443"/>
      <w:bookmarkStart w:id="444" w:name="bookmark444"/>
      <w:bookmarkStart w:id="445" w:name="bookmark445"/>
      <w:r>
        <w:rPr>
          <w:color w:val="000000"/>
          <w:spacing w:val="0"/>
          <w:w w:val="100"/>
          <w:position w:val="0"/>
          <w:sz w:val="24"/>
          <w:szCs w:val="24"/>
        </w:rPr>
        <w:t>三</w:t>
      </w:r>
      <w:bookmarkEnd w:id="444"/>
      <w:r>
        <w:rPr>
          <w:color w:val="000000"/>
          <w:spacing w:val="0"/>
          <w:w w:val="100"/>
          <w:position w:val="0"/>
          <w:sz w:val="24"/>
          <w:szCs w:val="24"/>
        </w:rPr>
        <w:t>、巩固拓展脱贫攻坚成果、乡村振兴的情况</w:t>
      </w:r>
      <w:bookmarkEnd w:id="442"/>
      <w:bookmarkEnd w:id="443"/>
      <w:bookmarkEnd w:id="445"/>
    </w:p>
    <w:p>
      <w:pPr>
        <w:pStyle w:val="Style14"/>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公司报告暂未开展精准扶贫工作，也暂无后续精准扶贫计划。</w:t>
      </w:r>
      <w:r>
        <w:br w:type="page"/>
      </w:r>
    </w:p>
    <w:p>
      <w:pPr>
        <w:pStyle w:val="Style8"/>
        <w:keepNext/>
        <w:keepLines/>
        <w:widowControl w:val="0"/>
        <w:shd w:val="clear" w:color="auto" w:fill="auto"/>
        <w:bidi w:val="0"/>
        <w:spacing w:before="0" w:after="540" w:line="240" w:lineRule="auto"/>
        <w:ind w:left="0" w:right="0" w:firstLine="0"/>
        <w:jc w:val="center"/>
      </w:pPr>
      <w:bookmarkStart w:id="446" w:name="bookmark446"/>
      <w:bookmarkStart w:id="447" w:name="bookmark447"/>
      <w:bookmarkStart w:id="448" w:name="bookmark448"/>
      <w:bookmarkStart w:id="449" w:name="bookmark449"/>
      <w:r>
        <w:rPr>
          <w:color w:val="000000"/>
          <w:spacing w:val="0"/>
          <w:w w:val="100"/>
          <w:position w:val="0"/>
        </w:rPr>
        <w:t>第六节重要事项</w:t>
      </w:r>
      <w:bookmarkEnd w:id="447"/>
      <w:bookmarkEnd w:id="448"/>
      <w:bookmarkEnd w:id="449"/>
      <w:bookmarkEnd w:id="446"/>
    </w:p>
    <w:p>
      <w:pPr>
        <w:pStyle w:val="Style19"/>
        <w:keepNext/>
        <w:keepLines/>
        <w:widowControl w:val="0"/>
        <w:shd w:val="clear" w:color="auto" w:fill="auto"/>
        <w:bidi w:val="0"/>
        <w:spacing w:before="0" w:after="260" w:line="240" w:lineRule="auto"/>
        <w:ind w:left="0" w:right="0" w:firstLine="0"/>
        <w:jc w:val="left"/>
      </w:pPr>
      <w:bookmarkStart w:id="450" w:name="bookmark450"/>
      <w:bookmarkStart w:id="451" w:name="bookmark451"/>
      <w:bookmarkStart w:id="452" w:name="bookmark452"/>
      <w:bookmarkStart w:id="453" w:name="bookmark453"/>
      <w:r>
        <w:rPr>
          <w:color w:val="000000"/>
          <w:spacing w:val="0"/>
          <w:w w:val="100"/>
          <w:position w:val="0"/>
          <w:sz w:val="24"/>
          <w:szCs w:val="24"/>
        </w:rPr>
        <w:t>一</w:t>
      </w:r>
      <w:bookmarkEnd w:id="452"/>
      <w:r>
        <w:rPr>
          <w:color w:val="000000"/>
          <w:spacing w:val="0"/>
          <w:w w:val="100"/>
          <w:position w:val="0"/>
          <w:sz w:val="24"/>
          <w:szCs w:val="24"/>
        </w:rPr>
        <w:t>、承诺事项履行情况</w:t>
      </w:r>
      <w:bookmarkEnd w:id="450"/>
      <w:bookmarkEnd w:id="451"/>
      <w:bookmarkEnd w:id="453"/>
    </w:p>
    <w:p>
      <w:pPr>
        <w:pStyle w:val="Style24"/>
        <w:keepNext/>
        <w:keepLines/>
        <w:widowControl w:val="0"/>
        <w:shd w:val="clear" w:color="auto" w:fill="auto"/>
        <w:bidi w:val="0"/>
        <w:spacing w:before="0" w:after="360" w:line="322" w:lineRule="exact"/>
        <w:ind w:left="0" w:right="0" w:firstLine="0"/>
        <w:jc w:val="left"/>
      </w:pP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rPr>
        <w:t>1</w:t>
      </w:r>
      <w:bookmarkEnd w:id="456"/>
      <w:r>
        <w:rPr>
          <w:color w:val="000000"/>
          <w:spacing w:val="0"/>
          <w:w w:val="100"/>
          <w:position w:val="0"/>
        </w:rPr>
        <w:t>、公司实际控制人、股东、关联方、收购人以及公司等承诺相关方在报告期内履行完毕及截至报告期末 尚未履行完毕的承诺事项</w:t>
      </w:r>
      <w:bookmarkEnd w:id="454"/>
      <w:bookmarkEnd w:id="455"/>
      <w:bookmarkEnd w:id="457"/>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842"/>
        <w:gridCol w:w="1123"/>
        <w:gridCol w:w="1128"/>
        <w:gridCol w:w="1128"/>
        <w:gridCol w:w="1123"/>
        <w:gridCol w:w="1123"/>
        <w:gridCol w:w="110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履行情况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收购报告书或权益变动报告书中所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0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首次公开发行或再融资时所作承诺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本公司董事</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长及实际控</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制人吴强华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关于同业竞</w:t>
            </w:r>
          </w:p>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争、关联交 易、资金占用 方面的承诺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自公司股票 上市之日起 三十六个月 内，不转让、 抵押、质押或 在该股份上 设定任何其 他形式的限 制或他项权 利，不委托他 人管理本人 本次发行前 已持有的公 司股份，也不 由公司回购 该部分股份； 本人在任职 期间每年转 让的股份不 得超过本人 所持有公司 股份总数的 百分之二十 五；本人离职 后半年内，不 转让本人所 持有的公司 股份。严格遵 守《公司法》、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持续</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正常履行，未 出现任何违 反该承诺的 情况</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128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《公司章程》、 《关联交易</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制度》、《股 东大会议事 规则》、《董 事会议事规 则》等规定， 避免和减少 关联交易，自 觉维护发行 人及全体股 东的利益，将 不利用本人 在发行人中 的股东地位 在关联交易 中谋取不正 当利益。如发 行人必须与 本人控制的 企业进行关 联交易，均严 格履行相关 法律程序，遵 照市场公平 交易的原则 进行，将促使 交易的价格、 相关协议条 款和交易条 件公平合理， 不会要求发 行人给予与 第三人的条 件相比更优 惠的条件。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数字政通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数字政通承 诺不为激励 对象依股票 期权激励计 划获取有关 权益提供贷 款以及其他 任何形式的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年股票 期权与限制 性股票激励 计划实施期 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8"/>
                <w:szCs w:val="18"/>
              </w:rPr>
            </w:pPr>
            <w:r>
              <w:rPr>
                <w:color w:val="000000"/>
                <w:spacing w:val="0"/>
                <w:w w:val="100"/>
                <w:position w:val="0"/>
                <w:sz w:val="18"/>
                <w:szCs w:val="18"/>
              </w:rPr>
              <w:t>正常履行，未 出现任何违 反该承诺的 情况</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财务资助，包</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括为其贷款</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提供担保。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数字政通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数字政通承 诺不为激励 对象依股票 期权激励计 划获取有关 权益提供贷 款以及其他 任何形式的 财务资助，包 括为其贷款 提供担保。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年股票 期权激励计 划实施期间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正常履行，未 出现任何违 反该承诺的 情况</w:t>
            </w: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数字政通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数字政通承 诺不为激励 对象依股票</w:t>
            </w:r>
          </w:p>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期权激励计</w:t>
            </w:r>
          </w:p>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划获取有关 权益提供贷 款以及其他 任何形式的</w:t>
            </w:r>
          </w:p>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财务资助，包 括为其贷款 提供担保。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年限制 性股票激励 计划实施期 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rPr>
                <w:sz w:val="18"/>
                <w:szCs w:val="18"/>
              </w:rPr>
            </w:pPr>
            <w:r>
              <w:rPr>
                <w:color w:val="000000"/>
                <w:spacing w:val="0"/>
                <w:w w:val="100"/>
                <w:position w:val="0"/>
                <w:sz w:val="18"/>
                <w:szCs w:val="18"/>
              </w:rPr>
              <w:t>正常履行，未 出现任何违 反该承诺的 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bl>
    <w:p>
      <w:pPr>
        <w:widowControl w:val="0"/>
        <w:spacing w:after="259" w:line="1" w:lineRule="exact"/>
      </w:pPr>
    </w:p>
    <w:p>
      <w:pPr>
        <w:pStyle w:val="Style24"/>
        <w:keepNext/>
        <w:keepLines/>
        <w:widowControl w:val="0"/>
        <w:shd w:val="clear" w:color="auto" w:fill="auto"/>
        <w:bidi w:val="0"/>
        <w:spacing w:before="0" w:after="360" w:line="317" w:lineRule="exact"/>
        <w:ind w:left="0" w:right="0" w:firstLine="0"/>
        <w:jc w:val="both"/>
      </w:pPr>
      <w:bookmarkStart w:id="458" w:name="bookmark458"/>
      <w:bookmarkStart w:id="459" w:name="bookmark459"/>
      <w:bookmarkStart w:id="460" w:name="bookmark460"/>
      <w:bookmarkStart w:id="461" w:name="bookmark461"/>
      <w:r>
        <w:rPr>
          <w:rFonts w:ascii="Times New Roman" w:eastAsia="Times New Roman" w:hAnsi="Times New Roman" w:cs="Times New Roman"/>
          <w:color w:val="000000"/>
          <w:spacing w:val="0"/>
          <w:w w:val="100"/>
          <w:position w:val="0"/>
        </w:rPr>
        <w:t>2</w:t>
      </w:r>
      <w:bookmarkEnd w:id="460"/>
      <w:r>
        <w:rPr>
          <w:color w:val="000000"/>
          <w:spacing w:val="0"/>
          <w:w w:val="100"/>
          <w:position w:val="0"/>
        </w:rPr>
        <w:t>、公司资产或项目存在盈利预测，且报告期仍处在盈利预测期间，公司就资产或项目达到原盈利预测及 其原因做出说明</w:t>
      </w:r>
      <w:bookmarkEnd w:id="458"/>
      <w:bookmarkEnd w:id="459"/>
      <w:bookmarkEnd w:id="461"/>
    </w:p>
    <w:p>
      <w:pPr>
        <w:pStyle w:val="Style1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keepLines/>
        <w:widowControl w:val="0"/>
        <w:shd w:val="clear" w:color="auto" w:fill="auto"/>
        <w:bidi w:val="0"/>
        <w:spacing w:before="0" w:after="360" w:line="240" w:lineRule="auto"/>
        <w:ind w:left="0" w:right="0" w:firstLine="0"/>
        <w:jc w:val="both"/>
      </w:pPr>
      <w:bookmarkStart w:id="462" w:name="bookmark462"/>
      <w:bookmarkStart w:id="463" w:name="bookmark463"/>
      <w:bookmarkStart w:id="464" w:name="bookmark464"/>
      <w:bookmarkStart w:id="465" w:name="bookmark465"/>
      <w:r>
        <w:rPr>
          <w:color w:val="000000"/>
          <w:spacing w:val="0"/>
          <w:w w:val="100"/>
          <w:position w:val="0"/>
          <w:sz w:val="24"/>
          <w:szCs w:val="24"/>
        </w:rPr>
        <w:t>二</w:t>
      </w:r>
      <w:bookmarkEnd w:id="464"/>
      <w:r>
        <w:rPr>
          <w:color w:val="000000"/>
          <w:spacing w:val="0"/>
          <w:w w:val="100"/>
          <w:position w:val="0"/>
          <w:sz w:val="24"/>
          <w:szCs w:val="24"/>
        </w:rPr>
        <w:t>、控股股东及其他关联方对上市公司的非经营性占用资金情况</w:t>
      </w:r>
      <w:bookmarkEnd w:id="462"/>
      <w:bookmarkEnd w:id="463"/>
      <w:bookmarkEnd w:id="465"/>
    </w:p>
    <w:p>
      <w:pPr>
        <w:pStyle w:val="Style1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公司报告期不存在控股股东及其他关联方对上市公司的非经营性占用资金。</w:t>
      </w:r>
    </w:p>
    <w:p>
      <w:pPr>
        <w:pStyle w:val="Style19"/>
        <w:keepNext/>
        <w:keepLines/>
        <w:widowControl w:val="0"/>
        <w:shd w:val="clear" w:color="auto" w:fill="auto"/>
        <w:tabs>
          <w:tab w:pos="517" w:val="left"/>
        </w:tabs>
        <w:bidi w:val="0"/>
        <w:spacing w:before="0" w:after="340" w:line="469" w:lineRule="exact"/>
        <w:ind w:left="0" w:right="0" w:firstLine="0"/>
        <w:jc w:val="left"/>
      </w:pPr>
      <w:bookmarkStart w:id="466" w:name="bookmark466"/>
      <w:bookmarkStart w:id="467" w:name="bookmark467"/>
      <w:bookmarkStart w:id="468" w:name="bookmark468"/>
      <w:bookmarkStart w:id="469" w:name="bookmark469"/>
      <w:r>
        <w:rPr>
          <w:color w:val="000000"/>
          <w:spacing w:val="0"/>
          <w:w w:val="100"/>
          <w:position w:val="0"/>
          <w:sz w:val="24"/>
          <w:szCs w:val="24"/>
        </w:rPr>
        <w:t>三</w:t>
      </w:r>
      <w:bookmarkEnd w:id="468"/>
      <w:r>
        <w:rPr>
          <w:color w:val="000000"/>
          <w:spacing w:val="0"/>
          <w:w w:val="100"/>
          <w:position w:val="0"/>
          <w:sz w:val="24"/>
          <w:szCs w:val="24"/>
        </w:rPr>
        <w:t>、</w:t>
        <w:tab/>
        <w:t>违规对外担保情况</w:t>
      </w:r>
      <w:bookmarkEnd w:id="466"/>
      <w:bookmarkEnd w:id="467"/>
      <w:bookmarkEnd w:id="469"/>
    </w:p>
    <w:p>
      <w:pPr>
        <w:pStyle w:val="Style14"/>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公司报告期无违规对外担保情况。</w:t>
      </w:r>
    </w:p>
    <w:p>
      <w:pPr>
        <w:pStyle w:val="Style19"/>
        <w:keepNext/>
        <w:keepLines/>
        <w:widowControl w:val="0"/>
        <w:shd w:val="clear" w:color="auto" w:fill="auto"/>
        <w:tabs>
          <w:tab w:pos="517" w:val="left"/>
        </w:tabs>
        <w:bidi w:val="0"/>
        <w:spacing w:before="0" w:after="340" w:line="469" w:lineRule="exact"/>
        <w:ind w:left="0" w:right="0" w:firstLine="0"/>
        <w:jc w:val="left"/>
      </w:pPr>
      <w:bookmarkStart w:id="470" w:name="bookmark470"/>
      <w:bookmarkStart w:id="471" w:name="bookmark471"/>
      <w:bookmarkStart w:id="472" w:name="bookmark472"/>
      <w:bookmarkStart w:id="473" w:name="bookmark473"/>
      <w:r>
        <w:rPr>
          <w:color w:val="000000"/>
          <w:spacing w:val="0"/>
          <w:w w:val="100"/>
          <w:position w:val="0"/>
          <w:sz w:val="24"/>
          <w:szCs w:val="24"/>
        </w:rPr>
        <w:t>四</w:t>
      </w:r>
      <w:bookmarkEnd w:id="472"/>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470"/>
      <w:bookmarkEnd w:id="471"/>
      <w:bookmarkEnd w:id="473"/>
    </w:p>
    <w:p>
      <w:pPr>
        <w:pStyle w:val="Style14"/>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keepLines/>
        <w:widowControl w:val="0"/>
        <w:shd w:val="clear" w:color="auto" w:fill="auto"/>
        <w:tabs>
          <w:tab w:pos="517" w:val="left"/>
        </w:tabs>
        <w:bidi w:val="0"/>
        <w:spacing w:before="0" w:after="340" w:line="469" w:lineRule="exact"/>
        <w:ind w:left="0" w:right="0" w:firstLine="0"/>
        <w:jc w:val="left"/>
      </w:pPr>
      <w:bookmarkStart w:id="474" w:name="bookmark474"/>
      <w:bookmarkStart w:id="475" w:name="bookmark475"/>
      <w:bookmarkStart w:id="476" w:name="bookmark476"/>
      <w:bookmarkStart w:id="477" w:name="bookmark477"/>
      <w:r>
        <w:rPr>
          <w:color w:val="000000"/>
          <w:spacing w:val="0"/>
          <w:w w:val="100"/>
          <w:position w:val="0"/>
          <w:sz w:val="24"/>
          <w:szCs w:val="24"/>
        </w:rPr>
        <w:t>五</w:t>
      </w:r>
      <w:bookmarkEnd w:id="476"/>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474"/>
      <w:bookmarkEnd w:id="475"/>
      <w:bookmarkEnd w:id="477"/>
    </w:p>
    <w:p>
      <w:pPr>
        <w:pStyle w:val="Style14"/>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keepLines/>
        <w:widowControl w:val="0"/>
        <w:shd w:val="clear" w:color="auto" w:fill="auto"/>
        <w:tabs>
          <w:tab w:pos="517" w:val="left"/>
        </w:tabs>
        <w:bidi w:val="0"/>
        <w:spacing w:before="0" w:after="340" w:line="469" w:lineRule="exact"/>
        <w:ind w:left="0" w:right="0" w:firstLine="0"/>
        <w:jc w:val="left"/>
      </w:pPr>
      <w:bookmarkStart w:id="478" w:name="bookmark478"/>
      <w:bookmarkStart w:id="479" w:name="bookmark479"/>
      <w:bookmarkStart w:id="480" w:name="bookmark480"/>
      <w:bookmarkStart w:id="481" w:name="bookmark481"/>
      <w:r>
        <w:rPr>
          <w:color w:val="000000"/>
          <w:spacing w:val="0"/>
          <w:w w:val="100"/>
          <w:position w:val="0"/>
          <w:sz w:val="24"/>
          <w:szCs w:val="24"/>
        </w:rPr>
        <w:t>六</w:t>
      </w:r>
      <w:bookmarkEnd w:id="480"/>
      <w:r>
        <w:rPr>
          <w:color w:val="000000"/>
          <w:spacing w:val="0"/>
          <w:w w:val="100"/>
          <w:position w:val="0"/>
          <w:sz w:val="24"/>
          <w:szCs w:val="24"/>
        </w:rPr>
        <w:t>、</w:t>
        <w:tab/>
        <w:t>董事会关于报告期会计政策、会计估计变更或重大会计差错更正的说明</w:t>
      </w:r>
      <w:bookmarkEnd w:id="478"/>
      <w:bookmarkEnd w:id="479"/>
      <w:bookmarkEnd w:id="481"/>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9"/>
        <w:keepNext w:val="0"/>
        <w:keepLines w:val="0"/>
        <w:widowControl w:val="0"/>
        <w:shd w:val="clear" w:color="auto" w:fill="auto"/>
        <w:bidi w:val="0"/>
        <w:spacing w:before="0" w:after="0" w:line="469" w:lineRule="exact"/>
        <w:ind w:left="0" w:right="0" w:firstLine="500"/>
        <w:jc w:val="both"/>
      </w:pPr>
      <w:r>
        <w:rPr>
          <w:color w:val="000000"/>
          <w:spacing w:val="0"/>
          <w:w w:val="100"/>
          <w:position w:val="0"/>
          <w:sz w:val="24"/>
          <w:szCs w:val="24"/>
        </w:rPr>
        <w:t>根据中华人民共和国财政部2018年12月修订发布的《企业会计准则第21号一租赁》（以 下简称“新租赁准则”）要求，在境内外同时上市的企业以及在境外上市并采用国际财务报 告准则或企业会计准则编制财务报表的企业，自2019年1月1日起施行；其他境内上市企业， 自2021年1月1日起施行。</w:t>
      </w:r>
    </w:p>
    <w:p>
      <w:pPr>
        <w:pStyle w:val="Style59"/>
        <w:keepNext w:val="0"/>
        <w:keepLines w:val="0"/>
        <w:widowControl w:val="0"/>
        <w:shd w:val="clear" w:color="auto" w:fill="auto"/>
        <w:bidi w:val="0"/>
        <w:spacing w:before="0" w:after="0" w:line="469" w:lineRule="exact"/>
        <w:ind w:left="0" w:right="0" w:firstLine="500"/>
        <w:jc w:val="both"/>
      </w:pPr>
      <w:r>
        <w:rPr>
          <w:color w:val="000000"/>
          <w:spacing w:val="0"/>
          <w:w w:val="100"/>
          <w:position w:val="0"/>
          <w:sz w:val="24"/>
          <w:szCs w:val="24"/>
        </w:rPr>
        <w:t>本次会计政策变更后，公司将执行财政部于2018年修订发布的《企业会计准则第21号一 租赁》。其他未变更部分，仍按照财政部前期颁布的《企业会计准则一基本准则》和各项具 体会计准则、企业会计准则应用指南、企业会计准则解释公告以及其他相关规定执行。</w:t>
      </w:r>
    </w:p>
    <w:p>
      <w:pPr>
        <w:pStyle w:val="Style59"/>
        <w:keepNext w:val="0"/>
        <w:keepLines w:val="0"/>
        <w:widowControl w:val="0"/>
        <w:shd w:val="clear" w:color="auto" w:fill="auto"/>
        <w:bidi w:val="0"/>
        <w:spacing w:before="0" w:after="0" w:line="469" w:lineRule="exact"/>
        <w:ind w:left="0" w:right="0" w:firstLine="500"/>
        <w:jc w:val="both"/>
      </w:pPr>
      <w:r>
        <w:rPr>
          <w:color w:val="000000"/>
          <w:spacing w:val="0"/>
          <w:w w:val="100"/>
          <w:position w:val="0"/>
          <w:sz w:val="24"/>
          <w:szCs w:val="24"/>
        </w:rPr>
        <w:t>本次会计政策变更及公司适用新租赁准则是根据财政部相关文件的要求进行的合理变 更，能更加客观、公允地反映公司财务状况、经营成果和实际情况，能提供更可靠、更准确 的会计信息，符合有关规定和公司的实际情况，符合《企业会计准则》的相关规定。</w:t>
      </w:r>
    </w:p>
    <w:p>
      <w:pPr>
        <w:pStyle w:val="Style59"/>
        <w:keepNext w:val="0"/>
        <w:keepLines w:val="0"/>
        <w:widowControl w:val="0"/>
        <w:shd w:val="clear" w:color="auto" w:fill="auto"/>
        <w:bidi w:val="0"/>
        <w:spacing w:before="0" w:after="0" w:line="469" w:lineRule="exact"/>
        <w:ind w:left="0" w:right="0" w:firstLine="500"/>
        <w:jc w:val="both"/>
      </w:pPr>
      <w:r>
        <w:rPr>
          <w:color w:val="000000"/>
          <w:spacing w:val="0"/>
          <w:w w:val="100"/>
          <w:position w:val="0"/>
          <w:sz w:val="24"/>
          <w:szCs w:val="24"/>
        </w:rPr>
        <w:t>本次会计政策变更不涉及对公司以前年度的追溯调整，不会对公司财务状况、经营成果 和现金流量产生重大影响，不存在损害公司及股东利益的情况。</w:t>
      </w:r>
    </w:p>
    <w:p>
      <w:pPr>
        <w:pStyle w:val="Style59"/>
        <w:keepNext w:val="0"/>
        <w:keepLines w:val="0"/>
        <w:widowControl w:val="0"/>
        <w:shd w:val="clear" w:color="auto" w:fill="auto"/>
        <w:bidi w:val="0"/>
        <w:spacing w:before="0" w:after="520" w:line="469" w:lineRule="exact"/>
        <w:ind w:left="0" w:right="0" w:firstLine="500"/>
        <w:jc w:val="left"/>
      </w:pPr>
      <w:r>
        <w:rPr>
          <w:color w:val="000000"/>
          <w:spacing w:val="0"/>
          <w:w w:val="100"/>
          <w:position w:val="0"/>
          <w:sz w:val="24"/>
          <w:szCs w:val="24"/>
        </w:rPr>
        <w:t>执行新租赁准则对2021年1月1日财务报表相关项目无影响。</w:t>
      </w:r>
    </w:p>
    <w:p>
      <w:pPr>
        <w:pStyle w:val="Style19"/>
        <w:keepNext/>
        <w:keepLines/>
        <w:widowControl w:val="0"/>
        <w:shd w:val="clear" w:color="auto" w:fill="auto"/>
        <w:tabs>
          <w:tab w:pos="517" w:val="left"/>
        </w:tabs>
        <w:bidi w:val="0"/>
        <w:spacing w:before="0" w:after="340" w:line="469" w:lineRule="exact"/>
        <w:ind w:left="0" w:right="0" w:firstLine="0"/>
        <w:jc w:val="left"/>
      </w:pPr>
      <w:bookmarkStart w:id="482" w:name="bookmark482"/>
      <w:bookmarkStart w:id="483" w:name="bookmark483"/>
      <w:bookmarkStart w:id="484" w:name="bookmark484"/>
      <w:bookmarkStart w:id="485" w:name="bookmark485"/>
      <w:r>
        <w:rPr>
          <w:color w:val="000000"/>
          <w:spacing w:val="0"/>
          <w:w w:val="100"/>
          <w:position w:val="0"/>
          <w:sz w:val="24"/>
          <w:szCs w:val="24"/>
        </w:rPr>
        <w:t>七</w:t>
      </w:r>
      <w:bookmarkEnd w:id="484"/>
      <w:r>
        <w:rPr>
          <w:color w:val="000000"/>
          <w:spacing w:val="0"/>
          <w:w w:val="100"/>
          <w:position w:val="0"/>
          <w:sz w:val="24"/>
          <w:szCs w:val="24"/>
        </w:rPr>
        <w:t>、</w:t>
        <w:tab/>
        <w:t>与上年度财务报告相比，合并报表范围发生变化的情况说明</w:t>
      </w:r>
      <w:bookmarkEnd w:id="482"/>
      <w:bookmarkEnd w:id="483"/>
      <w:bookmarkEnd w:id="485"/>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9"/>
        <w:keepNext w:val="0"/>
        <w:keepLines w:val="0"/>
        <w:widowControl w:val="0"/>
        <w:shd w:val="clear" w:color="auto" w:fill="auto"/>
        <w:bidi w:val="0"/>
        <w:spacing w:before="0" w:after="340" w:line="470" w:lineRule="exact"/>
        <w:ind w:left="0" w:right="0" w:firstLine="500"/>
        <w:jc w:val="both"/>
      </w:pPr>
      <w:bookmarkStart w:id="486" w:name="bookmark486"/>
      <w:r>
        <w:rPr>
          <w:color w:val="000000"/>
          <w:spacing w:val="0"/>
          <w:w w:val="100"/>
          <w:position w:val="0"/>
          <w:sz w:val="24"/>
          <w:szCs w:val="24"/>
        </w:rPr>
        <w:t>（</w:t>
      </w:r>
      <w:bookmarkEnd w:id="486"/>
      <w:r>
        <w:rPr>
          <w:color w:val="000000"/>
          <w:spacing w:val="0"/>
          <w:w w:val="100"/>
          <w:position w:val="0"/>
          <w:sz w:val="24"/>
          <w:szCs w:val="24"/>
        </w:rPr>
        <w:t>1）本公司新设子公司安徽数字展通信息科技有限公司，注册资本</w:t>
      </w:r>
      <w:r>
        <w:rPr>
          <w:color w:val="000000"/>
          <w:spacing w:val="0"/>
          <w:w w:val="100"/>
          <w:position w:val="0"/>
          <w:sz w:val="24"/>
          <w:szCs w:val="24"/>
        </w:rPr>
        <w:t>1,000.00</w:t>
      </w:r>
      <w:r>
        <w:rPr>
          <w:color w:val="000000"/>
          <w:spacing w:val="0"/>
          <w:w w:val="100"/>
          <w:position w:val="0"/>
          <w:sz w:val="24"/>
          <w:szCs w:val="24"/>
        </w:rPr>
        <w:t>万元，本公 司持股比例100%，实际缴纳出资</w:t>
      </w:r>
      <w:r>
        <w:rPr>
          <w:color w:val="000000"/>
          <w:spacing w:val="0"/>
          <w:w w:val="100"/>
          <w:position w:val="0"/>
          <w:sz w:val="24"/>
          <w:szCs w:val="24"/>
        </w:rPr>
        <w:t>100.00</w:t>
      </w:r>
      <w:r>
        <w:rPr>
          <w:color w:val="000000"/>
          <w:spacing w:val="0"/>
          <w:w w:val="100"/>
          <w:position w:val="0"/>
          <w:sz w:val="24"/>
          <w:szCs w:val="24"/>
        </w:rPr>
        <w:t>万元。</w:t>
      </w:r>
    </w:p>
    <w:p>
      <w:pPr>
        <w:pStyle w:val="Style59"/>
        <w:keepNext w:val="0"/>
        <w:keepLines w:val="0"/>
        <w:widowControl w:val="0"/>
        <w:numPr>
          <w:ilvl w:val="0"/>
          <w:numId w:val="15"/>
        </w:numPr>
        <w:shd w:val="clear" w:color="auto" w:fill="auto"/>
        <w:tabs>
          <w:tab w:pos="978" w:val="left"/>
        </w:tabs>
        <w:bidi w:val="0"/>
        <w:spacing w:before="0" w:after="0" w:line="469" w:lineRule="exact"/>
        <w:ind w:left="0" w:right="0" w:firstLine="480"/>
        <w:jc w:val="both"/>
      </w:pPr>
      <w:bookmarkStart w:id="487" w:name="bookmark487"/>
      <w:bookmarkEnd w:id="487"/>
      <w:r>
        <w:rPr>
          <w:color w:val="000000"/>
          <w:spacing w:val="0"/>
          <w:w w:val="100"/>
          <w:position w:val="0"/>
          <w:sz w:val="24"/>
          <w:szCs w:val="24"/>
        </w:rPr>
        <w:t>本公司新设子公司天津数字政通科技有限公司，注册资本</w:t>
      </w:r>
      <w:r>
        <w:rPr>
          <w:color w:val="000000"/>
          <w:spacing w:val="0"/>
          <w:w w:val="100"/>
          <w:position w:val="0"/>
          <w:sz w:val="24"/>
          <w:szCs w:val="24"/>
        </w:rPr>
        <w:t>1,000.00</w:t>
      </w:r>
      <w:r>
        <w:rPr>
          <w:color w:val="000000"/>
          <w:spacing w:val="0"/>
          <w:w w:val="100"/>
          <w:position w:val="0"/>
          <w:sz w:val="24"/>
          <w:szCs w:val="24"/>
        </w:rPr>
        <w:t>万元，本公司持 股比例100%，实际缴纳出资</w:t>
      </w:r>
      <w:r>
        <w:rPr>
          <w:color w:val="000000"/>
          <w:spacing w:val="0"/>
          <w:w w:val="100"/>
          <w:position w:val="0"/>
          <w:sz w:val="24"/>
          <w:szCs w:val="24"/>
        </w:rPr>
        <w:t>100.00</w:t>
      </w:r>
      <w:r>
        <w:rPr>
          <w:color w:val="000000"/>
          <w:spacing w:val="0"/>
          <w:w w:val="100"/>
          <w:position w:val="0"/>
          <w:sz w:val="24"/>
          <w:szCs w:val="24"/>
        </w:rPr>
        <w:t>万元。</w:t>
      </w:r>
    </w:p>
    <w:p>
      <w:pPr>
        <w:pStyle w:val="Style59"/>
        <w:keepNext w:val="0"/>
        <w:keepLines w:val="0"/>
        <w:widowControl w:val="0"/>
        <w:numPr>
          <w:ilvl w:val="0"/>
          <w:numId w:val="15"/>
        </w:numPr>
        <w:shd w:val="clear" w:color="auto" w:fill="auto"/>
        <w:tabs>
          <w:tab w:pos="978" w:val="left"/>
        </w:tabs>
        <w:bidi w:val="0"/>
        <w:spacing w:before="0" w:after="0" w:line="469" w:lineRule="exact"/>
        <w:ind w:left="0" w:right="0" w:firstLine="480"/>
        <w:jc w:val="both"/>
      </w:pPr>
      <w:bookmarkStart w:id="488" w:name="bookmark488"/>
      <w:bookmarkEnd w:id="488"/>
      <w:r>
        <w:rPr>
          <w:color w:val="000000"/>
          <w:spacing w:val="0"/>
          <w:w w:val="100"/>
          <w:position w:val="0"/>
          <w:sz w:val="24"/>
          <w:szCs w:val="24"/>
        </w:rPr>
        <w:t>本公司新设子公司成都数字政通科技有限公司，注册资本</w:t>
      </w:r>
      <w:r>
        <w:rPr>
          <w:color w:val="000000"/>
          <w:spacing w:val="0"/>
          <w:w w:val="100"/>
          <w:position w:val="0"/>
          <w:sz w:val="24"/>
          <w:szCs w:val="24"/>
        </w:rPr>
        <w:t>1,000.00</w:t>
      </w:r>
      <w:r>
        <w:rPr>
          <w:color w:val="000000"/>
          <w:spacing w:val="0"/>
          <w:w w:val="100"/>
          <w:position w:val="0"/>
          <w:sz w:val="24"/>
          <w:szCs w:val="24"/>
        </w:rPr>
        <w:t>万元，本公司持 股比例100%，实际缴纳出资</w:t>
      </w:r>
      <w:r>
        <w:rPr>
          <w:color w:val="000000"/>
          <w:spacing w:val="0"/>
          <w:w w:val="100"/>
          <w:position w:val="0"/>
          <w:sz w:val="24"/>
          <w:szCs w:val="24"/>
        </w:rPr>
        <w:t>100.00</w:t>
      </w:r>
      <w:r>
        <w:rPr>
          <w:color w:val="000000"/>
          <w:spacing w:val="0"/>
          <w:w w:val="100"/>
          <w:position w:val="0"/>
          <w:sz w:val="24"/>
          <w:szCs w:val="24"/>
        </w:rPr>
        <w:t>万元。</w:t>
      </w:r>
    </w:p>
    <w:p>
      <w:pPr>
        <w:pStyle w:val="Style59"/>
        <w:keepNext w:val="0"/>
        <w:keepLines w:val="0"/>
        <w:widowControl w:val="0"/>
        <w:numPr>
          <w:ilvl w:val="0"/>
          <w:numId w:val="15"/>
        </w:numPr>
        <w:shd w:val="clear" w:color="auto" w:fill="auto"/>
        <w:tabs>
          <w:tab w:pos="978" w:val="left"/>
        </w:tabs>
        <w:bidi w:val="0"/>
        <w:spacing w:before="0" w:after="0" w:line="469" w:lineRule="exact"/>
        <w:ind w:left="0" w:right="0" w:firstLine="480"/>
        <w:jc w:val="both"/>
      </w:pPr>
      <w:bookmarkStart w:id="489" w:name="bookmark489"/>
      <w:bookmarkEnd w:id="489"/>
      <w:r>
        <w:rPr>
          <w:color w:val="000000"/>
          <w:spacing w:val="0"/>
          <w:w w:val="100"/>
          <w:position w:val="0"/>
          <w:sz w:val="24"/>
          <w:szCs w:val="24"/>
        </w:rPr>
        <w:t>本公司新设子公司河南数字政通科技有限公司，注册资本</w:t>
      </w:r>
      <w:r>
        <w:rPr>
          <w:color w:val="000000"/>
          <w:spacing w:val="0"/>
          <w:w w:val="100"/>
          <w:position w:val="0"/>
          <w:sz w:val="24"/>
          <w:szCs w:val="24"/>
        </w:rPr>
        <w:t>1,000.00</w:t>
      </w:r>
      <w:r>
        <w:rPr>
          <w:color w:val="000000"/>
          <w:spacing w:val="0"/>
          <w:w w:val="100"/>
          <w:position w:val="0"/>
          <w:sz w:val="24"/>
          <w:szCs w:val="24"/>
        </w:rPr>
        <w:t>万元，本公司持 股比例100%，实际缴纳出资</w:t>
      </w:r>
      <w:r>
        <w:rPr>
          <w:color w:val="000000"/>
          <w:spacing w:val="0"/>
          <w:w w:val="100"/>
          <w:position w:val="0"/>
          <w:sz w:val="24"/>
          <w:szCs w:val="24"/>
        </w:rPr>
        <w:t>100.00</w:t>
      </w:r>
      <w:r>
        <w:rPr>
          <w:color w:val="000000"/>
          <w:spacing w:val="0"/>
          <w:w w:val="100"/>
          <w:position w:val="0"/>
          <w:sz w:val="24"/>
          <w:szCs w:val="24"/>
        </w:rPr>
        <w:t>万元。</w:t>
      </w:r>
    </w:p>
    <w:p>
      <w:pPr>
        <w:pStyle w:val="Style59"/>
        <w:keepNext w:val="0"/>
        <w:keepLines w:val="0"/>
        <w:widowControl w:val="0"/>
        <w:numPr>
          <w:ilvl w:val="0"/>
          <w:numId w:val="15"/>
        </w:numPr>
        <w:shd w:val="clear" w:color="auto" w:fill="auto"/>
        <w:tabs>
          <w:tab w:pos="978" w:val="left"/>
        </w:tabs>
        <w:bidi w:val="0"/>
        <w:spacing w:before="0" w:after="0" w:line="469" w:lineRule="exact"/>
        <w:ind w:left="0" w:right="0" w:firstLine="480"/>
        <w:jc w:val="both"/>
      </w:pPr>
      <w:bookmarkStart w:id="490" w:name="bookmark490"/>
      <w:bookmarkEnd w:id="490"/>
      <w:r>
        <w:rPr>
          <w:color w:val="000000"/>
          <w:spacing w:val="0"/>
          <w:w w:val="100"/>
          <w:position w:val="0"/>
          <w:sz w:val="24"/>
          <w:szCs w:val="24"/>
        </w:rPr>
        <w:t>本公司新设子公司长春数字政通科技有限公司，注册资本</w:t>
      </w:r>
      <w:r>
        <w:rPr>
          <w:color w:val="000000"/>
          <w:spacing w:val="0"/>
          <w:w w:val="100"/>
          <w:position w:val="0"/>
          <w:sz w:val="24"/>
          <w:szCs w:val="24"/>
        </w:rPr>
        <w:t>2,000.00</w:t>
      </w:r>
      <w:r>
        <w:rPr>
          <w:color w:val="000000"/>
          <w:spacing w:val="0"/>
          <w:w w:val="100"/>
          <w:position w:val="0"/>
          <w:sz w:val="24"/>
          <w:szCs w:val="24"/>
        </w:rPr>
        <w:t>万元，本公司持 股比例100%，实际缴纳出资</w:t>
      </w:r>
      <w:r>
        <w:rPr>
          <w:color w:val="000000"/>
          <w:spacing w:val="0"/>
          <w:w w:val="100"/>
          <w:position w:val="0"/>
          <w:sz w:val="24"/>
          <w:szCs w:val="24"/>
        </w:rPr>
        <w:t>100.00</w:t>
      </w:r>
      <w:r>
        <w:rPr>
          <w:color w:val="000000"/>
          <w:spacing w:val="0"/>
          <w:w w:val="100"/>
          <w:position w:val="0"/>
          <w:sz w:val="24"/>
          <w:szCs w:val="24"/>
        </w:rPr>
        <w:t>万元。</w:t>
      </w:r>
    </w:p>
    <w:p>
      <w:pPr>
        <w:pStyle w:val="Style59"/>
        <w:keepNext w:val="0"/>
        <w:keepLines w:val="0"/>
        <w:widowControl w:val="0"/>
        <w:numPr>
          <w:ilvl w:val="0"/>
          <w:numId w:val="15"/>
        </w:numPr>
        <w:shd w:val="clear" w:color="auto" w:fill="auto"/>
        <w:tabs>
          <w:tab w:pos="978" w:val="left"/>
        </w:tabs>
        <w:bidi w:val="0"/>
        <w:spacing w:before="0" w:after="0" w:line="469" w:lineRule="exact"/>
        <w:ind w:left="0" w:right="0" w:firstLine="480"/>
        <w:jc w:val="both"/>
      </w:pPr>
      <w:bookmarkStart w:id="491" w:name="bookmark491"/>
      <w:bookmarkEnd w:id="491"/>
      <w:r>
        <w:rPr>
          <w:color w:val="000000"/>
          <w:spacing w:val="0"/>
          <w:w w:val="100"/>
          <w:position w:val="0"/>
          <w:sz w:val="24"/>
          <w:szCs w:val="24"/>
        </w:rPr>
        <w:t>本公司新设子公司河南数字智通科技有限公司，注册资本</w:t>
      </w:r>
      <w:r>
        <w:rPr>
          <w:color w:val="000000"/>
          <w:spacing w:val="0"/>
          <w:w w:val="100"/>
          <w:position w:val="0"/>
          <w:sz w:val="24"/>
          <w:szCs w:val="24"/>
        </w:rPr>
        <w:t>1,000.00</w:t>
      </w:r>
      <w:r>
        <w:rPr>
          <w:color w:val="000000"/>
          <w:spacing w:val="0"/>
          <w:w w:val="100"/>
          <w:position w:val="0"/>
          <w:sz w:val="24"/>
          <w:szCs w:val="24"/>
        </w:rPr>
        <w:t>万元，本公司持 股比例100%，实际缴纳出资</w:t>
      </w:r>
      <w:r>
        <w:rPr>
          <w:color w:val="000000"/>
          <w:spacing w:val="0"/>
          <w:w w:val="100"/>
          <w:position w:val="0"/>
          <w:sz w:val="24"/>
          <w:szCs w:val="24"/>
        </w:rPr>
        <w:t>100.00</w:t>
      </w:r>
      <w:r>
        <w:rPr>
          <w:color w:val="000000"/>
          <w:spacing w:val="0"/>
          <w:w w:val="100"/>
          <w:position w:val="0"/>
          <w:sz w:val="24"/>
          <w:szCs w:val="24"/>
        </w:rPr>
        <w:t>万元。</w:t>
      </w:r>
    </w:p>
    <w:p>
      <w:pPr>
        <w:pStyle w:val="Style59"/>
        <w:keepNext w:val="0"/>
        <w:keepLines w:val="0"/>
        <w:widowControl w:val="0"/>
        <w:numPr>
          <w:ilvl w:val="0"/>
          <w:numId w:val="15"/>
        </w:numPr>
        <w:shd w:val="clear" w:color="auto" w:fill="auto"/>
        <w:tabs>
          <w:tab w:pos="973" w:val="left"/>
        </w:tabs>
        <w:bidi w:val="0"/>
        <w:spacing w:before="0" w:after="0" w:line="469" w:lineRule="exact"/>
        <w:ind w:left="0" w:right="0" w:firstLine="480"/>
        <w:jc w:val="both"/>
      </w:pPr>
      <w:bookmarkStart w:id="492" w:name="bookmark492"/>
      <w:bookmarkEnd w:id="492"/>
      <w:r>
        <w:rPr>
          <w:color w:val="000000"/>
          <w:spacing w:val="0"/>
          <w:w w:val="100"/>
          <w:position w:val="0"/>
          <w:sz w:val="24"/>
          <w:szCs w:val="24"/>
        </w:rPr>
        <w:t>本公司新设子公司嘉兴政通优势投资合伙企业(有限合伙)，注册资本</w:t>
      </w:r>
      <w:r>
        <w:rPr>
          <w:color w:val="000000"/>
          <w:spacing w:val="0"/>
          <w:w w:val="100"/>
          <w:position w:val="0"/>
          <w:sz w:val="24"/>
          <w:szCs w:val="24"/>
        </w:rPr>
        <w:t xml:space="preserve">10,000.00 </w:t>
      </w:r>
      <w:r>
        <w:rPr>
          <w:color w:val="000000"/>
          <w:spacing w:val="0"/>
          <w:w w:val="100"/>
          <w:position w:val="0"/>
          <w:sz w:val="24"/>
          <w:szCs w:val="24"/>
        </w:rPr>
        <w:t>万元，本公司持股比例99%，实际缴纳出资</w:t>
      </w:r>
      <w:r>
        <w:rPr>
          <w:color w:val="000000"/>
          <w:spacing w:val="0"/>
          <w:w w:val="100"/>
          <w:position w:val="0"/>
          <w:sz w:val="24"/>
          <w:szCs w:val="24"/>
        </w:rPr>
        <w:t>1,490.00</w:t>
      </w:r>
      <w:r>
        <w:rPr>
          <w:color w:val="000000"/>
          <w:spacing w:val="0"/>
          <w:w w:val="100"/>
          <w:position w:val="0"/>
          <w:sz w:val="24"/>
          <w:szCs w:val="24"/>
        </w:rPr>
        <w:t>万元。</w:t>
      </w:r>
    </w:p>
    <w:p>
      <w:pPr>
        <w:pStyle w:val="Style59"/>
        <w:keepNext w:val="0"/>
        <w:keepLines w:val="0"/>
        <w:widowControl w:val="0"/>
        <w:numPr>
          <w:ilvl w:val="0"/>
          <w:numId w:val="15"/>
        </w:numPr>
        <w:shd w:val="clear" w:color="auto" w:fill="auto"/>
        <w:tabs>
          <w:tab w:pos="978" w:val="left"/>
        </w:tabs>
        <w:bidi w:val="0"/>
        <w:spacing w:before="0" w:after="0" w:line="469" w:lineRule="exact"/>
        <w:ind w:left="0" w:right="0" w:firstLine="480"/>
        <w:jc w:val="both"/>
      </w:pPr>
      <w:bookmarkStart w:id="493" w:name="bookmark493"/>
      <w:bookmarkEnd w:id="493"/>
      <w:r>
        <w:rPr>
          <w:color w:val="000000"/>
          <w:spacing w:val="0"/>
          <w:w w:val="100"/>
          <w:position w:val="0"/>
          <w:sz w:val="24"/>
          <w:szCs w:val="24"/>
        </w:rPr>
        <w:t>本公司注销子公司克拉玛依数字政通信息科技有限责任公司，注册资本</w:t>
      </w:r>
      <w:r>
        <w:rPr>
          <w:color w:val="000000"/>
          <w:spacing w:val="0"/>
          <w:w w:val="100"/>
          <w:position w:val="0"/>
          <w:sz w:val="24"/>
          <w:szCs w:val="24"/>
        </w:rPr>
        <w:t xml:space="preserve">300. </w:t>
      </w:r>
      <w:r>
        <w:rPr>
          <w:color w:val="000000"/>
          <w:spacing w:val="0"/>
          <w:w w:val="100"/>
          <w:position w:val="0"/>
          <w:sz w:val="24"/>
          <w:szCs w:val="24"/>
        </w:rPr>
        <w:t>00万元， 本公司持股比例100%。</w:t>
      </w:r>
    </w:p>
    <w:p>
      <w:pPr>
        <w:pStyle w:val="Style59"/>
        <w:keepNext w:val="0"/>
        <w:keepLines w:val="0"/>
        <w:widowControl w:val="0"/>
        <w:shd w:val="clear" w:color="auto" w:fill="auto"/>
        <w:bidi w:val="0"/>
        <w:spacing w:before="0" w:after="220" w:line="469" w:lineRule="exact"/>
        <w:ind w:left="0" w:right="0" w:firstLine="480"/>
        <w:jc w:val="both"/>
      </w:pPr>
      <w:r>
        <w:rPr>
          <w:color w:val="000000"/>
          <w:spacing w:val="0"/>
          <w:w w:val="100"/>
          <w:position w:val="0"/>
          <w:sz w:val="24"/>
          <w:szCs w:val="24"/>
        </w:rPr>
        <w:t>注：本报告期本公司新设子公司广西数字政通科技有限公司，注册资本</w:t>
      </w:r>
      <w:r>
        <w:rPr>
          <w:color w:val="000000"/>
          <w:spacing w:val="0"/>
          <w:w w:val="100"/>
          <w:position w:val="0"/>
          <w:sz w:val="24"/>
          <w:szCs w:val="24"/>
        </w:rPr>
        <w:t>1,000.00</w:t>
      </w:r>
      <w:r>
        <w:rPr>
          <w:color w:val="000000"/>
          <w:spacing w:val="0"/>
          <w:w w:val="100"/>
          <w:position w:val="0"/>
          <w:sz w:val="24"/>
          <w:szCs w:val="24"/>
        </w:rPr>
        <w:t>万元， 本公司持股比例100%；新设子公司天津政通智行科技有限公司，注册资本</w:t>
      </w:r>
      <w:r>
        <w:rPr>
          <w:color w:val="000000"/>
          <w:spacing w:val="0"/>
          <w:w w:val="100"/>
          <w:position w:val="0"/>
          <w:sz w:val="24"/>
          <w:szCs w:val="24"/>
        </w:rPr>
        <w:t>2,000.00</w:t>
      </w:r>
      <w:r>
        <w:rPr>
          <w:color w:val="000000"/>
          <w:spacing w:val="0"/>
          <w:w w:val="100"/>
          <w:position w:val="0"/>
          <w:sz w:val="24"/>
          <w:szCs w:val="24"/>
        </w:rPr>
        <w:t>万元，本 公司持股比例100%，截止2021年12月31日本公司对上述两家公司均未缴纳出资，上述两家公 司也尚未实际开展经营活动，故上述两家公司未包含在本财务报告合并范围内。</w:t>
      </w:r>
    </w:p>
    <w:p>
      <w:pPr>
        <w:pStyle w:val="Style19"/>
        <w:keepNext/>
        <w:keepLines/>
        <w:widowControl w:val="0"/>
        <w:shd w:val="clear" w:color="auto" w:fill="auto"/>
        <w:bidi w:val="0"/>
        <w:spacing w:before="0" w:after="360" w:line="469" w:lineRule="exact"/>
        <w:ind w:left="0" w:right="0" w:firstLine="0"/>
        <w:jc w:val="both"/>
      </w:pPr>
      <w:bookmarkStart w:id="494" w:name="bookmark494"/>
      <w:bookmarkStart w:id="495" w:name="bookmark495"/>
      <w:bookmarkStart w:id="496" w:name="bookmark496"/>
      <w:bookmarkStart w:id="497" w:name="bookmark497"/>
      <w:r>
        <w:rPr>
          <w:color w:val="000000"/>
          <w:spacing w:val="0"/>
          <w:w w:val="100"/>
          <w:position w:val="0"/>
          <w:sz w:val="24"/>
          <w:szCs w:val="24"/>
        </w:rPr>
        <w:t>八</w:t>
      </w:r>
      <w:bookmarkEnd w:id="496"/>
      <w:r>
        <w:rPr>
          <w:color w:val="000000"/>
          <w:spacing w:val="0"/>
          <w:w w:val="100"/>
          <w:position w:val="0"/>
          <w:sz w:val="24"/>
          <w:szCs w:val="24"/>
        </w:rPr>
        <w:t>、聘任、解聘会计师事务所情况</w:t>
      </w:r>
      <w:bookmarkEnd w:id="494"/>
      <w:bookmarkEnd w:id="495"/>
      <w:bookmarkEnd w:id="497"/>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795"/>
        <w:gridCol w:w="478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上会会计师事务所(特殊普通合伙)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王芳山，张琳</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r>
    </w:tbl>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是否改聘会计师事务所</w:t>
      </w:r>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聘请内部控制审计会计师事务所、财务顾问或保荐人情况</w:t>
      </w:r>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keepLines/>
        <w:widowControl w:val="0"/>
        <w:shd w:val="clear" w:color="auto" w:fill="auto"/>
        <w:bidi w:val="0"/>
        <w:spacing w:before="0" w:after="340" w:line="240" w:lineRule="auto"/>
        <w:ind w:left="0" w:right="0" w:firstLine="0"/>
        <w:jc w:val="both"/>
      </w:pPr>
      <w:bookmarkStart w:id="498" w:name="bookmark498"/>
      <w:bookmarkStart w:id="499" w:name="bookmark499"/>
      <w:bookmarkStart w:id="500" w:name="bookmark500"/>
      <w:bookmarkStart w:id="501" w:name="bookmark501"/>
      <w:r>
        <w:rPr>
          <w:color w:val="000000"/>
          <w:spacing w:val="0"/>
          <w:w w:val="100"/>
          <w:position w:val="0"/>
          <w:sz w:val="24"/>
          <w:szCs w:val="24"/>
        </w:rPr>
        <w:t>九</w:t>
      </w:r>
      <w:bookmarkEnd w:id="500"/>
      <w:r>
        <w:rPr>
          <w:color w:val="000000"/>
          <w:spacing w:val="0"/>
          <w:w w:val="100"/>
          <w:position w:val="0"/>
          <w:sz w:val="24"/>
          <w:szCs w:val="24"/>
        </w:rPr>
        <w:t>、年度报告披露后面临退市情况</w:t>
      </w:r>
      <w:bookmarkEnd w:id="498"/>
      <w:bookmarkEnd w:id="499"/>
      <w:bookmarkEnd w:id="501"/>
    </w:p>
    <w:p>
      <w:pPr>
        <w:pStyle w:val="Style14"/>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keepLines/>
        <w:widowControl w:val="0"/>
        <w:shd w:val="clear" w:color="auto" w:fill="auto"/>
        <w:bidi w:val="0"/>
        <w:spacing w:before="0" w:after="340" w:line="240" w:lineRule="auto"/>
        <w:ind w:left="0" w:right="0" w:firstLine="0"/>
        <w:jc w:val="both"/>
      </w:pPr>
      <w:bookmarkStart w:id="502" w:name="bookmark502"/>
      <w:bookmarkStart w:id="503" w:name="bookmark503"/>
      <w:bookmarkStart w:id="504" w:name="bookmark504"/>
      <w:r>
        <w:rPr>
          <w:color w:val="000000"/>
          <w:spacing w:val="0"/>
          <w:w w:val="100"/>
          <w:position w:val="0"/>
          <w:sz w:val="24"/>
          <w:szCs w:val="24"/>
        </w:rPr>
        <w:t>十、破产重整相关事项</w:t>
      </w:r>
      <w:bookmarkEnd w:id="502"/>
      <w:bookmarkEnd w:id="503"/>
      <w:bookmarkEnd w:id="504"/>
    </w:p>
    <w:p>
      <w:pPr>
        <w:pStyle w:val="Style1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公司报告期未发生破产重整相关事项。</w:t>
      </w:r>
    </w:p>
    <w:p>
      <w:pPr>
        <w:pStyle w:val="Style19"/>
        <w:keepNext/>
        <w:keepLines/>
        <w:widowControl w:val="0"/>
        <w:shd w:val="clear" w:color="auto" w:fill="auto"/>
        <w:bidi w:val="0"/>
        <w:spacing w:before="0" w:after="340" w:line="240" w:lineRule="auto"/>
        <w:ind w:left="0" w:right="0" w:firstLine="0"/>
        <w:jc w:val="both"/>
      </w:pPr>
      <w:bookmarkStart w:id="505" w:name="bookmark505"/>
      <w:bookmarkStart w:id="506" w:name="bookmark506"/>
      <w:bookmarkStart w:id="507" w:name="bookmark507"/>
      <w:r>
        <w:rPr>
          <w:color w:val="000000"/>
          <w:spacing w:val="0"/>
          <w:w w:val="100"/>
          <w:position w:val="0"/>
          <w:sz w:val="24"/>
          <w:szCs w:val="24"/>
        </w:rPr>
        <w:t>十一、重大诉讼、仲裁事项</w:t>
      </w:r>
      <w:bookmarkEnd w:id="505"/>
      <w:bookmarkEnd w:id="506"/>
      <w:bookmarkEnd w:id="507"/>
    </w:p>
    <w:p>
      <w:pPr>
        <w:pStyle w:val="Style1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340" w:line="240" w:lineRule="auto"/>
        <w:ind w:left="0" w:right="0" w:firstLine="0"/>
        <w:jc w:val="both"/>
      </w:pPr>
      <w:r>
        <w:rPr>
          <w:color w:val="000000"/>
          <w:spacing w:val="0"/>
          <w:w w:val="100"/>
          <w:position w:val="0"/>
        </w:rPr>
        <w:t>本年度公司无重大诉讼、仲裁事项。</w:t>
      </w:r>
    </w:p>
    <w:p>
      <w:pPr>
        <w:pStyle w:val="Style19"/>
        <w:keepNext/>
        <w:keepLines/>
        <w:widowControl w:val="0"/>
        <w:shd w:val="clear" w:color="auto" w:fill="auto"/>
        <w:bidi w:val="0"/>
        <w:spacing w:before="0" w:after="340" w:line="240" w:lineRule="auto"/>
        <w:ind w:left="0" w:right="0" w:firstLine="0"/>
        <w:jc w:val="both"/>
      </w:pPr>
      <w:bookmarkStart w:id="508" w:name="bookmark508"/>
      <w:bookmarkStart w:id="509" w:name="bookmark509"/>
      <w:bookmarkStart w:id="510" w:name="bookmark510"/>
      <w:r>
        <w:rPr>
          <w:color w:val="000000"/>
          <w:spacing w:val="0"/>
          <w:w w:val="100"/>
          <w:position w:val="0"/>
          <w:sz w:val="24"/>
          <w:szCs w:val="24"/>
        </w:rPr>
        <w:t>十二、处罚及整改情况</w:t>
      </w:r>
      <w:bookmarkEnd w:id="508"/>
      <w:bookmarkEnd w:id="509"/>
      <w:bookmarkEnd w:id="510"/>
    </w:p>
    <w:p>
      <w:pPr>
        <w:pStyle w:val="Style1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公司报告期不存在处罚及整改情况。</w:t>
      </w:r>
    </w:p>
    <w:p>
      <w:pPr>
        <w:pStyle w:val="Style19"/>
        <w:keepNext/>
        <w:keepLines/>
        <w:widowControl w:val="0"/>
        <w:shd w:val="clear" w:color="auto" w:fill="auto"/>
        <w:bidi w:val="0"/>
        <w:spacing w:before="0" w:after="340" w:line="240" w:lineRule="auto"/>
        <w:ind w:left="0" w:right="0" w:firstLine="0"/>
        <w:jc w:val="both"/>
      </w:pPr>
      <w:bookmarkStart w:id="511" w:name="bookmark511"/>
      <w:bookmarkStart w:id="512" w:name="bookmark512"/>
      <w:bookmarkStart w:id="513" w:name="bookmark513"/>
      <w:r>
        <w:rPr>
          <w:color w:val="000000"/>
          <w:spacing w:val="0"/>
          <w:w w:val="100"/>
          <w:position w:val="0"/>
          <w:sz w:val="24"/>
          <w:szCs w:val="24"/>
        </w:rPr>
        <w:t>十三、公司及其控股股东、实际控制人的诚信状况</w:t>
      </w:r>
      <w:bookmarkEnd w:id="511"/>
      <w:bookmarkEnd w:id="512"/>
      <w:bookmarkEnd w:id="513"/>
    </w:p>
    <w:p>
      <w:pPr>
        <w:pStyle w:val="Style14"/>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keepLines/>
        <w:widowControl w:val="0"/>
        <w:shd w:val="clear" w:color="auto" w:fill="auto"/>
        <w:bidi w:val="0"/>
        <w:spacing w:before="0" w:after="340" w:line="240" w:lineRule="auto"/>
        <w:ind w:left="0" w:right="0" w:firstLine="0"/>
        <w:jc w:val="both"/>
      </w:pPr>
      <w:bookmarkStart w:id="514" w:name="bookmark514"/>
      <w:bookmarkStart w:id="515" w:name="bookmark515"/>
      <w:bookmarkStart w:id="516" w:name="bookmark516"/>
      <w:r>
        <w:rPr>
          <w:color w:val="000000"/>
          <w:spacing w:val="0"/>
          <w:w w:val="100"/>
          <w:position w:val="0"/>
          <w:sz w:val="24"/>
          <w:szCs w:val="24"/>
        </w:rPr>
        <w:t>十四、重大关联交易</w:t>
      </w:r>
      <w:bookmarkEnd w:id="514"/>
      <w:bookmarkEnd w:id="515"/>
      <w:bookmarkEnd w:id="516"/>
    </w:p>
    <w:p>
      <w:pPr>
        <w:pStyle w:val="Style24"/>
        <w:keepNext/>
        <w:keepLines/>
        <w:widowControl w:val="0"/>
        <w:shd w:val="clear" w:color="auto" w:fill="auto"/>
        <w:tabs>
          <w:tab w:pos="368" w:val="left"/>
        </w:tabs>
        <w:bidi w:val="0"/>
        <w:spacing w:before="0" w:line="240" w:lineRule="auto"/>
        <w:ind w:left="0" w:right="0" w:firstLine="0"/>
        <w:jc w:val="both"/>
      </w:pPr>
      <w:bookmarkStart w:id="517" w:name="bookmark517"/>
      <w:bookmarkStart w:id="518" w:name="bookmark518"/>
      <w:bookmarkStart w:id="519" w:name="bookmark519"/>
      <w:bookmarkStart w:id="520" w:name="bookmark520"/>
      <w:r>
        <w:rPr>
          <w:rFonts w:ascii="Times New Roman" w:eastAsia="Times New Roman" w:hAnsi="Times New Roman" w:cs="Times New Roman"/>
          <w:color w:val="000000"/>
          <w:spacing w:val="0"/>
          <w:w w:val="100"/>
          <w:position w:val="0"/>
        </w:rPr>
        <w:t>1</w:t>
      </w:r>
      <w:bookmarkEnd w:id="519"/>
      <w:r>
        <w:rPr>
          <w:color w:val="000000"/>
          <w:spacing w:val="0"/>
          <w:w w:val="100"/>
          <w:position w:val="0"/>
        </w:rPr>
        <w:t>、</w:t>
        <w:tab/>
        <w:t>与日常经营相关的关联交易</w:t>
      </w:r>
      <w:bookmarkEnd w:id="517"/>
      <w:bookmarkEnd w:id="518"/>
      <w:bookmarkEnd w:id="520"/>
    </w:p>
    <w:p>
      <w:pPr>
        <w:pStyle w:val="Style1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公司报告期未发生与日常经营相关的关联交易。</w:t>
      </w:r>
    </w:p>
    <w:p>
      <w:pPr>
        <w:pStyle w:val="Style24"/>
        <w:keepNext/>
        <w:keepLines/>
        <w:widowControl w:val="0"/>
        <w:shd w:val="clear" w:color="auto" w:fill="auto"/>
        <w:tabs>
          <w:tab w:pos="378" w:val="left"/>
        </w:tabs>
        <w:bidi w:val="0"/>
        <w:spacing w:before="0" w:line="240" w:lineRule="auto"/>
        <w:ind w:left="0" w:right="0" w:firstLine="0"/>
        <w:jc w:val="both"/>
      </w:pPr>
      <w:bookmarkStart w:id="521" w:name="bookmark521"/>
      <w:bookmarkStart w:id="522" w:name="bookmark522"/>
      <w:bookmarkStart w:id="523" w:name="bookmark523"/>
      <w:bookmarkStart w:id="524" w:name="bookmark524"/>
      <w:r>
        <w:rPr>
          <w:rFonts w:ascii="Times New Roman" w:eastAsia="Times New Roman" w:hAnsi="Times New Roman" w:cs="Times New Roman"/>
          <w:color w:val="000000"/>
          <w:spacing w:val="0"/>
          <w:w w:val="100"/>
          <w:position w:val="0"/>
        </w:rPr>
        <w:t>2</w:t>
      </w:r>
      <w:bookmarkEnd w:id="523"/>
      <w:r>
        <w:rPr>
          <w:color w:val="000000"/>
          <w:spacing w:val="0"/>
          <w:w w:val="100"/>
          <w:position w:val="0"/>
        </w:rPr>
        <w:t>、</w:t>
        <w:tab/>
        <w:t>资产或股权收购、出售发生的关联交易</w:t>
      </w:r>
      <w:bookmarkEnd w:id="521"/>
      <w:bookmarkEnd w:id="522"/>
      <w:bookmarkEnd w:id="524"/>
    </w:p>
    <w:p>
      <w:pPr>
        <w:pStyle w:val="Style1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公司报告期未发生资产或股权收购、出售的关联交易。</w:t>
      </w:r>
    </w:p>
    <w:p>
      <w:pPr>
        <w:pStyle w:val="Style24"/>
        <w:keepNext/>
        <w:keepLines/>
        <w:widowControl w:val="0"/>
        <w:shd w:val="clear" w:color="auto" w:fill="auto"/>
        <w:tabs>
          <w:tab w:pos="378" w:val="left"/>
        </w:tabs>
        <w:bidi w:val="0"/>
        <w:spacing w:before="0" w:line="240" w:lineRule="auto"/>
        <w:ind w:left="0" w:right="0" w:firstLine="0"/>
        <w:jc w:val="both"/>
      </w:pPr>
      <w:bookmarkStart w:id="525" w:name="bookmark525"/>
      <w:bookmarkStart w:id="526" w:name="bookmark526"/>
      <w:bookmarkStart w:id="527" w:name="bookmark527"/>
      <w:bookmarkStart w:id="528" w:name="bookmark528"/>
      <w:r>
        <w:rPr>
          <w:rFonts w:ascii="Times New Roman" w:eastAsia="Times New Roman" w:hAnsi="Times New Roman" w:cs="Times New Roman"/>
          <w:color w:val="000000"/>
          <w:spacing w:val="0"/>
          <w:w w:val="100"/>
          <w:position w:val="0"/>
        </w:rPr>
        <w:t>3</w:t>
      </w:r>
      <w:bookmarkEnd w:id="527"/>
      <w:r>
        <w:rPr>
          <w:color w:val="000000"/>
          <w:spacing w:val="0"/>
          <w:w w:val="100"/>
          <w:position w:val="0"/>
        </w:rPr>
        <w:t>、</w:t>
        <w:tab/>
        <w:t>共同对外投资的关联交易</w:t>
      </w:r>
      <w:bookmarkEnd w:id="525"/>
      <w:bookmarkEnd w:id="526"/>
      <w:bookmarkEnd w:id="528"/>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080"/>
        <w:gridCol w:w="1075"/>
        <w:gridCol w:w="1075"/>
        <w:gridCol w:w="1224"/>
        <w:gridCol w:w="1080"/>
        <w:gridCol w:w="1349"/>
        <w:gridCol w:w="1349"/>
        <w:gridCol w:w="134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共同投资方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被投资企业 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被投资企业的 主营业务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被投资企业</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的注册资本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被投资企业的总 资产（万元）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被投资企业的净 资产（万元）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被投资企业的净 利润（万元）</w:t>
            </w:r>
          </w:p>
        </w:tc>
      </w:tr>
      <w:tr>
        <w:trPr>
          <w:trHeight w:val="130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优势金控（上 海）资产管理 有限公司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数字政通法</w:t>
            </w:r>
          </w:p>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定代表人吴 强华先生与 优势金控实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嘉兴政通优</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势投资合伙</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企业（有限合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w:t>
            </w:r>
          </w:p>
        </w:tc>
      </w:tr>
    </w:tbl>
    <w:tbl>
      <w:tblPr>
        <w:tblOverlap w:val="never"/>
        <w:jc w:val="center"/>
        <w:tblLayout w:type="fixed"/>
      </w:tblPr>
      <w:tblGrid>
        <w:gridCol w:w="1080"/>
        <w:gridCol w:w="1075"/>
        <w:gridCol w:w="1075"/>
        <w:gridCol w:w="1224"/>
        <w:gridCol w:w="1080"/>
        <w:gridCol w:w="1349"/>
        <w:gridCol w:w="1349"/>
        <w:gridCol w:w="1349"/>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际控制人、法 定代表人、执 行董事吴克 忠为兄弟关 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被投资企业的重大在建项</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目的进展情况（如有）</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widowControl w:val="0"/>
        <w:spacing w:after="339" w:line="1" w:lineRule="exact"/>
      </w:pPr>
    </w:p>
    <w:p>
      <w:pPr>
        <w:pStyle w:val="Style24"/>
        <w:keepNext/>
        <w:keepLines/>
        <w:widowControl w:val="0"/>
        <w:shd w:val="clear" w:color="auto" w:fill="auto"/>
        <w:tabs>
          <w:tab w:pos="378" w:val="left"/>
        </w:tabs>
        <w:bidi w:val="0"/>
        <w:spacing w:before="0" w:line="240" w:lineRule="auto"/>
        <w:ind w:left="0" w:right="0" w:firstLine="0"/>
        <w:jc w:val="left"/>
      </w:pPr>
      <w:bookmarkStart w:id="529" w:name="bookmark529"/>
      <w:bookmarkStart w:id="530" w:name="bookmark530"/>
      <w:bookmarkStart w:id="531" w:name="bookmark531"/>
      <w:bookmarkStart w:id="532" w:name="bookmark532"/>
      <w:r>
        <w:rPr>
          <w:rFonts w:ascii="Times New Roman" w:eastAsia="Times New Roman" w:hAnsi="Times New Roman" w:cs="Times New Roman"/>
          <w:color w:val="000000"/>
          <w:spacing w:val="0"/>
          <w:w w:val="100"/>
          <w:position w:val="0"/>
        </w:rPr>
        <w:t>4</w:t>
      </w:r>
      <w:bookmarkEnd w:id="531"/>
      <w:r>
        <w:rPr>
          <w:color w:val="000000"/>
          <w:spacing w:val="0"/>
          <w:w w:val="100"/>
          <w:position w:val="0"/>
        </w:rPr>
        <w:t>、</w:t>
        <w:tab/>
        <w:t>关联债权债务往来</w:t>
      </w:r>
      <w:bookmarkEnd w:id="529"/>
      <w:bookmarkEnd w:id="530"/>
      <w:bookmarkEnd w:id="532"/>
    </w:p>
    <w:p>
      <w:pPr>
        <w:pStyle w:val="Style1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公司报告期不存在关联债权债务往来。</w:t>
      </w:r>
    </w:p>
    <w:p>
      <w:pPr>
        <w:pStyle w:val="Style24"/>
        <w:keepNext/>
        <w:keepLines/>
        <w:widowControl w:val="0"/>
        <w:shd w:val="clear" w:color="auto" w:fill="auto"/>
        <w:tabs>
          <w:tab w:pos="378" w:val="left"/>
        </w:tabs>
        <w:bidi w:val="0"/>
        <w:spacing w:before="0" w:line="240" w:lineRule="auto"/>
        <w:ind w:left="0" w:right="0" w:firstLine="0"/>
        <w:jc w:val="left"/>
      </w:pPr>
      <w:bookmarkStart w:id="533" w:name="bookmark533"/>
      <w:bookmarkStart w:id="534" w:name="bookmark534"/>
      <w:bookmarkStart w:id="535" w:name="bookmark535"/>
      <w:bookmarkStart w:id="536" w:name="bookmark536"/>
      <w:r>
        <w:rPr>
          <w:rFonts w:ascii="Times New Roman" w:eastAsia="Times New Roman" w:hAnsi="Times New Roman" w:cs="Times New Roman"/>
          <w:color w:val="000000"/>
          <w:spacing w:val="0"/>
          <w:w w:val="100"/>
          <w:position w:val="0"/>
        </w:rPr>
        <w:t>5</w:t>
      </w:r>
      <w:bookmarkEnd w:id="535"/>
      <w:r>
        <w:rPr>
          <w:color w:val="000000"/>
          <w:spacing w:val="0"/>
          <w:w w:val="100"/>
          <w:position w:val="0"/>
        </w:rPr>
        <w:t>、</w:t>
        <w:tab/>
        <w:t>与存在关联关系的财务公司的往来情况</w:t>
      </w:r>
      <w:bookmarkEnd w:id="533"/>
      <w:bookmarkEnd w:id="534"/>
      <w:bookmarkEnd w:id="536"/>
    </w:p>
    <w:p>
      <w:pPr>
        <w:pStyle w:val="Style1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24"/>
        <w:keepNext/>
        <w:keepLines/>
        <w:widowControl w:val="0"/>
        <w:shd w:val="clear" w:color="auto" w:fill="auto"/>
        <w:tabs>
          <w:tab w:pos="378" w:val="left"/>
        </w:tabs>
        <w:bidi w:val="0"/>
        <w:spacing w:before="0" w:line="240" w:lineRule="auto"/>
        <w:ind w:left="0" w:right="0" w:firstLine="0"/>
        <w:jc w:val="left"/>
      </w:pPr>
      <w:bookmarkStart w:id="537" w:name="bookmark537"/>
      <w:bookmarkStart w:id="538" w:name="bookmark538"/>
      <w:bookmarkStart w:id="539" w:name="bookmark539"/>
      <w:bookmarkStart w:id="540" w:name="bookmark540"/>
      <w:r>
        <w:rPr>
          <w:rFonts w:ascii="Times New Roman" w:eastAsia="Times New Roman" w:hAnsi="Times New Roman" w:cs="Times New Roman"/>
          <w:color w:val="000000"/>
          <w:spacing w:val="0"/>
          <w:w w:val="100"/>
          <w:position w:val="0"/>
        </w:rPr>
        <w:t>6</w:t>
      </w:r>
      <w:bookmarkEnd w:id="539"/>
      <w:r>
        <w:rPr>
          <w:color w:val="000000"/>
          <w:spacing w:val="0"/>
          <w:w w:val="100"/>
          <w:position w:val="0"/>
        </w:rPr>
        <w:t>、</w:t>
        <w:tab/>
        <w:t>公司控股的财务公司与关联方的往来情况</w:t>
      </w:r>
      <w:bookmarkEnd w:id="537"/>
      <w:bookmarkEnd w:id="538"/>
      <w:bookmarkEnd w:id="540"/>
    </w:p>
    <w:p>
      <w:pPr>
        <w:pStyle w:val="Style1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公司控股的财务公司与关联方之间不存在存款、贷款、授信或其他金融业务。</w:t>
      </w:r>
    </w:p>
    <w:p>
      <w:pPr>
        <w:pStyle w:val="Style24"/>
        <w:keepNext/>
        <w:keepLines/>
        <w:widowControl w:val="0"/>
        <w:shd w:val="clear" w:color="auto" w:fill="auto"/>
        <w:tabs>
          <w:tab w:pos="378" w:val="left"/>
        </w:tabs>
        <w:bidi w:val="0"/>
        <w:spacing w:before="0" w:line="240" w:lineRule="auto"/>
        <w:ind w:left="0" w:right="0" w:firstLine="0"/>
        <w:jc w:val="left"/>
      </w:pPr>
      <w:bookmarkStart w:id="541" w:name="bookmark541"/>
      <w:bookmarkStart w:id="542" w:name="bookmark542"/>
      <w:bookmarkStart w:id="543" w:name="bookmark543"/>
      <w:bookmarkStart w:id="544" w:name="bookmark544"/>
      <w:r>
        <w:rPr>
          <w:rFonts w:ascii="Times New Roman" w:eastAsia="Times New Roman" w:hAnsi="Times New Roman" w:cs="Times New Roman"/>
          <w:color w:val="000000"/>
          <w:spacing w:val="0"/>
          <w:w w:val="100"/>
          <w:position w:val="0"/>
        </w:rPr>
        <w:t>7</w:t>
      </w:r>
      <w:bookmarkEnd w:id="543"/>
      <w:r>
        <w:rPr>
          <w:color w:val="000000"/>
          <w:spacing w:val="0"/>
          <w:w w:val="100"/>
          <w:position w:val="0"/>
        </w:rPr>
        <w:t>、</w:t>
        <w:tab/>
        <w:t>其他重大关联交易</w:t>
      </w:r>
      <w:bookmarkEnd w:id="541"/>
      <w:bookmarkEnd w:id="542"/>
      <w:bookmarkEnd w:id="544"/>
    </w:p>
    <w:p>
      <w:pPr>
        <w:pStyle w:val="Style1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公司报告期无其他重大关联交易。</w:t>
      </w:r>
    </w:p>
    <w:p>
      <w:pPr>
        <w:pStyle w:val="Style19"/>
        <w:keepNext/>
        <w:keepLines/>
        <w:widowControl w:val="0"/>
        <w:shd w:val="clear" w:color="auto" w:fill="auto"/>
        <w:bidi w:val="0"/>
        <w:spacing w:before="0" w:after="340" w:line="240" w:lineRule="auto"/>
        <w:ind w:left="0" w:right="0" w:firstLine="0"/>
        <w:jc w:val="left"/>
      </w:pPr>
      <w:bookmarkStart w:id="545" w:name="bookmark545"/>
      <w:bookmarkStart w:id="546" w:name="bookmark546"/>
      <w:bookmarkStart w:id="547" w:name="bookmark547"/>
      <w:r>
        <w:rPr>
          <w:color w:val="000000"/>
          <w:spacing w:val="0"/>
          <w:w w:val="100"/>
          <w:position w:val="0"/>
          <w:sz w:val="24"/>
          <w:szCs w:val="24"/>
        </w:rPr>
        <w:t>十五、重大合同及其履行情况</w:t>
      </w:r>
      <w:bookmarkEnd w:id="545"/>
      <w:bookmarkEnd w:id="546"/>
      <w:bookmarkEnd w:id="547"/>
    </w:p>
    <w:p>
      <w:pPr>
        <w:pStyle w:val="Style24"/>
        <w:keepNext/>
        <w:keepLines/>
        <w:widowControl w:val="0"/>
        <w:shd w:val="clear" w:color="auto" w:fill="auto"/>
        <w:bidi w:val="0"/>
        <w:spacing w:before="0" w:line="240" w:lineRule="auto"/>
        <w:ind w:left="0" w:right="0" w:firstLine="0"/>
        <w:jc w:val="left"/>
      </w:pPr>
      <w:bookmarkStart w:id="548" w:name="bookmark548"/>
      <w:bookmarkStart w:id="549" w:name="bookmark549"/>
      <w:bookmarkStart w:id="550" w:name="bookmark550"/>
      <w:bookmarkStart w:id="551" w:name="bookmark551"/>
      <w:r>
        <w:rPr>
          <w:rFonts w:ascii="Times New Roman" w:eastAsia="Times New Roman" w:hAnsi="Times New Roman" w:cs="Times New Roman"/>
          <w:color w:val="000000"/>
          <w:spacing w:val="0"/>
          <w:w w:val="100"/>
          <w:position w:val="0"/>
        </w:rPr>
        <w:t>1</w:t>
      </w:r>
      <w:bookmarkEnd w:id="550"/>
      <w:r>
        <w:rPr>
          <w:color w:val="000000"/>
          <w:spacing w:val="0"/>
          <w:w w:val="100"/>
          <w:position w:val="0"/>
        </w:rPr>
        <w:t>、托管、承包、租赁事项情况</w:t>
      </w:r>
      <w:bookmarkEnd w:id="548"/>
      <w:bookmarkEnd w:id="549"/>
      <w:bookmarkEnd w:id="551"/>
    </w:p>
    <w:p>
      <w:pPr>
        <w:pStyle w:val="Style102"/>
        <w:keepNext/>
        <w:keepLines/>
        <w:widowControl w:val="0"/>
        <w:shd w:val="clear" w:color="auto" w:fill="auto"/>
        <w:tabs>
          <w:tab w:pos="493" w:val="left"/>
        </w:tabs>
        <w:bidi w:val="0"/>
        <w:spacing w:before="0" w:after="340" w:line="240" w:lineRule="auto"/>
        <w:ind w:left="0" w:right="0" w:firstLine="0"/>
        <w:jc w:val="left"/>
      </w:pPr>
      <w:bookmarkStart w:id="552" w:name="bookmark552"/>
      <w:bookmarkStart w:id="553" w:name="bookmark553"/>
      <w:bookmarkStart w:id="554" w:name="bookmark554"/>
      <w:bookmarkStart w:id="555" w:name="bookmark555"/>
      <w:r>
        <w:rPr>
          <w:color w:val="000000"/>
          <w:spacing w:val="0"/>
          <w:w w:val="100"/>
          <w:position w:val="0"/>
        </w:rPr>
        <w:t>（</w:t>
      </w:r>
      <w:bookmarkEnd w:id="554"/>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52"/>
      <w:bookmarkEnd w:id="553"/>
      <w:bookmarkEnd w:id="555"/>
    </w:p>
    <w:p>
      <w:pPr>
        <w:pStyle w:val="Style1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公司报告期不存在托管情况。</w:t>
      </w:r>
    </w:p>
    <w:p>
      <w:pPr>
        <w:pStyle w:val="Style102"/>
        <w:keepNext/>
        <w:keepLines/>
        <w:widowControl w:val="0"/>
        <w:shd w:val="clear" w:color="auto" w:fill="auto"/>
        <w:tabs>
          <w:tab w:pos="493" w:val="left"/>
        </w:tabs>
        <w:bidi w:val="0"/>
        <w:spacing w:before="0" w:after="340" w:line="240" w:lineRule="auto"/>
        <w:ind w:left="0" w:right="0" w:firstLine="0"/>
        <w:jc w:val="left"/>
      </w:pPr>
      <w:bookmarkStart w:id="556" w:name="bookmark556"/>
      <w:bookmarkStart w:id="557" w:name="bookmark557"/>
      <w:bookmarkStart w:id="558" w:name="bookmark558"/>
      <w:bookmarkStart w:id="559" w:name="bookmark559"/>
      <w:r>
        <w:rPr>
          <w:color w:val="000000"/>
          <w:spacing w:val="0"/>
          <w:w w:val="100"/>
          <w:position w:val="0"/>
        </w:rPr>
        <w:t>（</w:t>
      </w:r>
      <w:bookmarkEnd w:id="558"/>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56"/>
      <w:bookmarkEnd w:id="557"/>
      <w:bookmarkEnd w:id="559"/>
    </w:p>
    <w:p>
      <w:pPr>
        <w:pStyle w:val="Style1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公司报告期不存在承包情况。</w:t>
      </w:r>
    </w:p>
    <w:p>
      <w:pPr>
        <w:pStyle w:val="Style102"/>
        <w:keepNext/>
        <w:keepLines/>
        <w:widowControl w:val="0"/>
        <w:shd w:val="clear" w:color="auto" w:fill="auto"/>
        <w:bidi w:val="0"/>
        <w:spacing w:before="0" w:line="240" w:lineRule="auto"/>
        <w:ind w:left="0" w:right="0" w:firstLine="0"/>
        <w:jc w:val="both"/>
      </w:pPr>
      <w:bookmarkStart w:id="560" w:name="bookmark560"/>
      <w:bookmarkStart w:id="561" w:name="bookmark561"/>
      <w:bookmarkStart w:id="562" w:name="bookmark562"/>
      <w:bookmarkStart w:id="563" w:name="bookmark563"/>
      <w:r>
        <w:rPr>
          <w:color w:val="000000"/>
          <w:spacing w:val="0"/>
          <w:w w:val="100"/>
          <w:position w:val="0"/>
        </w:rPr>
        <w:t>（</w:t>
      </w:r>
      <w:bookmarkEnd w:id="562"/>
      <w:r>
        <w:rPr>
          <w:rFonts w:ascii="Times New Roman" w:eastAsia="Times New Roman" w:hAnsi="Times New Roman" w:cs="Times New Roman"/>
          <w:color w:val="000000"/>
          <w:spacing w:val="0"/>
          <w:w w:val="100"/>
          <w:position w:val="0"/>
        </w:rPr>
        <w:t>3</w:t>
      </w:r>
      <w:r>
        <w:rPr>
          <w:color w:val="000000"/>
          <w:spacing w:val="0"/>
          <w:w w:val="100"/>
          <w:position w:val="0"/>
        </w:rPr>
        <w:t>）租赁情况</w:t>
      </w:r>
      <w:bookmarkEnd w:id="560"/>
      <w:bookmarkEnd w:id="561"/>
      <w:bookmarkEnd w:id="563"/>
    </w:p>
    <w:p>
      <w:pPr>
        <w:pStyle w:val="Style1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租赁情况说明</w:t>
      </w:r>
    </w:p>
    <w:p>
      <w:pPr>
        <w:pStyle w:val="Style59"/>
        <w:keepNext w:val="0"/>
        <w:keepLines w:val="0"/>
        <w:widowControl w:val="0"/>
        <w:shd w:val="clear" w:color="auto" w:fill="auto"/>
        <w:bidi w:val="0"/>
        <w:spacing w:before="0" w:after="180" w:line="461" w:lineRule="exact"/>
        <w:ind w:left="0" w:right="0" w:firstLine="500"/>
        <w:jc w:val="both"/>
      </w:pPr>
      <w:r>
        <w:rPr>
          <w:color w:val="000000"/>
          <w:spacing w:val="0"/>
          <w:w w:val="100"/>
          <w:position w:val="0"/>
          <w:sz w:val="24"/>
          <w:szCs w:val="24"/>
        </w:rPr>
        <w:t xml:space="preserve">公司与中关村软件园发展有限责任公司签订《房屋租赁合同》及其补充协议，租赁位于 北京市海淀区东北旺西路8号院9号楼三区3, </w:t>
      </w:r>
      <w:r>
        <w:rPr>
          <w:color w:val="000000"/>
          <w:spacing w:val="0"/>
          <w:w w:val="100"/>
          <w:position w:val="0"/>
          <w:sz w:val="24"/>
          <w:szCs w:val="24"/>
        </w:rPr>
        <w:t xml:space="preserve">894. </w:t>
      </w:r>
      <w:r>
        <w:rPr>
          <w:color w:val="000000"/>
          <w:spacing w:val="0"/>
          <w:w w:val="100"/>
          <w:position w:val="0"/>
          <w:sz w:val="24"/>
          <w:szCs w:val="24"/>
        </w:rPr>
        <w:t>04平米，用于办公，租赁期限为2021年4月1 日至2023年12月31日。截至报告期末，该合同仍在履行中。</w:t>
      </w:r>
    </w:p>
    <w:p>
      <w:pPr>
        <w:pStyle w:val="Style1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以上的租赁项目。</w:t>
      </w:r>
    </w:p>
    <w:p>
      <w:pPr>
        <w:pStyle w:val="Style24"/>
        <w:keepNext/>
        <w:keepLines/>
        <w:widowControl w:val="0"/>
        <w:shd w:val="clear" w:color="auto" w:fill="auto"/>
        <w:tabs>
          <w:tab w:pos="378" w:val="left"/>
        </w:tabs>
        <w:bidi w:val="0"/>
        <w:spacing w:before="0" w:after="360" w:line="240" w:lineRule="auto"/>
        <w:ind w:left="0" w:right="0" w:firstLine="0"/>
        <w:jc w:val="both"/>
      </w:pPr>
      <w:bookmarkStart w:id="564" w:name="bookmark564"/>
      <w:bookmarkStart w:id="565" w:name="bookmark565"/>
      <w:bookmarkStart w:id="566" w:name="bookmark566"/>
      <w:bookmarkStart w:id="567" w:name="bookmark567"/>
      <w:r>
        <w:rPr>
          <w:rFonts w:ascii="Times New Roman" w:eastAsia="Times New Roman" w:hAnsi="Times New Roman" w:cs="Times New Roman"/>
          <w:color w:val="000000"/>
          <w:spacing w:val="0"/>
          <w:w w:val="100"/>
          <w:position w:val="0"/>
        </w:rPr>
        <w:t>2</w:t>
      </w:r>
      <w:bookmarkEnd w:id="566"/>
      <w:r>
        <w:rPr>
          <w:color w:val="000000"/>
          <w:spacing w:val="0"/>
          <w:w w:val="100"/>
          <w:position w:val="0"/>
        </w:rPr>
        <w:t>、</w:t>
        <w:tab/>
        <w:t>重大担保</w:t>
      </w:r>
      <w:bookmarkEnd w:id="564"/>
      <w:bookmarkEnd w:id="565"/>
      <w:bookmarkEnd w:id="567"/>
    </w:p>
    <w:p>
      <w:pPr>
        <w:pStyle w:val="Style1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公司报告期不存在重大担保情况。</w:t>
      </w:r>
    </w:p>
    <w:p>
      <w:pPr>
        <w:pStyle w:val="Style24"/>
        <w:keepNext/>
        <w:keepLines/>
        <w:widowControl w:val="0"/>
        <w:shd w:val="clear" w:color="auto" w:fill="auto"/>
        <w:tabs>
          <w:tab w:pos="378" w:val="left"/>
        </w:tabs>
        <w:bidi w:val="0"/>
        <w:spacing w:before="0" w:after="360" w:line="240" w:lineRule="auto"/>
        <w:ind w:left="0" w:right="0" w:firstLine="0"/>
        <w:jc w:val="both"/>
      </w:pPr>
      <w:bookmarkStart w:id="568" w:name="bookmark568"/>
      <w:bookmarkStart w:id="569" w:name="bookmark569"/>
      <w:bookmarkStart w:id="570" w:name="bookmark570"/>
      <w:bookmarkStart w:id="571" w:name="bookmark571"/>
      <w:r>
        <w:rPr>
          <w:rFonts w:ascii="Times New Roman" w:eastAsia="Times New Roman" w:hAnsi="Times New Roman" w:cs="Times New Roman"/>
          <w:color w:val="000000"/>
          <w:spacing w:val="0"/>
          <w:w w:val="100"/>
          <w:position w:val="0"/>
        </w:rPr>
        <w:t>3</w:t>
      </w:r>
      <w:bookmarkEnd w:id="570"/>
      <w:r>
        <w:rPr>
          <w:color w:val="000000"/>
          <w:spacing w:val="0"/>
          <w:w w:val="100"/>
          <w:position w:val="0"/>
        </w:rPr>
        <w:t>、</w:t>
        <w:tab/>
        <w:t>委托他人进行现金资产管理情况</w:t>
      </w:r>
      <w:bookmarkEnd w:id="568"/>
      <w:bookmarkEnd w:id="569"/>
      <w:bookmarkEnd w:id="571"/>
    </w:p>
    <w:p>
      <w:pPr>
        <w:pStyle w:val="Style102"/>
        <w:keepNext/>
        <w:keepLines/>
        <w:widowControl w:val="0"/>
        <w:shd w:val="clear" w:color="auto" w:fill="auto"/>
        <w:bidi w:val="0"/>
        <w:spacing w:before="0" w:line="240" w:lineRule="auto"/>
        <w:ind w:left="0" w:right="0" w:firstLine="0"/>
        <w:jc w:val="both"/>
      </w:pPr>
      <w:bookmarkStart w:id="572" w:name="bookmark572"/>
      <w:bookmarkStart w:id="573" w:name="bookmark573"/>
      <w:bookmarkStart w:id="574" w:name="bookmark574"/>
      <w:bookmarkStart w:id="575" w:name="bookmark575"/>
      <w:r>
        <w:rPr>
          <w:color w:val="000000"/>
          <w:spacing w:val="0"/>
          <w:w w:val="100"/>
          <w:position w:val="0"/>
        </w:rPr>
        <w:t>（</w:t>
      </w:r>
      <w:bookmarkEnd w:id="574"/>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72"/>
      <w:bookmarkEnd w:id="573"/>
      <w:bookmarkEnd w:id="575"/>
    </w:p>
    <w:p>
      <w:pPr>
        <w:pStyle w:val="Style1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报告期内委托理财概况</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4"/>
        <w:gridCol w:w="1642"/>
        <w:gridCol w:w="1661"/>
        <w:gridCol w:w="1603"/>
        <w:gridCol w:w="1546"/>
        <w:gridCol w:w="155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委托理财的资金来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未到期余额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逾期未收回的金额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逾期未收回理财己 计提减值金额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募集资金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119" w:line="1" w:lineRule="exact"/>
      </w:pP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rPr>
        <w:t>单项金额重大或安全性较低、流动性较差的高风险委托理财具体情况</w:t>
      </w:r>
    </w:p>
    <w:p>
      <w:pPr>
        <w:pStyle w:val="Style1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576"/>
        <w:gridCol w:w="590"/>
        <w:gridCol w:w="610"/>
        <w:gridCol w:w="571"/>
        <w:gridCol w:w="562"/>
        <w:gridCol w:w="562"/>
        <w:gridCol w:w="562"/>
        <w:gridCol w:w="562"/>
        <w:gridCol w:w="562"/>
        <w:gridCol w:w="557"/>
        <w:gridCol w:w="562"/>
        <w:gridCol w:w="562"/>
        <w:gridCol w:w="562"/>
        <w:gridCol w:w="547"/>
        <w:gridCol w:w="547"/>
        <w:gridCol w:w="547"/>
        <w:gridCol w:w="542"/>
      </w:tblGrid>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受托 机构 名称</w:t>
            </w:r>
          </w:p>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（或 受托 人姓 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受托</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机构</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（或</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受托</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人）类</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产品类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资金</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起始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资金</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报酬</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确定</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参考 年化 收益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预期</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收益</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（如</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center"/>
              <w:rPr>
                <w:sz w:val="18"/>
                <w:szCs w:val="18"/>
              </w:rPr>
            </w:pPr>
            <w:r>
              <w:rPr>
                <w:color w:val="000000"/>
                <w:spacing w:val="0"/>
                <w:w w:val="100"/>
                <w:position w:val="0"/>
                <w:sz w:val="18"/>
                <w:szCs w:val="18"/>
              </w:rPr>
              <w:t>报告 期实 际损 益金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8"/>
                <w:szCs w:val="18"/>
              </w:rPr>
              <w:t>报告 期损 益实 际收 回情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计提</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减值</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准备</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金额</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（如</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是否 经过 法定 程序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rPr>
                <w:sz w:val="18"/>
                <w:szCs w:val="18"/>
              </w:rPr>
            </w:pPr>
            <w:r>
              <w:rPr>
                <w:color w:val="000000"/>
                <w:spacing w:val="0"/>
                <w:w w:val="100"/>
                <w:position w:val="0"/>
                <w:sz w:val="18"/>
                <w:szCs w:val="18"/>
              </w:rPr>
              <w:t>未来 是否 还有 委托 理财 计划</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事项 概述 及相 关查 询索 引（如 有）</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华泰</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证券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证券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券商理</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募集</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保本</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浮动</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全额</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不适</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用</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76"/>
        <w:gridCol w:w="590"/>
        <w:gridCol w:w="610"/>
        <w:gridCol w:w="571"/>
        <w:gridCol w:w="562"/>
        <w:gridCol w:w="562"/>
        <w:gridCol w:w="562"/>
        <w:gridCol w:w="562"/>
        <w:gridCol w:w="562"/>
        <w:gridCol w:w="557"/>
        <w:gridCol w:w="562"/>
        <w:gridCol w:w="562"/>
        <w:gridCol w:w="562"/>
        <w:gridCol w:w="547"/>
        <w:gridCol w:w="547"/>
        <w:gridCol w:w="547"/>
        <w:gridCol w:w="542"/>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华泰</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证券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证券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券商理</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募集</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保本</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浮动</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全额</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不适 用</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宁波</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银行理</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自有</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4"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浮动</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全额</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8"/>
                <w:szCs w:val="18"/>
              </w:rPr>
            </w:pPr>
            <w:r>
              <w:rPr>
                <w:color w:val="000000"/>
                <w:spacing w:val="0"/>
                <w:w w:val="100"/>
                <w:position w:val="0"/>
                <w:sz w:val="18"/>
                <w:szCs w:val="18"/>
              </w:rPr>
              <w:t>不适 用</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招商</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银行理</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自有</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债权</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类资</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浮动</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全额</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8"/>
                <w:szCs w:val="18"/>
              </w:rPr>
            </w:pPr>
            <w:r>
              <w:rPr>
                <w:color w:val="000000"/>
                <w:spacing w:val="0"/>
                <w:w w:val="100"/>
                <w:position w:val="0"/>
                <w:sz w:val="18"/>
                <w:szCs w:val="18"/>
              </w:rPr>
              <w:t>不适 用</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民生</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银行理</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自有</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浮动</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全额</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8"/>
                <w:szCs w:val="18"/>
              </w:rPr>
            </w:pPr>
            <w:r>
              <w:rPr>
                <w:color w:val="000000"/>
                <w:spacing w:val="0"/>
                <w:w w:val="100"/>
                <w:position w:val="0"/>
                <w:sz w:val="18"/>
                <w:szCs w:val="18"/>
              </w:rPr>
              <w:t>不适 用</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宁波</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银行理</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自有</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浮动</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全额</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8"/>
                <w:szCs w:val="18"/>
              </w:rPr>
            </w:pPr>
            <w:r>
              <w:rPr>
                <w:color w:val="000000"/>
                <w:spacing w:val="0"/>
                <w:w w:val="100"/>
                <w:position w:val="0"/>
                <w:sz w:val="18"/>
                <w:szCs w:val="18"/>
              </w:rPr>
              <w:t>不适 用</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长安 国际 信托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信托理</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自有</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4"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债权</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类资</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浮动</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全额</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8"/>
                <w:szCs w:val="18"/>
              </w:rPr>
            </w:pPr>
            <w:r>
              <w:rPr>
                <w:color w:val="000000"/>
                <w:spacing w:val="0"/>
                <w:w w:val="100"/>
                <w:position w:val="0"/>
                <w:sz w:val="18"/>
                <w:szCs w:val="18"/>
              </w:rPr>
              <w:t>不适 用</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中泰</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证券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证券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券商理 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募集</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保本</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浮动</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全额</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8"/>
                <w:szCs w:val="18"/>
              </w:rPr>
            </w:pPr>
            <w:r>
              <w:rPr>
                <w:color w:val="000000"/>
                <w:spacing w:val="0"/>
                <w:w w:val="100"/>
                <w:position w:val="0"/>
                <w:sz w:val="18"/>
                <w:szCs w:val="18"/>
              </w:rPr>
              <w:t>不适 用</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中泰</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证券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证券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券商理 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募集</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保本</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浮动</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全额</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8"/>
                <w:szCs w:val="18"/>
              </w:rPr>
            </w:pPr>
            <w:r>
              <w:rPr>
                <w:color w:val="000000"/>
                <w:spacing w:val="0"/>
                <w:w w:val="100"/>
                <w:position w:val="0"/>
                <w:sz w:val="18"/>
                <w:szCs w:val="18"/>
              </w:rPr>
              <w:t>不适 用</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宁波</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银行理</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自有</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浮动</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全额</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8"/>
                <w:szCs w:val="18"/>
              </w:rPr>
            </w:pPr>
            <w:r>
              <w:rPr>
                <w:color w:val="000000"/>
                <w:spacing w:val="0"/>
                <w:w w:val="100"/>
                <w:position w:val="0"/>
                <w:sz w:val="18"/>
                <w:szCs w:val="18"/>
              </w:rPr>
              <w:t>不适 用</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民生</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银行理</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财产品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自有</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浮动</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全额</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8"/>
                <w:szCs w:val="18"/>
              </w:rPr>
            </w:pPr>
            <w:r>
              <w:rPr>
                <w:color w:val="000000"/>
                <w:spacing w:val="0"/>
                <w:w w:val="100"/>
                <w:position w:val="0"/>
                <w:sz w:val="18"/>
                <w:szCs w:val="18"/>
              </w:rPr>
              <w:t>不适 用</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76"/>
        <w:gridCol w:w="590"/>
        <w:gridCol w:w="610"/>
        <w:gridCol w:w="571"/>
        <w:gridCol w:w="562"/>
        <w:gridCol w:w="562"/>
        <w:gridCol w:w="562"/>
        <w:gridCol w:w="562"/>
        <w:gridCol w:w="562"/>
        <w:gridCol w:w="557"/>
        <w:gridCol w:w="562"/>
        <w:gridCol w:w="562"/>
        <w:gridCol w:w="562"/>
        <w:gridCol w:w="547"/>
        <w:gridCol w:w="547"/>
        <w:gridCol w:w="547"/>
        <w:gridCol w:w="542"/>
      </w:tblGrid>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宁波</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银行理</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自有</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浮动</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全额</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不适</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用</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招商</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银行理</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自有</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浮动</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全额</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不适</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用</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宁波</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银行理</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自有</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浮动</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全额</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不适</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用</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民生</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银行理</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自有</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浮动</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尚未</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不适</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用</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宁波</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银行理</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自有</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浮动</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尚未</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不适</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用</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宁波</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银行理</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自有</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浮动</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尚未</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不适</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用</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宁波</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银行理</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自有</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浮动</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尚未</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不适</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用</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北京</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银行理</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财产品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自有</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浮动</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全额</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不适</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用</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北京</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银行理</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财产品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自有</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rFonts w:ascii="Times New Roman" w:eastAsia="Times New Roman" w:hAnsi="Times New Roman" w:cs="Times New Roman"/>
                <w:color w:val="000000"/>
                <w:spacing w:val="0"/>
                <w:w w:val="100"/>
                <w:position w:val="0"/>
                <w:sz w:val="18"/>
                <w:szCs w:val="18"/>
              </w:rPr>
              <w:t xml:space="preserve">2022 </w:t>
            </w:r>
            <w:r>
              <w:rPr>
                <w:rFonts w:ascii="SimHei" w:eastAsia="SimHei" w:hAnsi="SimHei" w:cs="SimHei"/>
                <w:color w:val="000000"/>
                <w:spacing w:val="0"/>
                <w:w w:val="100"/>
                <w:position w:val="0"/>
                <w:sz w:val="20"/>
                <w:szCs w:val="20"/>
              </w:rPr>
              <w:t>年</w:t>
            </w:r>
            <w:r>
              <w:rPr>
                <w:rFonts w:ascii="Times New Roman" w:eastAsia="Times New Roman" w:hAnsi="Times New Roman" w:cs="Times New Roman"/>
                <w:color w:val="000000"/>
                <w:spacing w:val="0"/>
                <w:w w:val="100"/>
                <w:position w:val="0"/>
                <w:sz w:val="18"/>
                <w:szCs w:val="18"/>
              </w:rPr>
              <w:t>7</w:t>
            </w:r>
            <w:r>
              <w:rPr>
                <w:rFonts w:ascii="SimHei" w:eastAsia="SimHei" w:hAnsi="SimHei" w:cs="SimHei"/>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18"/>
                <w:szCs w:val="18"/>
              </w:rPr>
              <w:t>29</w:t>
            </w:r>
            <w:r>
              <w:rPr>
                <w:rFonts w:ascii="SimHei" w:eastAsia="SimHei" w:hAnsi="SimHei" w:cs="SimHei"/>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浮动</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尚未</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不适</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用</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委托理财出现预期无法收回本金或存在其他可能导致减值的情形</w:t>
      </w:r>
    </w:p>
    <w:p>
      <w:pPr>
        <w:pStyle w:val="Style1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02"/>
        <w:keepNext/>
        <w:keepLines/>
        <w:widowControl w:val="0"/>
        <w:numPr>
          <w:ilvl w:val="0"/>
          <w:numId w:val="17"/>
        </w:numPr>
        <w:shd w:val="clear" w:color="auto" w:fill="auto"/>
        <w:bidi w:val="0"/>
        <w:spacing w:before="0" w:line="240" w:lineRule="auto"/>
        <w:ind w:left="0" w:right="0" w:firstLine="0"/>
        <w:jc w:val="both"/>
      </w:pPr>
      <w:bookmarkStart w:id="576" w:name="bookmark576"/>
      <w:bookmarkStart w:id="577" w:name="bookmark577"/>
      <w:bookmarkStart w:id="578" w:name="bookmark578"/>
      <w:bookmarkStart w:id="579" w:name="bookmark579"/>
      <w:bookmarkEnd w:id="578"/>
      <w:r>
        <w:rPr>
          <w:color w:val="000000"/>
          <w:spacing w:val="0"/>
          <w:w w:val="100"/>
          <w:position w:val="0"/>
        </w:rPr>
        <w:t>委托贷款情况</w:t>
      </w:r>
      <w:bookmarkEnd w:id="576"/>
      <w:bookmarkEnd w:id="577"/>
      <w:bookmarkEnd w:id="579"/>
    </w:p>
    <w:p>
      <w:pPr>
        <w:pStyle w:val="Style1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公司报告期不存在委托贷款。</w:t>
      </w:r>
    </w:p>
    <w:p>
      <w:pPr>
        <w:pStyle w:val="Style24"/>
        <w:keepNext/>
        <w:keepLines/>
        <w:widowControl w:val="0"/>
        <w:shd w:val="clear" w:color="auto" w:fill="auto"/>
        <w:bidi w:val="0"/>
        <w:spacing w:before="0" w:after="360" w:line="240" w:lineRule="auto"/>
        <w:ind w:left="0" w:right="0" w:firstLine="0"/>
        <w:jc w:val="both"/>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4</w:t>
      </w:r>
      <w:bookmarkEnd w:id="582"/>
      <w:r>
        <w:rPr>
          <w:color w:val="000000"/>
          <w:spacing w:val="0"/>
          <w:w w:val="100"/>
          <w:position w:val="0"/>
        </w:rPr>
        <w:t>、其他重大合同</w:t>
      </w:r>
      <w:bookmarkEnd w:id="580"/>
      <w:bookmarkEnd w:id="581"/>
      <w:bookmarkEnd w:id="583"/>
    </w:p>
    <w:p>
      <w:pPr>
        <w:pStyle w:val="Style1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公司报告期不存在其他重大合同。</w:t>
      </w:r>
    </w:p>
    <w:p>
      <w:pPr>
        <w:pStyle w:val="Style19"/>
        <w:keepNext/>
        <w:keepLines/>
        <w:widowControl w:val="0"/>
        <w:shd w:val="clear" w:color="auto" w:fill="auto"/>
        <w:bidi w:val="0"/>
        <w:spacing w:before="0" w:after="360" w:line="240" w:lineRule="auto"/>
        <w:ind w:left="0" w:right="0" w:firstLine="0"/>
        <w:jc w:val="both"/>
      </w:pPr>
      <w:bookmarkStart w:id="584" w:name="bookmark584"/>
      <w:bookmarkStart w:id="585" w:name="bookmark585"/>
      <w:bookmarkStart w:id="586" w:name="bookmark586"/>
      <w:r>
        <w:rPr>
          <w:color w:val="000000"/>
          <w:spacing w:val="0"/>
          <w:w w:val="100"/>
          <w:position w:val="0"/>
          <w:sz w:val="24"/>
          <w:szCs w:val="24"/>
        </w:rPr>
        <w:t>十六、其他重大事项的说明</w:t>
      </w:r>
      <w:bookmarkEnd w:id="584"/>
      <w:bookmarkEnd w:id="585"/>
      <w:bookmarkEnd w:id="586"/>
    </w:p>
    <w:p>
      <w:pPr>
        <w:pStyle w:val="Style1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公司报告期不存在需要说明的其他重大事项。</w:t>
      </w:r>
    </w:p>
    <w:p>
      <w:pPr>
        <w:pStyle w:val="Style19"/>
        <w:keepNext/>
        <w:keepLines/>
        <w:widowControl w:val="0"/>
        <w:shd w:val="clear" w:color="auto" w:fill="auto"/>
        <w:bidi w:val="0"/>
        <w:spacing w:before="0" w:after="360" w:line="240" w:lineRule="auto"/>
        <w:ind w:left="0" w:right="0" w:firstLine="0"/>
        <w:jc w:val="both"/>
      </w:pPr>
      <w:bookmarkStart w:id="587" w:name="bookmark587"/>
      <w:bookmarkStart w:id="588" w:name="bookmark588"/>
      <w:bookmarkStart w:id="589" w:name="bookmark589"/>
      <w:r>
        <w:rPr>
          <w:color w:val="000000"/>
          <w:spacing w:val="0"/>
          <w:w w:val="100"/>
          <w:position w:val="0"/>
          <w:sz w:val="24"/>
          <w:szCs w:val="24"/>
        </w:rPr>
        <w:t>十七、公司子公司重大事项</w:t>
      </w:r>
      <w:bookmarkEnd w:id="587"/>
      <w:bookmarkEnd w:id="588"/>
      <w:bookmarkEnd w:id="589"/>
    </w:p>
    <w:p>
      <w:pPr>
        <w:pStyle w:val="Style1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8"/>
        <w:keepNext/>
        <w:keepLines/>
        <w:widowControl w:val="0"/>
        <w:shd w:val="clear" w:color="auto" w:fill="auto"/>
        <w:bidi w:val="0"/>
        <w:spacing w:before="0" w:after="540" w:line="240" w:lineRule="auto"/>
        <w:ind w:left="0" w:right="0" w:firstLine="0"/>
        <w:jc w:val="center"/>
      </w:pPr>
      <w:bookmarkStart w:id="590" w:name="bookmark590"/>
      <w:bookmarkStart w:id="591" w:name="bookmark591"/>
      <w:bookmarkStart w:id="592" w:name="bookmark592"/>
      <w:bookmarkStart w:id="593" w:name="bookmark593"/>
      <w:r>
        <w:rPr>
          <w:color w:val="000000"/>
          <w:spacing w:val="0"/>
          <w:w w:val="100"/>
          <w:position w:val="0"/>
        </w:rPr>
        <w:t>第七节股份变动及股东情况</w:t>
      </w:r>
      <w:bookmarkEnd w:id="591"/>
      <w:bookmarkEnd w:id="592"/>
      <w:bookmarkEnd w:id="593"/>
      <w:bookmarkEnd w:id="590"/>
    </w:p>
    <w:p>
      <w:pPr>
        <w:pStyle w:val="Style19"/>
        <w:keepNext/>
        <w:keepLines/>
        <w:widowControl w:val="0"/>
        <w:shd w:val="clear" w:color="auto" w:fill="auto"/>
        <w:bidi w:val="0"/>
        <w:spacing w:before="0" w:line="240" w:lineRule="auto"/>
        <w:ind w:left="0" w:right="0" w:firstLine="0"/>
        <w:jc w:val="left"/>
      </w:pPr>
      <w:bookmarkStart w:id="594" w:name="bookmark594"/>
      <w:bookmarkStart w:id="595" w:name="bookmark595"/>
      <w:bookmarkStart w:id="596" w:name="bookmark596"/>
      <w:bookmarkStart w:id="597" w:name="bookmark597"/>
      <w:r>
        <w:rPr>
          <w:color w:val="000000"/>
          <w:spacing w:val="0"/>
          <w:w w:val="100"/>
          <w:position w:val="0"/>
          <w:sz w:val="24"/>
          <w:szCs w:val="24"/>
        </w:rPr>
        <w:t>一</w:t>
      </w:r>
      <w:bookmarkEnd w:id="596"/>
      <w:r>
        <w:rPr>
          <w:color w:val="000000"/>
          <w:spacing w:val="0"/>
          <w:w w:val="100"/>
          <w:position w:val="0"/>
          <w:sz w:val="24"/>
          <w:szCs w:val="24"/>
        </w:rPr>
        <w:t>、股份变动情况</w:t>
      </w:r>
      <w:bookmarkEnd w:id="594"/>
      <w:bookmarkEnd w:id="595"/>
      <w:bookmarkEnd w:id="597"/>
    </w:p>
    <w:p>
      <w:pPr>
        <w:pStyle w:val="Style24"/>
        <w:keepNext/>
        <w:keepLines/>
        <w:widowControl w:val="0"/>
        <w:shd w:val="clear" w:color="auto" w:fill="auto"/>
        <w:bidi w:val="0"/>
        <w:spacing w:before="0" w:after="360" w:line="240" w:lineRule="auto"/>
        <w:ind w:left="0" w:right="0" w:firstLine="0"/>
        <w:jc w:val="left"/>
      </w:pPr>
      <w:bookmarkStart w:id="598" w:name="bookmark598"/>
      <w:bookmarkStart w:id="599" w:name="bookmark599"/>
      <w:bookmarkStart w:id="600" w:name="bookmark600"/>
      <w:bookmarkStart w:id="601" w:name="bookmark601"/>
      <w:r>
        <w:rPr>
          <w:rFonts w:ascii="Times New Roman" w:eastAsia="Times New Roman" w:hAnsi="Times New Roman" w:cs="Times New Roman"/>
          <w:color w:val="000000"/>
          <w:spacing w:val="0"/>
          <w:w w:val="100"/>
          <w:position w:val="0"/>
        </w:rPr>
        <w:t>1</w:t>
      </w:r>
      <w:bookmarkEnd w:id="600"/>
      <w:r>
        <w:rPr>
          <w:color w:val="000000"/>
          <w:spacing w:val="0"/>
          <w:w w:val="100"/>
          <w:position w:val="0"/>
        </w:rPr>
        <w:t>、股份变动情况</w:t>
      </w:r>
      <w:bookmarkEnd w:id="598"/>
      <w:bookmarkEnd w:id="599"/>
      <w:bookmarkEnd w:id="601"/>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6"/>
        <w:gridCol w:w="821"/>
        <w:gridCol w:w="826"/>
        <w:gridCol w:w="821"/>
        <w:gridCol w:w="821"/>
        <w:gridCol w:w="821"/>
        <w:gridCol w:w="826"/>
        <w:gridCol w:w="792"/>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color w:val="000000"/>
                <w:spacing w:val="0"/>
                <w:w w:val="100"/>
                <w:position w:val="0"/>
                <w:sz w:val="18"/>
                <w:szCs w:val="18"/>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公积金转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比例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150,261,5</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-51,287,3</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-51,287,3</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98,974,16</w:t>
            </w:r>
          </w:p>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150,261,5</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-51,287,3</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-51,287,3</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98,974,16</w:t>
            </w:r>
          </w:p>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150,261,5</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-51,287,3</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-51,287,3</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98,974,16</w:t>
            </w:r>
          </w:p>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331,508,5</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63,782,95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63,782,95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395,291,4</w:t>
            </w:r>
          </w:p>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331,508,5</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63,782,95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63,782,95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395,291,4</w:t>
            </w:r>
          </w:p>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481,770,0</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12,495,61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12,495,61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494,265,6</w:t>
            </w:r>
          </w:p>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99" w:line="1" w:lineRule="exact"/>
      </w:pP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股份变动的原因</w:t>
      </w:r>
    </w:p>
    <w:p>
      <w:pPr>
        <w:pStyle w:val="Style14"/>
        <w:keepNext w:val="0"/>
        <w:keepLines w:val="0"/>
        <w:widowControl w:val="0"/>
        <w:shd w:val="clear" w:color="auto" w:fill="auto"/>
        <w:bidi w:val="0"/>
        <w:spacing w:before="0" w:after="1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9"/>
        <w:keepNext w:val="0"/>
        <w:keepLines w:val="0"/>
        <w:widowControl w:val="0"/>
        <w:shd w:val="clear" w:color="auto" w:fill="auto"/>
        <w:tabs>
          <w:tab w:pos="873" w:val="left"/>
        </w:tabs>
        <w:bidi w:val="0"/>
        <w:spacing w:before="0" w:after="180" w:line="240" w:lineRule="auto"/>
        <w:ind w:left="0" w:right="0" w:firstLine="500"/>
        <w:jc w:val="left"/>
      </w:pPr>
      <w:bookmarkStart w:id="602" w:name="bookmark602"/>
      <w:r>
        <w:rPr>
          <w:color w:val="000000"/>
          <w:spacing w:val="0"/>
          <w:w w:val="100"/>
          <w:position w:val="0"/>
          <w:sz w:val="24"/>
          <w:szCs w:val="24"/>
        </w:rPr>
        <w:t>1</w:t>
      </w:r>
      <w:bookmarkEnd w:id="602"/>
      <w:r>
        <w:rPr>
          <w:color w:val="000000"/>
          <w:spacing w:val="0"/>
          <w:w w:val="100"/>
          <w:position w:val="0"/>
          <w:sz w:val="24"/>
          <w:szCs w:val="24"/>
        </w:rPr>
        <w:t>、</w:t>
        <w:tab/>
        <w:t>2021年3月4日，非公开发行股份解除限售股份共48, 000, 000股</w:t>
      </w:r>
    </w:p>
    <w:p>
      <w:pPr>
        <w:pStyle w:val="Style59"/>
        <w:keepNext w:val="0"/>
        <w:keepLines w:val="0"/>
        <w:widowControl w:val="0"/>
        <w:shd w:val="clear" w:color="auto" w:fill="auto"/>
        <w:tabs>
          <w:tab w:pos="387" w:val="left"/>
        </w:tabs>
        <w:bidi w:val="0"/>
        <w:spacing w:before="0" w:after="40" w:line="240" w:lineRule="auto"/>
        <w:ind w:left="0" w:right="0" w:firstLine="500"/>
        <w:jc w:val="left"/>
      </w:pPr>
      <w:bookmarkStart w:id="603" w:name="bookmark603"/>
      <w:r>
        <w:rPr>
          <w:color w:val="000000"/>
          <w:spacing w:val="0"/>
          <w:w w:val="100"/>
          <w:position w:val="0"/>
          <w:sz w:val="24"/>
          <w:szCs w:val="24"/>
        </w:rPr>
        <w:t>2</w:t>
      </w:r>
      <w:bookmarkEnd w:id="603"/>
      <w:r>
        <w:rPr>
          <w:color w:val="000000"/>
          <w:spacing w:val="0"/>
          <w:w w:val="100"/>
          <w:position w:val="0"/>
          <w:sz w:val="24"/>
          <w:szCs w:val="24"/>
        </w:rPr>
        <w:t>、</w:t>
        <w:tab/>
        <w:t xml:space="preserve">股权激励行权和高管限售股份解除锁定，限售股、无限售股以及股本总数相应发生变 </w:t>
      </w:r>
      <w:r>
        <w:rPr>
          <w:color w:val="000000"/>
          <w:spacing w:val="0"/>
          <w:w w:val="100"/>
          <w:position w:val="0"/>
          <w:sz w:val="24"/>
          <w:szCs w:val="24"/>
        </w:rPr>
        <w:t>化。</w:t>
      </w:r>
    </w:p>
    <w:p>
      <w:pPr>
        <w:pStyle w:val="Style14"/>
        <w:keepNext w:val="0"/>
        <w:keepLines w:val="0"/>
        <w:widowControl w:val="0"/>
        <w:shd w:val="clear" w:color="auto" w:fill="auto"/>
        <w:bidi w:val="0"/>
        <w:spacing w:before="0" w:after="40" w:line="341" w:lineRule="exact"/>
        <w:ind w:left="0" w:right="0" w:firstLine="0"/>
        <w:jc w:val="both"/>
      </w:pPr>
      <w:r>
        <w:rPr>
          <w:color w:val="000000"/>
          <w:spacing w:val="0"/>
          <w:w w:val="100"/>
          <w:position w:val="0"/>
        </w:rPr>
        <w:t>股份变动的批准情况</w:t>
      </w:r>
    </w:p>
    <w:p>
      <w:pPr>
        <w:pStyle w:val="Style14"/>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9"/>
        <w:keepNext w:val="0"/>
        <w:keepLines w:val="0"/>
        <w:widowControl w:val="0"/>
        <w:shd w:val="clear" w:color="auto" w:fill="auto"/>
        <w:tabs>
          <w:tab w:pos="858" w:val="left"/>
        </w:tabs>
        <w:bidi w:val="0"/>
        <w:spacing w:before="0" w:after="0" w:line="456" w:lineRule="exact"/>
        <w:ind w:left="0" w:right="0" w:firstLine="500"/>
        <w:jc w:val="left"/>
      </w:pPr>
      <w:bookmarkStart w:id="604" w:name="bookmark604"/>
      <w:r>
        <w:rPr>
          <w:color w:val="000000"/>
          <w:spacing w:val="0"/>
          <w:w w:val="100"/>
          <w:position w:val="0"/>
          <w:sz w:val="24"/>
          <w:szCs w:val="24"/>
        </w:rPr>
        <w:t>1</w:t>
      </w:r>
      <w:bookmarkEnd w:id="604"/>
      <w:r>
        <w:rPr>
          <w:color w:val="000000"/>
          <w:spacing w:val="0"/>
          <w:w w:val="100"/>
          <w:position w:val="0"/>
          <w:sz w:val="24"/>
          <w:szCs w:val="24"/>
        </w:rPr>
        <w:t>、</w:t>
        <w:tab/>
        <w:t>报告期内，公司2018年股票期权与限制性股票激励计划第二期届满并进行了行权和解 除限售，本次行权结束后，公司限售股、无限售股以及股本总数相应发生变化。</w:t>
      </w:r>
    </w:p>
    <w:p>
      <w:pPr>
        <w:pStyle w:val="Style59"/>
        <w:keepNext w:val="0"/>
        <w:keepLines w:val="0"/>
        <w:widowControl w:val="0"/>
        <w:shd w:val="clear" w:color="auto" w:fill="auto"/>
        <w:tabs>
          <w:tab w:pos="862" w:val="left"/>
        </w:tabs>
        <w:bidi w:val="0"/>
        <w:spacing w:before="0" w:after="180" w:line="480" w:lineRule="exact"/>
        <w:ind w:left="0" w:right="0" w:firstLine="500"/>
        <w:jc w:val="left"/>
      </w:pPr>
      <w:bookmarkStart w:id="605" w:name="bookmark605"/>
      <w:r>
        <w:rPr>
          <w:color w:val="000000"/>
          <w:spacing w:val="0"/>
          <w:w w:val="100"/>
          <w:position w:val="0"/>
          <w:sz w:val="24"/>
          <w:szCs w:val="24"/>
        </w:rPr>
        <w:t>2</w:t>
      </w:r>
      <w:bookmarkEnd w:id="605"/>
      <w:r>
        <w:rPr>
          <w:color w:val="000000"/>
          <w:spacing w:val="0"/>
          <w:w w:val="100"/>
          <w:position w:val="0"/>
          <w:sz w:val="24"/>
          <w:szCs w:val="24"/>
        </w:rPr>
        <w:t>、</w:t>
        <w:tab/>
        <w:t>报告期内，公司2020年股票期权激励计划第一期届满并进行了行权，本次行权结束后， 公司限售股、无限售股以及股本总数相应发生变化。</w:t>
      </w:r>
    </w:p>
    <w:p>
      <w:pPr>
        <w:pStyle w:val="Style59"/>
        <w:keepNext w:val="0"/>
        <w:keepLines w:val="0"/>
        <w:widowControl w:val="0"/>
        <w:shd w:val="clear" w:color="auto" w:fill="auto"/>
        <w:tabs>
          <w:tab w:pos="887" w:val="left"/>
        </w:tabs>
        <w:bidi w:val="0"/>
        <w:spacing w:before="0" w:after="40" w:line="240" w:lineRule="auto"/>
        <w:ind w:left="0" w:right="0" w:firstLine="500"/>
        <w:jc w:val="left"/>
      </w:pPr>
      <w:bookmarkStart w:id="606" w:name="bookmark606"/>
      <w:r>
        <w:rPr>
          <w:color w:val="000000"/>
          <w:spacing w:val="0"/>
          <w:w w:val="100"/>
          <w:position w:val="0"/>
          <w:sz w:val="24"/>
          <w:szCs w:val="24"/>
        </w:rPr>
        <w:t>3</w:t>
      </w:r>
      <w:bookmarkEnd w:id="606"/>
      <w:r>
        <w:rPr>
          <w:color w:val="000000"/>
          <w:spacing w:val="0"/>
          <w:w w:val="100"/>
          <w:position w:val="0"/>
          <w:sz w:val="24"/>
          <w:szCs w:val="24"/>
        </w:rPr>
        <w:t>、</w:t>
        <w:tab/>
        <w:t>报告期内，因非公开发行股票解除限售，新增48, 000, 000股上市。</w:t>
      </w:r>
    </w:p>
    <w:p>
      <w:pPr>
        <w:pStyle w:val="Style14"/>
        <w:keepNext w:val="0"/>
        <w:keepLines w:val="0"/>
        <w:widowControl w:val="0"/>
        <w:shd w:val="clear" w:color="auto" w:fill="auto"/>
        <w:bidi w:val="0"/>
        <w:spacing w:before="0" w:after="40" w:line="341" w:lineRule="exact"/>
        <w:ind w:left="0" w:right="0" w:firstLine="0"/>
        <w:jc w:val="both"/>
      </w:pPr>
      <w:r>
        <w:rPr>
          <w:color w:val="000000"/>
          <w:spacing w:val="0"/>
          <w:w w:val="100"/>
          <w:position w:val="0"/>
        </w:rPr>
        <w:t>股份变动的过户情况</w:t>
      </w:r>
    </w:p>
    <w:p>
      <w:pPr>
        <w:pStyle w:val="Style14"/>
        <w:keepNext w:val="0"/>
        <w:keepLines w:val="0"/>
        <w:widowControl w:val="0"/>
        <w:shd w:val="clear" w:color="auto" w:fill="auto"/>
        <w:bidi w:val="0"/>
        <w:spacing w:before="0" w:after="180" w:line="341"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9"/>
        <w:keepNext w:val="0"/>
        <w:keepLines w:val="0"/>
        <w:widowControl w:val="0"/>
        <w:shd w:val="clear" w:color="auto" w:fill="auto"/>
        <w:bidi w:val="0"/>
        <w:spacing w:before="0" w:after="40" w:line="240" w:lineRule="auto"/>
        <w:ind w:left="0" w:right="0" w:firstLine="500"/>
        <w:jc w:val="left"/>
      </w:pPr>
      <w:r>
        <w:rPr>
          <w:color w:val="000000"/>
          <w:spacing w:val="0"/>
          <w:w w:val="100"/>
          <w:position w:val="0"/>
          <w:sz w:val="24"/>
          <w:szCs w:val="24"/>
        </w:rPr>
        <w:t>以上股份均已办理完成登记过户。</w:t>
      </w:r>
    </w:p>
    <w:p>
      <w:pPr>
        <w:pStyle w:val="Style14"/>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9"/>
        <w:keepNext w:val="0"/>
        <w:keepLines w:val="0"/>
        <w:widowControl w:val="0"/>
        <w:shd w:val="clear" w:color="auto" w:fill="auto"/>
        <w:bidi w:val="0"/>
        <w:spacing w:before="0" w:after="40" w:line="470" w:lineRule="exact"/>
        <w:ind w:left="0" w:right="0" w:firstLine="500"/>
        <w:jc w:val="left"/>
      </w:pPr>
      <w:r>
        <w:rPr>
          <w:color w:val="000000"/>
          <w:spacing w:val="0"/>
          <w:w w:val="100"/>
          <w:position w:val="0"/>
          <w:sz w:val="24"/>
          <w:szCs w:val="24"/>
        </w:rPr>
        <w:t>股份变动对公司相关财务指标的影响，详见本报告“第二节公司简介和主要财务指标之 五、主要会计数据和财务指标”。</w:t>
      </w:r>
    </w:p>
    <w:p>
      <w:pPr>
        <w:pStyle w:val="Style14"/>
        <w:keepNext w:val="0"/>
        <w:keepLines w:val="0"/>
        <w:widowControl w:val="0"/>
        <w:shd w:val="clear" w:color="auto" w:fill="auto"/>
        <w:bidi w:val="0"/>
        <w:spacing w:before="0" w:line="341" w:lineRule="exact"/>
        <w:ind w:left="0" w:right="0" w:firstLine="0"/>
        <w:jc w:val="both"/>
      </w:pPr>
      <w:r>
        <w:rPr>
          <w:color w:val="000000"/>
          <w:spacing w:val="0"/>
          <w:w w:val="100"/>
          <w:position w:val="0"/>
        </w:rPr>
        <w:t>公司认为必要或证券监管机构要求披露的其他内容</w:t>
      </w:r>
    </w:p>
    <w:p>
      <w:pPr>
        <w:pStyle w:val="Style14"/>
        <w:keepNext w:val="0"/>
        <w:keepLines w:val="0"/>
        <w:widowControl w:val="0"/>
        <w:shd w:val="clear" w:color="auto" w:fill="auto"/>
        <w:bidi w:val="0"/>
        <w:spacing w:before="0" w:after="240" w:line="396"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240" w:line="240" w:lineRule="auto"/>
        <w:ind w:left="0" w:right="0" w:firstLine="0"/>
        <w:jc w:val="both"/>
      </w:pPr>
      <w:bookmarkStart w:id="607" w:name="bookmark607"/>
      <w:bookmarkStart w:id="608" w:name="bookmark608"/>
      <w:bookmarkStart w:id="609" w:name="bookmark609"/>
      <w:bookmarkStart w:id="610" w:name="bookmark610"/>
      <w:r>
        <w:rPr>
          <w:rFonts w:ascii="Times New Roman" w:eastAsia="Times New Roman" w:hAnsi="Times New Roman" w:cs="Times New Roman"/>
          <w:color w:val="000000"/>
          <w:spacing w:val="0"/>
          <w:w w:val="100"/>
          <w:position w:val="0"/>
        </w:rPr>
        <w:t>2</w:t>
      </w:r>
      <w:bookmarkEnd w:id="609"/>
      <w:r>
        <w:rPr>
          <w:color w:val="000000"/>
          <w:spacing w:val="0"/>
          <w:w w:val="100"/>
          <w:position w:val="0"/>
        </w:rPr>
        <w:t>、限售股份变动情况</w:t>
      </w:r>
      <w:bookmarkEnd w:id="607"/>
      <w:bookmarkEnd w:id="608"/>
      <w:bookmarkEnd w:id="610"/>
    </w:p>
    <w:p>
      <w:pPr>
        <w:pStyle w:val="Style14"/>
        <w:keepNext w:val="0"/>
        <w:keepLines w:val="0"/>
        <w:widowControl w:val="0"/>
        <w:shd w:val="clear" w:color="auto" w:fill="auto"/>
        <w:bidi w:val="0"/>
        <w:spacing w:before="0" w:line="341"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4"/>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1214"/>
        <w:gridCol w:w="1488"/>
        <w:gridCol w:w="1488"/>
        <w:gridCol w:w="1488"/>
        <w:gridCol w:w="1488"/>
        <w:gridCol w:w="1200"/>
        <w:gridCol w:w="121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拟解除限售日 期</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吴强华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90,308,110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90,308,110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 xml:space="preserve">高管锁定股每 年第一个交易 日解锁其拥有 公司股份的 </w:t>
            </w:r>
            <w:r>
              <w:rPr>
                <w:rFonts w:ascii="Times New Roman" w:eastAsia="Times New Roman" w:hAnsi="Times New Roman" w:cs="Times New Roman"/>
                <w:color w:val="000000"/>
                <w:spacing w:val="0"/>
                <w:w w:val="100"/>
                <w:position w:val="0"/>
                <w:sz w:val="18"/>
                <w:szCs w:val="18"/>
              </w:rPr>
              <w:t>25%</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4,948,293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4,573,293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 xml:space="preserve">高管锁定股每 年第一个交易 日解锁其拥有 公司股份的 </w:t>
            </w:r>
            <w:r>
              <w:rPr>
                <w:rFonts w:ascii="Times New Roman" w:eastAsia="Times New Roman" w:hAnsi="Times New Roman" w:cs="Times New Roman"/>
                <w:color w:val="000000"/>
                <w:spacing w:val="0"/>
                <w:w w:val="100"/>
                <w:position w:val="0"/>
                <w:sz w:val="18"/>
                <w:szCs w:val="18"/>
              </w:rPr>
              <w:t>25%</w:t>
            </w:r>
          </w:p>
        </w:tc>
      </w:tr>
      <w:tr>
        <w:trPr>
          <w:trHeight w:val="98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胡环宇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1,484,850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1,124,850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高管锁定股每 年第一个交易 日解锁其拥有</w:t>
            </w:r>
          </w:p>
        </w:tc>
      </w:tr>
    </w:tbl>
    <w:p>
      <w:pPr>
        <w:spacing w:lineRule="exact" w:line="1"/>
        <w:rPr>
          <w:sz w:val="2"/>
          <w:szCs w:val="2"/>
        </w:rPr>
      </w:pPr>
      <w:r>
        <w:br w:type="page"/>
      </w:r>
    </w:p>
    <w:tbl>
      <w:tblPr>
        <w:tblOverlap w:val="never"/>
        <w:jc w:val="center"/>
        <w:tblLayout w:type="fixed"/>
      </w:tblPr>
      <w:tblGrid>
        <w:gridCol w:w="1214"/>
        <w:gridCol w:w="1488"/>
        <w:gridCol w:w="1488"/>
        <w:gridCol w:w="1488"/>
        <w:gridCol w:w="1488"/>
        <w:gridCol w:w="1200"/>
        <w:gridCol w:w="121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公司股份的</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王洪深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rPr>
                <w:sz w:val="18"/>
                <w:szCs w:val="18"/>
              </w:rPr>
            </w:pPr>
            <w:r>
              <w:rPr>
                <w:color w:val="000000"/>
                <w:spacing w:val="0"/>
                <w:w w:val="100"/>
                <w:position w:val="0"/>
                <w:sz w:val="18"/>
                <w:szCs w:val="18"/>
              </w:rPr>
              <w:t xml:space="preserve">高管锁定股每 年第一个交易 日解锁其拥有 公司股份的 </w:t>
            </w:r>
            <w:r>
              <w:rPr>
                <w:rFonts w:ascii="Times New Roman" w:eastAsia="Times New Roman" w:hAnsi="Times New Roman" w:cs="Times New Roman"/>
                <w:color w:val="000000"/>
                <w:spacing w:val="0"/>
                <w:w w:val="100"/>
                <w:position w:val="0"/>
                <w:sz w:val="18"/>
                <w:szCs w:val="18"/>
              </w:rPr>
              <w:t>25%</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邱鲁闽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 xml:space="preserve">高管锁定股每 年第一个交易 日解锁其拥有 公司股份的 </w:t>
            </w:r>
            <w:r>
              <w:rPr>
                <w:rFonts w:ascii="Times New Roman" w:eastAsia="Times New Roman" w:hAnsi="Times New Roman" w:cs="Times New Roman"/>
                <w:color w:val="000000"/>
                <w:spacing w:val="0"/>
                <w:w w:val="100"/>
                <w:position w:val="0"/>
                <w:sz w:val="18"/>
                <w:szCs w:val="18"/>
              </w:rPr>
              <w:t>25%</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殷小敏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402,750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rPr>
                <w:sz w:val="18"/>
                <w:szCs w:val="18"/>
              </w:rPr>
            </w:pPr>
            <w:r>
              <w:rPr>
                <w:color w:val="000000"/>
                <w:spacing w:val="0"/>
                <w:w w:val="100"/>
                <w:position w:val="0"/>
                <w:sz w:val="18"/>
                <w:szCs w:val="18"/>
              </w:rPr>
              <w:t xml:space="preserve">高管锁定股每 年第一个交易 日解锁其拥有 公司股份的 </w:t>
            </w:r>
            <w:r>
              <w:rPr>
                <w:rFonts w:ascii="Times New Roman" w:eastAsia="Times New Roman" w:hAnsi="Times New Roman" w:cs="Times New Roman"/>
                <w:color w:val="000000"/>
                <w:spacing w:val="0"/>
                <w:w w:val="100"/>
                <w:position w:val="0"/>
                <w:sz w:val="18"/>
                <w:szCs w:val="18"/>
              </w:rPr>
              <w:t>25%</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374,355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rPr>
                <w:sz w:val="18"/>
                <w:szCs w:val="18"/>
              </w:rPr>
            </w:pPr>
            <w:r>
              <w:rPr>
                <w:color w:val="000000"/>
                <w:spacing w:val="0"/>
                <w:w w:val="100"/>
                <w:position w:val="0"/>
                <w:sz w:val="18"/>
                <w:szCs w:val="18"/>
              </w:rPr>
              <w:t xml:space="preserve">高管锁定股每 年第一个交易 日解锁其拥有 公司股份的 </w:t>
            </w:r>
            <w:r>
              <w:rPr>
                <w:rFonts w:ascii="Times New Roman" w:eastAsia="Times New Roman" w:hAnsi="Times New Roman" w:cs="Times New Roman"/>
                <w:color w:val="000000"/>
                <w:spacing w:val="0"/>
                <w:w w:val="100"/>
                <w:position w:val="0"/>
                <w:sz w:val="18"/>
                <w:szCs w:val="18"/>
              </w:rPr>
              <w:t>25%</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年股票 期权与限制性 股票激励计划</w:t>
            </w:r>
          </w:p>
          <w:p>
            <w:pPr>
              <w:pStyle w:val="Style2"/>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（除董事、高 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限制性股票拟 注销股份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待办理注销回 购</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年创业板 非公开发行股 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非公开发行股 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已解锁</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150,261,508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51,362,339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98,974,169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19"/>
        <w:keepNext/>
        <w:keepLines/>
        <w:widowControl w:val="0"/>
        <w:shd w:val="clear" w:color="auto" w:fill="auto"/>
        <w:bidi w:val="0"/>
        <w:spacing w:before="0" w:after="340" w:line="240" w:lineRule="auto"/>
        <w:ind w:left="0" w:right="0" w:firstLine="0"/>
        <w:jc w:val="both"/>
      </w:pPr>
      <w:bookmarkStart w:id="611" w:name="bookmark611"/>
      <w:bookmarkStart w:id="612" w:name="bookmark612"/>
      <w:bookmarkStart w:id="613" w:name="bookmark613"/>
      <w:bookmarkStart w:id="614" w:name="bookmark614"/>
      <w:r>
        <w:rPr>
          <w:color w:val="000000"/>
          <w:spacing w:val="0"/>
          <w:w w:val="100"/>
          <w:position w:val="0"/>
          <w:sz w:val="24"/>
          <w:szCs w:val="24"/>
        </w:rPr>
        <w:t>二</w:t>
      </w:r>
      <w:bookmarkEnd w:id="613"/>
      <w:r>
        <w:rPr>
          <w:color w:val="000000"/>
          <w:spacing w:val="0"/>
          <w:w w:val="100"/>
          <w:position w:val="0"/>
          <w:sz w:val="24"/>
          <w:szCs w:val="24"/>
        </w:rPr>
        <w:t>、证券发行与上市情况</w:t>
      </w:r>
      <w:bookmarkEnd w:id="611"/>
      <w:bookmarkEnd w:id="612"/>
      <w:bookmarkEnd w:id="614"/>
    </w:p>
    <w:p>
      <w:pPr>
        <w:pStyle w:val="Style24"/>
        <w:keepNext/>
        <w:keepLines/>
        <w:widowControl w:val="0"/>
        <w:shd w:val="clear" w:color="auto" w:fill="auto"/>
        <w:tabs>
          <w:tab w:pos="368" w:val="left"/>
        </w:tabs>
        <w:bidi w:val="0"/>
        <w:spacing w:before="0" w:line="240" w:lineRule="auto"/>
        <w:ind w:left="0" w:right="0" w:firstLine="0"/>
        <w:jc w:val="both"/>
      </w:pPr>
      <w:bookmarkStart w:id="615" w:name="bookmark615"/>
      <w:bookmarkStart w:id="616" w:name="bookmark616"/>
      <w:bookmarkStart w:id="617" w:name="bookmark617"/>
      <w:bookmarkStart w:id="618" w:name="bookmark618"/>
      <w:r>
        <w:rPr>
          <w:rFonts w:ascii="Times New Roman" w:eastAsia="Times New Roman" w:hAnsi="Times New Roman" w:cs="Times New Roman"/>
          <w:color w:val="000000"/>
          <w:spacing w:val="0"/>
          <w:w w:val="100"/>
          <w:position w:val="0"/>
        </w:rPr>
        <w:t>1</w:t>
      </w:r>
      <w:bookmarkEnd w:id="617"/>
      <w:r>
        <w:rPr>
          <w:color w:val="000000"/>
          <w:spacing w:val="0"/>
          <w:w w:val="100"/>
          <w:position w:val="0"/>
        </w:rPr>
        <w:t>、</w:t>
        <w:tab/>
        <w:t>报告期内证券发行（不含优先股）情况</w:t>
      </w:r>
      <w:bookmarkEnd w:id="615"/>
      <w:bookmarkEnd w:id="616"/>
      <w:bookmarkEnd w:id="618"/>
    </w:p>
    <w:p>
      <w:pPr>
        <w:pStyle w:val="Style14"/>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378" w:val="left"/>
        </w:tabs>
        <w:bidi w:val="0"/>
        <w:spacing w:before="0" w:line="240" w:lineRule="auto"/>
        <w:ind w:left="0" w:right="0" w:firstLine="0"/>
        <w:jc w:val="both"/>
      </w:pPr>
      <w:bookmarkStart w:id="619" w:name="bookmark619"/>
      <w:bookmarkStart w:id="620" w:name="bookmark620"/>
      <w:bookmarkStart w:id="621" w:name="bookmark621"/>
      <w:bookmarkStart w:id="622" w:name="bookmark622"/>
      <w:r>
        <w:rPr>
          <w:rFonts w:ascii="Times New Roman" w:eastAsia="Times New Roman" w:hAnsi="Times New Roman" w:cs="Times New Roman"/>
          <w:color w:val="000000"/>
          <w:spacing w:val="0"/>
          <w:w w:val="100"/>
          <w:position w:val="0"/>
        </w:rPr>
        <w:t>2</w:t>
      </w:r>
      <w:bookmarkEnd w:id="621"/>
      <w:r>
        <w:rPr>
          <w:color w:val="000000"/>
          <w:spacing w:val="0"/>
          <w:w w:val="100"/>
          <w:position w:val="0"/>
        </w:rPr>
        <w:t>、</w:t>
        <w:tab/>
        <w:t>公司股份总数及股东结构的变动、公司资产和负债结构的变动情况说明</w:t>
      </w:r>
      <w:bookmarkEnd w:id="619"/>
      <w:bookmarkEnd w:id="620"/>
      <w:bookmarkEnd w:id="622"/>
    </w:p>
    <w:p>
      <w:pPr>
        <w:pStyle w:val="Style14"/>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9"/>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 xml:space="preserve">1、报告期内，公司2018年股票期权与限制性股票激励计划第二期届满并进行了行权和解 </w:t>
      </w:r>
      <w:r>
        <w:rPr>
          <w:color w:val="000000"/>
          <w:spacing w:val="0"/>
          <w:w w:val="100"/>
          <w:position w:val="0"/>
          <w:sz w:val="24"/>
          <w:szCs w:val="24"/>
        </w:rPr>
        <w:t>除限售，本次行权结束后，公司限售股、无限售股以及股本总数相应发生变化。</w:t>
      </w:r>
    </w:p>
    <w:p>
      <w:pPr>
        <w:pStyle w:val="Style59"/>
        <w:keepNext w:val="0"/>
        <w:keepLines w:val="0"/>
        <w:widowControl w:val="0"/>
        <w:shd w:val="clear" w:color="auto" w:fill="auto"/>
        <w:tabs>
          <w:tab w:pos="862" w:val="left"/>
        </w:tabs>
        <w:bidi w:val="0"/>
        <w:spacing w:before="0" w:after="0" w:line="480" w:lineRule="exact"/>
        <w:ind w:left="0" w:right="0" w:firstLine="500"/>
        <w:jc w:val="both"/>
      </w:pPr>
      <w:bookmarkStart w:id="623" w:name="bookmark623"/>
      <w:r>
        <w:rPr>
          <w:color w:val="000000"/>
          <w:spacing w:val="0"/>
          <w:w w:val="100"/>
          <w:position w:val="0"/>
          <w:sz w:val="24"/>
          <w:szCs w:val="24"/>
        </w:rPr>
        <w:t>2</w:t>
      </w:r>
      <w:bookmarkEnd w:id="623"/>
      <w:r>
        <w:rPr>
          <w:color w:val="000000"/>
          <w:spacing w:val="0"/>
          <w:w w:val="100"/>
          <w:position w:val="0"/>
          <w:sz w:val="24"/>
          <w:szCs w:val="24"/>
        </w:rPr>
        <w:t>、</w:t>
        <w:tab/>
        <w:t>报告期内，公司2020年股票期权激励计划第一期届满并进行了行权，本次行权结束后， 公司限售股、无限售股以及股本总数相应发生变化。</w:t>
      </w:r>
    </w:p>
    <w:p>
      <w:pPr>
        <w:pStyle w:val="Style59"/>
        <w:keepNext w:val="0"/>
        <w:keepLines w:val="0"/>
        <w:widowControl w:val="0"/>
        <w:shd w:val="clear" w:color="auto" w:fill="auto"/>
        <w:tabs>
          <w:tab w:pos="887" w:val="left"/>
        </w:tabs>
        <w:bidi w:val="0"/>
        <w:spacing w:before="0" w:after="420" w:line="480" w:lineRule="exact"/>
        <w:ind w:left="0" w:right="0" w:firstLine="500"/>
        <w:jc w:val="left"/>
      </w:pPr>
      <w:bookmarkStart w:id="624" w:name="bookmark624"/>
      <w:r>
        <w:rPr>
          <w:color w:val="000000"/>
          <w:spacing w:val="0"/>
          <w:w w:val="100"/>
          <w:position w:val="0"/>
          <w:sz w:val="24"/>
          <w:szCs w:val="24"/>
        </w:rPr>
        <w:t>3</w:t>
      </w:r>
      <w:bookmarkEnd w:id="624"/>
      <w:r>
        <w:rPr>
          <w:color w:val="000000"/>
          <w:spacing w:val="0"/>
          <w:w w:val="100"/>
          <w:position w:val="0"/>
          <w:sz w:val="24"/>
          <w:szCs w:val="24"/>
        </w:rPr>
        <w:t>、</w:t>
        <w:tab/>
        <w:t>报告期内，因非公开发行股票解除限售，新增48, 000, 000股上市。</w:t>
      </w:r>
    </w:p>
    <w:p>
      <w:pPr>
        <w:pStyle w:val="Style24"/>
        <w:keepNext/>
        <w:keepLines/>
        <w:widowControl w:val="0"/>
        <w:shd w:val="clear" w:color="auto" w:fill="auto"/>
        <w:bidi w:val="0"/>
        <w:spacing w:before="0" w:line="240" w:lineRule="auto"/>
        <w:ind w:left="0" w:right="0" w:firstLine="0"/>
        <w:jc w:val="left"/>
      </w:pPr>
      <w:bookmarkStart w:id="625" w:name="bookmark625"/>
      <w:bookmarkStart w:id="626" w:name="bookmark626"/>
      <w:bookmarkStart w:id="627" w:name="bookmark627"/>
      <w:bookmarkStart w:id="628" w:name="bookmark628"/>
      <w:r>
        <w:rPr>
          <w:rFonts w:ascii="Times New Roman" w:eastAsia="Times New Roman" w:hAnsi="Times New Roman" w:cs="Times New Roman"/>
          <w:color w:val="000000"/>
          <w:spacing w:val="0"/>
          <w:w w:val="100"/>
          <w:position w:val="0"/>
        </w:rPr>
        <w:t>3</w:t>
      </w:r>
      <w:bookmarkEnd w:id="627"/>
      <w:r>
        <w:rPr>
          <w:color w:val="000000"/>
          <w:spacing w:val="0"/>
          <w:w w:val="100"/>
          <w:position w:val="0"/>
        </w:rPr>
        <w:t>、现存的内部职工股情况</w:t>
      </w:r>
      <w:bookmarkEnd w:id="625"/>
      <w:bookmarkEnd w:id="626"/>
      <w:bookmarkEnd w:id="628"/>
    </w:p>
    <w:p>
      <w:pPr>
        <w:pStyle w:val="Style14"/>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keepLines/>
        <w:widowControl w:val="0"/>
        <w:shd w:val="clear" w:color="auto" w:fill="auto"/>
        <w:bidi w:val="0"/>
        <w:spacing w:before="0" w:after="340" w:line="480" w:lineRule="exact"/>
        <w:ind w:left="0" w:right="0" w:firstLine="0"/>
        <w:jc w:val="left"/>
      </w:pPr>
      <w:bookmarkStart w:id="629" w:name="bookmark629"/>
      <w:bookmarkStart w:id="630" w:name="bookmark630"/>
      <w:bookmarkStart w:id="631" w:name="bookmark631"/>
      <w:bookmarkStart w:id="632" w:name="bookmark632"/>
      <w:r>
        <w:rPr>
          <w:color w:val="000000"/>
          <w:spacing w:val="0"/>
          <w:w w:val="100"/>
          <w:position w:val="0"/>
          <w:sz w:val="24"/>
          <w:szCs w:val="24"/>
        </w:rPr>
        <w:t>三</w:t>
      </w:r>
      <w:bookmarkEnd w:id="631"/>
      <w:r>
        <w:rPr>
          <w:color w:val="000000"/>
          <w:spacing w:val="0"/>
          <w:w w:val="100"/>
          <w:position w:val="0"/>
          <w:sz w:val="24"/>
          <w:szCs w:val="24"/>
        </w:rPr>
        <w:t>、股东和实际控制人情况</w:t>
      </w:r>
      <w:bookmarkEnd w:id="629"/>
      <w:bookmarkEnd w:id="630"/>
      <w:bookmarkEnd w:id="632"/>
    </w:p>
    <w:p>
      <w:pPr>
        <w:pStyle w:val="Style24"/>
        <w:keepNext/>
        <w:keepLines/>
        <w:widowControl w:val="0"/>
        <w:shd w:val="clear" w:color="auto" w:fill="auto"/>
        <w:bidi w:val="0"/>
        <w:spacing w:before="0" w:line="240" w:lineRule="auto"/>
        <w:ind w:left="0" w:right="0" w:firstLine="0"/>
        <w:jc w:val="left"/>
      </w:pP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1</w:t>
      </w:r>
      <w:bookmarkEnd w:id="635"/>
      <w:r>
        <w:rPr>
          <w:color w:val="000000"/>
          <w:spacing w:val="0"/>
          <w:w w:val="100"/>
          <w:position w:val="0"/>
        </w:rPr>
        <w:t>、公司股东数量及持股情况</w:t>
      </w:r>
      <w:bookmarkEnd w:id="633"/>
      <w:bookmarkEnd w:id="634"/>
      <w:bookmarkEnd w:id="636"/>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989"/>
        <w:gridCol w:w="979"/>
        <w:gridCol w:w="763"/>
        <w:gridCol w:w="869"/>
        <w:gridCol w:w="869"/>
        <w:gridCol w:w="874"/>
        <w:gridCol w:w="758"/>
        <w:gridCol w:w="874"/>
        <w:gridCol w:w="864"/>
        <w:gridCol w:w="869"/>
        <w:gridCol w:w="869"/>
      </w:tblGrid>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报告期末普</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通股股东总</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69,086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年度报 告披露 日前上 一月末 普通股 股东总 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101,329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314" w:lineRule="exact"/>
              <w:ind w:left="0" w:right="0" w:firstLine="0"/>
              <w:jc w:val="both"/>
              <w:rPr>
                <w:sz w:val="18"/>
                <w:szCs w:val="18"/>
              </w:rPr>
            </w:pPr>
            <w:r>
              <w:rPr>
                <w:color w:val="000000"/>
                <w:spacing w:val="0"/>
                <w:w w:val="100"/>
                <w:position w:val="0"/>
                <w:sz w:val="18"/>
                <w:szCs w:val="18"/>
              </w:rPr>
              <w:t>报告期末 表决权恢 复的优先 股股东总 数（如有） （参见注</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310" w:lineRule="exact"/>
              <w:ind w:left="0" w:right="0" w:firstLine="0"/>
              <w:jc w:val="left"/>
              <w:rPr>
                <w:sz w:val="18"/>
                <w:szCs w:val="18"/>
              </w:rPr>
            </w:pPr>
            <w:r>
              <w:rPr>
                <w:color w:val="000000"/>
                <w:spacing w:val="0"/>
                <w:w w:val="100"/>
                <w:position w:val="0"/>
                <w:sz w:val="18"/>
                <w:szCs w:val="18"/>
              </w:rPr>
              <w:t>年度报告披露日前 上一月末表决权恢 复的优先股股东总 数（如有）（参见注</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持有特别 表决权股 份的股东 总数（如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持股比 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报告期末</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持股数量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报告期内 增减变动 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8"/>
                <w:szCs w:val="18"/>
              </w:rPr>
            </w:pPr>
            <w:r>
              <w:rPr>
                <w:color w:val="000000"/>
                <w:spacing w:val="0"/>
                <w:w w:val="100"/>
                <w:position w:val="0"/>
                <w:sz w:val="18"/>
                <w:szCs w:val="18"/>
              </w:rPr>
              <w:t>持有有限 售条件的 股份数量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持有无 限售条 件的股 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质押、标记或冻结情况</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吴强华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120,410,81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90,308,110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30,102,7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左智敏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9,816,199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9,816,19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许欣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8,440,641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8,440,64 1</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6,097,724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4,573,293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1,524,43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李国忠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5,568,156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5,568,15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-295700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4,760,00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上海君犀投</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资管理有限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2,548,576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-427424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2,548,57</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89"/>
        <w:gridCol w:w="979"/>
        <w:gridCol w:w="763"/>
        <w:gridCol w:w="869"/>
        <w:gridCol w:w="869"/>
        <w:gridCol w:w="874"/>
        <w:gridCol w:w="758"/>
        <w:gridCol w:w="1738"/>
        <w:gridCol w:w="1738"/>
      </w:tblGrid>
      <w:tr>
        <w:trPr>
          <w:trHeight w:val="13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公司一君犀 价值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号私 募证券投资 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UBSAG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2,009,590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2009190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王洪深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1,924,200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江平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战略投资者或一般法人 因配售新股成为前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 股东的情况（如有）（参 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上海君犀投资管理有限公司一君犀价值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xml:space="preserve">号私募证券投资基金因公司非公开发行股票成为公司前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上述股东关联关系或一 致行动的说明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上述股东之间，未知是否存在关联系或属于《上市公司持变动信息披露管理办法》规定的一致行 动人。</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受托 表决权、放弃表决权情况 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名股东中存在回购 专户的特别说明（如有） （参见注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吴强华</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30,102,704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30,102,704</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左智敏</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60" w:right="0" w:firstLine="0"/>
              <w:jc w:val="left"/>
              <w:rPr>
                <w:sz w:val="18"/>
                <w:szCs w:val="18"/>
              </w:rPr>
            </w:pPr>
            <w:r>
              <w:rPr>
                <w:rFonts w:ascii="Times New Roman" w:eastAsia="Times New Roman" w:hAnsi="Times New Roman" w:cs="Times New Roman"/>
                <w:color w:val="000000"/>
                <w:spacing w:val="0"/>
                <w:w w:val="100"/>
                <w:position w:val="0"/>
                <w:sz w:val="18"/>
                <w:szCs w:val="18"/>
              </w:rPr>
              <w:t>9,816,199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9,816,199</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许欣</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60" w:right="0" w:firstLine="0"/>
              <w:jc w:val="left"/>
              <w:rPr>
                <w:sz w:val="18"/>
                <w:szCs w:val="18"/>
              </w:rPr>
            </w:pPr>
            <w:r>
              <w:rPr>
                <w:rFonts w:ascii="Times New Roman" w:eastAsia="Times New Roman" w:hAnsi="Times New Roman" w:cs="Times New Roman"/>
                <w:color w:val="000000"/>
                <w:spacing w:val="0"/>
                <w:w w:val="100"/>
                <w:position w:val="0"/>
                <w:sz w:val="18"/>
                <w:szCs w:val="18"/>
              </w:rPr>
              <w:t>8,440,641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8,440,641</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李国忠</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60" w:right="0" w:firstLine="0"/>
              <w:jc w:val="left"/>
              <w:rPr>
                <w:sz w:val="18"/>
                <w:szCs w:val="18"/>
              </w:rPr>
            </w:pPr>
            <w:r>
              <w:rPr>
                <w:rFonts w:ascii="Times New Roman" w:eastAsia="Times New Roman" w:hAnsi="Times New Roman" w:cs="Times New Roman"/>
                <w:color w:val="000000"/>
                <w:spacing w:val="0"/>
                <w:w w:val="100"/>
                <w:position w:val="0"/>
                <w:sz w:val="18"/>
                <w:szCs w:val="18"/>
              </w:rPr>
              <w:t>5,568,156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5,568,156</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张蕾</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60" w:right="0" w:firstLine="0"/>
              <w:jc w:val="left"/>
              <w:rPr>
                <w:sz w:val="18"/>
                <w:szCs w:val="18"/>
              </w:rPr>
            </w:pPr>
            <w:r>
              <w:rPr>
                <w:rFonts w:ascii="Times New Roman" w:eastAsia="Times New Roman" w:hAnsi="Times New Roman" w:cs="Times New Roman"/>
                <w:color w:val="000000"/>
                <w:spacing w:val="0"/>
                <w:w w:val="100"/>
                <w:position w:val="0"/>
                <w:sz w:val="18"/>
                <w:szCs w:val="18"/>
              </w:rPr>
              <w:t>4,760,000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4,760,000</w:t>
            </w:r>
          </w:p>
        </w:tc>
      </w:tr>
      <w:tr>
        <w:trPr>
          <w:trHeight w:val="1022"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上海君犀投资管理有限 公司一君犀价值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号私 募证券投资基金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60" w:right="0" w:firstLine="0"/>
              <w:jc w:val="left"/>
              <w:rPr>
                <w:sz w:val="18"/>
                <w:szCs w:val="18"/>
              </w:rPr>
            </w:pPr>
            <w:r>
              <w:rPr>
                <w:rFonts w:ascii="Times New Roman" w:eastAsia="Times New Roman" w:hAnsi="Times New Roman" w:cs="Times New Roman"/>
                <w:color w:val="000000"/>
                <w:spacing w:val="0"/>
                <w:w w:val="100"/>
                <w:position w:val="0"/>
                <w:sz w:val="18"/>
                <w:szCs w:val="18"/>
              </w:rPr>
              <w:t>2,548,576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2,548,576</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UBSAG</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60" w:right="0" w:firstLine="0"/>
              <w:jc w:val="left"/>
              <w:rPr>
                <w:sz w:val="18"/>
                <w:szCs w:val="18"/>
              </w:rPr>
            </w:pPr>
            <w:r>
              <w:rPr>
                <w:rFonts w:ascii="Times New Roman" w:eastAsia="Times New Roman" w:hAnsi="Times New Roman" w:cs="Times New Roman"/>
                <w:color w:val="000000"/>
                <w:spacing w:val="0"/>
                <w:w w:val="100"/>
                <w:position w:val="0"/>
                <w:sz w:val="18"/>
                <w:szCs w:val="18"/>
              </w:rPr>
              <w:t>2,009,590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2,009,590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江平</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60" w:right="0" w:firstLine="0"/>
              <w:jc w:val="left"/>
              <w:rPr>
                <w:sz w:val="18"/>
                <w:szCs w:val="18"/>
              </w:rPr>
            </w:pPr>
            <w:r>
              <w:rPr>
                <w:rFonts w:ascii="Times New Roman" w:eastAsia="Times New Roman" w:hAnsi="Times New Roman" w:cs="Times New Roman"/>
                <w:color w:val="000000"/>
                <w:spacing w:val="0"/>
                <w:w w:val="100"/>
                <w:position w:val="0"/>
                <w:sz w:val="18"/>
                <w:szCs w:val="18"/>
              </w:rPr>
              <w:t>1,544,800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1,544,800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朱华</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60" w:right="0" w:firstLine="0"/>
              <w:jc w:val="left"/>
              <w:rPr>
                <w:sz w:val="18"/>
                <w:szCs w:val="18"/>
              </w:rPr>
            </w:pPr>
            <w:r>
              <w:rPr>
                <w:rFonts w:ascii="Times New Roman" w:eastAsia="Times New Roman" w:hAnsi="Times New Roman" w:cs="Times New Roman"/>
                <w:color w:val="000000"/>
                <w:spacing w:val="0"/>
                <w:w w:val="100"/>
                <w:position w:val="0"/>
                <w:sz w:val="18"/>
                <w:szCs w:val="18"/>
              </w:rPr>
              <w:t>1,524,431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1,524,431</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陈睿</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60" w:right="0" w:firstLine="0"/>
              <w:jc w:val="left"/>
              <w:rPr>
                <w:sz w:val="18"/>
                <w:szCs w:val="18"/>
              </w:rPr>
            </w:pPr>
            <w:r>
              <w:rPr>
                <w:rFonts w:ascii="Times New Roman" w:eastAsia="Times New Roman" w:hAnsi="Times New Roman" w:cs="Times New Roman"/>
                <w:color w:val="000000"/>
                <w:spacing w:val="0"/>
                <w:w w:val="100"/>
                <w:position w:val="0"/>
                <w:sz w:val="18"/>
                <w:szCs w:val="18"/>
              </w:rPr>
              <w:t>1,507,245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1,507,245</w:t>
            </w:r>
          </w:p>
        </w:tc>
      </w:tr>
      <w:tr>
        <w:trPr>
          <w:trHeight w:val="720"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名无限售流通股股 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上述股东之间，未知是否存在关联系或属于《上市公司持变动信息披露管理办法》规定的一致行 动人。</w:t>
            </w:r>
          </w:p>
        </w:tc>
      </w:tr>
    </w:tbl>
    <w:p>
      <w:pPr>
        <w:spacing w:lineRule="exact" w:line="1"/>
        <w:rPr>
          <w:sz w:val="2"/>
          <w:szCs w:val="2"/>
        </w:rPr>
      </w:pPr>
      <w:r>
        <w:br w:type="page"/>
      </w:r>
    </w:p>
    <w:tbl>
      <w:tblPr>
        <w:tblOverlap w:val="never"/>
        <w:jc w:val="center"/>
        <w:tblLayout w:type="fixed"/>
      </w:tblPr>
      <w:tblGrid>
        <w:gridCol w:w="1968"/>
        <w:gridCol w:w="7608"/>
      </w:tblGrid>
      <w:tr>
        <w:trPr>
          <w:trHeight w:val="9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名股东之间关联关系或 一致行动的说明</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参与融资融券业务股东</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情况说明（如有）（参见</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名持有无限售条件股份的股东中，江平通过普通账户持股</w:t>
            </w:r>
            <w:r>
              <w:rPr>
                <w:rFonts w:ascii="Times New Roman" w:eastAsia="Times New Roman" w:hAnsi="Times New Roman" w:cs="Times New Roman"/>
                <w:color w:val="000000"/>
                <w:spacing w:val="0"/>
                <w:w w:val="100"/>
                <w:position w:val="0"/>
                <w:sz w:val="18"/>
                <w:szCs w:val="18"/>
              </w:rPr>
              <w:t>14,800</w:t>
            </w:r>
            <w:r>
              <w:rPr>
                <w:color w:val="000000"/>
                <w:spacing w:val="0"/>
                <w:w w:val="100"/>
                <w:position w:val="0"/>
                <w:sz w:val="18"/>
                <w:szCs w:val="18"/>
              </w:rPr>
              <w:t>股，通过兴业证券股份有 限公司客户信用交易担保证券账户持有</w:t>
            </w:r>
            <w:r>
              <w:rPr>
                <w:rFonts w:ascii="Times New Roman" w:eastAsia="Times New Roman" w:hAnsi="Times New Roman" w:cs="Times New Roman"/>
                <w:color w:val="000000"/>
                <w:spacing w:val="0"/>
                <w:w w:val="100"/>
                <w:position w:val="0"/>
                <w:sz w:val="18"/>
                <w:szCs w:val="18"/>
              </w:rPr>
              <w:t>1,530,000</w:t>
            </w:r>
            <w:r>
              <w:rPr>
                <w:color w:val="000000"/>
                <w:spacing w:val="0"/>
                <w:w w:val="100"/>
                <w:position w:val="0"/>
                <w:sz w:val="18"/>
                <w:szCs w:val="18"/>
              </w:rPr>
              <w:t>股，实际合计持有</w:t>
            </w:r>
            <w:r>
              <w:rPr>
                <w:rFonts w:ascii="Times New Roman" w:eastAsia="Times New Roman" w:hAnsi="Times New Roman" w:cs="Times New Roman"/>
                <w:color w:val="000000"/>
                <w:spacing w:val="0"/>
                <w:w w:val="100"/>
                <w:position w:val="0"/>
                <w:sz w:val="18"/>
                <w:szCs w:val="18"/>
              </w:rPr>
              <w:t>1,544,800</w:t>
            </w:r>
            <w:r>
              <w:rPr>
                <w:color w:val="000000"/>
                <w:spacing w:val="0"/>
                <w:w w:val="100"/>
                <w:position w:val="0"/>
                <w:sz w:val="18"/>
                <w:szCs w:val="18"/>
              </w:rPr>
              <w:t>股</w:t>
            </w:r>
          </w:p>
        </w:tc>
      </w:tr>
    </w:tbl>
    <w:p>
      <w:pPr>
        <w:widowControl w:val="0"/>
        <w:spacing w:after="99" w:line="1" w:lineRule="exact"/>
      </w:pP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公司是否具有表决权差异安排</w:t>
      </w:r>
    </w:p>
    <w:p>
      <w:pPr>
        <w:pStyle w:val="Style1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pStyle w:val="Style1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24"/>
        <w:keepNext/>
        <w:keepLines/>
        <w:widowControl w:val="0"/>
        <w:shd w:val="clear" w:color="auto" w:fill="auto"/>
        <w:bidi w:val="0"/>
        <w:spacing w:before="0" w:after="360" w:line="240" w:lineRule="auto"/>
        <w:ind w:left="0" w:right="0" w:firstLine="0"/>
        <w:jc w:val="left"/>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2</w:t>
      </w:r>
      <w:bookmarkEnd w:id="639"/>
      <w:r>
        <w:rPr>
          <w:color w:val="000000"/>
          <w:spacing w:val="0"/>
          <w:w w:val="100"/>
          <w:position w:val="0"/>
        </w:rPr>
        <w:t>、公司控股股东情况</w:t>
      </w:r>
      <w:bookmarkEnd w:id="637"/>
      <w:bookmarkEnd w:id="638"/>
      <w:bookmarkEnd w:id="640"/>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控股股东性质：自然人控股</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030"/>
        <w:gridCol w:w="41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是否取得其他国家或地区居留权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吴强华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公司董事长、控股股东及实际控制人</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widowControl w:val="0"/>
        <w:spacing w:after="99" w:line="1" w:lineRule="exact"/>
      </w:pP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控股股东报告期内变更</w:t>
      </w:r>
    </w:p>
    <w:p>
      <w:pPr>
        <w:pStyle w:val="Style1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24"/>
        <w:keepNext/>
        <w:keepLines/>
        <w:widowControl w:val="0"/>
        <w:shd w:val="clear" w:color="auto" w:fill="auto"/>
        <w:bidi w:val="0"/>
        <w:spacing w:before="0" w:after="360" w:line="240" w:lineRule="auto"/>
        <w:ind w:left="0" w:right="0" w:firstLine="0"/>
        <w:jc w:val="left"/>
      </w:pP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3</w:t>
      </w:r>
      <w:bookmarkEnd w:id="643"/>
      <w:r>
        <w:rPr>
          <w:color w:val="000000"/>
          <w:spacing w:val="0"/>
          <w:w w:val="100"/>
          <w:position w:val="0"/>
        </w:rPr>
        <w:t>、公司实际控制人及其一致行动人</w:t>
      </w:r>
      <w:bookmarkEnd w:id="641"/>
      <w:bookmarkEnd w:id="642"/>
      <w:bookmarkEnd w:id="644"/>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实际控制人性质：境内自然人</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是否取得其他国家或地区居 留权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吴强华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公司董事长、控股股东及实际控制人</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年曾控股的境内外上 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bl>
    <w:p>
      <w:pPr>
        <w:widowControl w:val="0"/>
        <w:spacing w:after="99" w:line="1" w:lineRule="exact"/>
      </w:pP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实际控制人报告期内变更</w:t>
      </w:r>
    </w:p>
    <w:p>
      <w:pPr>
        <w:pStyle w:val="Style1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公司报告期实际控制人未发生变更。</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公司与实际控制人之间的产权及控制关系的方框图</w:t>
      </w:r>
    </w:p>
    <w:p>
      <w:pPr>
        <w:pStyle w:val="Style119"/>
        <w:keepNext w:val="0"/>
        <w:keepLines w:val="0"/>
        <w:widowControl w:val="0"/>
        <w:shd w:val="clear" w:color="auto" w:fill="auto"/>
        <w:bidi w:val="0"/>
        <w:spacing w:before="0" w:after="360" w:line="240" w:lineRule="auto"/>
        <w:ind w:left="0" w:right="0" w:firstLine="0"/>
        <w:jc w:val="center"/>
      </w:pPr>
      <w:r>
        <w:rPr>
          <w:spacing w:val="0"/>
          <w:w w:val="100"/>
          <w:position w:val="0"/>
        </w:rPr>
        <w:t>吴强华</w:t>
      </w:r>
    </w:p>
    <w:p>
      <w:pPr>
        <w:pStyle w:val="Style121"/>
        <w:keepNext w:val="0"/>
        <w:keepLines w:val="0"/>
        <w:widowControl w:val="0"/>
        <w:shd w:val="clear" w:color="auto" w:fill="auto"/>
        <w:tabs>
          <w:tab w:pos="5258" w:val="left"/>
        </w:tabs>
        <w:bidi w:val="0"/>
        <w:spacing w:before="0" w:line="240" w:lineRule="auto"/>
        <w:ind w:right="0" w:firstLine="0"/>
        <w:jc w:val="left"/>
      </w:pPr>
      <w:r>
        <w:rPr>
          <w:spacing w:val="0"/>
          <w:w w:val="100"/>
          <w:position w:val="0"/>
        </w:rPr>
        <w:t>|</w:t>
        <w:tab/>
        <w:t>24.36%</w:t>
      </w:r>
    </w:p>
    <w:p>
      <w:pPr>
        <w:pStyle w:val="Style119"/>
        <w:keepNext w:val="0"/>
        <w:keepLines w:val="0"/>
        <w:widowControl w:val="0"/>
        <w:shd w:val="clear" w:color="auto" w:fill="auto"/>
        <w:bidi w:val="0"/>
        <w:spacing w:before="0" w:after="960" w:line="240" w:lineRule="auto"/>
        <w:ind w:left="0" w:right="0" w:firstLine="0"/>
        <w:jc w:val="center"/>
      </w:pPr>
      <w:r>
        <w:rPr>
          <w:spacing w:val="0"/>
          <w:w w:val="100"/>
          <w:position w:val="0"/>
        </w:rPr>
        <w:t>北京数字政通科囤殳份有限公司</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rPr>
        <w:t>实际控制人通过信托或其他资产管理方式控制公司</w:t>
      </w:r>
    </w:p>
    <w:p>
      <w:pPr>
        <w:pStyle w:val="Style1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378" w:val="left"/>
        </w:tabs>
        <w:bidi w:val="0"/>
        <w:spacing w:before="0" w:after="360" w:line="240" w:lineRule="auto"/>
        <w:ind w:left="0" w:right="0" w:firstLine="0"/>
        <w:jc w:val="both"/>
      </w:pPr>
      <w:bookmarkStart w:id="645" w:name="bookmark645"/>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4</w:t>
      </w:r>
      <w:bookmarkEnd w:id="647"/>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45"/>
      <w:bookmarkEnd w:id="646"/>
      <w:bookmarkEnd w:id="648"/>
    </w:p>
    <w:p>
      <w:pPr>
        <w:pStyle w:val="Style1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378" w:val="left"/>
        </w:tabs>
        <w:bidi w:val="0"/>
        <w:spacing w:before="0" w:after="360" w:line="240" w:lineRule="auto"/>
        <w:ind w:left="0" w:right="0" w:firstLine="0"/>
        <w:jc w:val="both"/>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5</w:t>
      </w:r>
      <w:bookmarkEnd w:id="651"/>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49"/>
      <w:bookmarkEnd w:id="650"/>
      <w:bookmarkEnd w:id="652"/>
    </w:p>
    <w:p>
      <w:pPr>
        <w:pStyle w:val="Style1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378" w:val="left"/>
        </w:tabs>
        <w:bidi w:val="0"/>
        <w:spacing w:before="0" w:after="360" w:line="240" w:lineRule="auto"/>
        <w:ind w:left="0" w:right="0" w:firstLine="0"/>
        <w:jc w:val="both"/>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6</w:t>
      </w:r>
      <w:bookmarkEnd w:id="655"/>
      <w:r>
        <w:rPr>
          <w:color w:val="000000"/>
          <w:spacing w:val="0"/>
          <w:w w:val="100"/>
          <w:position w:val="0"/>
        </w:rPr>
        <w:t>、</w:t>
        <w:tab/>
        <w:t>控股股东、实际控制人、重组方及其他承诺主体股份限制减持情况</w:t>
      </w:r>
      <w:bookmarkEnd w:id="653"/>
      <w:bookmarkEnd w:id="654"/>
      <w:bookmarkEnd w:id="656"/>
    </w:p>
    <w:p>
      <w:pPr>
        <w:pStyle w:val="Style1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keepLines/>
        <w:widowControl w:val="0"/>
        <w:shd w:val="clear" w:color="auto" w:fill="auto"/>
        <w:bidi w:val="0"/>
        <w:spacing w:before="0" w:after="360" w:line="240" w:lineRule="auto"/>
        <w:ind w:left="0" w:right="0" w:firstLine="0"/>
        <w:jc w:val="both"/>
      </w:pPr>
      <w:bookmarkStart w:id="657" w:name="bookmark657"/>
      <w:bookmarkStart w:id="658" w:name="bookmark658"/>
      <w:bookmarkStart w:id="659" w:name="bookmark659"/>
      <w:bookmarkStart w:id="660" w:name="bookmark660"/>
      <w:r>
        <w:rPr>
          <w:color w:val="000000"/>
          <w:spacing w:val="0"/>
          <w:w w:val="100"/>
          <w:position w:val="0"/>
          <w:sz w:val="24"/>
          <w:szCs w:val="24"/>
        </w:rPr>
        <w:t>四</w:t>
      </w:r>
      <w:bookmarkEnd w:id="659"/>
      <w:r>
        <w:rPr>
          <w:color w:val="000000"/>
          <w:spacing w:val="0"/>
          <w:w w:val="100"/>
          <w:position w:val="0"/>
          <w:sz w:val="24"/>
          <w:szCs w:val="24"/>
        </w:rPr>
        <w:t>、股份回购在报告期的具体实施情况</w:t>
      </w:r>
      <w:bookmarkEnd w:id="657"/>
      <w:bookmarkEnd w:id="658"/>
      <w:bookmarkEnd w:id="660"/>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rPr>
        <w:t>股份回购的实施进展情况</w:t>
      </w:r>
    </w:p>
    <w:p>
      <w:pPr>
        <w:pStyle w:val="Style1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rPr>
        <w:t>采用集中竞价方式减持回购股份的实施进展情况</w:t>
      </w:r>
    </w:p>
    <w:p>
      <w:pPr>
        <w:pStyle w:val="Style14"/>
        <w:keepNext w:val="0"/>
        <w:keepLines w:val="0"/>
        <w:widowControl w:val="0"/>
        <w:shd w:val="clear" w:color="auto" w:fill="auto"/>
        <w:bidi w:val="0"/>
        <w:spacing w:before="0" w:after="360" w:line="240" w:lineRule="auto"/>
        <w:ind w:left="0" w:right="0" w:firstLine="0"/>
        <w:jc w:val="both"/>
        <w:sectPr>
          <w:footnotePr>
            <w:pos w:val="pageBottom"/>
            <w:numFmt w:val="decimal"/>
            <w:numRestart w:val="continuous"/>
          </w:footnotePr>
          <w:pgSz w:w="11900" w:h="16840"/>
          <w:pgMar w:top="1263" w:right="1059" w:bottom="1445" w:left="1039"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8"/>
        <w:keepNext/>
        <w:keepLines/>
        <w:widowControl w:val="0"/>
        <w:shd w:val="clear" w:color="auto" w:fill="auto"/>
        <w:bidi w:val="0"/>
        <w:spacing w:before="0" w:after="540" w:line="240" w:lineRule="auto"/>
        <w:ind w:left="0" w:right="0" w:firstLine="0"/>
        <w:jc w:val="center"/>
      </w:pPr>
      <w:bookmarkStart w:id="661" w:name="bookmark661"/>
      <w:bookmarkStart w:id="662" w:name="bookmark662"/>
      <w:bookmarkStart w:id="663" w:name="bookmark663"/>
      <w:bookmarkStart w:id="664" w:name="bookmark664"/>
      <w:r>
        <w:rPr>
          <w:color w:val="000000"/>
          <w:spacing w:val="0"/>
          <w:w w:val="100"/>
          <w:position w:val="0"/>
        </w:rPr>
        <w:t>第八节优先股相关情况</w:t>
      </w:r>
      <w:bookmarkEnd w:id="662"/>
      <w:bookmarkEnd w:id="663"/>
      <w:bookmarkEnd w:id="664"/>
      <w:bookmarkEnd w:id="661"/>
    </w:p>
    <w:p>
      <w:pPr>
        <w:pStyle w:val="Style1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935" w:right="1318" w:bottom="1935" w:left="1107" w:header="0" w:footer="3" w:gutter="0"/>
          <w:cols w:space="720"/>
          <w:noEndnote/>
          <w:rtlGutter w:val="0"/>
          <w:docGrid w:linePitch="360"/>
        </w:sectPr>
      </w:pPr>
      <w:r>
        <w:rPr>
          <w:color w:val="000000"/>
          <w:spacing w:val="0"/>
          <w:w w:val="100"/>
          <w:position w:val="0"/>
        </w:rPr>
        <w:t>报告期公司不存在优先股。</w:t>
      </w:r>
    </w:p>
    <w:p>
      <w:pPr>
        <w:pStyle w:val="Style8"/>
        <w:keepNext/>
        <w:keepLines/>
        <w:widowControl w:val="0"/>
        <w:shd w:val="clear" w:color="auto" w:fill="auto"/>
        <w:bidi w:val="0"/>
        <w:spacing w:before="0" w:after="540" w:line="240" w:lineRule="auto"/>
        <w:ind w:left="0" w:right="0" w:firstLine="0"/>
        <w:jc w:val="center"/>
      </w:pPr>
      <w:bookmarkStart w:id="665" w:name="bookmark665"/>
      <w:bookmarkStart w:id="666" w:name="bookmark666"/>
      <w:bookmarkStart w:id="667" w:name="bookmark667"/>
      <w:bookmarkStart w:id="668" w:name="bookmark668"/>
      <w:r>
        <w:rPr>
          <w:color w:val="000000"/>
          <w:spacing w:val="0"/>
          <w:w w:val="100"/>
          <w:position w:val="0"/>
        </w:rPr>
        <w:t>第九节债券相关情况</w:t>
      </w:r>
      <w:bookmarkEnd w:id="666"/>
      <w:bookmarkEnd w:id="667"/>
      <w:bookmarkEnd w:id="668"/>
      <w:bookmarkEnd w:id="665"/>
    </w:p>
    <w:p>
      <w:pPr>
        <w:pStyle w:val="Style1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40" w:right="1318" w:bottom="1940" w:left="1107"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8"/>
        <w:keepNext/>
        <w:keepLines/>
        <w:widowControl w:val="0"/>
        <w:shd w:val="clear" w:color="auto" w:fill="auto"/>
        <w:bidi w:val="0"/>
        <w:spacing w:before="600" w:after="520" w:line="240" w:lineRule="auto"/>
        <w:ind w:left="0" w:right="0" w:firstLine="0"/>
        <w:jc w:val="center"/>
      </w:pPr>
      <w:bookmarkStart w:id="669" w:name="bookmark669"/>
      <w:bookmarkStart w:id="670" w:name="bookmark670"/>
      <w:bookmarkStart w:id="671" w:name="bookmark671"/>
      <w:bookmarkStart w:id="672" w:name="bookmark672"/>
      <w:r>
        <w:rPr>
          <w:color w:val="000000"/>
          <w:spacing w:val="0"/>
          <w:w w:val="100"/>
          <w:position w:val="0"/>
        </w:rPr>
        <w:t>第十节财务报告</w:t>
      </w:r>
      <w:bookmarkEnd w:id="670"/>
      <w:bookmarkEnd w:id="671"/>
      <w:bookmarkEnd w:id="672"/>
      <w:bookmarkEnd w:id="669"/>
    </w:p>
    <w:p>
      <w:pPr>
        <w:pStyle w:val="Style21"/>
        <w:keepNext w:val="0"/>
        <w:keepLines w:val="0"/>
        <w:widowControl w:val="0"/>
        <w:shd w:val="clear" w:color="auto" w:fill="auto"/>
        <w:bidi w:val="0"/>
        <w:spacing w:before="0" w:after="0" w:line="240" w:lineRule="auto"/>
        <w:ind w:left="0" w:right="0" w:firstLine="0"/>
        <w:jc w:val="left"/>
        <w:rPr>
          <w:sz w:val="24"/>
          <w:szCs w:val="24"/>
        </w:rPr>
      </w:pPr>
      <w:bookmarkStart w:id="673" w:name="bookmark673"/>
      <w:r>
        <w:rPr>
          <w:b/>
          <w:bCs/>
          <w:color w:val="000000"/>
          <w:spacing w:val="0"/>
          <w:w w:val="100"/>
          <w:position w:val="0"/>
          <w:sz w:val="24"/>
          <w:szCs w:val="24"/>
        </w:rPr>
        <w:t>一、审计报告</w:t>
      </w:r>
      <w:bookmarkEnd w:id="673"/>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上会会计师事务所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上会师报字（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）第</w:t>
            </w:r>
            <w:r>
              <w:rPr>
                <w:rFonts w:ascii="Times New Roman" w:eastAsia="Times New Roman" w:hAnsi="Times New Roman" w:cs="Times New Roman"/>
                <w:color w:val="000000"/>
                <w:spacing w:val="0"/>
                <w:w w:val="100"/>
                <w:position w:val="0"/>
                <w:sz w:val="18"/>
                <w:szCs w:val="18"/>
              </w:rPr>
              <w:t>3925</w:t>
            </w:r>
            <w:r>
              <w:rPr>
                <w:color w:val="000000"/>
                <w:spacing w:val="0"/>
                <w:w w:val="100"/>
                <w:position w:val="0"/>
                <w:sz w:val="18"/>
                <w:szCs w:val="18"/>
              </w:rPr>
              <w:t>号</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王芳山、张琳</w:t>
            </w:r>
          </w:p>
        </w:tc>
      </w:tr>
    </w:tbl>
    <w:p>
      <w:pPr>
        <w:pStyle w:val="Style21"/>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widowControl w:val="0"/>
        <w:spacing w:after="219" w:line="1" w:lineRule="exact"/>
      </w:pPr>
    </w:p>
    <w:p>
      <w:pPr>
        <w:pStyle w:val="Style2"/>
        <w:keepNext w:val="0"/>
        <w:keepLines w:val="0"/>
        <w:widowControl w:val="0"/>
        <w:shd w:val="clear" w:color="auto" w:fill="auto"/>
        <w:bidi w:val="0"/>
        <w:spacing w:before="0" w:after="460" w:line="240" w:lineRule="auto"/>
        <w:ind w:left="0" w:right="0" w:firstLine="0"/>
        <w:jc w:val="center"/>
        <w:rPr>
          <w:sz w:val="32"/>
          <w:szCs w:val="32"/>
        </w:rPr>
      </w:pPr>
      <w:r>
        <w:rPr>
          <w:b/>
          <w:bCs/>
          <w:color w:val="000000"/>
          <w:spacing w:val="0"/>
          <w:w w:val="100"/>
          <w:position w:val="0"/>
          <w:sz w:val="32"/>
          <w:szCs w:val="32"/>
        </w:rPr>
        <w:t>审计报告</w:t>
      </w:r>
    </w:p>
    <w:p>
      <w:pPr>
        <w:pStyle w:val="Style2"/>
        <w:keepNext w:val="0"/>
        <w:keepLines w:val="0"/>
        <w:widowControl w:val="0"/>
        <w:shd w:val="clear" w:color="auto" w:fill="auto"/>
        <w:bidi w:val="0"/>
        <w:spacing w:before="0" w:after="520" w:line="240" w:lineRule="auto"/>
        <w:ind w:left="0" w:right="0" w:firstLine="0"/>
        <w:jc w:val="right"/>
        <w:rPr>
          <w:sz w:val="20"/>
          <w:szCs w:val="20"/>
        </w:rPr>
      </w:pPr>
      <w:r>
        <w:rPr>
          <w:color w:val="000000"/>
          <w:spacing w:val="0"/>
          <w:w w:val="100"/>
          <w:position w:val="0"/>
          <w:sz w:val="20"/>
          <w:szCs w:val="20"/>
        </w:rPr>
        <w:t>上会师报字</w:t>
      </w:r>
      <w:r>
        <w:rPr>
          <w:color w:val="000000"/>
          <w:spacing w:val="0"/>
          <w:w w:val="100"/>
          <w:position w:val="0"/>
          <w:sz w:val="20"/>
          <w:szCs w:val="20"/>
        </w:rPr>
        <w:t>（2022）</w:t>
      </w:r>
      <w:r>
        <w:rPr>
          <w:color w:val="000000"/>
          <w:spacing w:val="0"/>
          <w:w w:val="100"/>
          <w:position w:val="0"/>
          <w:sz w:val="20"/>
          <w:szCs w:val="20"/>
        </w:rPr>
        <w:t>第</w:t>
      </w:r>
      <w:r>
        <w:rPr>
          <w:color w:val="000000"/>
          <w:spacing w:val="0"/>
          <w:w w:val="100"/>
          <w:position w:val="0"/>
          <w:sz w:val="20"/>
          <w:szCs w:val="20"/>
        </w:rPr>
        <w:t>3925</w:t>
      </w:r>
      <w:r>
        <w:rPr>
          <w:color w:val="000000"/>
          <w:spacing w:val="0"/>
          <w:w w:val="100"/>
          <w:position w:val="0"/>
          <w:sz w:val="20"/>
          <w:szCs w:val="20"/>
        </w:rPr>
        <w:t>号</w:t>
      </w:r>
    </w:p>
    <w:p>
      <w:pPr>
        <w:pStyle w:val="Style59"/>
        <w:keepNext w:val="0"/>
        <w:keepLines w:val="0"/>
        <w:widowControl w:val="0"/>
        <w:shd w:val="clear" w:color="auto" w:fill="auto"/>
        <w:bidi w:val="0"/>
        <w:spacing w:before="0" w:after="220" w:line="468" w:lineRule="exact"/>
        <w:ind w:left="0" w:right="0" w:firstLine="0"/>
        <w:jc w:val="left"/>
      </w:pPr>
      <w:r>
        <w:rPr>
          <w:b/>
          <w:bCs/>
          <w:color w:val="000000"/>
          <w:spacing w:val="0"/>
          <w:w w:val="100"/>
          <w:position w:val="0"/>
          <w:sz w:val="24"/>
          <w:szCs w:val="24"/>
        </w:rPr>
        <w:t>北京数字政通科技股份有限公司全体股东：</w:t>
      </w:r>
    </w:p>
    <w:p>
      <w:pPr>
        <w:pStyle w:val="Style59"/>
        <w:keepNext w:val="0"/>
        <w:keepLines w:val="0"/>
        <w:widowControl w:val="0"/>
        <w:shd w:val="clear" w:color="auto" w:fill="auto"/>
        <w:tabs>
          <w:tab w:pos="992" w:val="left"/>
        </w:tabs>
        <w:bidi w:val="0"/>
        <w:spacing w:before="0" w:after="0" w:line="470" w:lineRule="exact"/>
        <w:ind w:left="0" w:right="0" w:firstLine="480"/>
        <w:jc w:val="both"/>
      </w:pPr>
      <w:bookmarkStart w:id="674" w:name="bookmark674"/>
      <w:r>
        <w:rPr>
          <w:b/>
          <w:bCs/>
          <w:color w:val="000000"/>
          <w:spacing w:val="0"/>
          <w:w w:val="100"/>
          <w:position w:val="0"/>
          <w:sz w:val="24"/>
          <w:szCs w:val="24"/>
        </w:rPr>
        <w:t>一</w:t>
      </w:r>
      <w:bookmarkEnd w:id="674"/>
      <w:r>
        <w:rPr>
          <w:b/>
          <w:bCs/>
          <w:color w:val="000000"/>
          <w:spacing w:val="0"/>
          <w:w w:val="100"/>
          <w:position w:val="0"/>
          <w:sz w:val="24"/>
          <w:szCs w:val="24"/>
        </w:rPr>
        <w:t>、</w:t>
        <w:tab/>
        <w:t>审计意见</w:t>
      </w:r>
    </w:p>
    <w:p>
      <w:pPr>
        <w:pStyle w:val="Style59"/>
        <w:keepNext w:val="0"/>
        <w:keepLines w:val="0"/>
        <w:widowControl w:val="0"/>
        <w:shd w:val="clear" w:color="auto" w:fill="auto"/>
        <w:bidi w:val="0"/>
        <w:spacing w:before="0" w:after="460" w:line="470" w:lineRule="exact"/>
        <w:ind w:left="0" w:right="0" w:firstLine="480"/>
        <w:jc w:val="both"/>
      </w:pPr>
      <w:r>
        <w:rPr>
          <w:color w:val="000000"/>
          <w:spacing w:val="0"/>
          <w:w w:val="100"/>
          <w:position w:val="0"/>
          <w:sz w:val="24"/>
          <w:szCs w:val="24"/>
        </w:rPr>
        <w:t>我们审计了北京数字政通科技股份有限公司（以下简称“数字政通公司”）财务报表， 包括2021年12月31日的合并及公司资产负债表，2021年度的合并及公司利润表、合并及公司 现金流量表、合并及公司所有者权益变动表以及相关财务报表附注。</w:t>
      </w:r>
    </w:p>
    <w:p>
      <w:pPr>
        <w:pStyle w:val="Style59"/>
        <w:keepNext w:val="0"/>
        <w:keepLines w:val="0"/>
        <w:widowControl w:val="0"/>
        <w:shd w:val="clear" w:color="auto" w:fill="auto"/>
        <w:bidi w:val="0"/>
        <w:spacing w:before="0" w:after="460" w:line="468" w:lineRule="exact"/>
        <w:ind w:left="0" w:right="0" w:firstLine="480"/>
        <w:jc w:val="both"/>
      </w:pPr>
      <w:r>
        <w:rPr>
          <w:color w:val="000000"/>
          <w:spacing w:val="0"/>
          <w:w w:val="100"/>
          <w:position w:val="0"/>
          <w:sz w:val="24"/>
          <w:szCs w:val="24"/>
        </w:rPr>
        <w:t>我们认为，后附的财务报表在所有重大方面按照企业会计准则的规定编制，公允反映了 数字政通公司2021年12月31日的合并及公司财务状况以及2021年度的合并及公司经营成果和 现金流量。</w:t>
      </w:r>
    </w:p>
    <w:p>
      <w:pPr>
        <w:pStyle w:val="Style59"/>
        <w:keepNext w:val="0"/>
        <w:keepLines w:val="0"/>
        <w:widowControl w:val="0"/>
        <w:shd w:val="clear" w:color="auto" w:fill="auto"/>
        <w:tabs>
          <w:tab w:pos="992" w:val="left"/>
        </w:tabs>
        <w:bidi w:val="0"/>
        <w:spacing w:before="0" w:after="0" w:line="466" w:lineRule="exact"/>
        <w:ind w:left="0" w:right="0" w:firstLine="480"/>
        <w:jc w:val="both"/>
      </w:pPr>
      <w:bookmarkStart w:id="675" w:name="bookmark675"/>
      <w:r>
        <w:rPr>
          <w:b/>
          <w:bCs/>
          <w:color w:val="000000"/>
          <w:spacing w:val="0"/>
          <w:w w:val="100"/>
          <w:position w:val="0"/>
          <w:sz w:val="24"/>
          <w:szCs w:val="24"/>
        </w:rPr>
        <w:t>二</w:t>
      </w:r>
      <w:bookmarkEnd w:id="675"/>
      <w:r>
        <w:rPr>
          <w:b/>
          <w:bCs/>
          <w:color w:val="000000"/>
          <w:spacing w:val="0"/>
          <w:w w:val="100"/>
          <w:position w:val="0"/>
          <w:sz w:val="24"/>
          <w:szCs w:val="24"/>
        </w:rPr>
        <w:t>、</w:t>
        <w:tab/>
        <w:t>形成审计意见的基础</w:t>
      </w:r>
    </w:p>
    <w:p>
      <w:pPr>
        <w:pStyle w:val="Style59"/>
        <w:keepNext w:val="0"/>
        <w:keepLines w:val="0"/>
        <w:widowControl w:val="0"/>
        <w:shd w:val="clear" w:color="auto" w:fill="auto"/>
        <w:bidi w:val="0"/>
        <w:spacing w:before="0" w:after="460" w:line="466" w:lineRule="exact"/>
        <w:ind w:left="0" w:right="0" w:firstLine="480"/>
        <w:jc w:val="both"/>
      </w:pPr>
      <w:r>
        <w:rPr>
          <w:color w:val="000000"/>
          <w:spacing w:val="0"/>
          <w:w w:val="100"/>
          <w:position w:val="0"/>
          <w:sz w:val="24"/>
          <w:szCs w:val="24"/>
        </w:rPr>
        <w:t>我们按照中国注册会计师审计准则的规定执行了审计工作。审计报告的“注册会计师对 财务报表审计的责任”部分进一步阐述了我们在这些准则下的责任。按照中国注册会计师职 业道德守则，我们独立于数字政通公司，并履行了职业道德方面的其他责任。我们相信，我 们获取的审计证据是充分、适当的，为发表审计意见提供了基础。</w:t>
      </w:r>
    </w:p>
    <w:p>
      <w:pPr>
        <w:pStyle w:val="Style59"/>
        <w:keepNext w:val="0"/>
        <w:keepLines w:val="0"/>
        <w:widowControl w:val="0"/>
        <w:shd w:val="clear" w:color="auto" w:fill="auto"/>
        <w:bidi w:val="0"/>
        <w:spacing w:before="0" w:after="0" w:line="470" w:lineRule="exact"/>
        <w:ind w:left="0" w:right="0" w:firstLine="480"/>
        <w:jc w:val="both"/>
      </w:pPr>
      <w:bookmarkStart w:id="676" w:name="bookmark676"/>
      <w:r>
        <w:rPr>
          <w:b/>
          <w:bCs/>
          <w:color w:val="000000"/>
          <w:spacing w:val="0"/>
          <w:w w:val="100"/>
          <w:position w:val="0"/>
          <w:sz w:val="24"/>
          <w:szCs w:val="24"/>
        </w:rPr>
        <w:t>三</w:t>
      </w:r>
      <w:bookmarkEnd w:id="676"/>
      <w:r>
        <w:rPr>
          <w:b/>
          <w:bCs/>
          <w:color w:val="000000"/>
          <w:spacing w:val="0"/>
          <w:w w:val="100"/>
          <w:position w:val="0"/>
          <w:sz w:val="24"/>
          <w:szCs w:val="24"/>
        </w:rPr>
        <w:t>、关键审计事项</w:t>
      </w:r>
    </w:p>
    <w:p>
      <w:pPr>
        <w:pStyle w:val="Style59"/>
        <w:keepNext w:val="0"/>
        <w:keepLines w:val="0"/>
        <w:widowControl w:val="0"/>
        <w:shd w:val="clear" w:color="auto" w:fill="auto"/>
        <w:bidi w:val="0"/>
        <w:spacing w:before="0" w:after="440" w:line="470" w:lineRule="exact"/>
        <w:ind w:left="0" w:right="0" w:firstLine="480"/>
        <w:jc w:val="both"/>
      </w:pPr>
      <w:r>
        <w:rPr>
          <w:color w:val="000000"/>
          <w:spacing w:val="0"/>
          <w:w w:val="100"/>
          <w:position w:val="0"/>
          <w:sz w:val="24"/>
          <w:szCs w:val="24"/>
        </w:rPr>
        <w:t>关键审计事项是我们根据职业判断，认为对本期财务报表审计最为重要的事项。这些事 项的应对以对财务报表整体进行审计并形成审计意见为背景，我们不对这些事项单独发表意 见。我们在审计中识别出的关键审计事项如下：</w:t>
      </w:r>
    </w:p>
    <w:p>
      <w:pPr>
        <w:pStyle w:val="Style59"/>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1、收入确认</w:t>
      </w:r>
    </w:p>
    <w:p>
      <w:pPr>
        <w:pStyle w:val="Style59"/>
        <w:keepNext w:val="0"/>
        <w:keepLines w:val="0"/>
        <w:widowControl w:val="0"/>
        <w:numPr>
          <w:ilvl w:val="0"/>
          <w:numId w:val="19"/>
        </w:numPr>
        <w:shd w:val="clear" w:color="auto" w:fill="auto"/>
        <w:tabs>
          <w:tab w:pos="905" w:val="left"/>
        </w:tabs>
        <w:bidi w:val="0"/>
        <w:spacing w:before="0" w:after="0" w:line="469" w:lineRule="exact"/>
        <w:ind w:left="0" w:right="0" w:firstLine="480"/>
        <w:jc w:val="both"/>
      </w:pPr>
      <w:bookmarkStart w:id="677" w:name="bookmark677"/>
      <w:bookmarkEnd w:id="677"/>
      <w:r>
        <w:rPr>
          <w:color w:val="000000"/>
          <w:spacing w:val="0"/>
          <w:w w:val="100"/>
          <w:position w:val="0"/>
          <w:sz w:val="24"/>
          <w:szCs w:val="24"/>
        </w:rPr>
        <w:t>关键审计事项</w:t>
      </w:r>
    </w:p>
    <w:p>
      <w:pPr>
        <w:pStyle w:val="Style59"/>
        <w:keepNext w:val="0"/>
        <w:keepLines w:val="0"/>
        <w:widowControl w:val="0"/>
        <w:shd w:val="clear" w:color="auto" w:fill="auto"/>
        <w:bidi w:val="0"/>
        <w:spacing w:before="0" w:after="440" w:line="469" w:lineRule="exact"/>
        <w:ind w:left="0" w:right="0" w:firstLine="480"/>
        <w:jc w:val="both"/>
      </w:pPr>
      <w:r>
        <w:rPr>
          <w:color w:val="000000"/>
          <w:spacing w:val="0"/>
          <w:w w:val="100"/>
          <w:position w:val="0"/>
          <w:sz w:val="24"/>
          <w:szCs w:val="24"/>
        </w:rPr>
        <w:t xml:space="preserve">数字政通公司主要从事专业智慧城市应用软件的开发和销售，并提供技术支持和后续服 务，收入类型为软件及技术开发服务、系统集成业务、采集业务、管线及排水类业务，2021年 度合并营业收入人民币148, </w:t>
      </w:r>
      <w:r>
        <w:rPr>
          <w:color w:val="000000"/>
          <w:spacing w:val="0"/>
          <w:w w:val="100"/>
          <w:position w:val="0"/>
          <w:sz w:val="24"/>
          <w:szCs w:val="24"/>
        </w:rPr>
        <w:t xml:space="preserve">060. </w:t>
      </w:r>
      <w:r>
        <w:rPr>
          <w:color w:val="000000"/>
          <w:spacing w:val="0"/>
          <w:w w:val="100"/>
          <w:position w:val="0"/>
          <w:sz w:val="24"/>
          <w:szCs w:val="24"/>
        </w:rPr>
        <w:t>87万元。收入确认的会计政策详情及收入的列报请参阅财务 报表附注“四、重要会计政策和会计估计” 34所述的会计政策及财务报表附注“六、财务报 表主要项目附注”41。因收入金额重大且为数字政通公司关键业绩指标，从而存在管理层为 了达到特定目标或期望而操纵收入确认的风险，故我们将收入确认识别为关键审计事项。</w:t>
      </w:r>
    </w:p>
    <w:p>
      <w:pPr>
        <w:pStyle w:val="Style59"/>
        <w:keepNext w:val="0"/>
        <w:keepLines w:val="0"/>
        <w:widowControl w:val="0"/>
        <w:numPr>
          <w:ilvl w:val="0"/>
          <w:numId w:val="19"/>
        </w:numPr>
        <w:shd w:val="clear" w:color="auto" w:fill="auto"/>
        <w:tabs>
          <w:tab w:pos="905" w:val="left"/>
        </w:tabs>
        <w:bidi w:val="0"/>
        <w:spacing w:before="0" w:after="0" w:line="465" w:lineRule="exact"/>
        <w:ind w:left="0" w:right="0" w:firstLine="480"/>
        <w:jc w:val="both"/>
      </w:pPr>
      <w:bookmarkStart w:id="678" w:name="bookmark678"/>
      <w:bookmarkEnd w:id="678"/>
      <w:r>
        <w:rPr>
          <w:color w:val="000000"/>
          <w:spacing w:val="0"/>
          <w:w w:val="100"/>
          <w:position w:val="0"/>
          <w:sz w:val="24"/>
          <w:szCs w:val="24"/>
        </w:rPr>
        <w:t>审计应对</w:t>
      </w:r>
    </w:p>
    <w:p>
      <w:pPr>
        <w:pStyle w:val="Style59"/>
        <w:keepNext w:val="0"/>
        <w:keepLines w:val="0"/>
        <w:widowControl w:val="0"/>
        <w:numPr>
          <w:ilvl w:val="0"/>
          <w:numId w:val="21"/>
        </w:numPr>
        <w:shd w:val="clear" w:color="auto" w:fill="auto"/>
        <w:tabs>
          <w:tab w:pos="872" w:val="left"/>
        </w:tabs>
        <w:bidi w:val="0"/>
        <w:spacing w:before="0" w:after="0" w:line="465" w:lineRule="exact"/>
        <w:ind w:left="0" w:right="0" w:firstLine="480"/>
        <w:jc w:val="both"/>
      </w:pPr>
      <w:bookmarkStart w:id="679" w:name="bookmark679"/>
      <w:bookmarkEnd w:id="679"/>
      <w:r>
        <w:rPr>
          <w:color w:val="000000"/>
          <w:spacing w:val="0"/>
          <w:w w:val="100"/>
          <w:position w:val="0"/>
          <w:sz w:val="24"/>
          <w:szCs w:val="24"/>
        </w:rPr>
        <w:t>了解、评估与收入循环相关内部控制的设计，并测试销售内部控制运行的有效性；</w:t>
      </w:r>
    </w:p>
    <w:p>
      <w:pPr>
        <w:pStyle w:val="Style59"/>
        <w:keepNext w:val="0"/>
        <w:keepLines w:val="0"/>
        <w:widowControl w:val="0"/>
        <w:numPr>
          <w:ilvl w:val="0"/>
          <w:numId w:val="21"/>
        </w:numPr>
        <w:shd w:val="clear" w:color="auto" w:fill="auto"/>
        <w:tabs>
          <w:tab w:pos="872" w:val="left"/>
        </w:tabs>
        <w:bidi w:val="0"/>
        <w:spacing w:before="0" w:after="0" w:line="465" w:lineRule="exact"/>
        <w:ind w:left="0" w:right="0" w:firstLine="480"/>
        <w:jc w:val="both"/>
      </w:pPr>
      <w:bookmarkStart w:id="680" w:name="bookmark680"/>
      <w:bookmarkEnd w:id="680"/>
      <w:r>
        <w:rPr>
          <w:color w:val="000000"/>
          <w:spacing w:val="0"/>
          <w:w w:val="100"/>
          <w:position w:val="0"/>
          <w:sz w:val="24"/>
          <w:szCs w:val="24"/>
        </w:rPr>
        <w:t>对于软件及技术开发服务、系统集成业务，我们选取重要客户检查了相关合同、软件 测试通过确认记录表、验收报告，并将合同与软件测试通过记录表、验收报告核对，复核收 入记录的准确性，同时对应收账款进行函证，复核收入的真实性；对于采集业务，我们选取 重要客户重新计算本期应当确认收入的金额以验证收入的准确性，并通过检查采集合同、对 合同事项进行函证、检查期后收款等验证收入的真实性；对于管线及排水类业务，我们选取 重要客户检查了相关合同、项目验收单或工作量确认单，根据取得的验收单记载的工作量追 查至账面，核实收入是否记录于恰当的会计期间，并根据相关合同金额检查核对账面已确认 收入金额同时对应收账款进行函证，复核收入的准确性、真实性；</w:t>
      </w:r>
    </w:p>
    <w:p>
      <w:pPr>
        <w:pStyle w:val="Style59"/>
        <w:keepNext w:val="0"/>
        <w:keepLines w:val="0"/>
        <w:widowControl w:val="0"/>
        <w:numPr>
          <w:ilvl w:val="0"/>
          <w:numId w:val="21"/>
        </w:numPr>
        <w:shd w:val="clear" w:color="auto" w:fill="auto"/>
        <w:tabs>
          <w:tab w:pos="872" w:val="left"/>
        </w:tabs>
        <w:bidi w:val="0"/>
        <w:spacing w:before="0" w:after="0" w:line="461" w:lineRule="exact"/>
        <w:ind w:left="0" w:right="0" w:firstLine="480"/>
        <w:jc w:val="both"/>
      </w:pPr>
      <w:bookmarkStart w:id="681" w:name="bookmark681"/>
      <w:bookmarkEnd w:id="681"/>
      <w:r>
        <w:rPr>
          <w:color w:val="000000"/>
          <w:spacing w:val="0"/>
          <w:w w:val="100"/>
          <w:position w:val="0"/>
          <w:sz w:val="24"/>
          <w:szCs w:val="24"/>
        </w:rPr>
        <w:t>检查资产负债表日前后记录的收入交易，选取样本，核对软件测试通过确认记录表、 验收报告、项目验收单或工作量确认单及其他支持性文件，以评价收入是否被记录于恰当的 会计期间；</w:t>
      </w:r>
    </w:p>
    <w:p>
      <w:pPr>
        <w:pStyle w:val="Style59"/>
        <w:keepNext w:val="0"/>
        <w:keepLines w:val="0"/>
        <w:widowControl w:val="0"/>
        <w:numPr>
          <w:ilvl w:val="0"/>
          <w:numId w:val="21"/>
        </w:numPr>
        <w:shd w:val="clear" w:color="auto" w:fill="auto"/>
        <w:tabs>
          <w:tab w:pos="872" w:val="left"/>
        </w:tabs>
        <w:bidi w:val="0"/>
        <w:spacing w:before="0" w:after="0" w:line="461" w:lineRule="exact"/>
        <w:ind w:left="0" w:right="0" w:firstLine="480"/>
        <w:jc w:val="both"/>
      </w:pPr>
      <w:bookmarkStart w:id="682" w:name="bookmark682"/>
      <w:bookmarkEnd w:id="682"/>
      <w:r>
        <w:rPr>
          <w:color w:val="000000"/>
          <w:spacing w:val="0"/>
          <w:w w:val="100"/>
          <w:position w:val="0"/>
          <w:sz w:val="24"/>
          <w:szCs w:val="24"/>
        </w:rPr>
        <w:t>对重大客户的收入执行访谈程序，以验证销售收入的准确性、真实性。</w:t>
      </w:r>
    </w:p>
    <w:p>
      <w:pPr>
        <w:pStyle w:val="Style59"/>
        <w:keepNext w:val="0"/>
        <w:keepLines w:val="0"/>
        <w:widowControl w:val="0"/>
        <w:shd w:val="clear" w:color="auto" w:fill="auto"/>
        <w:bidi w:val="0"/>
        <w:spacing w:before="0" w:after="0" w:line="471" w:lineRule="exact"/>
        <w:ind w:left="0" w:right="0" w:firstLine="480"/>
        <w:jc w:val="left"/>
      </w:pPr>
      <w:r>
        <w:rPr>
          <w:color w:val="000000"/>
          <w:spacing w:val="0"/>
          <w:w w:val="100"/>
          <w:position w:val="0"/>
          <w:sz w:val="24"/>
          <w:szCs w:val="24"/>
        </w:rPr>
        <w:t>2、商誉减值</w:t>
      </w:r>
    </w:p>
    <w:p>
      <w:pPr>
        <w:pStyle w:val="Style59"/>
        <w:keepNext w:val="0"/>
        <w:keepLines w:val="0"/>
        <w:widowControl w:val="0"/>
        <w:numPr>
          <w:ilvl w:val="0"/>
          <w:numId w:val="23"/>
        </w:numPr>
        <w:shd w:val="clear" w:color="auto" w:fill="auto"/>
        <w:tabs>
          <w:tab w:pos="934" w:val="left"/>
        </w:tabs>
        <w:bidi w:val="0"/>
        <w:spacing w:before="0" w:after="0" w:line="471" w:lineRule="exact"/>
        <w:ind w:left="0" w:right="0" w:firstLine="480"/>
        <w:jc w:val="left"/>
      </w:pPr>
      <w:bookmarkStart w:id="683" w:name="bookmark683"/>
      <w:bookmarkEnd w:id="683"/>
      <w:r>
        <w:rPr>
          <w:color w:val="000000"/>
          <w:spacing w:val="0"/>
          <w:w w:val="100"/>
          <w:position w:val="0"/>
          <w:sz w:val="24"/>
          <w:szCs w:val="24"/>
        </w:rPr>
        <w:t>关键审计事项</w:t>
      </w:r>
    </w:p>
    <w:p>
      <w:pPr>
        <w:pStyle w:val="Style59"/>
        <w:keepNext w:val="0"/>
        <w:keepLines w:val="0"/>
        <w:widowControl w:val="0"/>
        <w:shd w:val="clear" w:color="auto" w:fill="auto"/>
        <w:bidi w:val="0"/>
        <w:spacing w:before="0" w:after="460" w:line="471" w:lineRule="exact"/>
        <w:ind w:left="0" w:right="0" w:firstLine="480"/>
        <w:jc w:val="both"/>
      </w:pPr>
      <w:r>
        <w:rPr>
          <w:color w:val="000000"/>
          <w:spacing w:val="0"/>
          <w:w w:val="100"/>
          <w:position w:val="0"/>
          <w:sz w:val="24"/>
          <w:szCs w:val="24"/>
        </w:rPr>
        <w:t xml:space="preserve">截止2021年12月31日，数字政通公司合并资产负债表中的商誉净值为人民币44, </w:t>
      </w:r>
      <w:r>
        <w:rPr>
          <w:color w:val="000000"/>
          <w:spacing w:val="0"/>
          <w:w w:val="100"/>
          <w:position w:val="0"/>
          <w:sz w:val="24"/>
          <w:szCs w:val="24"/>
        </w:rPr>
        <w:t xml:space="preserve">077. </w:t>
      </w:r>
      <w:r>
        <w:rPr>
          <w:color w:val="000000"/>
          <w:spacing w:val="0"/>
          <w:w w:val="100"/>
          <w:position w:val="0"/>
          <w:sz w:val="24"/>
          <w:szCs w:val="24"/>
        </w:rPr>
        <w:t>94 万元。商誉的会计政策及信息披露参阅财务报表附注“四、重要会计政策和会计估计”26所 述的会计政策及财务报表附注“六、财务报表主要项目附注”20。基于商誉的账面价值对财 务报表的重要性，管理层对商誉至少每年年终进行减值测试，管理层通过比较被分摊商誉的 相关资产组的可收回金额与该资产组及商誉的账面价值，对商誉进行减值测试。管理层在测 试中需要做出重大判断和假设，其中可能存在错误或潜在的管理层偏向的情况，因此我们将 商誉减值识别为关键审计事项。</w:t>
      </w:r>
    </w:p>
    <w:p>
      <w:pPr>
        <w:pStyle w:val="Style59"/>
        <w:keepNext w:val="0"/>
        <w:keepLines w:val="0"/>
        <w:widowControl w:val="0"/>
        <w:numPr>
          <w:ilvl w:val="0"/>
          <w:numId w:val="23"/>
        </w:numPr>
        <w:shd w:val="clear" w:color="auto" w:fill="auto"/>
        <w:tabs>
          <w:tab w:pos="934" w:val="left"/>
        </w:tabs>
        <w:bidi w:val="0"/>
        <w:spacing w:before="0" w:after="0" w:line="467" w:lineRule="exact"/>
        <w:ind w:left="0" w:right="0" w:firstLine="480"/>
        <w:jc w:val="left"/>
      </w:pPr>
      <w:bookmarkStart w:id="684" w:name="bookmark684"/>
      <w:bookmarkEnd w:id="684"/>
      <w:r>
        <w:rPr>
          <w:color w:val="000000"/>
          <w:spacing w:val="0"/>
          <w:w w:val="100"/>
          <w:position w:val="0"/>
          <w:sz w:val="24"/>
          <w:szCs w:val="24"/>
        </w:rPr>
        <w:t>审计应对</w:t>
      </w:r>
    </w:p>
    <w:p>
      <w:pPr>
        <w:pStyle w:val="Style59"/>
        <w:keepNext w:val="0"/>
        <w:keepLines w:val="0"/>
        <w:widowControl w:val="0"/>
        <w:numPr>
          <w:ilvl w:val="0"/>
          <w:numId w:val="25"/>
        </w:numPr>
        <w:shd w:val="clear" w:color="auto" w:fill="auto"/>
        <w:tabs>
          <w:tab w:pos="901" w:val="left"/>
        </w:tabs>
        <w:bidi w:val="0"/>
        <w:spacing w:before="0" w:after="0" w:line="467" w:lineRule="exact"/>
        <w:ind w:left="0" w:right="0" w:firstLine="480"/>
        <w:jc w:val="both"/>
      </w:pPr>
      <w:bookmarkStart w:id="685" w:name="bookmark685"/>
      <w:bookmarkEnd w:id="685"/>
      <w:r>
        <w:rPr>
          <w:color w:val="000000"/>
          <w:spacing w:val="0"/>
          <w:w w:val="100"/>
          <w:position w:val="0"/>
          <w:sz w:val="24"/>
          <w:szCs w:val="24"/>
        </w:rPr>
        <w:t>了解和评价管理层与商誉减值相关的内部控制的设计和执行有效性，包括关键假设的 采用及减值计提金额的复核与审批；</w:t>
      </w:r>
    </w:p>
    <w:p>
      <w:pPr>
        <w:pStyle w:val="Style59"/>
        <w:keepNext w:val="0"/>
        <w:keepLines w:val="0"/>
        <w:widowControl w:val="0"/>
        <w:numPr>
          <w:ilvl w:val="0"/>
          <w:numId w:val="25"/>
        </w:numPr>
        <w:shd w:val="clear" w:color="auto" w:fill="auto"/>
        <w:tabs>
          <w:tab w:pos="901" w:val="left"/>
        </w:tabs>
        <w:bidi w:val="0"/>
        <w:spacing w:before="0" w:after="0" w:line="467" w:lineRule="exact"/>
        <w:ind w:left="0" w:right="0" w:firstLine="480"/>
        <w:jc w:val="both"/>
      </w:pPr>
      <w:bookmarkStart w:id="686" w:name="bookmark686"/>
      <w:bookmarkEnd w:id="686"/>
      <w:r>
        <w:rPr>
          <w:color w:val="000000"/>
          <w:spacing w:val="0"/>
          <w:w w:val="100"/>
          <w:position w:val="0"/>
          <w:sz w:val="24"/>
          <w:szCs w:val="24"/>
        </w:rPr>
        <w:t>评估管理层商誉减值测试方法的适当性及确定是否一贯应用；</w:t>
      </w:r>
    </w:p>
    <w:p>
      <w:pPr>
        <w:pStyle w:val="Style59"/>
        <w:keepNext w:val="0"/>
        <w:keepLines w:val="0"/>
        <w:widowControl w:val="0"/>
        <w:numPr>
          <w:ilvl w:val="0"/>
          <w:numId w:val="25"/>
        </w:numPr>
        <w:shd w:val="clear" w:color="auto" w:fill="auto"/>
        <w:tabs>
          <w:tab w:pos="901" w:val="left"/>
        </w:tabs>
        <w:bidi w:val="0"/>
        <w:spacing w:before="0" w:after="0" w:line="467" w:lineRule="exact"/>
        <w:ind w:left="0" w:right="0" w:firstLine="480"/>
        <w:jc w:val="both"/>
      </w:pPr>
      <w:bookmarkStart w:id="687" w:name="bookmark687"/>
      <w:bookmarkEnd w:id="687"/>
      <w:r>
        <w:rPr>
          <w:color w:val="000000"/>
          <w:spacing w:val="0"/>
          <w:w w:val="100"/>
          <w:position w:val="0"/>
          <w:sz w:val="24"/>
          <w:szCs w:val="24"/>
        </w:rPr>
        <w:t>评价管理层聘请的第三方评估机构的客观性、独立性及专业胜任能力；</w:t>
      </w:r>
    </w:p>
    <w:p>
      <w:pPr>
        <w:pStyle w:val="Style59"/>
        <w:keepNext w:val="0"/>
        <w:keepLines w:val="0"/>
        <w:widowControl w:val="0"/>
        <w:numPr>
          <w:ilvl w:val="0"/>
          <w:numId w:val="25"/>
        </w:numPr>
        <w:shd w:val="clear" w:color="auto" w:fill="auto"/>
        <w:tabs>
          <w:tab w:pos="901" w:val="left"/>
        </w:tabs>
        <w:bidi w:val="0"/>
        <w:spacing w:before="0" w:after="0" w:line="467" w:lineRule="exact"/>
        <w:ind w:left="0" w:right="0" w:firstLine="480"/>
        <w:jc w:val="both"/>
      </w:pPr>
      <w:bookmarkStart w:id="688" w:name="bookmark688"/>
      <w:bookmarkEnd w:id="688"/>
      <w:r>
        <w:rPr>
          <w:color w:val="000000"/>
          <w:spacing w:val="0"/>
          <w:w w:val="100"/>
          <w:position w:val="0"/>
          <w:sz w:val="24"/>
          <w:szCs w:val="24"/>
        </w:rPr>
        <w:t>复核管理层对资产组的认定和商誉的分摊方法；</w:t>
      </w:r>
    </w:p>
    <w:p>
      <w:pPr>
        <w:pStyle w:val="Style59"/>
        <w:keepNext w:val="0"/>
        <w:keepLines w:val="0"/>
        <w:widowControl w:val="0"/>
        <w:numPr>
          <w:ilvl w:val="0"/>
          <w:numId w:val="25"/>
        </w:numPr>
        <w:shd w:val="clear" w:color="auto" w:fill="auto"/>
        <w:tabs>
          <w:tab w:pos="901" w:val="left"/>
        </w:tabs>
        <w:bidi w:val="0"/>
        <w:spacing w:before="0" w:after="0" w:line="467" w:lineRule="exact"/>
        <w:ind w:left="0" w:right="0" w:firstLine="480"/>
        <w:jc w:val="both"/>
      </w:pPr>
      <w:bookmarkStart w:id="689" w:name="bookmark689"/>
      <w:bookmarkEnd w:id="689"/>
      <w:r>
        <w:rPr>
          <w:color w:val="000000"/>
          <w:spacing w:val="0"/>
          <w:w w:val="100"/>
          <w:position w:val="0"/>
          <w:sz w:val="24"/>
          <w:szCs w:val="24"/>
        </w:rPr>
        <w:t>取得并阅读了管理层为商誉减值测试聘请的评估师出具的资产评估报告，并与评估师 进行了讨论，了解其评估方法及关键假设并复核商誉减值测试方法的恰当性；检查现金流量 预测和所采用折现率的合理性，复核预计未来现金流量现值的计算是否准确；</w:t>
      </w:r>
    </w:p>
    <w:p>
      <w:pPr>
        <w:pStyle w:val="Style59"/>
        <w:keepNext w:val="0"/>
        <w:keepLines w:val="0"/>
        <w:widowControl w:val="0"/>
        <w:numPr>
          <w:ilvl w:val="0"/>
          <w:numId w:val="25"/>
        </w:numPr>
        <w:shd w:val="clear" w:color="auto" w:fill="auto"/>
        <w:tabs>
          <w:tab w:pos="901" w:val="left"/>
        </w:tabs>
        <w:bidi w:val="0"/>
        <w:spacing w:before="0" w:after="320" w:line="467" w:lineRule="exact"/>
        <w:ind w:left="0" w:right="0" w:firstLine="480"/>
        <w:jc w:val="left"/>
      </w:pPr>
      <w:bookmarkStart w:id="690" w:name="bookmark690"/>
      <w:bookmarkEnd w:id="690"/>
      <w:r>
        <w:rPr>
          <w:color w:val="000000"/>
          <w:spacing w:val="0"/>
          <w:w w:val="100"/>
          <w:position w:val="0"/>
          <w:sz w:val="24"/>
          <w:szCs w:val="24"/>
        </w:rPr>
        <w:t>检查与商誉减值相关的信息是否已在财务报表中作出恰当列报和披露。</w:t>
      </w:r>
    </w:p>
    <w:p>
      <w:pPr>
        <w:pStyle w:val="Style59"/>
        <w:keepNext w:val="0"/>
        <w:keepLines w:val="0"/>
        <w:widowControl w:val="0"/>
        <w:shd w:val="clear" w:color="auto" w:fill="auto"/>
        <w:bidi w:val="0"/>
        <w:spacing w:before="0" w:after="0" w:line="461" w:lineRule="exact"/>
        <w:ind w:left="0" w:right="0" w:firstLine="480"/>
        <w:jc w:val="left"/>
      </w:pPr>
      <w:bookmarkStart w:id="691" w:name="bookmark691"/>
      <w:r>
        <w:rPr>
          <w:b/>
          <w:bCs/>
          <w:color w:val="000000"/>
          <w:spacing w:val="0"/>
          <w:w w:val="100"/>
          <w:position w:val="0"/>
          <w:sz w:val="24"/>
          <w:szCs w:val="24"/>
        </w:rPr>
        <w:t>四</w:t>
      </w:r>
      <w:bookmarkEnd w:id="691"/>
      <w:r>
        <w:rPr>
          <w:b/>
          <w:bCs/>
          <w:color w:val="000000"/>
          <w:spacing w:val="0"/>
          <w:w w:val="100"/>
          <w:position w:val="0"/>
          <w:sz w:val="24"/>
          <w:szCs w:val="24"/>
        </w:rPr>
        <w:t>、其他信息</w:t>
      </w:r>
    </w:p>
    <w:p>
      <w:pPr>
        <w:pStyle w:val="Style59"/>
        <w:keepNext w:val="0"/>
        <w:keepLines w:val="0"/>
        <w:widowControl w:val="0"/>
        <w:shd w:val="clear" w:color="auto" w:fill="auto"/>
        <w:bidi w:val="0"/>
        <w:spacing w:before="0" w:after="460" w:line="461" w:lineRule="exact"/>
        <w:ind w:left="0" w:right="0" w:firstLine="480"/>
        <w:jc w:val="both"/>
      </w:pPr>
      <w:r>
        <w:rPr>
          <w:color w:val="000000"/>
          <w:spacing w:val="0"/>
          <w:w w:val="100"/>
          <w:position w:val="0"/>
          <w:sz w:val="24"/>
          <w:szCs w:val="24"/>
        </w:rPr>
        <w:t>数字政通公司管理层对其他信息负责。其他信息包括《北京数字政通科技股份有限公司 2021年年度报告》中涵盖的信息，但不包括财务报表和我们的审计报告。</w:t>
      </w:r>
    </w:p>
    <w:p>
      <w:pPr>
        <w:pStyle w:val="Style59"/>
        <w:keepNext w:val="0"/>
        <w:keepLines w:val="0"/>
        <w:widowControl w:val="0"/>
        <w:shd w:val="clear" w:color="auto" w:fill="auto"/>
        <w:bidi w:val="0"/>
        <w:spacing w:before="0" w:after="0" w:line="466" w:lineRule="exact"/>
        <w:ind w:left="0" w:right="0" w:firstLine="480"/>
        <w:jc w:val="both"/>
      </w:pPr>
      <w:r>
        <w:rPr>
          <w:color w:val="000000"/>
          <w:spacing w:val="0"/>
          <w:w w:val="100"/>
          <w:position w:val="0"/>
          <w:sz w:val="24"/>
          <w:szCs w:val="24"/>
        </w:rPr>
        <w:t>我们对财务报表发表的审计意见不涵盖其他信息，我们也不对其他信息发表任何形式的 鉴证结论。</w:t>
      </w:r>
    </w:p>
    <w:p>
      <w:pPr>
        <w:pStyle w:val="Style59"/>
        <w:keepNext w:val="0"/>
        <w:keepLines w:val="0"/>
        <w:widowControl w:val="0"/>
        <w:shd w:val="clear" w:color="auto" w:fill="auto"/>
        <w:bidi w:val="0"/>
        <w:spacing w:before="0" w:after="0" w:line="466" w:lineRule="exact"/>
        <w:ind w:left="0" w:right="0" w:firstLine="480"/>
        <w:jc w:val="both"/>
      </w:pPr>
      <w:r>
        <w:rPr>
          <w:color w:val="000000"/>
          <w:spacing w:val="0"/>
          <w:w w:val="100"/>
          <w:position w:val="0"/>
          <w:sz w:val="24"/>
          <w:szCs w:val="24"/>
        </w:rPr>
        <w:t>结合我们对财务报表的审计，我们的责任是阅读其他信息，在此过程中，考虑其他信息 是否与财务报表或我们在审计过程中了解到的情况存在重大不一致或者似乎存在重大错报。</w:t>
      </w:r>
    </w:p>
    <w:p>
      <w:pPr>
        <w:pStyle w:val="Style59"/>
        <w:keepNext w:val="0"/>
        <w:keepLines w:val="0"/>
        <w:widowControl w:val="0"/>
        <w:shd w:val="clear" w:color="auto" w:fill="auto"/>
        <w:bidi w:val="0"/>
        <w:spacing w:before="0" w:after="460" w:line="475" w:lineRule="exact"/>
        <w:ind w:left="0" w:right="0" w:firstLine="480"/>
        <w:jc w:val="both"/>
      </w:pPr>
      <w:r>
        <w:rPr>
          <w:color w:val="000000"/>
          <w:spacing w:val="0"/>
          <w:w w:val="100"/>
          <w:position w:val="0"/>
          <w:sz w:val="24"/>
          <w:szCs w:val="24"/>
        </w:rPr>
        <w:t>基于我们已执行的工作，如果我们确定其他信息存在重大错报，我们应当报告该事实。 在这方面，我们无任何事项需要报告。</w:t>
      </w:r>
    </w:p>
    <w:p>
      <w:pPr>
        <w:pStyle w:val="Style59"/>
        <w:keepNext w:val="0"/>
        <w:keepLines w:val="0"/>
        <w:widowControl w:val="0"/>
        <w:shd w:val="clear" w:color="auto" w:fill="auto"/>
        <w:tabs>
          <w:tab w:pos="992" w:val="left"/>
        </w:tabs>
        <w:bidi w:val="0"/>
        <w:spacing w:before="0" w:after="0" w:line="461" w:lineRule="exact"/>
        <w:ind w:left="0" w:right="0" w:firstLine="480"/>
        <w:jc w:val="both"/>
      </w:pPr>
      <w:bookmarkStart w:id="692" w:name="bookmark692"/>
      <w:r>
        <w:rPr>
          <w:b/>
          <w:bCs/>
          <w:color w:val="000000"/>
          <w:spacing w:val="0"/>
          <w:w w:val="100"/>
          <w:position w:val="0"/>
          <w:sz w:val="24"/>
          <w:szCs w:val="24"/>
        </w:rPr>
        <w:t>五</w:t>
      </w:r>
      <w:bookmarkEnd w:id="692"/>
      <w:r>
        <w:rPr>
          <w:b/>
          <w:bCs/>
          <w:color w:val="000000"/>
          <w:spacing w:val="0"/>
          <w:w w:val="100"/>
          <w:position w:val="0"/>
          <w:sz w:val="24"/>
          <w:szCs w:val="24"/>
        </w:rPr>
        <w:t>、</w:t>
        <w:tab/>
        <w:t>管理层和治理层对财务报表的责任</w:t>
      </w:r>
    </w:p>
    <w:p>
      <w:pPr>
        <w:pStyle w:val="Style59"/>
        <w:keepNext w:val="0"/>
        <w:keepLines w:val="0"/>
        <w:widowControl w:val="0"/>
        <w:shd w:val="clear" w:color="auto" w:fill="auto"/>
        <w:bidi w:val="0"/>
        <w:spacing w:before="0" w:after="460" w:line="461" w:lineRule="exact"/>
        <w:ind w:left="0" w:right="0" w:firstLine="480"/>
        <w:jc w:val="both"/>
      </w:pPr>
      <w:r>
        <w:rPr>
          <w:color w:val="000000"/>
          <w:spacing w:val="0"/>
          <w:w w:val="100"/>
          <w:position w:val="0"/>
          <w:sz w:val="24"/>
          <w:szCs w:val="24"/>
        </w:rPr>
        <w:t>数字政通公司管理层负责按照企业会计准则的规定编制财务报表，使其实现公允反映， 并设计、执行和维护必要的内部控制，以使财务报表不存在由于舞弊或错误导致的重大错报。</w:t>
      </w:r>
    </w:p>
    <w:p>
      <w:pPr>
        <w:pStyle w:val="Style59"/>
        <w:keepNext w:val="0"/>
        <w:keepLines w:val="0"/>
        <w:widowControl w:val="0"/>
        <w:shd w:val="clear" w:color="auto" w:fill="auto"/>
        <w:bidi w:val="0"/>
        <w:spacing w:before="0" w:after="460" w:line="470" w:lineRule="exact"/>
        <w:ind w:left="0" w:right="0" w:firstLine="480"/>
        <w:jc w:val="both"/>
      </w:pPr>
      <w:r>
        <w:rPr>
          <w:color w:val="000000"/>
          <w:spacing w:val="0"/>
          <w:w w:val="100"/>
          <w:position w:val="0"/>
          <w:sz w:val="24"/>
          <w:szCs w:val="24"/>
        </w:rPr>
        <w:t>在编制财务报表时，管理层负责评估数字政通公司的持续经营能力，披露与持续经营相 关的事项（如适用）并运用持续经营假设，除非管理层计划清算数字政通公司、终止运营或别 无其他现实的选择。</w:t>
      </w:r>
    </w:p>
    <w:p>
      <w:pPr>
        <w:pStyle w:val="Style59"/>
        <w:keepNext w:val="0"/>
        <w:keepLines w:val="0"/>
        <w:widowControl w:val="0"/>
        <w:shd w:val="clear" w:color="auto" w:fill="auto"/>
        <w:bidi w:val="0"/>
        <w:spacing w:before="0" w:after="460" w:line="468" w:lineRule="exact"/>
        <w:ind w:left="0" w:right="0" w:firstLine="480"/>
        <w:jc w:val="both"/>
      </w:pPr>
      <w:r>
        <w:rPr>
          <w:color w:val="000000"/>
          <w:spacing w:val="0"/>
          <w:w w:val="100"/>
          <w:position w:val="0"/>
          <w:sz w:val="24"/>
          <w:szCs w:val="24"/>
        </w:rPr>
        <w:t>治理层负责监督数字政通公司的财务报告过程。</w:t>
      </w:r>
    </w:p>
    <w:p>
      <w:pPr>
        <w:pStyle w:val="Style59"/>
        <w:keepNext w:val="0"/>
        <w:keepLines w:val="0"/>
        <w:widowControl w:val="0"/>
        <w:shd w:val="clear" w:color="auto" w:fill="auto"/>
        <w:tabs>
          <w:tab w:pos="997" w:val="left"/>
        </w:tabs>
        <w:bidi w:val="0"/>
        <w:spacing w:before="0" w:after="0" w:line="468" w:lineRule="exact"/>
        <w:ind w:left="0" w:right="0" w:firstLine="480"/>
        <w:jc w:val="both"/>
      </w:pPr>
      <w:bookmarkStart w:id="693" w:name="bookmark693"/>
      <w:r>
        <w:rPr>
          <w:b/>
          <w:bCs/>
          <w:color w:val="000000"/>
          <w:spacing w:val="0"/>
          <w:w w:val="100"/>
          <w:position w:val="0"/>
          <w:sz w:val="24"/>
          <w:szCs w:val="24"/>
        </w:rPr>
        <w:t>六</w:t>
      </w:r>
      <w:bookmarkEnd w:id="693"/>
      <w:r>
        <w:rPr>
          <w:b/>
          <w:bCs/>
          <w:color w:val="000000"/>
          <w:spacing w:val="0"/>
          <w:w w:val="100"/>
          <w:position w:val="0"/>
          <w:sz w:val="24"/>
          <w:szCs w:val="24"/>
        </w:rPr>
        <w:t>、</w:t>
        <w:tab/>
        <w:t>注册会计师对财务报表审计的责任</w:t>
      </w:r>
    </w:p>
    <w:p>
      <w:pPr>
        <w:pStyle w:val="Style59"/>
        <w:keepNext w:val="0"/>
        <w:keepLines w:val="0"/>
        <w:widowControl w:val="0"/>
        <w:shd w:val="clear" w:color="auto" w:fill="auto"/>
        <w:bidi w:val="0"/>
        <w:spacing w:before="0" w:after="460" w:line="468" w:lineRule="exact"/>
        <w:ind w:left="0" w:right="0" w:firstLine="480"/>
        <w:jc w:val="both"/>
      </w:pPr>
      <w:r>
        <w:rPr>
          <w:color w:val="000000"/>
          <w:spacing w:val="0"/>
          <w:w w:val="100"/>
          <w:position w:val="0"/>
          <w:sz w:val="24"/>
          <w:szCs w:val="24"/>
        </w:rPr>
        <w:t>我们的目标是对财务报表整体是否不存在由于舞弊或错误导致的重大错报获取合理保 证，并出具包含审计意见的审计报告。合理保证是高水平的保证，但并不能保证按照审计准 则执行的审计在某一重大错报存在时总能发现。错报可能由于舞弊或错误导致，如果合理预 期错报单独或汇总起来可能影响财务报表使用者依据财务报表作出的经济决策，则通常认为 错报是重大的。</w:t>
      </w:r>
    </w:p>
    <w:p>
      <w:pPr>
        <w:pStyle w:val="Style59"/>
        <w:keepNext w:val="0"/>
        <w:keepLines w:val="0"/>
        <w:widowControl w:val="0"/>
        <w:shd w:val="clear" w:color="auto" w:fill="auto"/>
        <w:bidi w:val="0"/>
        <w:spacing w:before="0" w:after="460" w:line="466" w:lineRule="exact"/>
        <w:ind w:left="0" w:right="0" w:firstLine="480"/>
        <w:jc w:val="both"/>
      </w:pPr>
      <w:r>
        <w:rPr>
          <w:color w:val="000000"/>
          <w:spacing w:val="0"/>
          <w:w w:val="100"/>
          <w:position w:val="0"/>
          <w:sz w:val="24"/>
          <w:szCs w:val="24"/>
        </w:rPr>
        <w:t>在按照审计准则执行审计工作的过程中，我们运用职业判断，并保持职业怀疑。同时， 我们也执行以下工作：</w:t>
      </w:r>
    </w:p>
    <w:p>
      <w:pPr>
        <w:pStyle w:val="Style59"/>
        <w:keepNext w:val="0"/>
        <w:keepLines w:val="0"/>
        <w:widowControl w:val="0"/>
        <w:shd w:val="clear" w:color="auto" w:fill="auto"/>
        <w:tabs>
          <w:tab w:pos="889" w:val="left"/>
        </w:tabs>
        <w:bidi w:val="0"/>
        <w:spacing w:before="0" w:after="460" w:line="469" w:lineRule="exact"/>
        <w:ind w:left="0" w:right="0" w:firstLine="480"/>
        <w:jc w:val="both"/>
      </w:pPr>
      <w:bookmarkStart w:id="694" w:name="bookmark694"/>
      <w:r>
        <w:rPr>
          <w:color w:val="000000"/>
          <w:spacing w:val="0"/>
          <w:w w:val="100"/>
          <w:position w:val="0"/>
          <w:sz w:val="24"/>
          <w:szCs w:val="24"/>
        </w:rPr>
        <w:t>1</w:t>
      </w:r>
      <w:bookmarkEnd w:id="694"/>
      <w:r>
        <w:rPr>
          <w:color w:val="000000"/>
          <w:spacing w:val="0"/>
          <w:w w:val="100"/>
          <w:position w:val="0"/>
          <w:sz w:val="24"/>
          <w:szCs w:val="24"/>
        </w:rPr>
        <w:t>、</w:t>
        <w:tab/>
        <w:t>识别和评估由于舞弊或错误导致的财务报表重大错报风险，设计和实施审计程序以应 对这些风险，并获取充分、适当的审计证据，作为发表审计意见的基础。由于舞弊可能涉及 串通、伪造、故意遗漏、虚假陈述或凌驾于内部控制之上，未能发现由于舞弊导致的重大错 报的风险高于未能发现由于错误导致的重大错报的风险。</w:t>
      </w:r>
    </w:p>
    <w:p>
      <w:pPr>
        <w:pStyle w:val="Style59"/>
        <w:keepNext w:val="0"/>
        <w:keepLines w:val="0"/>
        <w:widowControl w:val="0"/>
        <w:shd w:val="clear" w:color="auto" w:fill="auto"/>
        <w:tabs>
          <w:tab w:pos="889" w:val="left"/>
        </w:tabs>
        <w:bidi w:val="0"/>
        <w:spacing w:before="0" w:after="460" w:line="468" w:lineRule="exact"/>
        <w:ind w:left="0" w:right="0" w:firstLine="480"/>
        <w:jc w:val="both"/>
      </w:pPr>
      <w:bookmarkStart w:id="695" w:name="bookmark695"/>
      <w:r>
        <w:rPr>
          <w:color w:val="000000"/>
          <w:spacing w:val="0"/>
          <w:w w:val="100"/>
          <w:position w:val="0"/>
          <w:sz w:val="24"/>
          <w:szCs w:val="24"/>
        </w:rPr>
        <w:t>2</w:t>
      </w:r>
      <w:bookmarkEnd w:id="695"/>
      <w:r>
        <w:rPr>
          <w:color w:val="000000"/>
          <w:spacing w:val="0"/>
          <w:w w:val="100"/>
          <w:position w:val="0"/>
          <w:sz w:val="24"/>
          <w:szCs w:val="24"/>
        </w:rPr>
        <w:t>、</w:t>
        <w:tab/>
        <w:t>了解与审计相关的内部控制，以设计恰当的审计程序，但目的并非对内部控制的有效</w:t>
      </w:r>
    </w:p>
    <w:p>
      <w:pPr>
        <w:pStyle w:val="Style59"/>
        <w:keepNext w:val="0"/>
        <w:keepLines w:val="0"/>
        <w:widowControl w:val="0"/>
        <w:shd w:val="clear" w:color="auto" w:fill="auto"/>
        <w:bidi w:val="0"/>
        <w:spacing w:before="0" w:after="440" w:line="470" w:lineRule="exact"/>
        <w:ind w:left="0" w:right="0" w:firstLine="0"/>
        <w:jc w:val="both"/>
      </w:pPr>
      <w:r>
        <w:rPr>
          <w:color w:val="000000"/>
          <w:spacing w:val="0"/>
          <w:w w:val="100"/>
          <w:position w:val="0"/>
          <w:sz w:val="24"/>
          <w:szCs w:val="24"/>
        </w:rPr>
        <w:t>性发表意见。</w:t>
      </w:r>
    </w:p>
    <w:p>
      <w:pPr>
        <w:pStyle w:val="Style59"/>
        <w:keepNext w:val="0"/>
        <w:keepLines w:val="0"/>
        <w:widowControl w:val="0"/>
        <w:shd w:val="clear" w:color="auto" w:fill="auto"/>
        <w:tabs>
          <w:tab w:pos="867" w:val="left"/>
        </w:tabs>
        <w:bidi w:val="0"/>
        <w:spacing w:before="0" w:after="440" w:line="470" w:lineRule="exact"/>
        <w:ind w:left="0" w:right="0" w:firstLine="480"/>
        <w:jc w:val="both"/>
      </w:pPr>
      <w:bookmarkStart w:id="696" w:name="bookmark696"/>
      <w:r>
        <w:rPr>
          <w:color w:val="000000"/>
          <w:spacing w:val="0"/>
          <w:w w:val="100"/>
          <w:position w:val="0"/>
          <w:sz w:val="24"/>
          <w:szCs w:val="24"/>
        </w:rPr>
        <w:t>3</w:t>
      </w:r>
      <w:bookmarkEnd w:id="696"/>
      <w:r>
        <w:rPr>
          <w:color w:val="000000"/>
          <w:spacing w:val="0"/>
          <w:w w:val="100"/>
          <w:position w:val="0"/>
          <w:sz w:val="24"/>
          <w:szCs w:val="24"/>
        </w:rPr>
        <w:t>、</w:t>
        <w:tab/>
        <w:t>评价管理层选用会计政策的恰当性和作出会计估计及相关披露的合理性。</w:t>
      </w:r>
    </w:p>
    <w:p>
      <w:pPr>
        <w:pStyle w:val="Style59"/>
        <w:keepNext w:val="0"/>
        <w:keepLines w:val="0"/>
        <w:widowControl w:val="0"/>
        <w:shd w:val="clear" w:color="auto" w:fill="auto"/>
        <w:tabs>
          <w:tab w:pos="872" w:val="left"/>
        </w:tabs>
        <w:bidi w:val="0"/>
        <w:spacing w:before="0" w:after="440" w:line="470" w:lineRule="exact"/>
        <w:ind w:left="0" w:right="0" w:firstLine="480"/>
        <w:jc w:val="both"/>
      </w:pPr>
      <w:bookmarkStart w:id="697" w:name="bookmark697"/>
      <w:r>
        <w:rPr>
          <w:color w:val="000000"/>
          <w:spacing w:val="0"/>
          <w:w w:val="100"/>
          <w:position w:val="0"/>
          <w:sz w:val="24"/>
          <w:szCs w:val="24"/>
        </w:rPr>
        <w:t>4</w:t>
      </w:r>
      <w:bookmarkEnd w:id="697"/>
      <w:r>
        <w:rPr>
          <w:color w:val="000000"/>
          <w:spacing w:val="0"/>
          <w:w w:val="100"/>
          <w:position w:val="0"/>
          <w:sz w:val="24"/>
          <w:szCs w:val="24"/>
        </w:rPr>
        <w:t>、</w:t>
        <w:tab/>
        <w:t>对管理层使用持续经营假设的恰当性得出结论。同时，根据获取的审计证据，就可能 导致对数字政通公司持续经营能力产生重大疑虑的事项或情况是否存在重大不确定性得出结 论。如果我们得出结论认为存在重大不确定性，审计准则要求我们在审计报告中提请报表使 用者注意财务报表中的相关披露；如果披露不充分，我们应当发表非无保留意见。我们的结 论基于截至审计报告日可获得的信息。然而，未来的事项或情况可能导致数字政通公司不能 持续经营。</w:t>
      </w:r>
    </w:p>
    <w:p>
      <w:pPr>
        <w:pStyle w:val="Style59"/>
        <w:keepNext w:val="0"/>
        <w:keepLines w:val="0"/>
        <w:widowControl w:val="0"/>
        <w:shd w:val="clear" w:color="auto" w:fill="auto"/>
        <w:tabs>
          <w:tab w:pos="872" w:val="left"/>
        </w:tabs>
        <w:bidi w:val="0"/>
        <w:spacing w:before="0" w:after="440" w:line="480" w:lineRule="exact"/>
        <w:ind w:left="0" w:right="0" w:firstLine="480"/>
        <w:jc w:val="both"/>
      </w:pPr>
      <w:bookmarkStart w:id="698" w:name="bookmark698"/>
      <w:r>
        <w:rPr>
          <w:color w:val="000000"/>
          <w:spacing w:val="0"/>
          <w:w w:val="100"/>
          <w:position w:val="0"/>
          <w:sz w:val="24"/>
          <w:szCs w:val="24"/>
        </w:rPr>
        <w:t>5</w:t>
      </w:r>
      <w:bookmarkEnd w:id="698"/>
      <w:r>
        <w:rPr>
          <w:color w:val="000000"/>
          <w:spacing w:val="0"/>
          <w:w w:val="100"/>
          <w:position w:val="0"/>
          <w:sz w:val="24"/>
          <w:szCs w:val="24"/>
        </w:rPr>
        <w:t>、</w:t>
        <w:tab/>
        <w:t>评价财务报表的总体列报、结构和内容（包括披露），并评价财务报表是否公允反映相 关交易和事项。</w:t>
      </w:r>
    </w:p>
    <w:p>
      <w:pPr>
        <w:pStyle w:val="Style59"/>
        <w:keepNext w:val="0"/>
        <w:keepLines w:val="0"/>
        <w:widowControl w:val="0"/>
        <w:shd w:val="clear" w:color="auto" w:fill="auto"/>
        <w:tabs>
          <w:tab w:pos="872" w:val="left"/>
        </w:tabs>
        <w:bidi w:val="0"/>
        <w:spacing w:before="0" w:after="440" w:line="470" w:lineRule="exact"/>
        <w:ind w:left="0" w:right="0" w:firstLine="480"/>
        <w:jc w:val="both"/>
      </w:pPr>
      <w:bookmarkStart w:id="699" w:name="bookmark699"/>
      <w:r>
        <w:rPr>
          <w:color w:val="000000"/>
          <w:spacing w:val="0"/>
          <w:w w:val="100"/>
          <w:position w:val="0"/>
          <w:sz w:val="24"/>
          <w:szCs w:val="24"/>
        </w:rPr>
        <w:t>6</w:t>
      </w:r>
      <w:bookmarkEnd w:id="699"/>
      <w:r>
        <w:rPr>
          <w:color w:val="000000"/>
          <w:spacing w:val="0"/>
          <w:w w:val="100"/>
          <w:position w:val="0"/>
          <w:sz w:val="24"/>
          <w:szCs w:val="24"/>
        </w:rPr>
        <w:t>、</w:t>
        <w:tab/>
        <w:t>就数字政通公司中实体或业务活动的财务信息获取充分、适当的审计证据，以对合并 财务报表发表审计意见。我们负责指导、监督和执行集团审计，并对审计意见承担全部责任。</w:t>
      </w:r>
    </w:p>
    <w:p>
      <w:pPr>
        <w:pStyle w:val="Style59"/>
        <w:keepNext w:val="0"/>
        <w:keepLines w:val="0"/>
        <w:widowControl w:val="0"/>
        <w:shd w:val="clear" w:color="auto" w:fill="auto"/>
        <w:bidi w:val="0"/>
        <w:spacing w:before="0" w:after="440" w:line="475" w:lineRule="exact"/>
        <w:ind w:left="0" w:right="0" w:firstLine="480"/>
        <w:jc w:val="both"/>
      </w:pPr>
      <w:r>
        <w:rPr>
          <w:color w:val="000000"/>
          <w:spacing w:val="0"/>
          <w:w w:val="100"/>
          <w:position w:val="0"/>
          <w:sz w:val="24"/>
          <w:szCs w:val="24"/>
        </w:rPr>
        <w:t>我们与治理层就计划的审计范围、时间安排和重大审计发现等事项进行沟通，包括沟通 我们在审计中识别出的值得关注的内部控制缺陷。</w:t>
      </w:r>
    </w:p>
    <w:p>
      <w:pPr>
        <w:pStyle w:val="Style59"/>
        <w:keepNext w:val="0"/>
        <w:keepLines w:val="0"/>
        <w:widowControl w:val="0"/>
        <w:shd w:val="clear" w:color="auto" w:fill="auto"/>
        <w:bidi w:val="0"/>
        <w:spacing w:before="0" w:after="440" w:line="466" w:lineRule="exact"/>
        <w:ind w:left="0" w:right="0" w:firstLine="480"/>
        <w:jc w:val="both"/>
      </w:pPr>
      <w:r>
        <w:rPr>
          <w:color w:val="000000"/>
          <w:spacing w:val="0"/>
          <w:w w:val="100"/>
          <w:position w:val="0"/>
          <w:sz w:val="24"/>
          <w:szCs w:val="24"/>
        </w:rPr>
        <w:t>我们还就已遵守与独立性相关的职业道德要求向治理层提供声明，并与治理层沟通可能 被合理认为影响我们独立性的所有关系和其他事项，以及相关的防范措施（如适用）。</w:t>
      </w:r>
    </w:p>
    <w:p>
      <w:pPr>
        <w:pStyle w:val="Style59"/>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从与治理层沟通过的事项中，我们确定哪些事项对本期财务报表审计最为重要，因而构 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p>
      <w:pPr>
        <w:pStyle w:val="Style59"/>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上会会计师事务所（特殊普通合伙）中国注册会计师</w:t>
      </w:r>
    </w:p>
    <w:p>
      <w:pPr>
        <w:pStyle w:val="Style59"/>
        <w:keepNext w:val="0"/>
        <w:keepLines w:val="0"/>
        <w:widowControl w:val="0"/>
        <w:shd w:val="clear" w:color="auto" w:fill="auto"/>
        <w:bidi w:val="0"/>
        <w:spacing w:before="0" w:after="440" w:line="469" w:lineRule="exact"/>
        <w:ind w:left="4640" w:right="0" w:firstLine="0"/>
        <w:jc w:val="left"/>
      </w:pPr>
      <w:r>
        <w:rPr>
          <w:color w:val="000000"/>
          <w:spacing w:val="0"/>
          <w:w w:val="100"/>
          <w:position w:val="0"/>
          <w:sz w:val="24"/>
          <w:szCs w:val="24"/>
        </w:rPr>
        <w:t>（项目合伙人）</w:t>
      </w:r>
    </w:p>
    <w:p>
      <w:pPr>
        <w:pStyle w:val="Style59"/>
        <w:keepNext w:val="0"/>
        <w:keepLines w:val="0"/>
        <w:widowControl w:val="0"/>
        <w:shd w:val="clear" w:color="auto" w:fill="auto"/>
        <w:bidi w:val="0"/>
        <w:spacing w:before="0" w:after="1100" w:line="240" w:lineRule="auto"/>
        <w:ind w:left="0" w:right="0" w:firstLine="0"/>
        <w:jc w:val="center"/>
      </w:pPr>
      <w:r>
        <w:rPr>
          <w:color w:val="000000"/>
          <w:spacing w:val="0"/>
          <w:w w:val="100"/>
          <w:position w:val="0"/>
          <w:sz w:val="24"/>
          <w:szCs w:val="24"/>
        </w:rPr>
        <w:t>王芳山</w:t>
      </w:r>
    </w:p>
    <w:p>
      <w:pPr>
        <w:pStyle w:val="Style59"/>
        <w:keepNext w:val="0"/>
        <w:keepLines w:val="0"/>
        <w:widowControl w:val="0"/>
        <w:shd w:val="clear" w:color="auto" w:fill="auto"/>
        <w:bidi w:val="0"/>
        <w:spacing w:before="0" w:after="640" w:line="240" w:lineRule="auto"/>
        <w:ind w:left="0" w:right="0" w:firstLine="0"/>
        <w:jc w:val="center"/>
      </w:pPr>
      <w:r>
        <w:rPr>
          <w:color w:val="000000"/>
          <w:spacing w:val="0"/>
          <w:w w:val="100"/>
          <w:position w:val="0"/>
          <w:sz w:val="24"/>
          <w:szCs w:val="24"/>
        </w:rPr>
        <w:t>中国注册会计师</w:t>
        <w:br/>
      </w:r>
      <w:r>
        <w:rPr>
          <w:color w:val="000000"/>
          <w:spacing w:val="0"/>
          <w:w w:val="100"/>
          <w:position w:val="0"/>
          <w:sz w:val="24"/>
          <w:szCs w:val="24"/>
        </w:rPr>
        <w:t>张琳</w:t>
      </w:r>
    </w:p>
    <w:p>
      <w:pPr>
        <w:pStyle w:val="Style59"/>
        <w:keepNext w:val="0"/>
        <w:keepLines w:val="0"/>
        <w:widowControl w:val="0"/>
        <w:shd w:val="clear" w:color="auto" w:fill="auto"/>
        <w:bidi w:val="0"/>
        <w:spacing w:before="0" w:after="1680" w:line="240" w:lineRule="auto"/>
        <w:ind w:left="0" w:right="0" w:firstLine="0"/>
        <w:jc w:val="center"/>
      </w:pPr>
      <w:r>
        <w:rPr>
          <w:color w:val="000000"/>
          <w:spacing w:val="0"/>
          <w:w w:val="100"/>
          <w:position w:val="0"/>
          <w:sz w:val="24"/>
          <w:szCs w:val="24"/>
        </w:rPr>
        <w:t>中国 上海二</w:t>
      </w:r>
      <w:r>
        <w:rPr>
          <w:color w:val="000000"/>
          <w:spacing w:val="0"/>
          <w:w w:val="100"/>
          <w:position w:val="0"/>
          <w:sz w:val="24"/>
          <w:szCs w:val="24"/>
        </w:rPr>
        <w:t>O</w:t>
      </w:r>
      <w:r>
        <w:rPr>
          <w:color w:val="000000"/>
          <w:spacing w:val="0"/>
          <w:w w:val="100"/>
          <w:position w:val="0"/>
          <w:sz w:val="24"/>
          <w:szCs w:val="24"/>
        </w:rPr>
        <w:t>二二年四月二十日</w:t>
      </w:r>
    </w:p>
    <w:p>
      <w:pPr>
        <w:pStyle w:val="Style19"/>
        <w:keepNext/>
        <w:keepLines/>
        <w:widowControl w:val="0"/>
        <w:shd w:val="clear" w:color="auto" w:fill="auto"/>
        <w:bidi w:val="0"/>
        <w:spacing w:before="0" w:after="360" w:line="240" w:lineRule="auto"/>
        <w:ind w:left="0" w:right="0" w:firstLine="0"/>
        <w:jc w:val="left"/>
      </w:pPr>
      <w:bookmarkStart w:id="700" w:name="bookmark700"/>
      <w:bookmarkStart w:id="701" w:name="bookmark701"/>
      <w:bookmarkStart w:id="702" w:name="bookmark702"/>
      <w:r>
        <w:rPr>
          <w:color w:val="000000"/>
          <w:spacing w:val="0"/>
          <w:w w:val="100"/>
          <w:position w:val="0"/>
          <w:sz w:val="24"/>
          <w:szCs w:val="24"/>
        </w:rPr>
        <w:t>二、财务报表</w:t>
      </w:r>
      <w:bookmarkEnd w:id="700"/>
      <w:bookmarkEnd w:id="701"/>
      <w:bookmarkEnd w:id="702"/>
    </w:p>
    <w:p>
      <w:pPr>
        <w:pStyle w:val="Style14"/>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财务附注中报表的单位为：元</w:t>
      </w:r>
    </w:p>
    <w:p>
      <w:pPr>
        <w:pStyle w:val="Style24"/>
        <w:keepNext/>
        <w:keepLines/>
        <w:widowControl w:val="0"/>
        <w:shd w:val="clear" w:color="auto" w:fill="auto"/>
        <w:bidi w:val="0"/>
        <w:spacing w:before="0" w:after="360" w:line="240" w:lineRule="auto"/>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1</w:t>
      </w:r>
      <w:bookmarkEnd w:id="705"/>
      <w:r>
        <w:rPr>
          <w:color w:val="000000"/>
          <w:spacing w:val="0"/>
          <w:w w:val="100"/>
          <w:position w:val="0"/>
        </w:rPr>
        <w:t>、合并资产负债表</w:t>
      </w:r>
      <w:bookmarkEnd w:id="703"/>
      <w:bookmarkEnd w:id="704"/>
      <w:bookmarkEnd w:id="706"/>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编制单位：北京数字政通科技股份有限公司</w:t>
      </w:r>
    </w:p>
    <w:p>
      <w:pPr>
        <w:pStyle w:val="Style2"/>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1,461,263,476.59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1,580,865,317.52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202,877,579.18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10,169,742.06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4,015,516.23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1,273,335,411.45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1,072,417,057.32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1,277,900.00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3,572,269.00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8,358,946.03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7,664,413.90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102,334,129.66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97,635,501.26</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204,091,083.37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226,619,110.59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55,971,309.45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31,301,255.29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20,647,473.23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34,851,980.81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6,136,188.63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12,903,880.01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3,340,309,013.82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3,078,755,527.76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127,676,585.86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148,190,116.47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4,993,948.28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450,186.64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55,135,915.78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45,135,915.78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74,637,772.95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51,760,909.01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103,023,332.39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94,089,754.12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13,434,841.11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98,040,858.21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105,227,830.33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39,419,405.51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34,817,756.78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440,779,441.04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440,779,441.04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278,047.00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24,835.20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66,934,991.61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58,037,165.78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1,024,355,139.74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978,513,911.15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4,364,664,153.56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4,057,269,438.91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向中央银行借款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431,348,638.86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390,463,126.50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276,435.67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120,429,541.72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203,499,477.09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37,891,714.10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29,727,215.16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46,720,329.62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28,179,051.71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73,778,801.98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120,620,223.60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7,356,790.00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7,356,790.00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6,609,031.65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24,525,630.96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21,614,309.66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741,580,124.56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824,103,403.72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7,103,428.80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16,482,000.00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16,225,000.00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5,056,269.29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3,374,968.69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4,624,827.75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5,980,638.63</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97,886,562.71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96,378,332.92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131,153,088.55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121,958,940.24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872,733,213.11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946,062,343.96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494,265,666.00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481,770,055.00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1,819,183,324.50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1,655,911,891.36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17,808,000.00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111,112,463.56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94,776,399.71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1,059,805,043.62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888,685,592.85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3,484,366,497.68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3,103,335,938.92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7,564,442.77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7,871,156.03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3,491,930,940.45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3,111,207,094.95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4,364,664,153.56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4,057,269,438.91</w:t>
            </w:r>
          </w:p>
        </w:tc>
      </w:tr>
    </w:tbl>
    <w:p>
      <w:pPr>
        <w:pStyle w:val="Style24"/>
        <w:keepNext/>
        <w:keepLines/>
        <w:widowControl w:val="0"/>
        <w:shd w:val="clear" w:color="auto" w:fill="auto"/>
        <w:bidi w:val="0"/>
        <w:spacing w:before="0" w:after="360" w:line="240" w:lineRule="auto"/>
        <w:ind w:left="0" w:right="0" w:firstLine="0"/>
        <w:jc w:val="left"/>
      </w:pPr>
      <w:r>
        <mc:AlternateContent>
          <mc:Choice Requires="wps">
            <w:drawing>
              <wp:anchor distT="152400" distB="3175" distL="114300" distR="5143500" simplePos="0" relativeHeight="125829479" behindDoc="0" locked="0" layoutInCell="1" allowOverlap="1">
                <wp:simplePos x="0" y="0"/>
                <wp:positionH relativeFrom="page">
                  <wp:posOffset>715645</wp:posOffset>
                </wp:positionH>
                <wp:positionV relativeFrom="margin">
                  <wp:posOffset>5147945</wp:posOffset>
                </wp:positionV>
                <wp:extent cx="1054735" cy="149225"/>
                <wp:wrapTopAndBottom/>
                <wp:docPr id="150" name="Shape 150"/>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法定代表人：吴强华</w:t>
                            </w:r>
                          </w:p>
                        </w:txbxContent>
                      </wps:txbx>
                      <wps:bodyPr wrap="none" lIns="0" tIns="0" rIns="0" bIns="0">
                        <a:noAutoFit/>
                      </wps:bodyPr>
                    </wps:wsp>
                  </a:graphicData>
                </a:graphic>
              </wp:anchor>
            </w:drawing>
          </mc:Choice>
          <mc:Fallback>
            <w:pict>
              <v:shape id="_x0000_s1176" type="#_x0000_t202" style="position:absolute;margin-left:56.350000000000001pt;margin-top:405.35000000000002pt;width:83.049999999999997pt;height:11.75pt;z-index:-125829274;mso-wrap-distance-left:9.pt;mso-wrap-distance-top:12.pt;mso-wrap-distance-right:405.pt;mso-wrap-distance-bottom:0.25pt;mso-position-horizontal-relative:page;mso-position-vertical-relative:margin"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法定代表人：吴强华</w:t>
                      </w:r>
                    </w:p>
                  </w:txbxContent>
                </v:textbox>
                <w10:wrap type="topAndBottom" anchorx="page" anchory="margin"/>
              </v:shape>
            </w:pict>
          </mc:Fallback>
        </mc:AlternateContent>
      </w:r>
      <w:r>
        <mc:AlternateContent>
          <mc:Choice Requires="wps">
            <w:drawing>
              <wp:anchor distT="152400" distB="6350" distL="2342515" distR="2458085" simplePos="0" relativeHeight="125829481" behindDoc="0" locked="0" layoutInCell="1" allowOverlap="1">
                <wp:simplePos x="0" y="0"/>
                <wp:positionH relativeFrom="page">
                  <wp:posOffset>2943860</wp:posOffset>
                </wp:positionH>
                <wp:positionV relativeFrom="margin">
                  <wp:posOffset>5147945</wp:posOffset>
                </wp:positionV>
                <wp:extent cx="1511935" cy="146050"/>
                <wp:wrapTopAndBottom/>
                <wp:docPr id="152" name="Shape 152"/>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主管会计工作负责人：冯长浩</w:t>
                            </w:r>
                          </w:p>
                        </w:txbxContent>
                      </wps:txbx>
                      <wps:bodyPr wrap="none" lIns="0" tIns="0" rIns="0" bIns="0">
                        <a:noAutoFit/>
                      </wps:bodyPr>
                    </wps:wsp>
                  </a:graphicData>
                </a:graphic>
              </wp:anchor>
            </w:drawing>
          </mc:Choice>
          <mc:Fallback>
            <w:pict>
              <v:shape id="_x0000_s1178" type="#_x0000_t202" style="position:absolute;margin-left:231.80000000000001pt;margin-top:405.35000000000002pt;width:119.05pt;height:11.5pt;z-index:-125829272;mso-wrap-distance-left:184.45000000000002pt;mso-wrap-distance-top:12.pt;mso-wrap-distance-right:193.55000000000001pt;mso-wrap-distance-bottom:0.5pt;mso-position-horizontal-relative:page;mso-position-vertical-relative:margin" filled="f" stroked="f">
                <v:textbox inset="0,0,0,0">
                  <w:txbxContent>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主管会计工作负责人：冯长浩</w:t>
                      </w:r>
                    </w:p>
                  </w:txbxContent>
                </v:textbox>
                <w10:wrap type="topAndBottom" anchorx="page" anchory="margin"/>
              </v:shape>
            </w:pict>
          </mc:Fallback>
        </mc:AlternateContent>
      </w:r>
      <w:r>
        <mc:AlternateContent>
          <mc:Choice Requires="wps">
            <w:drawing>
              <wp:anchor distT="152400" distB="0" distL="5027930" distR="114300" simplePos="0" relativeHeight="125829483" behindDoc="0" locked="0" layoutInCell="1" allowOverlap="1">
                <wp:simplePos x="0" y="0"/>
                <wp:positionH relativeFrom="page">
                  <wp:posOffset>5629275</wp:posOffset>
                </wp:positionH>
                <wp:positionV relativeFrom="margin">
                  <wp:posOffset>5147945</wp:posOffset>
                </wp:positionV>
                <wp:extent cx="1170305" cy="152400"/>
                <wp:wrapTopAndBottom/>
                <wp:docPr id="154" name="Shape 154"/>
                <a:graphic xmlns:a="http://schemas.openxmlformats.org/drawingml/2006/main">
                  <a:graphicData uri="http://schemas.microsoft.com/office/word/2010/wordprocessingShape">
                    <wps:wsp>
                      <wps:cNvSpPr txBox="1"/>
                      <wps:spPr>
                        <a:xfrm>
                          <a:ext cx="1170305" cy="15240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会计机构负责人：向华</w:t>
                            </w:r>
                          </w:p>
                        </w:txbxContent>
                      </wps:txbx>
                      <wps:bodyPr wrap="none" lIns="0" tIns="0" rIns="0" bIns="0">
                        <a:noAutoFit/>
                      </wps:bodyPr>
                    </wps:wsp>
                  </a:graphicData>
                </a:graphic>
              </wp:anchor>
            </w:drawing>
          </mc:Choice>
          <mc:Fallback>
            <w:pict>
              <v:shape id="_x0000_s1180" type="#_x0000_t202" style="position:absolute;margin-left:443.25pt;margin-top:405.35000000000002pt;width:92.150000000000006pt;height:12.pt;z-index:-125829270;mso-wrap-distance-left:395.90000000000003pt;mso-wrap-distance-top:12.pt;mso-wrap-distance-right:9.pt;mso-position-horizontal-relative:page;mso-position-vertical-relative:margin"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会计机构负责人：向华</w:t>
                      </w:r>
                    </w:p>
                  </w:txbxContent>
                </v:textbox>
                <w10:wrap type="topAndBottom" anchorx="page" anchory="margin"/>
              </v:shape>
            </w:pict>
          </mc:Fallback>
        </mc:AlternateContent>
      </w: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2</w:t>
      </w:r>
      <w:bookmarkEnd w:id="709"/>
      <w:r>
        <w:rPr>
          <w:color w:val="000000"/>
          <w:spacing w:val="0"/>
          <w:w w:val="100"/>
          <w:position w:val="0"/>
        </w:rPr>
        <w:t>、母公司资产负债表</w:t>
      </w:r>
      <w:bookmarkEnd w:id="707"/>
      <w:bookmarkEnd w:id="708"/>
      <w:bookmarkEnd w:id="710"/>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1,308,856,778.64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1,383,760,460.84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192,675,293.73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2,255,470.20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774,337,400.00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586,551,734.39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1,180,700.00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2,376,069.00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18,174,925.33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5,801,317.04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341,038,439.84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351,961,267.74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其中：应收利息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57,037,776.63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115,678,327.39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55,971,309.45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31,301,255.29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3,622,404.83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5,581,976.19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2,781,528,093.82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2,487,339,812.71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844,487,978.62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821,044,216.98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45,115,915.78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45,115,915.78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25,217,044.26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31,529,237.51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38,258,818.25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32,141,602.34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13,434,841.11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70,938,537.07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63,484,696.67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39,419,405.51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34,817,756.78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38,222,252.26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34,139,961.37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1,115,094,792.86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1,062,273,387.43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3,896,622,886.68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3,549,613,200.14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338,233,794.54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255,852,351.90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82,813,978.25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159,336,356.68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16,324,425.77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12,999,871.87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29,345,905.42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12,456,965.45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62,422,803.22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93,698,077.78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6,609,031.65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664,831.12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2,180,273.61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536,414,769.97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536,523,897.29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7,103,428.80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16,482,000.00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16,225,000.00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5,056,269.29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3,374,968.69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401,294.06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29,042,992.15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19,599,968.69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565,457,762.12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556,123,865.98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494,265,666.00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481,770,055.00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1,917,013,748.53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1,753,742,315.39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17,808,000.00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111,112,463.56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94,776,399.71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808,773,246.47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681,008,564.06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3,331,165,124.56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2,993,489,334.16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3,896,622,886.68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3,549,613,200.14</w:t>
            </w:r>
          </w:p>
        </w:tc>
      </w:tr>
    </w:tbl>
    <w:p>
      <w:pPr>
        <w:widowControl w:val="0"/>
        <w:spacing w:after="299" w:line="1" w:lineRule="exact"/>
      </w:pPr>
    </w:p>
    <w:p>
      <w:pPr>
        <w:pStyle w:val="Style24"/>
        <w:keepNext/>
        <w:keepLines/>
        <w:widowControl w:val="0"/>
        <w:shd w:val="clear" w:color="auto" w:fill="auto"/>
        <w:bidi w:val="0"/>
        <w:spacing w:before="0" w:after="380" w:line="240" w:lineRule="auto"/>
        <w:ind w:left="0" w:right="0" w:firstLine="0"/>
        <w:jc w:val="left"/>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3</w:t>
      </w:r>
      <w:bookmarkEnd w:id="713"/>
      <w:r>
        <w:rPr>
          <w:color w:val="000000"/>
          <w:spacing w:val="0"/>
          <w:w w:val="100"/>
          <w:position w:val="0"/>
        </w:rPr>
        <w:t>、合并利润表</w:t>
      </w:r>
      <w:bookmarkEnd w:id="711"/>
      <w:bookmarkEnd w:id="712"/>
      <w:bookmarkEnd w:id="714"/>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7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1,480,608,704.87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1,413,997,067.60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1,480,608,704.87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1,413,997,067.60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1,249,041,889.49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1,242,429,690.79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911,082,582.82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944,685,465.51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20"/>
              <w:jc w:val="left"/>
              <w:rPr>
                <w:sz w:val="18"/>
                <w:szCs w:val="18"/>
              </w:rPr>
            </w:pPr>
            <w:r>
              <w:rPr>
                <w:color w:val="000000"/>
                <w:spacing w:val="0"/>
                <w:w w:val="100"/>
                <w:position w:val="0"/>
                <w:sz w:val="18"/>
                <w:szCs w:val="18"/>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10,825,373.62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10,958,114.44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113,013,394.42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98,788,052.19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134,295,770.75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120,999,723.18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98,779,509.68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90,017,319.10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-18,954,741.80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-23,018,983.63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4,395,811.32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6,445,680.83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15,190,289.87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18,050,535.98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26,789,599.95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31,916,668.41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8"/>
                <w:szCs w:val="18"/>
              </w:rPr>
            </w:pPr>
            <w:r>
              <w:rPr>
                <w:color w:val="000000"/>
                <w:spacing w:val="0"/>
                <w:w w:val="100"/>
                <w:position w:val="0"/>
                <w:sz w:val="18"/>
                <w:szCs w:val="18"/>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22,608,081.20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5,478,431.38</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40"/>
              <w:jc w:val="left"/>
              <w:rPr>
                <w:sz w:val="18"/>
                <w:szCs w:val="18"/>
              </w:rPr>
            </w:pPr>
            <w:r>
              <w:rPr>
                <w:color w:val="000000"/>
                <w:spacing w:val="0"/>
                <w:w w:val="100"/>
                <w:position w:val="0"/>
                <w:sz w:val="18"/>
                <w:szCs w:val="18"/>
              </w:rPr>
              <w:t>其中：对联营企业和合营企业 的投资收益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468,761.64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-3,440,271.04</w:t>
            </w:r>
          </w:p>
        </w:tc>
      </w:tr>
    </w:tbl>
    <w:p>
      <w:pPr>
        <w:widowControl w:val="0"/>
        <w:spacing w:line="1" w:lineRule="exact"/>
      </w:pPr>
      <w:r>
        <w:br w:type="page"/>
      </w:r>
    </w:p>
    <w:tbl>
      <w:tblPr>
        <w:tblOverlap w:val="never"/>
        <w:jc w:val="center"/>
        <w:tblLayout w:type="fixed"/>
      </w:tblPr>
      <w:tblGrid>
        <w:gridCol w:w="3086"/>
        <w:gridCol w:w="3211"/>
        <w:gridCol w:w="32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rPr>
                <w:sz w:val="18"/>
                <w:szCs w:val="18"/>
              </w:rPr>
            </w:pPr>
            <w:r>
              <w:rPr>
                <w:color w:val="000000"/>
                <w:spacing w:val="0"/>
                <w:w w:val="100"/>
                <w:position w:val="0"/>
                <w:sz w:val="18"/>
                <w:szCs w:val="18"/>
              </w:rPr>
              <w:t>以摊余成本计量的金融</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rPr>
                <w:sz w:val="18"/>
                <w:szCs w:val="18"/>
              </w:rPr>
            </w:pPr>
            <w:r>
              <w:rPr>
                <w:color w:val="000000"/>
                <w:spacing w:val="0"/>
                <w:w w:val="100"/>
                <w:position w:val="0"/>
                <w:sz w:val="18"/>
                <w:szCs w:val="18"/>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both"/>
              <w:rPr>
                <w:sz w:val="18"/>
                <w:szCs w:val="18"/>
              </w:rPr>
            </w:pPr>
            <w:r>
              <w:rPr>
                <w:color w:val="000000"/>
                <w:spacing w:val="0"/>
                <w:w w:val="100"/>
                <w:position w:val="0"/>
                <w:sz w:val="18"/>
                <w:szCs w:val="18"/>
              </w:rPr>
              <w:t>公允价值变动收益（损失以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2,707,837.12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169,742.06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8"/>
                <w:szCs w:val="18"/>
              </w:rPr>
            </w:pPr>
            <w:r>
              <w:rPr>
                <w:color w:val="000000"/>
                <w:spacing w:val="0"/>
                <w:w w:val="100"/>
                <w:position w:val="0"/>
                <w:sz w:val="18"/>
                <w:szCs w:val="18"/>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-48,276,355.03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-38,889,840.82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8"/>
                <w:szCs w:val="18"/>
              </w:rPr>
            </w:pPr>
            <w:r>
              <w:rPr>
                <w:color w:val="000000"/>
                <w:spacing w:val="0"/>
                <w:w w:val="100"/>
                <w:position w:val="0"/>
                <w:sz w:val="18"/>
                <w:szCs w:val="18"/>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-3,539,603.09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-1,526,381.09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rPr>
                <w:sz w:val="18"/>
                <w:szCs w:val="18"/>
              </w:rPr>
            </w:pPr>
            <w:r>
              <w:rPr>
                <w:color w:val="000000"/>
                <w:spacing w:val="0"/>
                <w:w w:val="100"/>
                <w:position w:val="0"/>
                <w:sz w:val="18"/>
                <w:szCs w:val="18"/>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231,856,375.53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168,715,996.75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2,796,227.48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3,747,096.92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182,678.62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2,279,398.26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234,469,924.39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170,183,695.41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28,061,230.83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11,791,685.40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206,408,693.56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158,392,010.01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206,408,693.56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158,392,010.01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206,715,406.82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158,660,177.22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-306,713.26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-268,167.21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00"/>
              <w:jc w:val="left"/>
              <w:rPr>
                <w:sz w:val="18"/>
                <w:szCs w:val="18"/>
              </w:rPr>
            </w:pPr>
            <w:r>
              <w:rPr>
                <w:color w:val="000000"/>
                <w:spacing w:val="0"/>
                <w:w w:val="100"/>
                <w:position w:val="0"/>
                <w:sz w:val="18"/>
                <w:szCs w:val="18"/>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8"/>
                <w:szCs w:val="18"/>
              </w:rPr>
            </w:pPr>
            <w:r>
              <w:rPr>
                <w:color w:val="000000"/>
                <w:spacing w:val="0"/>
                <w:w w:val="100"/>
                <w:position w:val="0"/>
                <w:sz w:val="18"/>
                <w:szCs w:val="18"/>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其他权益工具投资公允价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7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80"/>
              <w:jc w:val="left"/>
              <w:rPr>
                <w:sz w:val="18"/>
                <w:szCs w:val="18"/>
              </w:rPr>
            </w:pPr>
            <w:r>
              <w:rPr>
                <w:color w:val="000000"/>
                <w:spacing w:val="0"/>
                <w:w w:val="100"/>
                <w:position w:val="0"/>
                <w:sz w:val="18"/>
                <w:szCs w:val="18"/>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00"/>
              <w:jc w:val="left"/>
              <w:rPr>
                <w:sz w:val="18"/>
                <w:szCs w:val="18"/>
              </w:rPr>
            </w:pPr>
            <w:r>
              <w:rPr>
                <w:color w:val="000000"/>
                <w:spacing w:val="0"/>
                <w:w w:val="100"/>
                <w:position w:val="0"/>
                <w:sz w:val="18"/>
                <w:szCs w:val="18"/>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206,408,693.56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158,392,010.01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rPr>
                <w:sz w:val="18"/>
                <w:szCs w:val="18"/>
              </w:rPr>
            </w:pPr>
            <w:r>
              <w:rPr>
                <w:color w:val="000000"/>
                <w:spacing w:val="0"/>
                <w:w w:val="100"/>
                <w:position w:val="0"/>
                <w:sz w:val="18"/>
                <w:szCs w:val="18"/>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206,715,406.82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158,660,177.22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-306,713.26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-268,167.21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r>
    </w:tbl>
    <w:p>
      <w:pPr>
        <w:pStyle w:val="Style24"/>
        <w:keepNext/>
        <w:keepLines/>
        <w:widowControl w:val="0"/>
        <w:shd w:val="clear" w:color="auto" w:fill="auto"/>
        <w:bidi w:val="0"/>
        <w:spacing w:before="0" w:after="360" w:line="240" w:lineRule="auto"/>
        <w:ind w:left="0" w:right="0" w:firstLine="0"/>
        <w:jc w:val="left"/>
      </w:pPr>
      <w:r>
        <mc:AlternateContent>
          <mc:Choice Requires="wps">
            <w:drawing>
              <wp:anchor distT="152400" distB="3175" distL="114300" distR="5143500" simplePos="0" relativeHeight="125829485" behindDoc="0" locked="0" layoutInCell="1" allowOverlap="1">
                <wp:simplePos x="0" y="0"/>
                <wp:positionH relativeFrom="page">
                  <wp:posOffset>715645</wp:posOffset>
                </wp:positionH>
                <wp:positionV relativeFrom="margin">
                  <wp:posOffset>6452870</wp:posOffset>
                </wp:positionV>
                <wp:extent cx="1054735" cy="149225"/>
                <wp:wrapTopAndBottom/>
                <wp:docPr id="156" name="Shape 156"/>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法定代表人：吴强华</w:t>
                            </w:r>
                          </w:p>
                        </w:txbxContent>
                      </wps:txbx>
                      <wps:bodyPr wrap="none" lIns="0" tIns="0" rIns="0" bIns="0">
                        <a:noAutoFit/>
                      </wps:bodyPr>
                    </wps:wsp>
                  </a:graphicData>
                </a:graphic>
              </wp:anchor>
            </w:drawing>
          </mc:Choice>
          <mc:Fallback>
            <w:pict>
              <v:shape id="_x0000_s1182" type="#_x0000_t202" style="position:absolute;margin-left:56.350000000000001pt;margin-top:508.10000000000002pt;width:83.049999999999997pt;height:11.75pt;z-index:-125829268;mso-wrap-distance-left:9.pt;mso-wrap-distance-top:12.pt;mso-wrap-distance-right:405.pt;mso-wrap-distance-bottom:0.25pt;mso-position-horizontal-relative:page;mso-position-vertical-relative:margin"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法定代表人：吴强华</w:t>
                      </w:r>
                    </w:p>
                  </w:txbxContent>
                </v:textbox>
                <w10:wrap type="topAndBottom" anchorx="page" anchory="margin"/>
              </v:shape>
            </w:pict>
          </mc:Fallback>
        </mc:AlternateContent>
      </w:r>
      <w:r>
        <mc:AlternateContent>
          <mc:Choice Requires="wps">
            <w:drawing>
              <wp:anchor distT="152400" distB="6350" distL="2342515" distR="2458085" simplePos="0" relativeHeight="125829487" behindDoc="0" locked="0" layoutInCell="1" allowOverlap="1">
                <wp:simplePos x="0" y="0"/>
                <wp:positionH relativeFrom="page">
                  <wp:posOffset>2943860</wp:posOffset>
                </wp:positionH>
                <wp:positionV relativeFrom="margin">
                  <wp:posOffset>6452870</wp:posOffset>
                </wp:positionV>
                <wp:extent cx="1511935" cy="146050"/>
                <wp:wrapTopAndBottom/>
                <wp:docPr id="158" name="Shape 158"/>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主管会计工作负责人：冯长浩</w:t>
                            </w:r>
                          </w:p>
                        </w:txbxContent>
                      </wps:txbx>
                      <wps:bodyPr wrap="none" lIns="0" tIns="0" rIns="0" bIns="0">
                        <a:noAutoFit/>
                      </wps:bodyPr>
                    </wps:wsp>
                  </a:graphicData>
                </a:graphic>
              </wp:anchor>
            </w:drawing>
          </mc:Choice>
          <mc:Fallback>
            <w:pict>
              <v:shape id="_x0000_s1184" type="#_x0000_t202" style="position:absolute;margin-left:231.80000000000001pt;margin-top:508.10000000000002pt;width:119.05pt;height:11.5pt;z-index:-125829266;mso-wrap-distance-left:184.45000000000002pt;mso-wrap-distance-top:12.pt;mso-wrap-distance-right:193.55000000000001pt;mso-wrap-distance-bottom:0.5pt;mso-position-horizontal-relative:page;mso-position-vertical-relative:margin" filled="f" stroked="f">
                <v:textbox inset="0,0,0,0">
                  <w:txbxContent>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主管会计工作负责人：冯长浩</w:t>
                      </w:r>
                    </w:p>
                  </w:txbxContent>
                </v:textbox>
                <w10:wrap type="topAndBottom" anchorx="page" anchory="margin"/>
              </v:shape>
            </w:pict>
          </mc:Fallback>
        </mc:AlternateContent>
      </w:r>
      <w:r>
        <mc:AlternateContent>
          <mc:Choice Requires="wps">
            <w:drawing>
              <wp:anchor distT="152400" distB="0" distL="5027930" distR="114300" simplePos="0" relativeHeight="125829489" behindDoc="0" locked="0" layoutInCell="1" allowOverlap="1">
                <wp:simplePos x="0" y="0"/>
                <wp:positionH relativeFrom="page">
                  <wp:posOffset>5629275</wp:posOffset>
                </wp:positionH>
                <wp:positionV relativeFrom="margin">
                  <wp:posOffset>6452870</wp:posOffset>
                </wp:positionV>
                <wp:extent cx="1170305" cy="152400"/>
                <wp:wrapTopAndBottom/>
                <wp:docPr id="160" name="Shape 160"/>
                <a:graphic xmlns:a="http://schemas.openxmlformats.org/drawingml/2006/main">
                  <a:graphicData uri="http://schemas.microsoft.com/office/word/2010/wordprocessingShape">
                    <wps:wsp>
                      <wps:cNvSpPr txBox="1"/>
                      <wps:spPr>
                        <a:xfrm>
                          <a:ext cx="1170305" cy="15240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会计机构负责人：向华</w:t>
                            </w:r>
                          </w:p>
                        </w:txbxContent>
                      </wps:txbx>
                      <wps:bodyPr wrap="none" lIns="0" tIns="0" rIns="0" bIns="0">
                        <a:noAutoFit/>
                      </wps:bodyPr>
                    </wps:wsp>
                  </a:graphicData>
                </a:graphic>
              </wp:anchor>
            </w:drawing>
          </mc:Choice>
          <mc:Fallback>
            <w:pict>
              <v:shape id="_x0000_s1186" type="#_x0000_t202" style="position:absolute;margin-left:443.25pt;margin-top:508.10000000000002pt;width:92.150000000000006pt;height:12.pt;z-index:-125829264;mso-wrap-distance-left:395.90000000000003pt;mso-wrap-distance-top:12.pt;mso-wrap-distance-right:9.pt;mso-position-horizontal-relative:page;mso-position-vertical-relative:margin"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会计机构负责人：向华</w:t>
                      </w:r>
                    </w:p>
                  </w:txbxContent>
                </v:textbox>
                <w10:wrap type="topAndBottom" anchorx="page" anchory="margin"/>
              </v:shape>
            </w:pict>
          </mc:Fallback>
        </mc:AlternateContent>
      </w: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4</w:t>
      </w:r>
      <w:bookmarkEnd w:id="717"/>
      <w:r>
        <w:rPr>
          <w:color w:val="000000"/>
          <w:spacing w:val="0"/>
          <w:w w:val="100"/>
          <w:position w:val="0"/>
        </w:rPr>
        <w:t>、母公司利润表</w:t>
      </w:r>
      <w:bookmarkEnd w:id="715"/>
      <w:bookmarkEnd w:id="716"/>
      <w:bookmarkEnd w:id="71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1,086,777,204.35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888,096,012.62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680,217,602.38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538,566,017.19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6,331,978.27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6,294,392.49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销售费用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67,363,895.21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76,764,555.25</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101,356,601.16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97,796,870.47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92,431,931.83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84,280,214.57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-20,038,173.09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-17,557,527.71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20,821,152.93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16,894,024.02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24,084,635.11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28,494,395.92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8"/>
                <w:szCs w:val="18"/>
              </w:rPr>
            </w:pPr>
            <w:r>
              <w:rPr>
                <w:color w:val="000000"/>
                <w:spacing w:val="0"/>
                <w:w w:val="100"/>
                <w:position w:val="0"/>
                <w:sz w:val="18"/>
                <w:szCs w:val="18"/>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21,352,588.31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5,279,151.46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40"/>
              <w:jc w:val="left"/>
              <w:rPr>
                <w:sz w:val="18"/>
                <w:szCs w:val="18"/>
              </w:rPr>
            </w:pPr>
            <w:r>
              <w:rPr>
                <w:color w:val="000000"/>
                <w:spacing w:val="0"/>
                <w:w w:val="100"/>
                <w:position w:val="0"/>
                <w:sz w:val="18"/>
                <w:szCs w:val="18"/>
              </w:rPr>
              <w:t>其中：对联营企业和合营企 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468,761.64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-3,440,271.04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100"/>
              <w:jc w:val="left"/>
              <w:rPr>
                <w:sz w:val="18"/>
                <w:szCs w:val="18"/>
              </w:rPr>
            </w:pPr>
            <w:r>
              <w:rPr>
                <w:color w:val="000000"/>
                <w:spacing w:val="0"/>
                <w:w w:val="100"/>
                <w:position w:val="0"/>
                <w:sz w:val="18"/>
                <w:szCs w:val="18"/>
              </w:rPr>
              <w:t>以摊余成本计量的金融 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rPr>
                <w:sz w:val="18"/>
                <w:szCs w:val="18"/>
              </w:rPr>
            </w:pPr>
            <w:r>
              <w:rPr>
                <w:color w:val="000000"/>
                <w:spacing w:val="0"/>
                <w:w w:val="100"/>
                <w:position w:val="0"/>
                <w:sz w:val="18"/>
                <w:szCs w:val="18"/>
              </w:rPr>
              <w:t>净敞口套期收益（损失以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both"/>
              <w:rPr>
                <w:sz w:val="18"/>
                <w:szCs w:val="18"/>
              </w:rPr>
            </w:pPr>
            <w:r>
              <w:rPr>
                <w:color w:val="000000"/>
                <w:spacing w:val="0"/>
                <w:w w:val="100"/>
                <w:position w:val="0"/>
                <w:sz w:val="18"/>
                <w:szCs w:val="18"/>
              </w:rPr>
              <w:t>公允价值变动收益（损失以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2,675,293.73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rPr>
                <w:sz w:val="18"/>
                <w:szCs w:val="18"/>
              </w:rPr>
            </w:pPr>
            <w:r>
              <w:rPr>
                <w:color w:val="000000"/>
                <w:spacing w:val="0"/>
                <w:w w:val="100"/>
                <w:position w:val="0"/>
                <w:sz w:val="18"/>
                <w:szCs w:val="18"/>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-19,932,080.57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-18,662,648.30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rPr>
                <w:sz w:val="18"/>
                <w:szCs w:val="18"/>
              </w:rPr>
            </w:pPr>
            <w:r>
              <w:rPr>
                <w:color w:val="000000"/>
                <w:spacing w:val="0"/>
                <w:w w:val="100"/>
                <w:position w:val="0"/>
                <w:sz w:val="18"/>
                <w:szCs w:val="18"/>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-2,669,181.75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-834,128.94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rPr>
                <w:sz w:val="18"/>
                <w:szCs w:val="18"/>
              </w:rPr>
            </w:pPr>
            <w:r>
              <w:rPr>
                <w:color w:val="000000"/>
                <w:spacing w:val="0"/>
                <w:w w:val="100"/>
                <w:position w:val="0"/>
                <w:sz w:val="18"/>
                <w:szCs w:val="18"/>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184,624,623.42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116,228,260.50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1,187,405.71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903,882.20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78,155.80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2,021,895.08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185,733,873.33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115,110,247.62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22,373,234.87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6,128,140.03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163,360,638.46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108,982,107.59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163,360,638.46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108,982,107.59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8"/>
                <w:szCs w:val="18"/>
              </w:rPr>
            </w:pPr>
            <w:r>
              <w:rPr>
                <w:color w:val="000000"/>
                <w:spacing w:val="0"/>
                <w:w w:val="100"/>
                <w:position w:val="0"/>
                <w:sz w:val="18"/>
                <w:szCs w:val="18"/>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8"/>
                <w:szCs w:val="18"/>
              </w:rPr>
            </w:pPr>
            <w:r>
              <w:rPr>
                <w:color w:val="000000"/>
                <w:spacing w:val="0"/>
                <w:w w:val="100"/>
                <w:position w:val="0"/>
                <w:sz w:val="18"/>
                <w:szCs w:val="18"/>
              </w:rPr>
              <w:t>（一）不能重分类进损益的其他 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80"/>
              <w:jc w:val="left"/>
              <w:rPr>
                <w:sz w:val="18"/>
                <w:szCs w:val="18"/>
              </w:rPr>
            </w:pPr>
            <w:r>
              <w:rPr>
                <w:color w:val="000000"/>
                <w:spacing w:val="0"/>
                <w:w w:val="100"/>
                <w:position w:val="0"/>
                <w:sz w:val="18"/>
                <w:szCs w:val="18"/>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163,360,638.46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108,982,107.59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left"/>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5</w:t>
      </w:r>
      <w:bookmarkEnd w:id="721"/>
      <w:r>
        <w:rPr>
          <w:color w:val="000000"/>
          <w:spacing w:val="0"/>
          <w:w w:val="100"/>
          <w:position w:val="0"/>
        </w:rPr>
        <w:t>、合并现金流量表</w:t>
      </w:r>
      <w:bookmarkEnd w:id="719"/>
      <w:bookmarkEnd w:id="720"/>
      <w:bookmarkEnd w:id="72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1,262,540,614.98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1,285,574,980.31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8"/>
                <w:szCs w:val="18"/>
              </w:rPr>
            </w:pPr>
            <w:r>
              <w:rPr>
                <w:color w:val="000000"/>
                <w:spacing w:val="0"/>
                <w:w w:val="100"/>
                <w:position w:val="0"/>
                <w:sz w:val="18"/>
                <w:szCs w:val="18"/>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向其他金融机构拆入资金净增加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25,381,669.97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35,032,030.35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83,631,820.32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111,409,287.45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1,371,554,105.27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1,432,016,298.11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465,856,183.38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519,272,831.90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8"/>
                <w:szCs w:val="18"/>
              </w:rPr>
            </w:pPr>
            <w:r>
              <w:rPr>
                <w:color w:val="000000"/>
                <w:spacing w:val="0"/>
                <w:w w:val="100"/>
                <w:position w:val="0"/>
                <w:sz w:val="18"/>
                <w:szCs w:val="18"/>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513,532,128.65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420,727,718.82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99,415,187.07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98,661,593.90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191,072,714.79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167,659,338.14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1,269,876,213.89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1,206,321,482.76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101,677,891.38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225,694,815.35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960,390,000.00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224,776,563.00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22,139,319.56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2,026,223.64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982,576,519.56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226,803,336.64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购建固定资产、无形资产和其他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84,629,945.17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45,447,852.24</w:t>
            </w: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1,165,447,723.00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209,400,000.00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8"/>
                <w:szCs w:val="18"/>
              </w:rPr>
            </w:pPr>
            <w:r>
              <w:rPr>
                <w:color w:val="000000"/>
                <w:spacing w:val="0"/>
                <w:w w:val="100"/>
                <w:position w:val="0"/>
                <w:sz w:val="18"/>
                <w:szCs w:val="18"/>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1,250,077,668.17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254,847,852.24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-267,501,148.61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-28,044,515.60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108,590,619.83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675,138,756.00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8"/>
                <w:szCs w:val="18"/>
              </w:rPr>
            </w:pPr>
            <w:r>
              <w:rPr>
                <w:color w:val="000000"/>
                <w:spacing w:val="0"/>
                <w:w w:val="100"/>
                <w:position w:val="0"/>
                <w:sz w:val="18"/>
                <w:szCs w:val="18"/>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50,300,000.00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98,685,000.00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108,590,619.83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824,123,756.00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110,300,000.00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8"/>
                <w:szCs w:val="18"/>
              </w:rPr>
            </w:pPr>
            <w:r>
              <w:rPr>
                <w:color w:val="000000"/>
                <w:spacing w:val="0"/>
                <w:w w:val="100"/>
                <w:position w:val="0"/>
                <w:sz w:val="18"/>
                <w:szCs w:val="18"/>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19,667,892.20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19,014,560.32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rPr>
                <w:sz w:val="18"/>
                <w:szCs w:val="18"/>
              </w:rPr>
            </w:pPr>
            <w:r>
              <w:rPr>
                <w:color w:val="000000"/>
                <w:spacing w:val="0"/>
                <w:w w:val="100"/>
                <w:position w:val="0"/>
                <w:sz w:val="18"/>
                <w:szCs w:val="18"/>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10,767,872.36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38,680,290.79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60,435,764.56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167,994,851.11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48,154,855.27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656,128,904.89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-117,668,401.96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853,779,204.64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1,554,077,273.67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700,298,069.03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1,436,408,871.71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1,554,077,273.67</w:t>
            </w: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left"/>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6</w:t>
      </w:r>
      <w:bookmarkEnd w:id="725"/>
      <w:r>
        <w:rPr>
          <w:color w:val="000000"/>
          <w:spacing w:val="0"/>
          <w:w w:val="100"/>
          <w:position w:val="0"/>
        </w:rPr>
        <w:t>、母公司现金流量表</w:t>
      </w:r>
      <w:bookmarkEnd w:id="723"/>
      <w:bookmarkEnd w:id="724"/>
      <w:bookmarkEnd w:id="72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846,217,717.12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899,191,195.91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收到的税费返还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24,084,635.11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33,980,545.45</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102,161,194.72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122,220,539.99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972,463,546.95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1,055,392,281.35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481,084,005.67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530,970,411.96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8"/>
                <w:szCs w:val="18"/>
              </w:rPr>
            </w:pPr>
            <w:r>
              <w:rPr>
                <w:color w:val="000000"/>
                <w:spacing w:val="0"/>
                <w:w w:val="100"/>
                <w:position w:val="0"/>
                <w:sz w:val="18"/>
                <w:szCs w:val="18"/>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179,380,102.07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138,264,025.45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56,134,786.06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56,210,978.00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145,158,810.77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110,888,226.26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861,757,704.57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836,333,641.67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110,705,842.38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219,058,639.68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921,606,924.64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203,776,563.00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21,276,902.03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1,826,943.72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943,773,026.67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205,603,506.72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8"/>
                <w:szCs w:val="18"/>
              </w:rPr>
            </w:pPr>
            <w:r>
              <w:rPr>
                <w:color w:val="000000"/>
                <w:spacing w:val="0"/>
                <w:w w:val="100"/>
                <w:position w:val="0"/>
                <w:sz w:val="18"/>
                <w:szCs w:val="18"/>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41,131,523.61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35,611,257.39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1,139,157,723.00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255,697,890.79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1,210,289,246.61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291,309,148.18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-266,516,219.94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-85,705,641.46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108,240,619.83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675,138,756.00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20,385,000.00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108,240,619.83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695,523,756.00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19,259,892.20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17,241,754.49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7,567,872.36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13,382,400.00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26,827,764.56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30,624,154.49</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81,412,855.27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664,899,601.51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-74,397,522.29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798,252,599.73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1,368,626,112.96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570,373,513.23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1,294,228,590.67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1,368,626,112.96</w:t>
            </w:r>
          </w:p>
        </w:tc>
      </w:tr>
    </w:tbl>
    <w:p>
      <w:pPr>
        <w:widowControl w:val="0"/>
        <w:spacing w:after="299" w:line="1" w:lineRule="exact"/>
      </w:pPr>
    </w:p>
    <w:p>
      <w:pPr>
        <w:pStyle w:val="Style24"/>
        <w:keepNext/>
        <w:keepLines/>
        <w:widowControl w:val="0"/>
        <w:shd w:val="clear" w:color="auto" w:fill="auto"/>
        <w:bidi w:val="0"/>
        <w:spacing w:before="0" w:after="380" w:line="240" w:lineRule="auto"/>
        <w:ind w:left="0" w:right="0" w:firstLine="0"/>
        <w:jc w:val="left"/>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7</w:t>
      </w:r>
      <w:bookmarkEnd w:id="729"/>
      <w:r>
        <w:rPr>
          <w:color w:val="000000"/>
          <w:spacing w:val="0"/>
          <w:w w:val="100"/>
          <w:position w:val="0"/>
        </w:rPr>
        <w:t>、合并所有者权益变动表</w:t>
      </w:r>
      <w:bookmarkEnd w:id="727"/>
      <w:bookmarkEnd w:id="728"/>
      <w:bookmarkEnd w:id="730"/>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少数</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股东</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资本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其他</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综合</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专项</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盈余</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一般</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风险</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未分</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配利</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481,7</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70,05</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1,655,</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911,89</w:t>
            </w:r>
          </w:p>
          <w:p>
            <w:pPr>
              <w:pStyle w:val="Style2"/>
              <w:keepNext w:val="0"/>
              <w:keepLines w:val="0"/>
              <w:widowControl w:val="0"/>
              <w:shd w:val="clear" w:color="auto" w:fill="auto"/>
              <w:bidi w:val="0"/>
              <w:spacing w:before="0" w:after="8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17,808 ,000.0 0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94,776</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,399.7</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888,68</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5,592.</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3,103,</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335,93</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3,111,</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207,09</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8"/>
                <w:szCs w:val="18"/>
              </w:rPr>
            </w:pPr>
            <w:r>
              <w:rPr>
                <w:color w:val="000000"/>
                <w:spacing w:val="0"/>
                <w:w w:val="100"/>
                <w:position w:val="0"/>
                <w:sz w:val="18"/>
                <w:szCs w:val="18"/>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740"/>
              <w:jc w:val="left"/>
              <w:rPr>
                <w:sz w:val="18"/>
                <w:szCs w:val="18"/>
              </w:rPr>
            </w:pPr>
            <w:r>
              <w:rPr>
                <w:color w:val="000000"/>
                <w:spacing w:val="0"/>
                <w:w w:val="100"/>
                <w:position w:val="0"/>
                <w:sz w:val="18"/>
                <w:szCs w:val="18"/>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481,7</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70,05</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1,655,</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911,89</w:t>
            </w:r>
          </w:p>
          <w:p>
            <w:pPr>
              <w:pStyle w:val="Style2"/>
              <w:keepNext w:val="0"/>
              <w:keepLines w:val="0"/>
              <w:widowControl w:val="0"/>
              <w:shd w:val="clear" w:color="auto" w:fill="auto"/>
              <w:bidi w:val="0"/>
              <w:spacing w:before="0" w:after="8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17,808 ,000.0 0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94,776</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,399.7</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888,68</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5,592.</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3,103,</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335,93</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3,111,</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207,09</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12,49</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5,611</w:t>
            </w:r>
          </w:p>
          <w:p>
            <w:pPr>
              <w:pStyle w:val="Style2"/>
              <w:keepNext w:val="0"/>
              <w:keepLines w:val="0"/>
              <w:widowControl w:val="0"/>
              <w:shd w:val="clear" w:color="auto" w:fill="auto"/>
              <w:bidi w:val="0"/>
              <w:spacing w:before="0" w:after="8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163,27</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1,433.</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-17,80 8,000.</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16,336</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,063.8</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171,11</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381,03</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0,558.</w:t>
            </w:r>
          </w:p>
          <w:p>
            <w:pPr>
              <w:pStyle w:val="Style2"/>
              <w:keepNext w:val="0"/>
              <w:keepLines w:val="0"/>
              <w:widowControl w:val="0"/>
              <w:shd w:val="clear" w:color="auto" w:fill="auto"/>
              <w:bidi w:val="0"/>
              <w:spacing w:before="0" w:after="8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380,72</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3,845.</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206,71</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5,406.</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206,71</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5,406.</w:t>
            </w:r>
          </w:p>
          <w:p>
            <w:pPr>
              <w:pStyle w:val="Style2"/>
              <w:keepNext w:val="0"/>
              <w:keepLines w:val="0"/>
              <w:widowControl w:val="0"/>
              <w:shd w:val="clear" w:color="auto" w:fill="auto"/>
              <w:bidi w:val="0"/>
              <w:spacing w:before="0" w:after="8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206,40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8,693.</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r>
      <w:tr>
        <w:trPr>
          <w:trHeight w:val="10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（二）所有者投 入和减少资本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12,49</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5,611</w:t>
            </w:r>
          </w:p>
          <w:p>
            <w:pPr>
              <w:pStyle w:val="Style2"/>
              <w:keepNext w:val="0"/>
              <w:keepLines w:val="0"/>
              <w:widowControl w:val="0"/>
              <w:shd w:val="clear" w:color="auto" w:fill="auto"/>
              <w:bidi w:val="0"/>
              <w:spacing w:before="0" w:after="8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163,27</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1,433.</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-17,80 8,000.</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193,57</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5,044.</w:t>
            </w:r>
          </w:p>
          <w:p>
            <w:pPr>
              <w:pStyle w:val="Style2"/>
              <w:keepNext w:val="0"/>
              <w:keepLines w:val="0"/>
              <w:widowControl w:val="0"/>
              <w:shd w:val="clear" w:color="auto" w:fill="auto"/>
              <w:bidi w:val="0"/>
              <w:spacing w:before="0" w:after="8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193,57</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5,044.</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12,49</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5,611</w:t>
            </w:r>
          </w:p>
          <w:p>
            <w:pPr>
              <w:pStyle w:val="Style2"/>
              <w:keepNext w:val="0"/>
              <w:keepLines w:val="0"/>
              <w:widowControl w:val="0"/>
              <w:shd w:val="clear" w:color="auto" w:fill="auto"/>
              <w:bidi w:val="0"/>
              <w:spacing w:before="0" w:after="8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117,92</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8,933.</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130,42</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4,544.</w:t>
            </w:r>
          </w:p>
          <w:p>
            <w:pPr>
              <w:pStyle w:val="Style2"/>
              <w:keepNext w:val="0"/>
              <w:keepLines w:val="0"/>
              <w:widowControl w:val="0"/>
              <w:shd w:val="clear" w:color="auto" w:fill="auto"/>
              <w:bidi w:val="0"/>
              <w:spacing w:before="0" w:after="8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130,42</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4,544.</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45,342</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-17,80 8,000.</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63,150</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63,150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16,336</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,063.8</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-35,59</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5,956.</w:t>
            </w:r>
          </w:p>
          <w:p>
            <w:pPr>
              <w:pStyle w:val="Style2"/>
              <w:keepNext w:val="0"/>
              <w:keepLines w:val="0"/>
              <w:widowControl w:val="0"/>
              <w:shd w:val="clear" w:color="auto" w:fill="auto"/>
              <w:bidi w:val="0"/>
              <w:spacing w:before="0" w:after="8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-19,25</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9,892.</w:t>
            </w:r>
          </w:p>
          <w:p>
            <w:pPr>
              <w:pStyle w:val="Style2"/>
              <w:keepNext w:val="0"/>
              <w:keepLines w:val="0"/>
              <w:widowControl w:val="0"/>
              <w:shd w:val="clear" w:color="auto" w:fill="auto"/>
              <w:bidi w:val="0"/>
              <w:spacing w:before="0" w:after="8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9,892.</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16,336</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,063.8</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6,063.</w:t>
            </w:r>
          </w:p>
          <w:p>
            <w:pPr>
              <w:pStyle w:val="Style2"/>
              <w:keepNext w:val="0"/>
              <w:keepLines w:val="0"/>
              <w:widowControl w:val="0"/>
              <w:shd w:val="clear" w:color="auto" w:fill="auto"/>
              <w:bidi w:val="0"/>
              <w:spacing w:before="0" w:after="8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9,892.</w:t>
            </w:r>
          </w:p>
          <w:p>
            <w:pPr>
              <w:pStyle w:val="Style2"/>
              <w:keepNext w:val="0"/>
              <w:keepLines w:val="0"/>
              <w:widowControl w:val="0"/>
              <w:shd w:val="clear" w:color="auto" w:fill="auto"/>
              <w:bidi w:val="0"/>
              <w:spacing w:before="0" w:after="8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-19,25</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9,892.</w:t>
            </w:r>
          </w:p>
          <w:p>
            <w:pPr>
              <w:pStyle w:val="Style2"/>
              <w:keepNext w:val="0"/>
              <w:keepLines w:val="0"/>
              <w:widowControl w:val="0"/>
              <w:shd w:val="clear" w:color="auto" w:fill="auto"/>
              <w:bidi w:val="0"/>
              <w:spacing w:before="0" w:after="8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9,892.</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资本公积转</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增资本（或股</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color w:val="000000"/>
                <w:spacing w:val="0"/>
                <w:w w:val="100"/>
                <w:position w:val="0"/>
                <w:sz w:val="18"/>
                <w:szCs w:val="18"/>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494,2</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65,66</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183,32</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111,11</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2,463.</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1,059, 805,04</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3,484,</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366,49</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3,491,</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930,94</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少数股</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所有者</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权益合</w:t>
            </w:r>
          </w:p>
          <w:p>
            <w:pPr>
              <w:pStyle w:val="Style2"/>
              <w:keepNext w:val="0"/>
              <w:keepLines w:val="0"/>
              <w:widowControl w:val="0"/>
              <w:shd w:val="clear" w:color="auto" w:fill="auto"/>
              <w:bidi w:val="0"/>
              <w:spacing w:before="0" w:after="100" w:line="240" w:lineRule="auto"/>
              <w:ind w:left="0" w:right="240" w:firstLine="0"/>
              <w:jc w:val="right"/>
              <w:rPr>
                <w:sz w:val="18"/>
                <w:szCs w:val="18"/>
              </w:rPr>
            </w:pPr>
            <w:r>
              <w:rPr>
                <w:color w:val="000000"/>
                <w:spacing w:val="0"/>
                <w:w w:val="100"/>
                <w:position w:val="0"/>
                <w:sz w:val="18"/>
                <w:szCs w:val="18"/>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资本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其他</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综合</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专项</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盈余</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一般</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风险</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未分</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配利</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426,5</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52,60</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992,29</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5,851.</w:t>
            </w:r>
          </w:p>
          <w:p>
            <w:pPr>
              <w:pStyle w:val="Style2"/>
              <w:keepNext w:val="0"/>
              <w:keepLines w:val="0"/>
              <w:widowControl w:val="0"/>
              <w:shd w:val="clear" w:color="auto" w:fill="auto"/>
              <w:bidi w:val="0"/>
              <w:spacing w:before="0" w:after="8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33,824</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96,608</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,622.0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872,73</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9,278.</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372,35</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2,365,5</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41,828.</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rPr>
                <w:sz w:val="18"/>
                <w:szCs w:val="18"/>
              </w:rPr>
            </w:pPr>
            <w:r>
              <w:rPr>
                <w:color w:val="000000"/>
                <w:spacing w:val="0"/>
                <w:w w:val="100"/>
                <w:position w:val="0"/>
                <w:sz w:val="18"/>
                <w:szCs w:val="18"/>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-12,73</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0,433.</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73,897</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04,330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-127,30</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4,330.7</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8"/>
                <w:szCs w:val="18"/>
              </w:rPr>
            </w:pPr>
            <w:r>
              <w:rPr>
                <w:color w:val="000000"/>
                <w:spacing w:val="0"/>
                <w:w w:val="100"/>
                <w:position w:val="0"/>
                <w:sz w:val="18"/>
                <w:szCs w:val="18"/>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740"/>
              <w:jc w:val="both"/>
              <w:rPr>
                <w:sz w:val="18"/>
                <w:szCs w:val="18"/>
              </w:rPr>
            </w:pPr>
            <w:r>
              <w:rPr>
                <w:color w:val="000000"/>
                <w:spacing w:val="0"/>
                <w:w w:val="100"/>
                <w:position w:val="0"/>
                <w:sz w:val="18"/>
                <w:szCs w:val="18"/>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rPr>
                <w:sz w:val="18"/>
                <w:szCs w:val="18"/>
              </w:rPr>
            </w:pPr>
            <w:r>
              <w:rPr>
                <w:color w:val="000000"/>
                <w:spacing w:val="0"/>
                <w:w w:val="100"/>
                <w:position w:val="0"/>
                <w:sz w:val="18"/>
                <w:szCs w:val="18"/>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426,5</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52,60</w:t>
            </w:r>
          </w:p>
          <w:p>
            <w:pPr>
              <w:pStyle w:val="Style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992,29</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5,851.</w:t>
            </w:r>
          </w:p>
          <w:p>
            <w:pPr>
              <w:pStyle w:val="Style2"/>
              <w:keepNext w:val="0"/>
              <w:keepLines w:val="0"/>
              <w:widowControl w:val="0"/>
              <w:shd w:val="clear" w:color="auto" w:fill="auto"/>
              <w:bidi w:val="0"/>
              <w:spacing w:before="0" w:after="8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33,824</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83,878 ,188.9 5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758,16</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068,02</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2,238,2</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37,497.</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0" w:lineRule="exact"/>
              <w:ind w:left="0" w:right="0" w:firstLine="0"/>
              <w:jc w:val="both"/>
              <w:rPr>
                <w:sz w:val="18"/>
                <w:szCs w:val="18"/>
              </w:rPr>
            </w:pPr>
            <w:r>
              <w:rPr>
                <w:color w:val="000000"/>
                <w:spacing w:val="0"/>
                <w:w w:val="100"/>
                <w:position w:val="0"/>
                <w:sz w:val="18"/>
                <w:szCs w:val="18"/>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55,21</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7,450</w:t>
            </w:r>
          </w:p>
          <w:p>
            <w:pPr>
              <w:pStyle w:val="Style2"/>
              <w:keepNext w:val="0"/>
              <w:keepLines w:val="0"/>
              <w:widowControl w:val="0"/>
              <w:shd w:val="clear" w:color="auto" w:fill="auto"/>
              <w:bidi w:val="0"/>
              <w:spacing w:before="0" w:after="8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663,61</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6,039.</w:t>
            </w:r>
          </w:p>
          <w:p>
            <w:pPr>
              <w:pStyle w:val="Style2"/>
              <w:keepNext w:val="0"/>
              <w:keepLines w:val="0"/>
              <w:widowControl w:val="0"/>
              <w:shd w:val="clear" w:color="auto" w:fill="auto"/>
              <w:bidi w:val="0"/>
              <w:spacing w:before="0" w:after="8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-16,01</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10,898</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,210.7</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130,52</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0,211.</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876,26</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7,912.</w:t>
            </w:r>
          </w:p>
          <w:p>
            <w:pPr>
              <w:pStyle w:val="Style2"/>
              <w:keepNext w:val="0"/>
              <w:keepLines w:val="0"/>
              <w:widowControl w:val="0"/>
              <w:shd w:val="clear" w:color="auto" w:fill="auto"/>
              <w:bidi w:val="0"/>
              <w:spacing w:before="0" w:after="8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872,969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,597.18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158,66</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0,177.</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158,66</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0,177.</w:t>
            </w:r>
          </w:p>
          <w:p>
            <w:pPr>
              <w:pStyle w:val="Style2"/>
              <w:keepNext w:val="0"/>
              <w:keepLines w:val="0"/>
              <w:widowControl w:val="0"/>
              <w:shd w:val="clear" w:color="auto" w:fill="auto"/>
              <w:bidi w:val="0"/>
              <w:spacing w:before="0" w:after="8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-268,16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158,392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,010.01</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（二）所有者 投入和减少资 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55,21</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7,450</w:t>
            </w:r>
          </w:p>
          <w:p>
            <w:pPr>
              <w:pStyle w:val="Style2"/>
              <w:keepNext w:val="0"/>
              <w:keepLines w:val="0"/>
              <w:widowControl w:val="0"/>
              <w:shd w:val="clear" w:color="auto" w:fill="auto"/>
              <w:bidi w:val="0"/>
              <w:spacing w:before="0" w:after="8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663,64</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3,891.</w:t>
            </w:r>
          </w:p>
          <w:p>
            <w:pPr>
              <w:pStyle w:val="Style2"/>
              <w:keepNext w:val="0"/>
              <w:keepLines w:val="0"/>
              <w:widowControl w:val="0"/>
              <w:shd w:val="clear" w:color="auto" w:fill="auto"/>
              <w:bidi w:val="0"/>
              <w:spacing w:before="0" w:after="8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-16,01</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734,87</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7,341.</w:t>
            </w:r>
          </w:p>
          <w:p>
            <w:pPr>
              <w:pStyle w:val="Style2"/>
              <w:keepNext w:val="0"/>
              <w:keepLines w:val="0"/>
              <w:widowControl w:val="0"/>
              <w:shd w:val="clear" w:color="auto" w:fill="auto"/>
              <w:bidi w:val="0"/>
              <w:spacing w:before="0" w:after="8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731,847 ,193.54</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48,00</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8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537,85</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8,781.</w:t>
            </w:r>
          </w:p>
          <w:p>
            <w:pPr>
              <w:pStyle w:val="Style2"/>
              <w:keepNext w:val="0"/>
              <w:keepLines w:val="0"/>
              <w:widowControl w:val="0"/>
              <w:shd w:val="clear" w:color="auto" w:fill="auto"/>
              <w:bidi w:val="0"/>
              <w:spacing w:before="0" w:after="8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585,85</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8,781.</w:t>
            </w:r>
          </w:p>
          <w:p>
            <w:pPr>
              <w:pStyle w:val="Style2"/>
              <w:keepNext w:val="0"/>
              <w:keepLines w:val="0"/>
              <w:widowControl w:val="0"/>
              <w:shd w:val="clear" w:color="auto" w:fill="auto"/>
              <w:bidi w:val="0"/>
              <w:spacing w:before="0" w:after="8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585,858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,781.70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-股份支付计 入所有者权益 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7,217 </w:t>
            </w:r>
            <w:r>
              <w:rPr>
                <w:rFonts w:ascii="Times New Roman" w:eastAsia="Times New Roman" w:hAnsi="Times New Roman" w:cs="Times New Roman"/>
                <w:color w:val="000000"/>
                <w:spacing w:val="0"/>
                <w:w w:val="100"/>
                <w:position w:val="0"/>
                <w:sz w:val="18"/>
                <w:szCs w:val="18"/>
              </w:rPr>
              <w:t>,450.</w:t>
            </w:r>
          </w:p>
          <w:p>
            <w:pPr>
              <w:pStyle w:val="Style2"/>
              <w:keepNext w:val="0"/>
              <w:keepLines w:val="0"/>
              <w:widowControl w:val="0"/>
              <w:shd w:val="clear" w:color="auto" w:fill="auto"/>
              <w:bidi w:val="0"/>
              <w:spacing w:before="0" w:after="0" w:line="36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125,78</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5,109.</w:t>
            </w:r>
          </w:p>
          <w:p>
            <w:pPr>
              <w:pStyle w:val="Style2"/>
              <w:keepNext w:val="0"/>
              <w:keepLines w:val="0"/>
              <w:widowControl w:val="0"/>
              <w:shd w:val="clear" w:color="auto" w:fill="auto"/>
              <w:bidi w:val="0"/>
              <w:spacing w:before="0" w:after="8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149,01</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8,559.</w:t>
            </w:r>
          </w:p>
          <w:p>
            <w:pPr>
              <w:pStyle w:val="Style2"/>
              <w:keepNext w:val="0"/>
              <w:keepLines w:val="0"/>
              <w:widowControl w:val="0"/>
              <w:shd w:val="clear" w:color="auto" w:fill="auto"/>
              <w:bidi w:val="0"/>
              <w:spacing w:before="0" w:after="8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149,018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-3,030, 148.12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10,898 ,210.7 6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-28,13</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9,965.</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w:t>
            </w:r>
          </w:p>
          <w:p>
            <w:pPr>
              <w:pStyle w:val="Style2"/>
              <w:keepNext w:val="0"/>
              <w:keepLines w:val="0"/>
              <w:widowControl w:val="0"/>
              <w:shd w:val="clear" w:color="auto" w:fill="auto"/>
              <w:bidi w:val="0"/>
              <w:spacing w:before="0" w:after="8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,754.49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10,898 ,210.7 6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对所有者</w:t>
            </w:r>
          </w:p>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w:t>
            </w:r>
          </w:p>
          <w:p>
            <w:pPr>
              <w:pStyle w:val="Style2"/>
              <w:keepNext w:val="0"/>
              <w:keepLines w:val="0"/>
              <w:widowControl w:val="0"/>
              <w:shd w:val="clear" w:color="auto" w:fill="auto"/>
              <w:bidi w:val="0"/>
              <w:spacing w:before="0" w:after="8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（四）所有者</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资本公积转</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增资本（或股</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color w:val="000000"/>
                <w:spacing w:val="0"/>
                <w:w w:val="100"/>
                <w:position w:val="0"/>
                <w:sz w:val="18"/>
                <w:szCs w:val="18"/>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-27,85</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481,7</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70,05</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1,655,</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911,89</w:t>
            </w:r>
          </w:p>
          <w:p>
            <w:pPr>
              <w:pStyle w:val="Style2"/>
              <w:keepNext w:val="0"/>
              <w:keepLines w:val="0"/>
              <w:widowControl w:val="0"/>
              <w:shd w:val="clear" w:color="auto" w:fill="auto"/>
              <w:bidi w:val="0"/>
              <w:spacing w:before="0" w:after="8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17,808</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94,776</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,399.7</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888,68</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5,592.</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3,103,</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335,93</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3,111,2</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07,094.</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bl>
    <w:p>
      <w:pPr>
        <w:widowControl w:val="0"/>
        <w:spacing w:after="299" w:line="1" w:lineRule="exact"/>
      </w:pPr>
    </w:p>
    <w:p>
      <w:pPr>
        <w:pStyle w:val="Style24"/>
        <w:keepNext/>
        <w:keepLines/>
        <w:widowControl w:val="0"/>
        <w:shd w:val="clear" w:color="auto" w:fill="auto"/>
        <w:bidi w:val="0"/>
        <w:spacing w:before="0" w:after="380" w:line="240" w:lineRule="auto"/>
        <w:ind w:left="0" w:right="0" w:firstLine="0"/>
        <w:jc w:val="left"/>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8</w:t>
      </w:r>
      <w:bookmarkEnd w:id="733"/>
      <w:r>
        <w:rPr>
          <w:color w:val="000000"/>
          <w:spacing w:val="0"/>
          <w:w w:val="100"/>
          <w:position w:val="0"/>
        </w:rPr>
        <w:t>、母公司所有者权益变动表</w:t>
      </w:r>
      <w:bookmarkEnd w:id="731"/>
      <w:bookmarkEnd w:id="732"/>
      <w:bookmarkEnd w:id="734"/>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其他综</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481,77</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0,055.0</w:t>
            </w:r>
          </w:p>
          <w:p>
            <w:pPr>
              <w:pStyle w:val="Style2"/>
              <w:keepNext w:val="0"/>
              <w:keepLines w:val="0"/>
              <w:widowControl w:val="0"/>
              <w:shd w:val="clear" w:color="auto" w:fill="auto"/>
              <w:bidi w:val="0"/>
              <w:spacing w:before="0" w:after="8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1,753,74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2,315.39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94,776,3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681,00</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8,564.0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2,993,489,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334.16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8"/>
                <w:szCs w:val="18"/>
              </w:rPr>
            </w:pPr>
            <w:r>
              <w:rPr>
                <w:color w:val="000000"/>
                <w:spacing w:val="0"/>
                <w:w w:val="100"/>
                <w:position w:val="0"/>
                <w:sz w:val="18"/>
                <w:szCs w:val="18"/>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481,77</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0,055.0</w:t>
            </w:r>
          </w:p>
          <w:p>
            <w:pPr>
              <w:pStyle w:val="Style2"/>
              <w:keepNext w:val="0"/>
              <w:keepLines w:val="0"/>
              <w:widowControl w:val="0"/>
              <w:shd w:val="clear" w:color="auto" w:fill="auto"/>
              <w:bidi w:val="0"/>
              <w:spacing w:before="0" w:after="8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1,753,74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2,315.39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94,776,3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681,00</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8,564.0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2,993,489,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334.16</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rPr>
                <w:sz w:val="18"/>
                <w:szCs w:val="18"/>
              </w:rPr>
            </w:pPr>
            <w:r>
              <w:rPr>
                <w:color w:val="000000"/>
                <w:spacing w:val="0"/>
                <w:w w:val="100"/>
                <w:position w:val="0"/>
                <w:sz w:val="18"/>
                <w:szCs w:val="18"/>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12,495,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163,271,</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433.14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-17,808,</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127,76</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4,682.4</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337,675,7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163,36</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0,638.4</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163,360,6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12,495,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163,271,</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433.14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-17,808,</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193,575,0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12,495,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117,928,</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933.14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130,424,5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其他权益工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4"/>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45,342,5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-17,808,</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63,150,50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-35,595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-19,259,89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-16,336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-19,259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-19,259,89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资本公积转</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增资本（或股</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color w:val="000000"/>
                <w:spacing w:val="0"/>
                <w:w w:val="100"/>
                <w:position w:val="0"/>
                <w:sz w:val="18"/>
                <w:szCs w:val="18"/>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494,26</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5,666.0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1,917,01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3,748.53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808,77</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3,246.4</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3,331,165,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124.56</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其他综</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所有者权 益合计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426,55</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2,605.</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1,090,0</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98,423.</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33,824,0</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714,740,3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2,294,175,9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rPr>
                <w:sz w:val="18"/>
                <w:szCs w:val="18"/>
              </w:rPr>
            </w:pPr>
            <w:r>
              <w:rPr>
                <w:color w:val="000000"/>
                <w:spacing w:val="0"/>
                <w:w w:val="100"/>
                <w:position w:val="0"/>
                <w:sz w:val="18"/>
                <w:szCs w:val="18"/>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-127,304,33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8"/>
                <w:szCs w:val="18"/>
              </w:rPr>
            </w:pPr>
            <w:r>
              <w:rPr>
                <w:color w:val="000000"/>
                <w:spacing w:val="0"/>
                <w:w w:val="100"/>
                <w:position w:val="0"/>
                <w:sz w:val="18"/>
                <w:szCs w:val="18"/>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426,55</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2,605.</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1,090,0</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98,423.</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33,824,0</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600,166,4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2,166,871,6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55,217 ,450.0 0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663,643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-16,016,</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80,842,14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826,617,69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108,982,1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108,982,10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55,217 ,450.0 0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663,643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-16,016,</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734,877,34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48,000</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537,858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585,858,78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-股份支付计 入所有者权益 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7,217,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125,785 ,109.96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-16,016,</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149,018,55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-28,139,9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-17,241,754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-对所有者（或 股东）的分配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-17,241,754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bl>
    <w:p>
      <w:pPr>
        <w:widowControl w:val="0"/>
        <w:spacing w:line="1" w:lineRule="exact"/>
      </w:pPr>
      <w:r>
        <w:br w:type="page"/>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资本公积转</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增资本（或股</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color w:val="000000"/>
                <w:spacing w:val="0"/>
                <w:w w:val="100"/>
                <w:position w:val="0"/>
                <w:sz w:val="18"/>
                <w:szCs w:val="18"/>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481,77</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0,055.</w:t>
            </w:r>
          </w:p>
          <w:p>
            <w:pPr>
              <w:pStyle w:val="Style2"/>
              <w:keepNext w:val="0"/>
              <w:keepLines w:val="0"/>
              <w:widowControl w:val="0"/>
              <w:shd w:val="clear" w:color="auto" w:fill="auto"/>
              <w:bidi w:val="0"/>
              <w:spacing w:before="0" w:after="8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1,753,7</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42,315.</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681,008,5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2,993,489,3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34.16</w:t>
            </w:r>
          </w:p>
        </w:tc>
      </w:tr>
    </w:tbl>
    <w:p>
      <w:pPr>
        <w:widowControl w:val="0"/>
        <w:spacing w:after="299" w:line="1" w:lineRule="exact"/>
      </w:pPr>
    </w:p>
    <w:p>
      <w:pPr>
        <w:pStyle w:val="Style19"/>
        <w:keepNext/>
        <w:keepLines/>
        <w:widowControl w:val="0"/>
        <w:shd w:val="clear" w:color="auto" w:fill="auto"/>
        <w:bidi w:val="0"/>
        <w:spacing w:before="0" w:after="220" w:line="240" w:lineRule="auto"/>
        <w:ind w:left="0" w:right="0" w:firstLine="0"/>
        <w:jc w:val="left"/>
      </w:pPr>
      <w:bookmarkStart w:id="735" w:name="bookmark735"/>
      <w:bookmarkStart w:id="736" w:name="bookmark736"/>
      <w:bookmarkStart w:id="737" w:name="bookmark737"/>
      <w:r>
        <w:rPr>
          <w:color w:val="000000"/>
          <w:spacing w:val="0"/>
          <w:w w:val="100"/>
          <w:position w:val="0"/>
          <w:sz w:val="24"/>
          <w:szCs w:val="24"/>
        </w:rPr>
        <w:t>三、公司基本情况</w:t>
      </w:r>
      <w:bookmarkEnd w:id="735"/>
      <w:bookmarkEnd w:id="736"/>
      <w:bookmarkEnd w:id="737"/>
    </w:p>
    <w:p>
      <w:pPr>
        <w:pStyle w:val="Style59"/>
        <w:keepNext w:val="0"/>
        <w:keepLines w:val="0"/>
        <w:widowControl w:val="0"/>
        <w:shd w:val="clear" w:color="auto" w:fill="auto"/>
        <w:bidi w:val="0"/>
        <w:spacing w:before="0" w:after="0" w:line="467" w:lineRule="exact"/>
        <w:ind w:left="0" w:right="0" w:firstLine="480"/>
        <w:jc w:val="both"/>
      </w:pPr>
      <w:r>
        <w:rPr>
          <w:color w:val="000000"/>
          <w:spacing w:val="0"/>
          <w:w w:val="100"/>
          <w:position w:val="0"/>
          <w:sz w:val="24"/>
          <w:szCs w:val="24"/>
        </w:rPr>
        <w:t>北京数字政通科技股份有限公司（以下简称“本公司”或“公司”）原名北京数字通图 科技有限公司，成立于2001年11月6日，2003年3月7日更名为北京数字政通科技有限公司。2009 年6月10日整体变更为股份有限公司，更名为北京数字政通科技股份有限公司。2010年4月14 日公司向社会公众公开发行流通股1,400万股，并在深圳证券交易所上市交易，股票代码为 300075。</w:t>
      </w:r>
    </w:p>
    <w:p>
      <w:pPr>
        <w:pStyle w:val="Style59"/>
        <w:keepNext w:val="0"/>
        <w:keepLines w:val="0"/>
        <w:widowControl w:val="0"/>
        <w:shd w:val="clear" w:color="auto" w:fill="auto"/>
        <w:bidi w:val="0"/>
        <w:spacing w:before="0" w:after="220" w:line="467" w:lineRule="exact"/>
        <w:ind w:left="0" w:right="0" w:firstLine="480"/>
        <w:jc w:val="both"/>
      </w:pPr>
      <w:r>
        <w:rPr>
          <w:color w:val="000000"/>
          <w:spacing w:val="0"/>
          <w:w w:val="100"/>
          <w:position w:val="0"/>
          <w:sz w:val="24"/>
          <w:szCs w:val="24"/>
        </w:rPr>
        <w:t>公司统一社会信用代码：</w:t>
      </w:r>
      <w:r>
        <w:rPr>
          <w:color w:val="000000"/>
          <w:spacing w:val="0"/>
          <w:w w:val="100"/>
          <w:position w:val="0"/>
          <w:sz w:val="24"/>
          <w:szCs w:val="24"/>
        </w:rPr>
        <w:t>91110000801160143K，</w:t>
      </w:r>
      <w:r>
        <w:rPr>
          <w:color w:val="000000"/>
          <w:spacing w:val="0"/>
          <w:w w:val="100"/>
          <w:position w:val="0"/>
          <w:sz w:val="24"/>
          <w:szCs w:val="24"/>
        </w:rPr>
        <w:t>法定代表人：吴强华，注册地址：北京 市海淀区西直门北大街32号枫蓝国际中心</w:t>
      </w:r>
      <w:r>
        <w:rPr>
          <w:color w:val="000000"/>
          <w:spacing w:val="0"/>
          <w:w w:val="100"/>
          <w:position w:val="0"/>
          <w:sz w:val="24"/>
          <w:szCs w:val="24"/>
        </w:rPr>
        <w:t>A</w:t>
      </w:r>
      <w:r>
        <w:rPr>
          <w:color w:val="000000"/>
          <w:spacing w:val="0"/>
          <w:w w:val="100"/>
          <w:position w:val="0"/>
          <w:sz w:val="24"/>
          <w:szCs w:val="24"/>
        </w:rPr>
        <w:t>座18层1805室，办公地址：北京市海淀区中关村软 件园9号楼国际软件大厦三区101室。</w:t>
      </w:r>
    </w:p>
    <w:p>
      <w:pPr>
        <w:pStyle w:val="Style59"/>
        <w:keepNext w:val="0"/>
        <w:keepLines w:val="0"/>
        <w:widowControl w:val="0"/>
        <w:shd w:val="clear" w:color="auto" w:fill="auto"/>
        <w:bidi w:val="0"/>
        <w:spacing w:before="0" w:after="0" w:line="470" w:lineRule="exact"/>
        <w:ind w:left="0" w:right="0" w:firstLine="500"/>
        <w:jc w:val="both"/>
      </w:pPr>
      <w:r>
        <w:rPr>
          <w:color w:val="000000"/>
          <w:spacing w:val="0"/>
          <w:w w:val="100"/>
          <w:position w:val="0"/>
          <w:sz w:val="24"/>
          <w:szCs w:val="24"/>
        </w:rPr>
        <w:t>截止2021年12月31日，公司股本总数为494, 265, 666股。</w:t>
      </w:r>
    </w:p>
    <w:p>
      <w:pPr>
        <w:pStyle w:val="Style59"/>
        <w:keepNext w:val="0"/>
        <w:keepLines w:val="0"/>
        <w:widowControl w:val="0"/>
        <w:shd w:val="clear" w:color="auto" w:fill="auto"/>
        <w:bidi w:val="0"/>
        <w:spacing w:before="0" w:after="0" w:line="470" w:lineRule="exact"/>
        <w:ind w:left="0" w:right="0" w:firstLine="500"/>
        <w:jc w:val="both"/>
      </w:pPr>
      <w:r>
        <w:rPr>
          <w:color w:val="000000"/>
          <w:spacing w:val="0"/>
          <w:w w:val="100"/>
          <w:position w:val="0"/>
          <w:sz w:val="24"/>
          <w:szCs w:val="24"/>
        </w:rPr>
        <w:t>公司主要经营专业智慧城市应用软件的开发和销售，并提供技术支持和后续服务，是国 内知名度较高、市场份额领先的智慧城市应用软件开发商和全面解决方案供应商之一。公司 以具有其特色的“网格化+”智慧城市建设模式为核心，业务涉及智慧城市管理、智慧综合行 政执法管理、智慧社会综合治理、智慧水利管理、智慧环保、智慧城市管网、智慧城市数据 运营服务、智慧国土资源和城市规划管理、以及新一代多网融合电子政务系统等智慧城市建 设领域。</w:t>
      </w:r>
    </w:p>
    <w:p>
      <w:pPr>
        <w:pStyle w:val="Style59"/>
        <w:keepNext w:val="0"/>
        <w:keepLines w:val="0"/>
        <w:widowControl w:val="0"/>
        <w:shd w:val="clear" w:color="auto" w:fill="auto"/>
        <w:bidi w:val="0"/>
        <w:spacing w:before="0" w:after="0" w:line="470" w:lineRule="exact"/>
        <w:ind w:left="0" w:right="0" w:firstLine="500"/>
        <w:jc w:val="both"/>
      </w:pPr>
      <w:r>
        <w:rPr>
          <w:color w:val="000000"/>
          <w:spacing w:val="0"/>
          <w:w w:val="100"/>
          <w:position w:val="0"/>
          <w:sz w:val="24"/>
          <w:szCs w:val="24"/>
        </w:rPr>
        <w:t>公司经营范围：技术开发、技术转让、技术服务、技术咨询、技术推广；基础软件服务、 应用软件服务、产品设计；计算机系统服务；数据处理；出租办公用房；机械设备租赁；经 济贸易咨询；投资咨询；项目投资；投资管理；资产管理；货物进出口、技术进出口、代理 进出口；销售通讯设备、电子产品、计算机、软件及辅助设备、汽车；专业承包（企业依法 自主选择经营项目，开展经营；依法须经批准的项目，经相关部门批准后依批准的内容开展 经营活动；不得从事本市产业政策禁止和限制类项目的经营活动）。</w:t>
      </w:r>
    </w:p>
    <w:p>
      <w:pPr>
        <w:pStyle w:val="Style59"/>
        <w:keepNext w:val="0"/>
        <w:keepLines w:val="0"/>
        <w:widowControl w:val="0"/>
        <w:shd w:val="clear" w:color="auto" w:fill="auto"/>
        <w:bidi w:val="0"/>
        <w:spacing w:before="0" w:after="0" w:line="470" w:lineRule="exact"/>
        <w:ind w:left="0" w:right="0" w:firstLine="500"/>
        <w:jc w:val="both"/>
      </w:pPr>
      <w:r>
        <w:rPr>
          <w:color w:val="000000"/>
          <w:spacing w:val="0"/>
          <w:w w:val="100"/>
          <w:position w:val="0"/>
          <w:sz w:val="24"/>
          <w:szCs w:val="24"/>
        </w:rPr>
        <w:t>本财务报表业经本公司董事会于2022年4月22日报出。</w:t>
      </w:r>
    </w:p>
    <w:p>
      <w:pPr>
        <w:pStyle w:val="Style59"/>
        <w:keepNext w:val="0"/>
        <w:keepLines w:val="0"/>
        <w:widowControl w:val="0"/>
        <w:shd w:val="clear" w:color="auto" w:fill="auto"/>
        <w:bidi w:val="0"/>
        <w:spacing w:before="0" w:after="220" w:line="470" w:lineRule="exact"/>
        <w:ind w:left="0" w:right="0" w:firstLine="500"/>
        <w:jc w:val="both"/>
      </w:pPr>
      <w:r>
        <w:rPr>
          <w:color w:val="000000"/>
          <w:spacing w:val="0"/>
          <w:w w:val="100"/>
          <w:position w:val="0"/>
          <w:sz w:val="24"/>
          <w:szCs w:val="24"/>
        </w:rPr>
        <w:t>本公司合并财务报表的合并范围以控制为基础确定，包括本公司及全部子公司的财务报 表。本期合并财务报表范围及其变化情况详见“八、合并范围的变更”和“九、在其他主体 中的权益”。</w:t>
      </w:r>
    </w:p>
    <w:p>
      <w:pPr>
        <w:pStyle w:val="Style19"/>
        <w:keepNext/>
        <w:keepLines/>
        <w:widowControl w:val="0"/>
        <w:shd w:val="clear" w:color="auto" w:fill="auto"/>
        <w:tabs>
          <w:tab w:pos="486" w:val="left"/>
        </w:tabs>
        <w:bidi w:val="0"/>
        <w:spacing w:before="0" w:line="470" w:lineRule="exact"/>
        <w:ind w:left="0" w:right="0" w:firstLine="0"/>
        <w:jc w:val="both"/>
      </w:pPr>
      <w:bookmarkStart w:id="738" w:name="bookmark738"/>
      <w:bookmarkStart w:id="739" w:name="bookmark739"/>
      <w:bookmarkStart w:id="740" w:name="bookmark740"/>
      <w:bookmarkStart w:id="741" w:name="bookmark741"/>
      <w:r>
        <w:rPr>
          <w:color w:val="000000"/>
          <w:spacing w:val="0"/>
          <w:w w:val="100"/>
          <w:position w:val="0"/>
          <w:sz w:val="24"/>
          <w:szCs w:val="24"/>
        </w:rPr>
        <w:t>四</w:t>
      </w:r>
      <w:bookmarkEnd w:id="740"/>
      <w:r>
        <w:rPr>
          <w:color w:val="000000"/>
          <w:spacing w:val="0"/>
          <w:w w:val="100"/>
          <w:position w:val="0"/>
          <w:sz w:val="24"/>
          <w:szCs w:val="24"/>
        </w:rPr>
        <w:t>、</w:t>
        <w:tab/>
        <w:t>财务报表的编制基础</w:t>
      </w:r>
      <w:bookmarkEnd w:id="738"/>
      <w:bookmarkEnd w:id="739"/>
      <w:bookmarkEnd w:id="741"/>
    </w:p>
    <w:p>
      <w:pPr>
        <w:pStyle w:val="Style24"/>
        <w:keepNext/>
        <w:keepLines/>
        <w:widowControl w:val="0"/>
        <w:shd w:val="clear" w:color="auto" w:fill="auto"/>
        <w:tabs>
          <w:tab w:pos="394" w:val="left"/>
        </w:tabs>
        <w:bidi w:val="0"/>
        <w:spacing w:before="0" w:after="220" w:line="240" w:lineRule="auto"/>
        <w:ind w:left="0" w:right="0" w:firstLine="0"/>
        <w:jc w:val="both"/>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1</w:t>
      </w:r>
      <w:bookmarkEnd w:id="744"/>
      <w:r>
        <w:rPr>
          <w:color w:val="000000"/>
          <w:spacing w:val="0"/>
          <w:w w:val="100"/>
          <w:position w:val="0"/>
        </w:rPr>
        <w:t>、</w:t>
        <w:tab/>
        <w:t>编制基础</w:t>
      </w:r>
      <w:bookmarkEnd w:id="742"/>
      <w:bookmarkEnd w:id="743"/>
      <w:bookmarkEnd w:id="745"/>
    </w:p>
    <w:p>
      <w:pPr>
        <w:pStyle w:val="Style59"/>
        <w:keepNext w:val="0"/>
        <w:keepLines w:val="0"/>
        <w:widowControl w:val="0"/>
        <w:shd w:val="clear" w:color="auto" w:fill="auto"/>
        <w:bidi w:val="0"/>
        <w:spacing w:before="0" w:after="380" w:line="470" w:lineRule="exact"/>
        <w:ind w:left="0" w:right="0" w:firstLine="500"/>
        <w:jc w:val="both"/>
      </w:pPr>
      <w:r>
        <w:rPr>
          <w:color w:val="000000"/>
          <w:spacing w:val="0"/>
          <w:w w:val="100"/>
          <w:position w:val="0"/>
          <w:sz w:val="24"/>
          <w:szCs w:val="24"/>
        </w:rPr>
        <w:t>公司以持续经营为财务报表的编制基础，以权责发生制为记账基础。公司一般采用历史 成本对会计要素进行计量，在保证所确定的会计要素金额能够取得并可靠计量的前提下采用 重置成本、可变现净值、现值及公允价值进行计量。</w:t>
      </w:r>
    </w:p>
    <w:p>
      <w:pPr>
        <w:pStyle w:val="Style24"/>
        <w:keepNext/>
        <w:keepLines/>
        <w:widowControl w:val="0"/>
        <w:shd w:val="clear" w:color="auto" w:fill="auto"/>
        <w:tabs>
          <w:tab w:pos="394" w:val="left"/>
        </w:tabs>
        <w:bidi w:val="0"/>
        <w:spacing w:before="0" w:after="220" w:line="240" w:lineRule="auto"/>
        <w:ind w:left="0" w:right="0" w:firstLine="0"/>
        <w:jc w:val="both"/>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2</w:t>
      </w:r>
      <w:bookmarkEnd w:id="748"/>
      <w:r>
        <w:rPr>
          <w:color w:val="000000"/>
          <w:spacing w:val="0"/>
          <w:w w:val="100"/>
          <w:position w:val="0"/>
        </w:rPr>
        <w:t>、</w:t>
        <w:tab/>
        <w:t>持续经营</w:t>
      </w:r>
      <w:bookmarkEnd w:id="746"/>
      <w:bookmarkEnd w:id="747"/>
      <w:bookmarkEnd w:id="749"/>
    </w:p>
    <w:p>
      <w:pPr>
        <w:pStyle w:val="Style59"/>
        <w:keepNext w:val="0"/>
        <w:keepLines w:val="0"/>
        <w:widowControl w:val="0"/>
        <w:shd w:val="clear" w:color="auto" w:fill="auto"/>
        <w:bidi w:val="0"/>
        <w:spacing w:before="0" w:after="220" w:line="475" w:lineRule="exact"/>
        <w:ind w:left="0" w:right="0" w:firstLine="500"/>
        <w:jc w:val="both"/>
      </w:pPr>
      <w:r>
        <w:rPr>
          <w:color w:val="000000"/>
          <w:spacing w:val="0"/>
          <w:w w:val="100"/>
          <w:position w:val="0"/>
          <w:sz w:val="24"/>
          <w:szCs w:val="24"/>
        </w:rPr>
        <w:t>公司不存在可能导致对公司自报告期末起12个月内的持续经营能力产生重大疑虑的事项 或情况。因此，本财务报表系在持续经营假设的基础上编制。</w:t>
      </w:r>
    </w:p>
    <w:p>
      <w:pPr>
        <w:pStyle w:val="Style19"/>
        <w:keepNext/>
        <w:keepLines/>
        <w:widowControl w:val="0"/>
        <w:shd w:val="clear" w:color="auto" w:fill="auto"/>
        <w:tabs>
          <w:tab w:pos="505" w:val="left"/>
        </w:tabs>
        <w:bidi w:val="0"/>
        <w:spacing w:before="0" w:after="380" w:line="470" w:lineRule="exact"/>
        <w:ind w:left="0" w:right="0" w:firstLine="0"/>
        <w:jc w:val="left"/>
      </w:pPr>
      <w:bookmarkStart w:id="750" w:name="bookmark750"/>
      <w:bookmarkStart w:id="751" w:name="bookmark751"/>
      <w:bookmarkStart w:id="752" w:name="bookmark752"/>
      <w:bookmarkStart w:id="753" w:name="bookmark753"/>
      <w:r>
        <w:rPr>
          <w:color w:val="000000"/>
          <w:spacing w:val="0"/>
          <w:w w:val="100"/>
          <w:position w:val="0"/>
          <w:sz w:val="24"/>
          <w:szCs w:val="24"/>
        </w:rPr>
        <w:t>五</w:t>
      </w:r>
      <w:bookmarkEnd w:id="752"/>
      <w:r>
        <w:rPr>
          <w:color w:val="000000"/>
          <w:spacing w:val="0"/>
          <w:w w:val="100"/>
          <w:position w:val="0"/>
          <w:sz w:val="24"/>
          <w:szCs w:val="24"/>
        </w:rPr>
        <w:t>、</w:t>
        <w:tab/>
        <w:t>重要会计政策及会计估计</w:t>
      </w:r>
      <w:bookmarkEnd w:id="750"/>
      <w:bookmarkEnd w:id="751"/>
      <w:bookmarkEnd w:id="753"/>
    </w:p>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具体会计政策和会计估计提示:</w:t>
      </w:r>
    </w:p>
    <w:p>
      <w:pPr>
        <w:pStyle w:val="Style24"/>
        <w:keepNext/>
        <w:keepLines/>
        <w:widowControl w:val="0"/>
        <w:shd w:val="clear" w:color="auto" w:fill="auto"/>
        <w:bidi w:val="0"/>
        <w:spacing w:before="0" w:after="220" w:line="240" w:lineRule="auto"/>
        <w:ind w:left="0" w:right="0" w:firstLine="0"/>
        <w:jc w:val="left"/>
      </w:pPr>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1</w:t>
      </w:r>
      <w:r>
        <w:rPr>
          <w:color w:val="000000"/>
          <w:spacing w:val="0"/>
          <w:w w:val="100"/>
          <w:position w:val="0"/>
        </w:rPr>
        <w:t>、遵循企业会计准则的声明</w:t>
      </w:r>
      <w:bookmarkEnd w:id="754"/>
      <w:bookmarkEnd w:id="755"/>
      <w:bookmarkEnd w:id="756"/>
    </w:p>
    <w:p>
      <w:pPr>
        <w:pStyle w:val="Style59"/>
        <w:keepNext w:val="0"/>
        <w:keepLines w:val="0"/>
        <w:widowControl w:val="0"/>
        <w:shd w:val="clear" w:color="auto" w:fill="auto"/>
        <w:bidi w:val="0"/>
        <w:spacing w:before="0" w:after="720" w:line="467" w:lineRule="exact"/>
        <w:ind w:left="0" w:right="0" w:firstLine="500"/>
        <w:jc w:val="both"/>
      </w:pPr>
      <w:r>
        <w:rPr>
          <w:color w:val="000000"/>
          <w:spacing w:val="0"/>
          <w:w w:val="100"/>
          <w:position w:val="0"/>
          <w:sz w:val="24"/>
          <w:szCs w:val="24"/>
        </w:rPr>
        <w:t>公司财务报表及附注系按财政部颁布的《企业会计准则》、应用指南、企业会计准则解 释、中国证券监督管理委员会发布的《公开发行证券的公司信息披露编报规则第15号一财务 报告的一般规定［2014年修订］》以及相关补充规定的要求编制，真实、完整地反映了公司的 财务状况、经营成果、股东权益变动和现金流量等有关信息。</w:t>
      </w:r>
    </w:p>
    <w:p>
      <w:pPr>
        <w:pStyle w:val="Style24"/>
        <w:keepNext/>
        <w:keepLines/>
        <w:widowControl w:val="0"/>
        <w:shd w:val="clear" w:color="auto" w:fill="auto"/>
        <w:tabs>
          <w:tab w:pos="355" w:val="left"/>
        </w:tabs>
        <w:bidi w:val="0"/>
        <w:spacing w:before="0" w:after="220" w:line="240" w:lineRule="auto"/>
        <w:ind w:left="0" w:right="0" w:firstLine="0"/>
        <w:jc w:val="both"/>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2</w:t>
      </w:r>
      <w:bookmarkEnd w:id="759"/>
      <w:r>
        <w:rPr>
          <w:color w:val="000000"/>
          <w:spacing w:val="0"/>
          <w:w w:val="100"/>
          <w:position w:val="0"/>
        </w:rPr>
        <w:t>、</w:t>
        <w:tab/>
        <w:t>会计期间</w:t>
      </w:r>
      <w:bookmarkEnd w:id="757"/>
      <w:bookmarkEnd w:id="758"/>
      <w:bookmarkEnd w:id="760"/>
    </w:p>
    <w:p>
      <w:pPr>
        <w:pStyle w:val="Style59"/>
        <w:keepNext w:val="0"/>
        <w:keepLines w:val="0"/>
        <w:widowControl w:val="0"/>
        <w:shd w:val="clear" w:color="auto" w:fill="auto"/>
        <w:bidi w:val="0"/>
        <w:spacing w:before="0" w:after="400" w:line="467" w:lineRule="exact"/>
        <w:ind w:left="0" w:right="0" w:firstLine="500"/>
        <w:jc w:val="left"/>
      </w:pPr>
      <w:r>
        <w:rPr>
          <w:color w:val="000000"/>
          <w:spacing w:val="0"/>
          <w:w w:val="100"/>
          <w:position w:val="0"/>
          <w:sz w:val="24"/>
          <w:szCs w:val="24"/>
        </w:rPr>
        <w:t>会计年度自公历1月1日起至12月31日止。</w:t>
      </w:r>
    </w:p>
    <w:p>
      <w:pPr>
        <w:pStyle w:val="Style24"/>
        <w:keepNext/>
        <w:keepLines/>
        <w:widowControl w:val="0"/>
        <w:shd w:val="clear" w:color="auto" w:fill="auto"/>
        <w:tabs>
          <w:tab w:pos="355" w:val="left"/>
        </w:tabs>
        <w:bidi w:val="0"/>
        <w:spacing w:before="0" w:after="220" w:line="240" w:lineRule="auto"/>
        <w:ind w:left="0" w:right="0" w:firstLine="0"/>
        <w:jc w:val="both"/>
      </w:pP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3</w:t>
      </w:r>
      <w:bookmarkEnd w:id="763"/>
      <w:r>
        <w:rPr>
          <w:color w:val="000000"/>
          <w:spacing w:val="0"/>
          <w:w w:val="100"/>
          <w:position w:val="0"/>
        </w:rPr>
        <w:t>、</w:t>
        <w:tab/>
        <w:t>营业周期</w:t>
      </w:r>
      <w:bookmarkEnd w:id="761"/>
      <w:bookmarkEnd w:id="762"/>
      <w:bookmarkEnd w:id="764"/>
    </w:p>
    <w:p>
      <w:pPr>
        <w:pStyle w:val="Style59"/>
        <w:keepNext w:val="0"/>
        <w:keepLines w:val="0"/>
        <w:widowControl w:val="0"/>
        <w:shd w:val="clear" w:color="auto" w:fill="auto"/>
        <w:bidi w:val="0"/>
        <w:spacing w:before="0" w:after="400" w:line="467" w:lineRule="exact"/>
        <w:ind w:left="0" w:right="0" w:firstLine="500"/>
        <w:jc w:val="both"/>
      </w:pPr>
      <w:r>
        <w:rPr>
          <w:color w:val="000000"/>
          <w:spacing w:val="0"/>
          <w:w w:val="100"/>
          <w:position w:val="0"/>
          <w:sz w:val="24"/>
          <w:szCs w:val="24"/>
        </w:rPr>
        <w:t>本公司营业周期为12个月。</w:t>
      </w:r>
    </w:p>
    <w:p>
      <w:pPr>
        <w:pStyle w:val="Style24"/>
        <w:keepNext/>
        <w:keepLines/>
        <w:widowControl w:val="0"/>
        <w:shd w:val="clear" w:color="auto" w:fill="auto"/>
        <w:tabs>
          <w:tab w:pos="355" w:val="left"/>
        </w:tabs>
        <w:bidi w:val="0"/>
        <w:spacing w:before="0" w:after="220" w:line="240" w:lineRule="auto"/>
        <w:ind w:left="0" w:right="0" w:firstLine="0"/>
        <w:jc w:val="left"/>
      </w:pPr>
      <w:bookmarkStart w:id="765" w:name="bookmark765"/>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4</w:t>
      </w:r>
      <w:bookmarkEnd w:id="767"/>
      <w:r>
        <w:rPr>
          <w:color w:val="000000"/>
          <w:spacing w:val="0"/>
          <w:w w:val="100"/>
          <w:position w:val="0"/>
        </w:rPr>
        <w:t>、</w:t>
        <w:tab/>
        <w:t>记账本位币</w:t>
      </w:r>
      <w:bookmarkEnd w:id="765"/>
      <w:bookmarkEnd w:id="766"/>
      <w:bookmarkEnd w:id="768"/>
    </w:p>
    <w:p>
      <w:pPr>
        <w:pStyle w:val="Style59"/>
        <w:keepNext w:val="0"/>
        <w:keepLines w:val="0"/>
        <w:widowControl w:val="0"/>
        <w:shd w:val="clear" w:color="auto" w:fill="auto"/>
        <w:bidi w:val="0"/>
        <w:spacing w:before="0" w:after="400" w:line="467" w:lineRule="exact"/>
        <w:ind w:left="0" w:right="0" w:firstLine="500"/>
        <w:jc w:val="both"/>
      </w:pPr>
      <w:r>
        <w:rPr>
          <w:color w:val="000000"/>
          <w:spacing w:val="0"/>
          <w:w w:val="100"/>
          <w:position w:val="0"/>
          <w:sz w:val="24"/>
          <w:szCs w:val="24"/>
        </w:rPr>
        <w:t>本公司记账本位币为人民币。</w:t>
      </w:r>
    </w:p>
    <w:p>
      <w:pPr>
        <w:pStyle w:val="Style24"/>
        <w:keepNext/>
        <w:keepLines/>
        <w:widowControl w:val="0"/>
        <w:shd w:val="clear" w:color="auto" w:fill="auto"/>
        <w:tabs>
          <w:tab w:pos="355" w:val="left"/>
        </w:tabs>
        <w:bidi w:val="0"/>
        <w:spacing w:before="0" w:after="220" w:line="240" w:lineRule="auto"/>
        <w:ind w:left="0" w:right="0" w:firstLine="0"/>
        <w:jc w:val="left"/>
      </w:pPr>
      <w:bookmarkStart w:id="769" w:name="bookmark769"/>
      <w:bookmarkStart w:id="770" w:name="bookmark770"/>
      <w:bookmarkStart w:id="771" w:name="bookmark771"/>
      <w:bookmarkStart w:id="772" w:name="bookmark772"/>
      <w:r>
        <w:rPr>
          <w:rFonts w:ascii="Times New Roman" w:eastAsia="Times New Roman" w:hAnsi="Times New Roman" w:cs="Times New Roman"/>
          <w:color w:val="000000"/>
          <w:spacing w:val="0"/>
          <w:w w:val="100"/>
          <w:position w:val="0"/>
        </w:rPr>
        <w:t>5</w:t>
      </w:r>
      <w:bookmarkEnd w:id="771"/>
      <w:r>
        <w:rPr>
          <w:color w:val="000000"/>
          <w:spacing w:val="0"/>
          <w:w w:val="100"/>
          <w:position w:val="0"/>
        </w:rPr>
        <w:t>、</w:t>
        <w:tab/>
        <w:t>同一控制下和非同一控制下企业合并的会计处理方法</w:t>
      </w:r>
      <w:bookmarkEnd w:id="769"/>
      <w:bookmarkEnd w:id="770"/>
      <w:bookmarkEnd w:id="772"/>
    </w:p>
    <w:p>
      <w:pPr>
        <w:pStyle w:val="Style59"/>
        <w:keepNext w:val="0"/>
        <w:keepLines w:val="0"/>
        <w:widowControl w:val="0"/>
        <w:numPr>
          <w:ilvl w:val="0"/>
          <w:numId w:val="27"/>
        </w:numPr>
        <w:shd w:val="clear" w:color="auto" w:fill="auto"/>
        <w:bidi w:val="0"/>
        <w:spacing w:before="0" w:after="320" w:line="467" w:lineRule="exact"/>
        <w:ind w:left="0" w:right="0" w:firstLine="500"/>
        <w:jc w:val="both"/>
      </w:pPr>
      <w:bookmarkStart w:id="773" w:name="bookmark773"/>
      <w:bookmarkEnd w:id="773"/>
      <w:r>
        <w:rPr>
          <w:color w:val="000000"/>
          <w:spacing w:val="0"/>
          <w:w w:val="100"/>
          <w:position w:val="0"/>
          <w:sz w:val="24"/>
          <w:szCs w:val="24"/>
        </w:rPr>
        <w:t>在同一控制下的企业合并中，公司作为购买方取得对其他参与合并企业的控制权， 如以支付现金、转让非现金资产或承担债务方式作为合并对价的，在合并日按照被合并方所 有者权益在最终控制方合并财务报表中的账面价值的份额作为长期股权投资的初始投资成 本，长期股权投资初始投资成本与支付的现金、转让的非现金资产以及所承担债务账面价值 之间的差额，调整资本公积；资本公积不足冲减的，调整留存收益；如以发行权益性证券作 为合并对价的，在合并日按照被合并方所有者权益在最终控制方合并财务报表中的账面价值 的份额作为长期股权投资的初始投资成本，按照发行股份的面值总额作为股本，长期股权投 资初始投资成本与所发行股份面值总额之间的差额，调整资本公积，资本公积不足冲减的， 调整留存收益。为进行企业合并发生的审计、法律服务、评估咨询等中介费用以及其他相关 管理费用，于发生时计入当期损益。为企业合并发行的债券或承担其他债务支付的手续费、 佣金等，应当计入所发行债券及其他债务的初始计量金额。企业合并中发行权益性证券发生 的手续费、佣金等费用，应当抵减权益性证券溢价收入，溢价收入不足冲减的，冲减留存收 益。</w:t>
      </w:r>
    </w:p>
    <w:p>
      <w:pPr>
        <w:pStyle w:val="Style59"/>
        <w:keepNext w:val="0"/>
        <w:keepLines w:val="0"/>
        <w:widowControl w:val="0"/>
        <w:numPr>
          <w:ilvl w:val="0"/>
          <w:numId w:val="27"/>
        </w:numPr>
        <w:shd w:val="clear" w:color="auto" w:fill="auto"/>
        <w:tabs>
          <w:tab w:pos="973" w:val="left"/>
        </w:tabs>
        <w:bidi w:val="0"/>
        <w:spacing w:before="0" w:after="0" w:line="473" w:lineRule="exact"/>
        <w:ind w:left="0" w:right="0" w:firstLine="500"/>
        <w:jc w:val="both"/>
      </w:pPr>
      <w:bookmarkStart w:id="774" w:name="bookmark774"/>
      <w:bookmarkEnd w:id="774"/>
      <w:r>
        <w:rPr>
          <w:color w:val="000000"/>
          <w:spacing w:val="0"/>
          <w:w w:val="100"/>
          <w:position w:val="0"/>
          <w:sz w:val="24"/>
          <w:szCs w:val="24"/>
        </w:rPr>
        <w:t>公司对外合并如属非同一控制下的企业合并，按下列情况确定长期股权投资的初始 投资成本：</w:t>
      </w:r>
    </w:p>
    <w:p>
      <w:pPr>
        <w:pStyle w:val="Style59"/>
        <w:keepNext w:val="0"/>
        <w:keepLines w:val="0"/>
        <w:widowControl w:val="0"/>
        <w:numPr>
          <w:ilvl w:val="0"/>
          <w:numId w:val="29"/>
        </w:numPr>
        <w:shd w:val="clear" w:color="auto" w:fill="auto"/>
        <w:tabs>
          <w:tab w:pos="901" w:val="left"/>
        </w:tabs>
        <w:bidi w:val="0"/>
        <w:spacing w:before="0" w:after="0" w:line="473" w:lineRule="exact"/>
        <w:ind w:left="0" w:right="0" w:firstLine="500"/>
        <w:jc w:val="both"/>
      </w:pPr>
      <w:bookmarkStart w:id="775" w:name="bookmark775"/>
      <w:bookmarkEnd w:id="775"/>
      <w:r>
        <w:rPr>
          <w:color w:val="000000"/>
          <w:spacing w:val="0"/>
          <w:w w:val="100"/>
          <w:position w:val="0"/>
          <w:sz w:val="24"/>
          <w:szCs w:val="24"/>
        </w:rPr>
        <w:t>一次交换交易实现的企业合并，长期股权投资的初始投资成本为购买方在购买日为取 得对被购买方的控制权而付出的资产、发生或承担的负债以及发行的权益性证券的公允价值；</w:t>
      </w:r>
    </w:p>
    <w:p>
      <w:pPr>
        <w:pStyle w:val="Style59"/>
        <w:keepNext w:val="0"/>
        <w:keepLines w:val="0"/>
        <w:widowControl w:val="0"/>
        <w:numPr>
          <w:ilvl w:val="0"/>
          <w:numId w:val="29"/>
        </w:numPr>
        <w:shd w:val="clear" w:color="auto" w:fill="auto"/>
        <w:tabs>
          <w:tab w:pos="886" w:val="left"/>
        </w:tabs>
        <w:bidi w:val="0"/>
        <w:spacing w:before="0" w:after="0" w:line="473" w:lineRule="exact"/>
        <w:ind w:left="0" w:right="0" w:firstLine="500"/>
        <w:jc w:val="both"/>
      </w:pPr>
      <w:bookmarkStart w:id="776" w:name="bookmark776"/>
      <w:bookmarkEnd w:id="776"/>
      <w:r>
        <w:rPr>
          <w:color w:val="000000"/>
          <w:spacing w:val="0"/>
          <w:w w:val="100"/>
          <w:position w:val="0"/>
          <w:sz w:val="24"/>
          <w:szCs w:val="24"/>
        </w:rPr>
        <w:t>通过多次交换交易分步实现的企业合并，长期股权投资的初始投资成本为每一单项交 易成本之和；</w:t>
      </w:r>
    </w:p>
    <w:p>
      <w:pPr>
        <w:pStyle w:val="Style59"/>
        <w:keepNext w:val="0"/>
        <w:keepLines w:val="0"/>
        <w:widowControl w:val="0"/>
        <w:numPr>
          <w:ilvl w:val="0"/>
          <w:numId w:val="29"/>
        </w:numPr>
        <w:shd w:val="clear" w:color="auto" w:fill="auto"/>
        <w:tabs>
          <w:tab w:pos="896" w:val="left"/>
        </w:tabs>
        <w:bidi w:val="0"/>
        <w:spacing w:before="0" w:after="0" w:line="473" w:lineRule="exact"/>
        <w:ind w:left="0" w:right="0" w:firstLine="500"/>
        <w:jc w:val="both"/>
      </w:pPr>
      <w:bookmarkStart w:id="777" w:name="bookmark777"/>
      <w:bookmarkEnd w:id="777"/>
      <w:r>
        <w:rPr>
          <w:color w:val="000000"/>
          <w:spacing w:val="0"/>
          <w:w w:val="100"/>
          <w:position w:val="0"/>
          <w:sz w:val="24"/>
          <w:szCs w:val="24"/>
        </w:rPr>
        <w:t>为进行企业合并发生的审计、法律服务、评估咨询等中介费用以及其他相关管理费用， 于发生时计入当期损益；作为合并对价发行的权益性证券或债务性证券的交易费用，计入权 益性证券或债务性证券的初始确认金额；</w:t>
      </w:r>
    </w:p>
    <w:p>
      <w:pPr>
        <w:pStyle w:val="Style59"/>
        <w:keepNext w:val="0"/>
        <w:keepLines w:val="0"/>
        <w:widowControl w:val="0"/>
        <w:numPr>
          <w:ilvl w:val="0"/>
          <w:numId w:val="29"/>
        </w:numPr>
        <w:shd w:val="clear" w:color="auto" w:fill="auto"/>
        <w:tabs>
          <w:tab w:pos="901" w:val="left"/>
        </w:tabs>
        <w:bidi w:val="0"/>
        <w:spacing w:before="0" w:after="420" w:line="473" w:lineRule="exact"/>
        <w:ind w:left="0" w:right="0" w:firstLine="500"/>
        <w:jc w:val="both"/>
      </w:pPr>
      <w:bookmarkStart w:id="778" w:name="bookmark778"/>
      <w:bookmarkEnd w:id="778"/>
      <w:r>
        <w:rPr>
          <w:color w:val="000000"/>
          <w:spacing w:val="0"/>
          <w:w w:val="100"/>
          <w:position w:val="0"/>
          <w:sz w:val="24"/>
          <w:szCs w:val="24"/>
        </w:rPr>
        <w:t>在合并合同或协议中对可能影响合并成本的未来事项作出约定的，在购买日如果估计 未来事项很可能发生并且对合并成本的影响金额能够可靠计量的，将其计入长期股权投资的 初始投资成本。</w:t>
      </w:r>
    </w:p>
    <w:p>
      <w:pPr>
        <w:pStyle w:val="Style59"/>
        <w:keepNext w:val="0"/>
        <w:keepLines w:val="0"/>
        <w:widowControl w:val="0"/>
        <w:numPr>
          <w:ilvl w:val="0"/>
          <w:numId w:val="27"/>
        </w:numPr>
        <w:shd w:val="clear" w:color="auto" w:fill="auto"/>
        <w:tabs>
          <w:tab w:pos="978" w:val="left"/>
        </w:tabs>
        <w:bidi w:val="0"/>
        <w:spacing w:before="0" w:after="0" w:line="470" w:lineRule="exact"/>
        <w:ind w:left="0" w:right="0" w:firstLine="500"/>
        <w:jc w:val="both"/>
      </w:pPr>
      <w:bookmarkStart w:id="779" w:name="bookmark779"/>
      <w:bookmarkEnd w:id="779"/>
      <w:r>
        <w:rPr>
          <w:color w:val="000000"/>
          <w:spacing w:val="0"/>
          <w:w w:val="100"/>
          <w:position w:val="0"/>
          <w:sz w:val="24"/>
          <w:szCs w:val="24"/>
        </w:rPr>
        <w:t>公司对外合并如属非同一控制下的企业合并，对长期股权投资的初始投资成本大于 合并中取得的被购买方可辨认净资产公允价值份额的差额，确认为商誉。</w:t>
      </w:r>
    </w:p>
    <w:p>
      <w:pPr>
        <w:pStyle w:val="Style59"/>
        <w:keepNext w:val="0"/>
        <w:keepLines w:val="0"/>
        <w:widowControl w:val="0"/>
        <w:shd w:val="clear" w:color="auto" w:fill="auto"/>
        <w:bidi w:val="0"/>
        <w:spacing w:before="0" w:after="0" w:line="470" w:lineRule="exact"/>
        <w:ind w:left="0" w:right="0" w:firstLine="500"/>
        <w:jc w:val="both"/>
      </w:pPr>
      <w:r>
        <w:rPr>
          <w:color w:val="000000"/>
          <w:spacing w:val="0"/>
          <w:w w:val="100"/>
          <w:position w:val="0"/>
          <w:sz w:val="24"/>
          <w:szCs w:val="24"/>
        </w:rPr>
        <w:t>对长期股权投资的初始投资成本小于合并中取得的被购买方可辨认净资产公允价值份额 的差额，按照下列方法处理：</w:t>
      </w:r>
    </w:p>
    <w:p>
      <w:pPr>
        <w:pStyle w:val="Style59"/>
        <w:keepNext w:val="0"/>
        <w:keepLines w:val="0"/>
        <w:widowControl w:val="0"/>
        <w:numPr>
          <w:ilvl w:val="0"/>
          <w:numId w:val="31"/>
        </w:numPr>
        <w:shd w:val="clear" w:color="auto" w:fill="auto"/>
        <w:tabs>
          <w:tab w:pos="901" w:val="left"/>
        </w:tabs>
        <w:bidi w:val="0"/>
        <w:spacing w:before="0" w:after="0" w:line="470" w:lineRule="exact"/>
        <w:ind w:left="0" w:right="0" w:firstLine="500"/>
        <w:jc w:val="both"/>
      </w:pPr>
      <w:bookmarkStart w:id="780" w:name="bookmark780"/>
      <w:bookmarkEnd w:id="780"/>
      <w:r>
        <w:rPr>
          <w:color w:val="000000"/>
          <w:spacing w:val="0"/>
          <w:w w:val="100"/>
          <w:position w:val="0"/>
          <w:sz w:val="24"/>
          <w:szCs w:val="24"/>
        </w:rPr>
        <w:t>对取得的被购买方各项可辨认资产、负债及或有负债的公允价值以及合并成本的计量 进行复核；</w:t>
      </w:r>
    </w:p>
    <w:p>
      <w:pPr>
        <w:pStyle w:val="Style59"/>
        <w:keepNext w:val="0"/>
        <w:keepLines w:val="0"/>
        <w:widowControl w:val="0"/>
        <w:numPr>
          <w:ilvl w:val="0"/>
          <w:numId w:val="31"/>
        </w:numPr>
        <w:shd w:val="clear" w:color="auto" w:fill="auto"/>
        <w:tabs>
          <w:tab w:pos="901" w:val="left"/>
        </w:tabs>
        <w:bidi w:val="0"/>
        <w:spacing w:before="0" w:after="420" w:line="451" w:lineRule="exact"/>
        <w:ind w:left="0" w:right="0" w:firstLine="500"/>
        <w:jc w:val="both"/>
      </w:pPr>
      <w:bookmarkStart w:id="781" w:name="bookmark781"/>
      <w:bookmarkEnd w:id="781"/>
      <w:r>
        <w:rPr>
          <w:color w:val="000000"/>
          <w:spacing w:val="0"/>
          <w:w w:val="100"/>
          <w:position w:val="0"/>
          <w:sz w:val="24"/>
          <w:szCs w:val="24"/>
        </w:rPr>
        <w:t>经复核后合并成本仍小于合并中取得的被购买方可辨认净资产公允价值份额的，其差 额应当计入当期损益。</w:t>
      </w:r>
    </w:p>
    <w:p>
      <w:pPr>
        <w:pStyle w:val="Style24"/>
        <w:keepNext/>
        <w:keepLines/>
        <w:widowControl w:val="0"/>
        <w:shd w:val="clear" w:color="auto" w:fill="auto"/>
        <w:bidi w:val="0"/>
        <w:spacing w:before="0" w:after="220" w:line="240" w:lineRule="auto"/>
        <w:ind w:left="0" w:right="0" w:firstLine="0"/>
        <w:jc w:val="both"/>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6</w:t>
      </w:r>
      <w:bookmarkEnd w:id="784"/>
      <w:r>
        <w:rPr>
          <w:color w:val="000000"/>
          <w:spacing w:val="0"/>
          <w:w w:val="100"/>
          <w:position w:val="0"/>
        </w:rPr>
        <w:t>、合并财务报表的编制方法</w:t>
      </w:r>
      <w:bookmarkEnd w:id="782"/>
      <w:bookmarkEnd w:id="783"/>
      <w:bookmarkEnd w:id="785"/>
    </w:p>
    <w:p>
      <w:pPr>
        <w:pStyle w:val="Style59"/>
        <w:keepNext w:val="0"/>
        <w:keepLines w:val="0"/>
        <w:widowControl w:val="0"/>
        <w:shd w:val="clear" w:color="auto" w:fill="auto"/>
        <w:bidi w:val="0"/>
        <w:spacing w:before="0" w:after="0" w:line="469" w:lineRule="exact"/>
        <w:ind w:left="0" w:right="0" w:firstLine="500"/>
        <w:jc w:val="both"/>
      </w:pPr>
      <w:r>
        <w:rPr>
          <w:color w:val="000000"/>
          <w:spacing w:val="0"/>
          <w:w w:val="100"/>
          <w:position w:val="0"/>
          <w:sz w:val="24"/>
          <w:szCs w:val="24"/>
        </w:rPr>
        <w:t>合并财务报表的合并范围以控制为基础予以确定。控制，是指投资方拥有对被投资方的 权力，通过参与被投资方的相关活动而享有可变回报，并且有能力运用对被投资方的权力影 响其回报金额。</w:t>
      </w:r>
    </w:p>
    <w:p>
      <w:pPr>
        <w:pStyle w:val="Style59"/>
        <w:keepNext w:val="0"/>
        <w:keepLines w:val="0"/>
        <w:widowControl w:val="0"/>
        <w:shd w:val="clear" w:color="auto" w:fill="auto"/>
        <w:bidi w:val="0"/>
        <w:spacing w:before="0" w:after="0" w:line="469" w:lineRule="exact"/>
        <w:ind w:left="0" w:right="0" w:firstLine="500"/>
        <w:jc w:val="both"/>
      </w:pPr>
      <w:r>
        <w:rPr>
          <w:color w:val="000000"/>
          <w:spacing w:val="0"/>
          <w:w w:val="100"/>
          <w:position w:val="0"/>
          <w:sz w:val="24"/>
          <w:szCs w:val="24"/>
        </w:rPr>
        <w:t>母公司应当将其全部子公司纳入合并财务报表的合并范围。子公司，是指被公司控制的 主体(含企业、被投资单位中可分割的部分，以及企业所控制的结构化主体等)。</w:t>
      </w:r>
    </w:p>
    <w:p>
      <w:pPr>
        <w:pStyle w:val="Style59"/>
        <w:keepNext w:val="0"/>
        <w:keepLines w:val="0"/>
        <w:widowControl w:val="0"/>
        <w:shd w:val="clear" w:color="auto" w:fill="auto"/>
        <w:bidi w:val="0"/>
        <w:spacing w:before="0" w:after="0" w:line="469" w:lineRule="exact"/>
        <w:ind w:left="0" w:right="0" w:firstLine="500"/>
        <w:jc w:val="both"/>
      </w:pPr>
      <w:r>
        <w:rPr>
          <w:color w:val="000000"/>
          <w:spacing w:val="0"/>
          <w:w w:val="100"/>
          <w:position w:val="0"/>
          <w:sz w:val="24"/>
          <w:szCs w:val="24"/>
        </w:rPr>
        <w:t xml:space="preserve">如果母公司是投资性主体，则母公司应当仅将为其投资活动提供相关服务的子公司(如有) </w:t>
      </w:r>
      <w:r>
        <w:rPr>
          <w:color w:val="000000"/>
          <w:spacing w:val="0"/>
          <w:w w:val="100"/>
          <w:position w:val="0"/>
          <w:sz w:val="24"/>
          <w:szCs w:val="24"/>
        </w:rPr>
        <w:t>纳入合并范围并编制合并财务报表；其他子公司不应当予以合并，母公司对其他子公司的投 资应当按照公允价值计量且其变动计入当期损益。当母公司同时满足下列条件时，该母公司 属于投资性主体：</w:t>
      </w:r>
    </w:p>
    <w:p>
      <w:pPr>
        <w:pStyle w:val="Style59"/>
        <w:keepNext w:val="0"/>
        <w:keepLines w:val="0"/>
        <w:widowControl w:val="0"/>
        <w:numPr>
          <w:ilvl w:val="0"/>
          <w:numId w:val="33"/>
        </w:numPr>
        <w:shd w:val="clear" w:color="auto" w:fill="auto"/>
        <w:tabs>
          <w:tab w:pos="928" w:val="left"/>
        </w:tabs>
        <w:bidi w:val="0"/>
        <w:spacing w:before="0" w:after="0" w:line="470" w:lineRule="exact"/>
        <w:ind w:left="0" w:right="0" w:firstLine="480"/>
        <w:jc w:val="both"/>
      </w:pPr>
      <w:bookmarkStart w:id="786" w:name="bookmark786"/>
      <w:bookmarkEnd w:id="786"/>
      <w:r>
        <w:rPr>
          <w:color w:val="000000"/>
          <w:spacing w:val="0"/>
          <w:w w:val="100"/>
          <w:position w:val="0"/>
          <w:sz w:val="24"/>
          <w:szCs w:val="24"/>
        </w:rPr>
        <w:t>该母公司是以向投资者提供投资管理服务为目的，从一个或多个投资者处获取资金;</w:t>
      </w:r>
    </w:p>
    <w:p>
      <w:pPr>
        <w:pStyle w:val="Style59"/>
        <w:keepNext w:val="0"/>
        <w:keepLines w:val="0"/>
        <w:widowControl w:val="0"/>
        <w:numPr>
          <w:ilvl w:val="0"/>
          <w:numId w:val="33"/>
        </w:numPr>
        <w:shd w:val="clear" w:color="auto" w:fill="auto"/>
        <w:tabs>
          <w:tab w:pos="928" w:val="left"/>
        </w:tabs>
        <w:bidi w:val="0"/>
        <w:spacing w:before="0" w:after="0" w:line="470" w:lineRule="exact"/>
        <w:ind w:left="0" w:right="0" w:firstLine="480"/>
        <w:jc w:val="both"/>
      </w:pPr>
      <w:bookmarkStart w:id="787" w:name="bookmark787"/>
      <w:bookmarkEnd w:id="787"/>
      <w:r>
        <w:rPr>
          <w:color w:val="000000"/>
          <w:spacing w:val="0"/>
          <w:w w:val="100"/>
          <w:position w:val="0"/>
          <w:sz w:val="24"/>
          <w:szCs w:val="24"/>
        </w:rPr>
        <w:t>该母公司的唯一经营目的，是通过资本增值、投资收益或两者兼有而让投资者获得 回报；</w:t>
      </w:r>
    </w:p>
    <w:p>
      <w:pPr>
        <w:pStyle w:val="Style59"/>
        <w:keepNext w:val="0"/>
        <w:keepLines w:val="0"/>
        <w:widowControl w:val="0"/>
        <w:numPr>
          <w:ilvl w:val="0"/>
          <w:numId w:val="33"/>
        </w:numPr>
        <w:shd w:val="clear" w:color="auto" w:fill="auto"/>
        <w:tabs>
          <w:tab w:pos="928" w:val="left"/>
        </w:tabs>
        <w:bidi w:val="0"/>
        <w:spacing w:before="0" w:after="0" w:line="470" w:lineRule="exact"/>
        <w:ind w:left="0" w:right="0" w:firstLine="480"/>
        <w:jc w:val="both"/>
      </w:pPr>
      <w:bookmarkStart w:id="788" w:name="bookmark788"/>
      <w:bookmarkEnd w:id="788"/>
      <w:r>
        <w:rPr>
          <w:color w:val="000000"/>
          <w:spacing w:val="0"/>
          <w:w w:val="100"/>
          <w:position w:val="0"/>
          <w:sz w:val="24"/>
          <w:szCs w:val="24"/>
        </w:rPr>
        <w:t>该母公司按照公允价值对几乎所有投资的业绩进行考量和评价。</w:t>
      </w:r>
    </w:p>
    <w:p>
      <w:pPr>
        <w:pStyle w:val="Style59"/>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编制合并报表时，公司与被合并子公司采用的统一的会计政策和期间。合并财务报表以 公司和子公司的财务报表为基础，在抵销公司与子公司、子公司相互之间发生的内部交易对 合并财务报表的影响后，由公司合并编制。公司在报告期内因同一控制下企业合并增加的子 公司，编制合并资产负债表时，调整合并资产负债表的年初数。因非同一控制下企业合并增 加的子公司，编制合并资产负债表时，不调整合并资产负债表的年初数。公司在报告期内因 同一控制下企业合并增加的子公司，将该子公司合并当期年初至报告期末的收入、费用、利 润及现金流量纳入合并利润表及现金流量表。因非同一控制下企业合并增加的子公司，将该 子公司购买日至报告期末的收入、费用、利润及现金流量纳入合并利润表及现金流量表。公 司在报告期内处置子公司，将该子公司年初至处置日的收入、费用、利润及现金流量纳入合 并利润表及现金流量表。</w:t>
      </w:r>
    </w:p>
    <w:p>
      <w:pPr>
        <w:pStyle w:val="Style59"/>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母公司购买子公司少数股东拥有的子公司股权，在合并财务报表中，因购买少数股权新 取得的长期股权投资与按照新增持股比例计算应享有子公司自购买日或合并日开始持续计算 的净资产份额之间的差额，应当调整资本公积(资本溢价或股本溢价)，资本公积不足冲减的， 调整留存收益。</w:t>
      </w:r>
    </w:p>
    <w:p>
      <w:pPr>
        <w:pStyle w:val="Style59"/>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母公司在不丧失控制权的情况下部分处置对子公司的长期股权投资，在合并财务报表中， 处置价款与处置长期股权投资相对应享有子公司自购买日或合并日开始持续计算的净资产份 额之间的差额，应当调整资本公积(资本溢价或股本溢价)，资本公积不足冲减的，调整留存 收益。</w:t>
      </w:r>
    </w:p>
    <w:p>
      <w:pPr>
        <w:pStyle w:val="Style59"/>
        <w:keepNext w:val="0"/>
        <w:keepLines w:val="0"/>
        <w:widowControl w:val="0"/>
        <w:shd w:val="clear" w:color="auto" w:fill="auto"/>
        <w:bidi w:val="0"/>
        <w:spacing w:before="0" w:after="400" w:line="470" w:lineRule="exact"/>
        <w:ind w:left="0" w:right="0" w:firstLine="480"/>
        <w:jc w:val="both"/>
      </w:pPr>
      <w:r>
        <w:rPr>
          <w:color w:val="000000"/>
          <w:spacing w:val="0"/>
          <w:w w:val="100"/>
          <w:position w:val="0"/>
          <w:sz w:val="24"/>
          <w:szCs w:val="24"/>
        </w:rPr>
        <w:t xml:space="preserve">企业因处置部分股权投资等原因丧失了对被投资方的控制权的，在编制合并财务报表时， 对于剩余股权，应当按照其在丧失控制权日的公允价值进行重新计量。处置股权取得的对价 与剩余股权公允价值之和，减去按原持股比例计算应享有原有子公司自购买日或合并日开始 持续计算的净资产的份额之间的差额，计入丧失控制权当期的投资收益，同时冲减商誉。与 </w:t>
      </w:r>
      <w:r>
        <w:rPr>
          <w:color w:val="000000"/>
          <w:spacing w:val="0"/>
          <w:w w:val="100"/>
          <w:position w:val="0"/>
          <w:sz w:val="24"/>
          <w:szCs w:val="24"/>
        </w:rPr>
        <w:t>原有子公司股权投资相关的其他综合收益等，应当在丧失控制权时转为当期投资收益，由于 被投资方重新计量设定受益计划净负债或净资产变动而产生的其他综合收益除外。</w:t>
      </w:r>
    </w:p>
    <w:p>
      <w:pPr>
        <w:pStyle w:val="Style24"/>
        <w:keepNext/>
        <w:keepLines/>
        <w:widowControl w:val="0"/>
        <w:shd w:val="clear" w:color="auto" w:fill="auto"/>
        <w:tabs>
          <w:tab w:pos="373" w:val="left"/>
        </w:tabs>
        <w:bidi w:val="0"/>
        <w:spacing w:before="0" w:after="220" w:line="240" w:lineRule="auto"/>
        <w:ind w:left="0" w:right="0" w:firstLine="0"/>
        <w:jc w:val="both"/>
      </w:pPr>
      <w:bookmarkStart w:id="789" w:name="bookmark789"/>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7</w:t>
      </w:r>
      <w:bookmarkEnd w:id="791"/>
      <w:r>
        <w:rPr>
          <w:color w:val="000000"/>
          <w:spacing w:val="0"/>
          <w:w w:val="100"/>
          <w:position w:val="0"/>
        </w:rPr>
        <w:t>、</w:t>
        <w:tab/>
        <w:t>合营安排分类及共同经营会计处理方法</w:t>
      </w:r>
      <w:bookmarkEnd w:id="789"/>
      <w:bookmarkEnd w:id="790"/>
      <w:bookmarkEnd w:id="792"/>
    </w:p>
    <w:p>
      <w:pPr>
        <w:pStyle w:val="Style59"/>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合营安排分为共同经营和合营企业。</w:t>
      </w:r>
    </w:p>
    <w:p>
      <w:pPr>
        <w:pStyle w:val="Style59"/>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共同经营，是指合营方享有该安排相关资产且承担该安排相关负债的合营安排。公司确 认其与共同经营中利益份额相关的下列项目，并按照相关企业会计准则的规定进行会计处理:</w:t>
      </w:r>
    </w:p>
    <w:p>
      <w:pPr>
        <w:pStyle w:val="Style59"/>
        <w:keepNext w:val="0"/>
        <w:keepLines w:val="0"/>
        <w:widowControl w:val="0"/>
        <w:numPr>
          <w:ilvl w:val="0"/>
          <w:numId w:val="35"/>
        </w:numPr>
        <w:shd w:val="clear" w:color="auto" w:fill="auto"/>
        <w:tabs>
          <w:tab w:pos="954" w:val="left"/>
        </w:tabs>
        <w:bidi w:val="0"/>
        <w:spacing w:before="0" w:after="0" w:line="468" w:lineRule="exact"/>
        <w:ind w:left="0" w:right="0" w:firstLine="500"/>
        <w:jc w:val="both"/>
      </w:pPr>
      <w:bookmarkStart w:id="793" w:name="bookmark793"/>
      <w:bookmarkEnd w:id="793"/>
      <w:r>
        <w:rPr>
          <w:color w:val="000000"/>
          <w:spacing w:val="0"/>
          <w:w w:val="100"/>
          <w:position w:val="0"/>
          <w:sz w:val="24"/>
          <w:szCs w:val="24"/>
        </w:rPr>
        <w:t>确认单独所持有的资产，以及按其份额确认共同持有的资产；</w:t>
      </w:r>
    </w:p>
    <w:p>
      <w:pPr>
        <w:pStyle w:val="Style59"/>
        <w:keepNext w:val="0"/>
        <w:keepLines w:val="0"/>
        <w:widowControl w:val="0"/>
        <w:numPr>
          <w:ilvl w:val="0"/>
          <w:numId w:val="35"/>
        </w:numPr>
        <w:shd w:val="clear" w:color="auto" w:fill="auto"/>
        <w:tabs>
          <w:tab w:pos="954" w:val="left"/>
        </w:tabs>
        <w:bidi w:val="0"/>
        <w:spacing w:before="0" w:after="0" w:line="468" w:lineRule="exact"/>
        <w:ind w:left="0" w:right="0" w:firstLine="500"/>
        <w:jc w:val="both"/>
      </w:pPr>
      <w:bookmarkStart w:id="794" w:name="bookmark794"/>
      <w:bookmarkEnd w:id="794"/>
      <w:r>
        <w:rPr>
          <w:color w:val="000000"/>
          <w:spacing w:val="0"/>
          <w:w w:val="100"/>
          <w:position w:val="0"/>
          <w:sz w:val="24"/>
          <w:szCs w:val="24"/>
        </w:rPr>
        <w:t>确认单独所承担的负债，以及按其份额确认共同承担的负债；</w:t>
      </w:r>
    </w:p>
    <w:p>
      <w:pPr>
        <w:pStyle w:val="Style59"/>
        <w:keepNext w:val="0"/>
        <w:keepLines w:val="0"/>
        <w:widowControl w:val="0"/>
        <w:numPr>
          <w:ilvl w:val="0"/>
          <w:numId w:val="35"/>
        </w:numPr>
        <w:shd w:val="clear" w:color="auto" w:fill="auto"/>
        <w:tabs>
          <w:tab w:pos="954" w:val="left"/>
        </w:tabs>
        <w:bidi w:val="0"/>
        <w:spacing w:before="0" w:after="0" w:line="468" w:lineRule="exact"/>
        <w:ind w:left="0" w:right="0" w:firstLine="500"/>
        <w:jc w:val="both"/>
      </w:pPr>
      <w:bookmarkStart w:id="795" w:name="bookmark795"/>
      <w:bookmarkEnd w:id="795"/>
      <w:r>
        <w:rPr>
          <w:color w:val="000000"/>
          <w:spacing w:val="0"/>
          <w:w w:val="100"/>
          <w:position w:val="0"/>
          <w:sz w:val="24"/>
          <w:szCs w:val="24"/>
        </w:rPr>
        <w:t>确认出售其享有的共同经营产出份额所产生的收入；</w:t>
      </w:r>
    </w:p>
    <w:p>
      <w:pPr>
        <w:pStyle w:val="Style59"/>
        <w:keepNext w:val="0"/>
        <w:keepLines w:val="0"/>
        <w:widowControl w:val="0"/>
        <w:numPr>
          <w:ilvl w:val="0"/>
          <w:numId w:val="35"/>
        </w:numPr>
        <w:shd w:val="clear" w:color="auto" w:fill="auto"/>
        <w:tabs>
          <w:tab w:pos="954" w:val="left"/>
        </w:tabs>
        <w:bidi w:val="0"/>
        <w:spacing w:before="0" w:after="0" w:line="468" w:lineRule="exact"/>
        <w:ind w:left="0" w:right="0" w:firstLine="500"/>
        <w:jc w:val="both"/>
      </w:pPr>
      <w:bookmarkStart w:id="796" w:name="bookmark796"/>
      <w:bookmarkEnd w:id="796"/>
      <w:r>
        <w:rPr>
          <w:color w:val="000000"/>
          <w:spacing w:val="0"/>
          <w:w w:val="100"/>
          <w:position w:val="0"/>
          <w:sz w:val="24"/>
          <w:szCs w:val="24"/>
        </w:rPr>
        <w:t>按其份额确认共同经营因出售产出所产生的收入；</w:t>
      </w:r>
    </w:p>
    <w:p>
      <w:pPr>
        <w:pStyle w:val="Style59"/>
        <w:keepNext w:val="0"/>
        <w:keepLines w:val="0"/>
        <w:widowControl w:val="0"/>
        <w:numPr>
          <w:ilvl w:val="0"/>
          <w:numId w:val="35"/>
        </w:numPr>
        <w:shd w:val="clear" w:color="auto" w:fill="auto"/>
        <w:tabs>
          <w:tab w:pos="954" w:val="left"/>
        </w:tabs>
        <w:bidi w:val="0"/>
        <w:spacing w:before="0" w:after="0" w:line="468" w:lineRule="exact"/>
        <w:ind w:left="0" w:right="0" w:firstLine="500"/>
        <w:jc w:val="both"/>
      </w:pPr>
      <w:bookmarkStart w:id="797" w:name="bookmark797"/>
      <w:bookmarkEnd w:id="797"/>
      <w:r>
        <w:rPr>
          <w:color w:val="000000"/>
          <w:spacing w:val="0"/>
          <w:w w:val="100"/>
          <w:position w:val="0"/>
          <w:sz w:val="24"/>
          <w:szCs w:val="24"/>
        </w:rPr>
        <w:t>确认单独所发生的费用，以及按其份额确认共同经营发生的费用。</w:t>
      </w:r>
    </w:p>
    <w:p>
      <w:pPr>
        <w:pStyle w:val="Style59"/>
        <w:keepNext w:val="0"/>
        <w:keepLines w:val="0"/>
        <w:widowControl w:val="0"/>
        <w:shd w:val="clear" w:color="auto" w:fill="auto"/>
        <w:bidi w:val="0"/>
        <w:spacing w:before="0" w:after="400" w:line="468" w:lineRule="exact"/>
        <w:ind w:left="0" w:right="0" w:firstLine="500"/>
        <w:jc w:val="both"/>
      </w:pPr>
      <w:r>
        <w:rPr>
          <w:color w:val="000000"/>
          <w:spacing w:val="0"/>
          <w:w w:val="100"/>
          <w:position w:val="0"/>
          <w:sz w:val="24"/>
          <w:szCs w:val="24"/>
        </w:rPr>
        <w:t>合营企业，是指合营方仅对该安排的净资产享有权利的合营安排。公司按照权益法对合 营企业的投资进行会计处理。</w:t>
      </w:r>
    </w:p>
    <w:p>
      <w:pPr>
        <w:pStyle w:val="Style24"/>
        <w:keepNext/>
        <w:keepLines/>
        <w:widowControl w:val="0"/>
        <w:shd w:val="clear" w:color="auto" w:fill="auto"/>
        <w:tabs>
          <w:tab w:pos="378" w:val="left"/>
        </w:tabs>
        <w:bidi w:val="0"/>
        <w:spacing w:before="0" w:after="220" w:line="240" w:lineRule="auto"/>
        <w:ind w:left="0" w:right="0" w:firstLine="0"/>
        <w:jc w:val="left"/>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8</w:t>
      </w:r>
      <w:bookmarkEnd w:id="800"/>
      <w:r>
        <w:rPr>
          <w:color w:val="000000"/>
          <w:spacing w:val="0"/>
          <w:w w:val="100"/>
          <w:position w:val="0"/>
        </w:rPr>
        <w:t>、</w:t>
        <w:tab/>
        <w:t>现金及现金等价物的确定标准</w:t>
      </w:r>
      <w:bookmarkEnd w:id="798"/>
      <w:bookmarkEnd w:id="799"/>
      <w:bookmarkEnd w:id="801"/>
    </w:p>
    <w:p>
      <w:pPr>
        <w:pStyle w:val="Style59"/>
        <w:keepNext w:val="0"/>
        <w:keepLines w:val="0"/>
        <w:widowControl w:val="0"/>
        <w:shd w:val="clear" w:color="auto" w:fill="auto"/>
        <w:bidi w:val="0"/>
        <w:spacing w:before="0" w:after="400" w:line="475" w:lineRule="exact"/>
        <w:ind w:left="0" w:right="0" w:firstLine="500"/>
        <w:jc w:val="both"/>
      </w:pPr>
      <w:r>
        <w:rPr>
          <w:color w:val="000000"/>
          <w:spacing w:val="0"/>
          <w:w w:val="100"/>
          <w:position w:val="0"/>
          <w:sz w:val="24"/>
          <w:szCs w:val="24"/>
        </w:rPr>
        <w:t>现金是指库存现金以及可以随时用于支付的存款。现金等价物，是指公司持有的期限短、 流动性强、易于转换为已知金额现金、价值变动风险很小的投资。</w:t>
      </w:r>
    </w:p>
    <w:p>
      <w:pPr>
        <w:pStyle w:val="Style24"/>
        <w:keepNext/>
        <w:keepLines/>
        <w:widowControl w:val="0"/>
        <w:shd w:val="clear" w:color="auto" w:fill="auto"/>
        <w:tabs>
          <w:tab w:pos="378" w:val="left"/>
        </w:tabs>
        <w:bidi w:val="0"/>
        <w:spacing w:before="0" w:after="220" w:line="240" w:lineRule="auto"/>
        <w:ind w:left="0" w:right="0" w:firstLine="0"/>
        <w:jc w:val="both"/>
      </w:pPr>
      <w:bookmarkStart w:id="802" w:name="bookmark802"/>
      <w:bookmarkStart w:id="803" w:name="bookmark803"/>
      <w:bookmarkStart w:id="804" w:name="bookmark804"/>
      <w:bookmarkStart w:id="805" w:name="bookmark805"/>
      <w:r>
        <w:rPr>
          <w:rFonts w:ascii="Times New Roman" w:eastAsia="Times New Roman" w:hAnsi="Times New Roman" w:cs="Times New Roman"/>
          <w:color w:val="000000"/>
          <w:spacing w:val="0"/>
          <w:w w:val="100"/>
          <w:position w:val="0"/>
        </w:rPr>
        <w:t>9</w:t>
      </w:r>
      <w:bookmarkEnd w:id="804"/>
      <w:r>
        <w:rPr>
          <w:color w:val="000000"/>
          <w:spacing w:val="0"/>
          <w:w w:val="100"/>
          <w:position w:val="0"/>
        </w:rPr>
        <w:t>、</w:t>
        <w:tab/>
        <w:t>外币业务和外币报表折算</w:t>
      </w:r>
      <w:bookmarkEnd w:id="802"/>
      <w:bookmarkEnd w:id="803"/>
      <w:bookmarkEnd w:id="805"/>
    </w:p>
    <w:p>
      <w:pPr>
        <w:pStyle w:val="Style59"/>
        <w:keepNext w:val="0"/>
        <w:keepLines w:val="0"/>
        <w:widowControl w:val="0"/>
        <w:numPr>
          <w:ilvl w:val="0"/>
          <w:numId w:val="37"/>
        </w:numPr>
        <w:shd w:val="clear" w:color="auto" w:fill="auto"/>
        <w:tabs>
          <w:tab w:pos="958" w:val="left"/>
        </w:tabs>
        <w:bidi w:val="0"/>
        <w:spacing w:before="0" w:after="440" w:line="470" w:lineRule="exact"/>
        <w:ind w:left="0" w:right="0" w:firstLine="500"/>
        <w:jc w:val="both"/>
      </w:pPr>
      <w:bookmarkStart w:id="806" w:name="bookmark806"/>
      <w:bookmarkEnd w:id="806"/>
      <w:r>
        <w:rPr>
          <w:color w:val="000000"/>
          <w:spacing w:val="0"/>
          <w:w w:val="100"/>
          <w:position w:val="0"/>
          <w:sz w:val="24"/>
          <w:szCs w:val="24"/>
        </w:rPr>
        <w:t>外币交易在初始确认时，采用交易发生当日中国人民银行公布的人民币外汇牌价中 间价将外币金额折算为人民币金额。</w:t>
      </w:r>
    </w:p>
    <w:p>
      <w:pPr>
        <w:pStyle w:val="Style59"/>
        <w:keepNext w:val="0"/>
        <w:keepLines w:val="0"/>
        <w:widowControl w:val="0"/>
        <w:numPr>
          <w:ilvl w:val="0"/>
          <w:numId w:val="37"/>
        </w:numPr>
        <w:shd w:val="clear" w:color="auto" w:fill="auto"/>
        <w:tabs>
          <w:tab w:pos="954" w:val="left"/>
        </w:tabs>
        <w:bidi w:val="0"/>
        <w:spacing w:before="0" w:after="0" w:line="469" w:lineRule="exact"/>
        <w:ind w:left="0" w:right="0" w:firstLine="500"/>
        <w:jc w:val="both"/>
      </w:pPr>
      <w:bookmarkStart w:id="807" w:name="bookmark807"/>
      <w:bookmarkEnd w:id="807"/>
      <w:r>
        <w:rPr>
          <w:color w:val="000000"/>
          <w:spacing w:val="0"/>
          <w:w w:val="100"/>
          <w:position w:val="0"/>
          <w:sz w:val="24"/>
          <w:szCs w:val="24"/>
        </w:rPr>
        <w:t>于资产负债表日，按照下列方法对外币货币性项目和外币非货币性项目进行处理：</w:t>
      </w:r>
    </w:p>
    <w:p>
      <w:pPr>
        <w:pStyle w:val="Style59"/>
        <w:keepNext w:val="0"/>
        <w:keepLines w:val="0"/>
        <w:widowControl w:val="0"/>
        <w:numPr>
          <w:ilvl w:val="0"/>
          <w:numId w:val="39"/>
        </w:numPr>
        <w:shd w:val="clear" w:color="auto" w:fill="auto"/>
        <w:tabs>
          <w:tab w:pos="922" w:val="left"/>
        </w:tabs>
        <w:bidi w:val="0"/>
        <w:spacing w:before="0" w:after="0" w:line="469" w:lineRule="exact"/>
        <w:ind w:left="0" w:right="0" w:firstLine="500"/>
        <w:jc w:val="both"/>
      </w:pPr>
      <w:bookmarkStart w:id="808" w:name="bookmark808"/>
      <w:bookmarkEnd w:id="808"/>
      <w:r>
        <w:rPr>
          <w:color w:val="000000"/>
          <w:spacing w:val="0"/>
          <w:w w:val="100"/>
          <w:position w:val="0"/>
          <w:sz w:val="24"/>
          <w:szCs w:val="24"/>
        </w:rPr>
        <w:t>外币货币性项目，采用资产负债表日中国人民银行公布的人民币外汇牌价中间价折 算。因资产负债表日即期汇率与初始确认时或者前一资产负债表日即期汇率不同而产生的汇 兑差额，计入当期损益。</w:t>
      </w:r>
    </w:p>
    <w:p>
      <w:pPr>
        <w:pStyle w:val="Style59"/>
        <w:keepNext w:val="0"/>
        <w:keepLines w:val="0"/>
        <w:widowControl w:val="0"/>
        <w:numPr>
          <w:ilvl w:val="0"/>
          <w:numId w:val="39"/>
        </w:numPr>
        <w:shd w:val="clear" w:color="auto" w:fill="auto"/>
        <w:tabs>
          <w:tab w:pos="922" w:val="left"/>
        </w:tabs>
        <w:bidi w:val="0"/>
        <w:spacing w:before="0" w:after="0" w:line="469" w:lineRule="exact"/>
        <w:ind w:left="0" w:right="0" w:firstLine="500"/>
        <w:jc w:val="both"/>
      </w:pPr>
      <w:bookmarkStart w:id="809" w:name="bookmark809"/>
      <w:bookmarkEnd w:id="809"/>
      <w:r>
        <w:rPr>
          <w:color w:val="000000"/>
          <w:spacing w:val="0"/>
          <w:w w:val="100"/>
          <w:position w:val="0"/>
          <w:sz w:val="24"/>
          <w:szCs w:val="24"/>
        </w:rPr>
        <w:t xml:space="preserve">以历史成本计量的外币非货币性项目，仍采用交易发生日的即期汇率折算，不改变其 记账本位币金额；以公允价值计量的外币非货币性项目，采用公允价值确定日的即期汇率折 算，折算后的记账本位币金额与原记账本位币金额的差额，作为公允价值变动(含汇率变动) </w:t>
      </w:r>
      <w:r>
        <w:rPr>
          <w:color w:val="000000"/>
          <w:spacing w:val="0"/>
          <w:w w:val="100"/>
          <w:position w:val="0"/>
          <w:sz w:val="24"/>
          <w:szCs w:val="24"/>
        </w:rPr>
        <w:t>处理，并根据非货币性项目的性质计入当期损益或其他综合收益。</w:t>
      </w:r>
    </w:p>
    <w:p>
      <w:pPr>
        <w:pStyle w:val="Style59"/>
        <w:keepNext w:val="0"/>
        <w:keepLines w:val="0"/>
        <w:widowControl w:val="0"/>
        <w:shd w:val="clear" w:color="auto" w:fill="auto"/>
        <w:bidi w:val="0"/>
        <w:spacing w:before="0" w:after="0" w:line="475" w:lineRule="exact"/>
        <w:ind w:left="0" w:right="0" w:firstLine="500"/>
        <w:jc w:val="both"/>
      </w:pPr>
      <w:r>
        <w:rPr>
          <w:color w:val="000000"/>
          <w:spacing w:val="0"/>
          <w:w w:val="100"/>
          <w:position w:val="0"/>
          <w:sz w:val="24"/>
          <w:szCs w:val="24"/>
        </w:rPr>
        <w:t>货币性项目，是指公司持有的货币资金和将以固定或可确定的金额收取的资产或者偿付 的负债。</w:t>
      </w:r>
    </w:p>
    <w:p>
      <w:pPr>
        <w:pStyle w:val="Style59"/>
        <w:keepNext w:val="0"/>
        <w:keepLines w:val="0"/>
        <w:widowControl w:val="0"/>
        <w:shd w:val="clear" w:color="auto" w:fill="auto"/>
        <w:bidi w:val="0"/>
        <w:spacing w:before="0" w:after="440" w:line="475" w:lineRule="exact"/>
        <w:ind w:left="0" w:right="0" w:firstLine="500"/>
        <w:jc w:val="both"/>
      </w:pPr>
      <w:r>
        <w:rPr>
          <w:color w:val="000000"/>
          <w:spacing w:val="0"/>
          <w:w w:val="100"/>
          <w:position w:val="0"/>
          <w:sz w:val="24"/>
          <w:szCs w:val="24"/>
        </w:rPr>
        <w:t>非货币性项目，是指货币性项目以外的项目。</w:t>
      </w:r>
    </w:p>
    <w:p>
      <w:pPr>
        <w:pStyle w:val="Style59"/>
        <w:keepNext w:val="0"/>
        <w:keepLines w:val="0"/>
        <w:widowControl w:val="0"/>
        <w:numPr>
          <w:ilvl w:val="0"/>
          <w:numId w:val="37"/>
        </w:numPr>
        <w:shd w:val="clear" w:color="auto" w:fill="auto"/>
        <w:tabs>
          <w:tab w:pos="954" w:val="left"/>
        </w:tabs>
        <w:bidi w:val="0"/>
        <w:spacing w:before="0" w:after="0" w:line="464" w:lineRule="exact"/>
        <w:ind w:left="0" w:right="0" w:firstLine="500"/>
        <w:jc w:val="both"/>
      </w:pPr>
      <w:bookmarkStart w:id="810" w:name="bookmark810"/>
      <w:bookmarkEnd w:id="810"/>
      <w:r>
        <w:rPr>
          <w:color w:val="000000"/>
          <w:spacing w:val="0"/>
          <w:w w:val="100"/>
          <w:position w:val="0"/>
          <w:sz w:val="24"/>
          <w:szCs w:val="24"/>
        </w:rPr>
        <w:t>境外经营实体的外币财务报表的折算方法：</w:t>
      </w:r>
    </w:p>
    <w:p>
      <w:pPr>
        <w:pStyle w:val="Style59"/>
        <w:keepNext w:val="0"/>
        <w:keepLines w:val="0"/>
        <w:widowControl w:val="0"/>
        <w:numPr>
          <w:ilvl w:val="0"/>
          <w:numId w:val="41"/>
        </w:numPr>
        <w:shd w:val="clear" w:color="auto" w:fill="auto"/>
        <w:tabs>
          <w:tab w:pos="887" w:val="left"/>
        </w:tabs>
        <w:bidi w:val="0"/>
        <w:spacing w:before="0" w:after="0" w:line="464" w:lineRule="exact"/>
        <w:ind w:left="0" w:right="0" w:firstLine="500"/>
        <w:jc w:val="both"/>
      </w:pPr>
      <w:bookmarkStart w:id="811" w:name="bookmark811"/>
      <w:bookmarkEnd w:id="811"/>
      <w:r>
        <w:rPr>
          <w:color w:val="000000"/>
          <w:spacing w:val="0"/>
          <w:w w:val="100"/>
          <w:position w:val="0"/>
          <w:sz w:val="24"/>
          <w:szCs w:val="24"/>
        </w:rPr>
        <w:t>资产负债表中的资产和负债项目，采用资产负债表日的即期汇率折算，所有者权益项 目除“未分配利润”项目外，其他项目采用发生时的即期汇率折算；</w:t>
      </w:r>
    </w:p>
    <w:p>
      <w:pPr>
        <w:pStyle w:val="Style59"/>
        <w:keepNext w:val="0"/>
        <w:keepLines w:val="0"/>
        <w:widowControl w:val="0"/>
        <w:numPr>
          <w:ilvl w:val="0"/>
          <w:numId w:val="41"/>
        </w:numPr>
        <w:shd w:val="clear" w:color="auto" w:fill="auto"/>
        <w:tabs>
          <w:tab w:pos="887" w:val="left"/>
        </w:tabs>
        <w:bidi w:val="0"/>
        <w:spacing w:before="0" w:after="0" w:line="464" w:lineRule="exact"/>
        <w:ind w:left="0" w:right="0" w:firstLine="500"/>
        <w:jc w:val="both"/>
      </w:pPr>
      <w:bookmarkStart w:id="812" w:name="bookmark812"/>
      <w:bookmarkEnd w:id="812"/>
      <w:r>
        <w:rPr>
          <w:color w:val="000000"/>
          <w:spacing w:val="0"/>
          <w:w w:val="100"/>
          <w:position w:val="0"/>
          <w:sz w:val="24"/>
          <w:szCs w:val="24"/>
        </w:rPr>
        <w:t>利润表中的收入和费用项目，采用交易发生日的即期汇率折算(或采用按照系统合理 的方法确定的、与交易发生日即期汇率近似的汇率折算)；</w:t>
      </w:r>
    </w:p>
    <w:p>
      <w:pPr>
        <w:pStyle w:val="Style59"/>
        <w:keepNext w:val="0"/>
        <w:keepLines w:val="0"/>
        <w:widowControl w:val="0"/>
        <w:numPr>
          <w:ilvl w:val="0"/>
          <w:numId w:val="41"/>
        </w:numPr>
        <w:shd w:val="clear" w:color="auto" w:fill="auto"/>
        <w:tabs>
          <w:tab w:pos="891" w:val="left"/>
        </w:tabs>
        <w:bidi w:val="0"/>
        <w:spacing w:before="0" w:after="440" w:line="464" w:lineRule="exact"/>
        <w:ind w:left="0" w:right="0" w:firstLine="500"/>
        <w:jc w:val="both"/>
      </w:pPr>
      <w:bookmarkStart w:id="813" w:name="bookmark813"/>
      <w:bookmarkEnd w:id="813"/>
      <w:r>
        <w:rPr>
          <w:color w:val="000000"/>
          <w:spacing w:val="0"/>
          <w:w w:val="100"/>
          <w:position w:val="0"/>
          <w:sz w:val="24"/>
          <w:szCs w:val="24"/>
        </w:rPr>
        <w:t>按照上述①、②折算产生的外币财务报表折算差额，在资产负债表中所有者权益项目 下单独列示。</w:t>
      </w:r>
    </w:p>
    <w:p>
      <w:pPr>
        <w:pStyle w:val="Style59"/>
        <w:keepNext w:val="0"/>
        <w:keepLines w:val="0"/>
        <w:widowControl w:val="0"/>
        <w:numPr>
          <w:ilvl w:val="0"/>
          <w:numId w:val="37"/>
        </w:numPr>
        <w:shd w:val="clear" w:color="auto" w:fill="auto"/>
        <w:tabs>
          <w:tab w:pos="954" w:val="left"/>
        </w:tabs>
        <w:bidi w:val="0"/>
        <w:spacing w:before="0" w:after="0" w:line="468" w:lineRule="exact"/>
        <w:ind w:left="0" w:right="0" w:firstLine="500"/>
        <w:jc w:val="both"/>
      </w:pPr>
      <w:bookmarkStart w:id="814" w:name="bookmark814"/>
      <w:bookmarkEnd w:id="814"/>
      <w:r>
        <w:rPr>
          <w:color w:val="000000"/>
          <w:spacing w:val="0"/>
          <w:w w:val="100"/>
          <w:position w:val="0"/>
          <w:sz w:val="24"/>
          <w:szCs w:val="24"/>
        </w:rPr>
        <w:t>公司对处于恶性通货膨胀经济中的境外经营的财务报表，按照下列方法进行折算：</w:t>
      </w:r>
    </w:p>
    <w:p>
      <w:pPr>
        <w:pStyle w:val="Style59"/>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对资产负债表项目运用一般物价指数予以重述，对利润表项目运用一般物价指数变动予 以重述，再按照最近资产负债表日的即期汇率进行折算。</w:t>
      </w:r>
    </w:p>
    <w:p>
      <w:pPr>
        <w:pStyle w:val="Style59"/>
        <w:keepNext w:val="0"/>
        <w:keepLines w:val="0"/>
        <w:widowControl w:val="0"/>
        <w:shd w:val="clear" w:color="auto" w:fill="auto"/>
        <w:bidi w:val="0"/>
        <w:spacing w:before="0" w:after="440" w:line="468" w:lineRule="exact"/>
        <w:ind w:left="0" w:right="0" w:firstLine="500"/>
        <w:jc w:val="both"/>
      </w:pPr>
      <w:r>
        <w:rPr>
          <w:color w:val="000000"/>
          <w:spacing w:val="0"/>
          <w:w w:val="100"/>
          <w:position w:val="0"/>
          <w:sz w:val="24"/>
          <w:szCs w:val="24"/>
        </w:rPr>
        <w:t>在境外经营不再处于恶性通货膨胀经济中时，停止重述，按照停止之日的价格水平重述 的财务报表进行折算。</w:t>
      </w:r>
    </w:p>
    <w:p>
      <w:pPr>
        <w:pStyle w:val="Style59"/>
        <w:keepNext w:val="0"/>
        <w:keepLines w:val="0"/>
        <w:widowControl w:val="0"/>
        <w:numPr>
          <w:ilvl w:val="0"/>
          <w:numId w:val="37"/>
        </w:numPr>
        <w:shd w:val="clear" w:color="auto" w:fill="auto"/>
        <w:tabs>
          <w:tab w:pos="978" w:val="left"/>
        </w:tabs>
        <w:bidi w:val="0"/>
        <w:spacing w:before="0" w:after="400" w:line="473" w:lineRule="exact"/>
        <w:ind w:left="0" w:right="0" w:firstLine="500"/>
        <w:jc w:val="both"/>
      </w:pPr>
      <w:bookmarkStart w:id="815" w:name="bookmark815"/>
      <w:bookmarkEnd w:id="815"/>
      <w:r>
        <w:rPr>
          <w:color w:val="000000"/>
          <w:spacing w:val="0"/>
          <w:w w:val="100"/>
          <w:position w:val="0"/>
          <w:sz w:val="24"/>
          <w:szCs w:val="24"/>
        </w:rPr>
        <w:t>公司在处置境外经营时，将资产负债表中所有者权益项目下列示的、与该境外经营 相关的外币财务报表折算差额，自所有者权益项目转入处置当期损益；部分处置境外经营的， 按处置的比例计算处置部分的外币财务报表折算差额，转入处置当期损益。</w:t>
      </w:r>
    </w:p>
    <w:p>
      <w:pPr>
        <w:pStyle w:val="Style24"/>
        <w:keepNext/>
        <w:keepLines/>
        <w:widowControl w:val="0"/>
        <w:shd w:val="clear" w:color="auto" w:fill="auto"/>
        <w:bidi w:val="0"/>
        <w:spacing w:before="0" w:after="220" w:line="240" w:lineRule="auto"/>
        <w:ind w:left="0" w:right="0" w:firstLine="0"/>
        <w:jc w:val="both"/>
      </w:pP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1</w:t>
      </w:r>
      <w:bookmarkEnd w:id="818"/>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16"/>
      <w:bookmarkEnd w:id="817"/>
      <w:bookmarkEnd w:id="819"/>
    </w:p>
    <w:p>
      <w:pPr>
        <w:pStyle w:val="Style59"/>
        <w:keepNext w:val="0"/>
        <w:keepLines w:val="0"/>
        <w:widowControl w:val="0"/>
        <w:shd w:val="clear" w:color="auto" w:fill="auto"/>
        <w:bidi w:val="0"/>
        <w:spacing w:before="0" w:after="400" w:line="475" w:lineRule="exact"/>
        <w:ind w:left="0" w:right="0" w:firstLine="500"/>
        <w:jc w:val="both"/>
      </w:pPr>
      <w:r>
        <w:rPr>
          <w:color w:val="000000"/>
          <w:spacing w:val="0"/>
          <w:w w:val="100"/>
          <w:position w:val="0"/>
          <w:sz w:val="24"/>
          <w:szCs w:val="24"/>
        </w:rPr>
        <w:t>金融工具，是指形成一方的金融资产并形成其他方的金融负债或权益工具的合同。当公 司成为金融工具合同的一方时，确认相关的金融资产或金融负债。</w:t>
      </w:r>
    </w:p>
    <w:p>
      <w:pPr>
        <w:pStyle w:val="Style59"/>
        <w:keepNext w:val="0"/>
        <w:keepLines w:val="0"/>
        <w:widowControl w:val="0"/>
        <w:numPr>
          <w:ilvl w:val="0"/>
          <w:numId w:val="43"/>
        </w:numPr>
        <w:shd w:val="clear" w:color="auto" w:fill="auto"/>
        <w:bidi w:val="0"/>
        <w:spacing w:before="0" w:after="0" w:line="468" w:lineRule="exact"/>
        <w:ind w:left="0" w:right="0" w:firstLine="500"/>
        <w:jc w:val="both"/>
      </w:pPr>
      <w:bookmarkStart w:id="820" w:name="bookmark820"/>
      <w:bookmarkEnd w:id="820"/>
      <w:r>
        <w:rPr>
          <w:color w:val="000000"/>
          <w:spacing w:val="0"/>
          <w:w w:val="100"/>
          <w:position w:val="0"/>
          <w:sz w:val="24"/>
          <w:szCs w:val="24"/>
        </w:rPr>
        <w:t>金融资产</w:t>
      </w:r>
    </w:p>
    <w:p>
      <w:pPr>
        <w:pStyle w:val="Style59"/>
        <w:keepNext w:val="0"/>
        <w:keepLines w:val="0"/>
        <w:widowControl w:val="0"/>
        <w:numPr>
          <w:ilvl w:val="0"/>
          <w:numId w:val="45"/>
        </w:numPr>
        <w:shd w:val="clear" w:color="auto" w:fill="auto"/>
        <w:bidi w:val="0"/>
        <w:spacing w:before="0" w:after="0" w:line="468" w:lineRule="exact"/>
        <w:ind w:left="0" w:right="0" w:firstLine="500"/>
        <w:jc w:val="both"/>
      </w:pPr>
      <w:bookmarkStart w:id="821" w:name="bookmark821"/>
      <w:bookmarkEnd w:id="821"/>
      <w:r>
        <w:rPr>
          <w:color w:val="000000"/>
          <w:spacing w:val="0"/>
          <w:w w:val="100"/>
          <w:position w:val="0"/>
          <w:sz w:val="24"/>
          <w:szCs w:val="24"/>
        </w:rPr>
        <w:t>分类和初始计量</w:t>
      </w:r>
    </w:p>
    <w:p>
      <w:pPr>
        <w:pStyle w:val="Style59"/>
        <w:keepNext w:val="0"/>
        <w:keepLines w:val="0"/>
        <w:widowControl w:val="0"/>
        <w:shd w:val="clear" w:color="auto" w:fill="auto"/>
        <w:bidi w:val="0"/>
        <w:spacing w:before="0" w:after="300" w:line="468" w:lineRule="exact"/>
        <w:ind w:left="0" w:right="0" w:firstLine="500"/>
        <w:jc w:val="both"/>
      </w:pPr>
      <w:r>
        <w:rPr>
          <w:color w:val="000000"/>
          <w:spacing w:val="0"/>
          <w:w w:val="100"/>
          <w:position w:val="0"/>
          <w:sz w:val="24"/>
          <w:szCs w:val="24"/>
        </w:rPr>
        <w:t>公司根据管理金融资产的业务模式和金融资产的合同现金流量特征，将金融资产划分为:</w:t>
      </w:r>
    </w:p>
    <w:p>
      <w:pPr>
        <w:pStyle w:val="Style59"/>
        <w:keepNext w:val="0"/>
        <w:keepLines w:val="0"/>
        <w:widowControl w:val="0"/>
        <w:shd w:val="clear" w:color="auto" w:fill="auto"/>
        <w:bidi w:val="0"/>
        <w:spacing w:before="0" w:after="0" w:line="468" w:lineRule="exact"/>
        <w:ind w:left="0" w:right="0" w:firstLine="480"/>
        <w:jc w:val="left"/>
      </w:pPr>
      <w:r>
        <w:rPr>
          <w:color w:val="000000"/>
          <w:spacing w:val="0"/>
          <w:w w:val="100"/>
          <w:position w:val="0"/>
          <w:sz w:val="24"/>
          <w:szCs w:val="24"/>
        </w:rPr>
        <w:t>以摊余成本计量的金融资产；</w:t>
      </w:r>
    </w:p>
    <w:p>
      <w:pPr>
        <w:pStyle w:val="Style59"/>
        <w:keepNext w:val="0"/>
        <w:keepLines w:val="0"/>
        <w:widowControl w:val="0"/>
        <w:shd w:val="clear" w:color="auto" w:fill="auto"/>
        <w:bidi w:val="0"/>
        <w:spacing w:before="0" w:after="0" w:line="468" w:lineRule="exact"/>
        <w:ind w:left="0" w:right="0" w:firstLine="480"/>
        <w:jc w:val="left"/>
      </w:pPr>
      <w:r>
        <w:rPr>
          <w:color w:val="000000"/>
          <w:spacing w:val="0"/>
          <w:w w:val="100"/>
          <w:position w:val="0"/>
          <w:sz w:val="24"/>
          <w:szCs w:val="24"/>
        </w:rPr>
        <w:t>以公允价值计量且其变动计入其他综合收益的金融资产；</w:t>
      </w:r>
    </w:p>
    <w:p>
      <w:pPr>
        <w:pStyle w:val="Style59"/>
        <w:keepNext w:val="0"/>
        <w:keepLines w:val="0"/>
        <w:widowControl w:val="0"/>
        <w:shd w:val="clear" w:color="auto" w:fill="auto"/>
        <w:bidi w:val="0"/>
        <w:spacing w:before="0" w:after="0" w:line="468" w:lineRule="exact"/>
        <w:ind w:left="0" w:right="0" w:firstLine="480"/>
        <w:jc w:val="left"/>
      </w:pPr>
      <w:r>
        <w:rPr>
          <w:color w:val="000000"/>
          <w:spacing w:val="0"/>
          <w:w w:val="100"/>
          <w:position w:val="0"/>
          <w:sz w:val="24"/>
          <w:szCs w:val="24"/>
        </w:rPr>
        <w:t>以公允价值计量且其变动计入当期损益的金融资产。</w:t>
      </w:r>
    </w:p>
    <w:p>
      <w:pPr>
        <w:pStyle w:val="Style59"/>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金融资产在初始确认时以公允价值计量。对于以公允价值计量且其变动计入当期损益的 金融资产，相关交易费用直接计入当期损益；对于其他类别的金融资产，相关交易费用计入 初始确认金额。因销售产品或提供劳务而产生的、未包含或不考虑重大融资成分的应收账款 或应收票据，公司按照预期有权收取的对价金额作为初始确认金额。</w:t>
      </w:r>
    </w:p>
    <w:p>
      <w:pPr>
        <w:pStyle w:val="Style59"/>
        <w:keepNext w:val="0"/>
        <w:keepLines w:val="0"/>
        <w:widowControl w:val="0"/>
        <w:shd w:val="clear" w:color="auto" w:fill="auto"/>
        <w:bidi w:val="0"/>
        <w:spacing w:before="0" w:after="0" w:line="468" w:lineRule="exact"/>
        <w:ind w:left="0" w:right="0" w:firstLine="480"/>
        <w:jc w:val="both"/>
      </w:pPr>
      <w:bookmarkStart w:id="822" w:name="bookmark822"/>
      <w:r>
        <w:rPr>
          <w:color w:val="000000"/>
          <w:spacing w:val="0"/>
          <w:w w:val="100"/>
          <w:position w:val="0"/>
          <w:sz w:val="24"/>
          <w:szCs w:val="24"/>
        </w:rPr>
        <w:t>1</w:t>
      </w:r>
      <w:bookmarkEnd w:id="822"/>
      <w:r>
        <w:rPr>
          <w:color w:val="000000"/>
          <w:spacing w:val="0"/>
          <w:w w:val="100"/>
          <w:position w:val="0"/>
          <w:sz w:val="24"/>
          <w:szCs w:val="24"/>
        </w:rPr>
        <w:t>）债务工具</w:t>
      </w:r>
    </w:p>
    <w:p>
      <w:pPr>
        <w:pStyle w:val="Style59"/>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公司持有的债务工具是指从发行方角度分析符合金融负债定义的工具，分别采用以下三 种方式进行计量：</w:t>
      </w:r>
    </w:p>
    <w:p>
      <w:pPr>
        <w:pStyle w:val="Style59"/>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&lt;1&gt;以摊余成本计量：</w:t>
      </w:r>
    </w:p>
    <w:p>
      <w:pPr>
        <w:pStyle w:val="Style59"/>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公司管理此类金融资产的业务模式为以收取合同现金流量为目标，且此类金融资产的合 同现金流量特征与基本借贷安排相一致，即在特定日期产生的现金流量，仅为对本金和以未 偿付本金金额为基础的利息的支付。公司对于此类金融资产按照实际利率法确认利息收入。 此类金融资产主要包括货币资金、应收票据及应收账款、合同资产、其他应收款、债权投资、 租赁应收款和长期应收款等。公司将自资产负债表日起一年内（含一年）到期的债权投资和长 期应收款，列示为一年内到期的非流动资产；取得时期限在一年内（含一年）的债权投资列示 为其他流动资产。</w:t>
      </w:r>
    </w:p>
    <w:p>
      <w:pPr>
        <w:pStyle w:val="Style59"/>
        <w:keepNext w:val="0"/>
        <w:keepLines w:val="0"/>
        <w:widowControl w:val="0"/>
        <w:shd w:val="clear" w:color="auto" w:fill="auto"/>
        <w:bidi w:val="0"/>
        <w:spacing w:before="0" w:after="0" w:line="468" w:lineRule="exact"/>
        <w:ind w:left="0" w:right="0" w:firstLine="480"/>
        <w:jc w:val="left"/>
      </w:pPr>
      <w:r>
        <w:rPr>
          <w:color w:val="000000"/>
          <w:spacing w:val="0"/>
          <w:w w:val="100"/>
          <w:position w:val="0"/>
          <w:sz w:val="24"/>
          <w:szCs w:val="24"/>
        </w:rPr>
        <w:t>&lt;2&gt;以公允价值计量且其变动计入其他综合收益：</w:t>
      </w:r>
    </w:p>
    <w:p>
      <w:pPr>
        <w:pStyle w:val="Style59"/>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公司管理此类金融资产的业务模式为既以收取合同现金流量为目标又以出售为目标，且 此类金融资产的合同现金流量特征与基本借贷安排相一致。此类金融资产按照公允价值计量 且其变动计入其他综合收益，但减值损失或利得、汇兑损益和按照实际利率法计算的利息收 入计入当期损益。此类金融资产列示为其他债权投资，自资产负债表日起一年内（含一年）到 期的其他债权投资，列示为一年内到期的非流动资产；取得时期限在一年内（含一年）的其他 债权投资列示为其他流动资产。</w:t>
      </w:r>
    </w:p>
    <w:p>
      <w:pPr>
        <w:pStyle w:val="Style59"/>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&lt;3&gt;以公允价值计量且其变动计入当期损益：</w:t>
      </w:r>
    </w:p>
    <w:p>
      <w:pPr>
        <w:pStyle w:val="Style59"/>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 xml:space="preserve">公司将持有的未划分为以摊余成本计量和以公允价值计量且其变动计入其他综合收益的 债务工具，以公允价值计量且其变动计入当期损益，列示为交易性金融资产。在初始确认时， 公司为了消除或显著减少会计错配，将部分金融资产指定为以公允价值计量且其变动计入当 </w:t>
      </w:r>
      <w:r>
        <w:rPr>
          <w:color w:val="000000"/>
          <w:spacing w:val="0"/>
          <w:w w:val="100"/>
          <w:position w:val="0"/>
          <w:sz w:val="24"/>
          <w:szCs w:val="24"/>
        </w:rPr>
        <w:t>期损益的金融资产。自资产负债表日起超过一年到期且预期持有超过一年的，列示为其他非 流动金融资产。</w:t>
      </w:r>
    </w:p>
    <w:p>
      <w:pPr>
        <w:pStyle w:val="Style59"/>
        <w:keepNext w:val="0"/>
        <w:keepLines w:val="0"/>
        <w:widowControl w:val="0"/>
        <w:shd w:val="clear" w:color="auto" w:fill="auto"/>
        <w:bidi w:val="0"/>
        <w:spacing w:before="0" w:after="0" w:line="468" w:lineRule="exact"/>
        <w:ind w:left="0" w:right="0" w:firstLine="480"/>
        <w:jc w:val="left"/>
      </w:pPr>
      <w:bookmarkStart w:id="823" w:name="bookmark823"/>
      <w:r>
        <w:rPr>
          <w:color w:val="000000"/>
          <w:spacing w:val="0"/>
          <w:w w:val="100"/>
          <w:position w:val="0"/>
          <w:sz w:val="24"/>
          <w:szCs w:val="24"/>
        </w:rPr>
        <w:t>2</w:t>
      </w:r>
      <w:bookmarkEnd w:id="823"/>
      <w:r>
        <w:rPr>
          <w:color w:val="000000"/>
          <w:spacing w:val="0"/>
          <w:w w:val="100"/>
          <w:position w:val="0"/>
          <w:sz w:val="24"/>
          <w:szCs w:val="24"/>
        </w:rPr>
        <w:t>）权益工具</w:t>
      </w:r>
    </w:p>
    <w:p>
      <w:pPr>
        <w:pStyle w:val="Style59"/>
        <w:keepNext w:val="0"/>
        <w:keepLines w:val="0"/>
        <w:widowControl w:val="0"/>
        <w:shd w:val="clear" w:color="auto" w:fill="auto"/>
        <w:bidi w:val="0"/>
        <w:spacing w:before="0" w:after="0" w:line="468" w:lineRule="exact"/>
        <w:ind w:left="0" w:right="0" w:firstLine="480"/>
        <w:jc w:val="left"/>
      </w:pPr>
      <w:r>
        <w:rPr>
          <w:color w:val="000000"/>
          <w:spacing w:val="0"/>
          <w:w w:val="100"/>
          <w:position w:val="0"/>
          <w:sz w:val="24"/>
          <w:szCs w:val="24"/>
        </w:rPr>
        <w:t>公司将对其没有控制、共同控制和重大影响的权益工具投资按照公允价值计量且其变动 计入当期损益，列示为交易性金融资产；自资产负债表日起预期持有超过一年的，列示为其 他非流动金融资产。</w:t>
      </w:r>
    </w:p>
    <w:p>
      <w:pPr>
        <w:pStyle w:val="Style59"/>
        <w:keepNext w:val="0"/>
        <w:keepLines w:val="0"/>
        <w:widowControl w:val="0"/>
        <w:shd w:val="clear" w:color="auto" w:fill="auto"/>
        <w:bidi w:val="0"/>
        <w:spacing w:before="0" w:after="0" w:line="468" w:lineRule="exact"/>
        <w:ind w:left="0" w:right="0" w:firstLine="480"/>
        <w:jc w:val="left"/>
      </w:pPr>
      <w:r>
        <w:rPr>
          <w:color w:val="000000"/>
          <w:spacing w:val="0"/>
          <w:w w:val="100"/>
          <w:position w:val="0"/>
          <w:sz w:val="24"/>
          <w:szCs w:val="24"/>
        </w:rPr>
        <w:t>此外，公司将部分非交易性权益工具投资指定为以公允价值计量且其变动计入其他综合 收益的金融资产，列示为其他权益工具投资。该类金融资产的相关股利收入计入当期损益。 该指定一经做出，不得撤销。本公司在非同一控制下的企业合并中确认的或有对价构成金融 资产的，该金融资产分类为以公允价值计量且其变动计入当期损益的金融资产。</w:t>
      </w:r>
    </w:p>
    <w:p>
      <w:pPr>
        <w:pStyle w:val="Style59"/>
        <w:keepNext w:val="0"/>
        <w:keepLines w:val="0"/>
        <w:widowControl w:val="0"/>
        <w:shd w:val="clear" w:color="auto" w:fill="auto"/>
        <w:bidi w:val="0"/>
        <w:spacing w:before="0" w:after="0" w:line="468" w:lineRule="exact"/>
        <w:ind w:left="0" w:right="0" w:firstLine="480"/>
        <w:jc w:val="left"/>
      </w:pPr>
      <w:r>
        <w:rPr>
          <w:color w:val="000000"/>
          <w:spacing w:val="0"/>
          <w:w w:val="100"/>
          <w:position w:val="0"/>
          <w:sz w:val="24"/>
          <w:szCs w:val="24"/>
        </w:rPr>
        <w:t>对于非交易性权益工具投资，公司可在初始确认时将其不可撤销地指定为以公允价值计 量且其变动计入其他综合收益的金融资产。该指定在单项投资的基础上作出，且相关投资从 发行者的角度符合权益工具的定义。</w:t>
      </w:r>
    </w:p>
    <w:p>
      <w:pPr>
        <w:pStyle w:val="Style59"/>
        <w:keepNext w:val="0"/>
        <w:keepLines w:val="0"/>
        <w:widowControl w:val="0"/>
        <w:numPr>
          <w:ilvl w:val="0"/>
          <w:numId w:val="45"/>
        </w:numPr>
        <w:shd w:val="clear" w:color="auto" w:fill="auto"/>
        <w:bidi w:val="0"/>
        <w:spacing w:before="0" w:after="0" w:line="468" w:lineRule="exact"/>
        <w:ind w:left="0" w:right="0" w:firstLine="480"/>
        <w:jc w:val="left"/>
      </w:pPr>
      <w:bookmarkStart w:id="824" w:name="bookmark824"/>
      <w:bookmarkEnd w:id="824"/>
      <w:r>
        <w:rPr>
          <w:color w:val="000000"/>
          <w:spacing w:val="0"/>
          <w:w w:val="100"/>
          <w:position w:val="0"/>
          <w:sz w:val="24"/>
          <w:szCs w:val="24"/>
        </w:rPr>
        <w:t>减值</w:t>
      </w:r>
    </w:p>
    <w:p>
      <w:pPr>
        <w:pStyle w:val="Style59"/>
        <w:keepNext w:val="0"/>
        <w:keepLines w:val="0"/>
        <w:widowControl w:val="0"/>
        <w:shd w:val="clear" w:color="auto" w:fill="auto"/>
        <w:bidi w:val="0"/>
        <w:spacing w:before="0" w:after="0" w:line="468" w:lineRule="exact"/>
        <w:ind w:left="0" w:right="0" w:firstLine="480"/>
        <w:jc w:val="left"/>
      </w:pPr>
      <w:r>
        <w:rPr>
          <w:color w:val="000000"/>
          <w:spacing w:val="0"/>
          <w:w w:val="100"/>
          <w:position w:val="0"/>
          <w:sz w:val="24"/>
          <w:szCs w:val="24"/>
        </w:rPr>
        <w:t>公司对于以摊余成本计量的金融资产、以公允价值计量且其变动计入其他综合收益的债 务工具投资、租赁应收款、合同资产和财务担保合同等，以预期信用损失为基础确认损失准 备。公司考虑有关过去事项、当前状况以及对未来经济状况的预测等合理且有依据的信息， 以发生违约的风险为权重，计算合同应收的现金流量与预期能收到的现金流量之间差额的现 值的概率加权金额，确认预期信用损失。</w:t>
      </w:r>
    </w:p>
    <w:p>
      <w:pPr>
        <w:pStyle w:val="Style59"/>
        <w:keepNext w:val="0"/>
        <w:keepLines w:val="0"/>
        <w:widowControl w:val="0"/>
        <w:shd w:val="clear" w:color="auto" w:fill="auto"/>
        <w:bidi w:val="0"/>
        <w:spacing w:before="0" w:after="0" w:line="468" w:lineRule="exact"/>
        <w:ind w:left="0" w:right="0" w:firstLine="480"/>
        <w:jc w:val="left"/>
      </w:pPr>
      <w:r>
        <w:rPr>
          <w:color w:val="000000"/>
          <w:spacing w:val="0"/>
          <w:w w:val="100"/>
          <w:position w:val="0"/>
          <w:sz w:val="24"/>
          <w:szCs w:val="24"/>
        </w:rPr>
        <w:t>于每个资产负债表日，公司对于处于不同阶段的金融工具的预期信用损失分别进行计量。 金融工具自初始确认后信用风险未显著增加的，处于第一阶段，公司按照未来12个月内的预 期信用损失计量损失准备；金融工具自初始确认后信用风险已显著增加但尚未发生信用减值 的，处于第二阶段，公司按照该工具整个存续期的预期信用损失计量损失准备；金融工具自 初始确认后已经发生信用减值的，处于第三阶段，公司按照该工具整个存续期的预期信用损 失计量损失准备。</w:t>
      </w:r>
    </w:p>
    <w:p>
      <w:pPr>
        <w:pStyle w:val="Style59"/>
        <w:keepNext w:val="0"/>
        <w:keepLines w:val="0"/>
        <w:widowControl w:val="0"/>
        <w:shd w:val="clear" w:color="auto" w:fill="auto"/>
        <w:bidi w:val="0"/>
        <w:spacing w:before="0" w:after="0" w:line="468" w:lineRule="exact"/>
        <w:ind w:left="0" w:right="0" w:firstLine="480"/>
        <w:jc w:val="left"/>
      </w:pPr>
      <w:r>
        <w:rPr>
          <w:color w:val="000000"/>
          <w:spacing w:val="0"/>
          <w:w w:val="100"/>
          <w:position w:val="0"/>
          <w:sz w:val="24"/>
          <w:szCs w:val="24"/>
        </w:rPr>
        <w:t>对于在资产负债表日具有较低信用风险的金融工具，公司假设其信用风险自初始确认后 并未显著增加，按照未来12个月内的预期信用损失计量损失准备。</w:t>
      </w:r>
    </w:p>
    <w:p>
      <w:pPr>
        <w:pStyle w:val="Style59"/>
        <w:keepNext w:val="0"/>
        <w:keepLines w:val="0"/>
        <w:widowControl w:val="0"/>
        <w:shd w:val="clear" w:color="auto" w:fill="auto"/>
        <w:bidi w:val="0"/>
        <w:spacing w:before="0" w:after="0" w:line="468" w:lineRule="exact"/>
        <w:ind w:left="0" w:right="0" w:firstLine="480"/>
        <w:jc w:val="left"/>
      </w:pPr>
      <w:r>
        <w:rPr>
          <w:color w:val="000000"/>
          <w:spacing w:val="0"/>
          <w:w w:val="100"/>
          <w:position w:val="0"/>
          <w:sz w:val="24"/>
          <w:szCs w:val="24"/>
        </w:rPr>
        <w:t xml:space="preserve">公司对于处于第一阶段和第二阶段、以及较低信用风险的金融工具，按照其未扣除减值 准备的账面余额和实际利率计算利息收入。对于处于第三阶段的金融工具，按照其账面余额 </w:t>
      </w:r>
      <w:r>
        <w:rPr>
          <w:color w:val="000000"/>
          <w:spacing w:val="0"/>
          <w:w w:val="100"/>
          <w:position w:val="0"/>
          <w:sz w:val="24"/>
          <w:szCs w:val="24"/>
        </w:rPr>
        <w:t>减已计提减值准备后的摊余成本和实际利率计算利息收入。</w:t>
      </w:r>
    </w:p>
    <w:p>
      <w:pPr>
        <w:pStyle w:val="Style59"/>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对于应收票据及应收账款、租赁应收款和合同资产，无论是否存在重大融资成分，公司 均可以按照整个存续期的预期信用损失计量损失准备。</w:t>
      </w:r>
    </w:p>
    <w:p>
      <w:pPr>
        <w:pStyle w:val="Style59"/>
        <w:keepNext w:val="0"/>
        <w:keepLines w:val="0"/>
        <w:widowControl w:val="0"/>
        <w:shd w:val="clear" w:color="auto" w:fill="auto"/>
        <w:tabs>
          <w:tab w:pos="842" w:val="left"/>
        </w:tabs>
        <w:bidi w:val="0"/>
        <w:spacing w:before="0" w:after="0" w:line="469" w:lineRule="exact"/>
        <w:ind w:left="0" w:right="0" w:firstLine="480"/>
        <w:jc w:val="both"/>
      </w:pPr>
      <w:bookmarkStart w:id="825" w:name="bookmark825"/>
      <w:r>
        <w:rPr>
          <w:color w:val="000000"/>
          <w:spacing w:val="0"/>
          <w:w w:val="100"/>
          <w:position w:val="0"/>
          <w:sz w:val="24"/>
          <w:szCs w:val="24"/>
        </w:rPr>
        <w:t>1</w:t>
      </w:r>
      <w:bookmarkEnd w:id="825"/>
      <w:r>
        <w:rPr>
          <w:color w:val="000000"/>
          <w:spacing w:val="0"/>
          <w:w w:val="100"/>
          <w:position w:val="0"/>
          <w:sz w:val="24"/>
          <w:szCs w:val="24"/>
        </w:rPr>
        <w:t>）</w:t>
        <w:tab/>
        <w:t>信用风险显著增加判断标准</w:t>
      </w:r>
    </w:p>
    <w:p>
      <w:pPr>
        <w:pStyle w:val="Style59"/>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公司在每个资产负债表日评估相关金融工具的信用风险自初始确认后是否已显著增加。</w:t>
      </w:r>
    </w:p>
    <w:p>
      <w:pPr>
        <w:pStyle w:val="Style59"/>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在确定信用风险自初始确认后是否显著增加时，公司考虑在无须付出不必要的额外成本 或努力即可获得合理且有依据的信息，包括基于公司历史数据的定性和定量分析、外部信用 风险评级以及前瞻性信息。公司以单项金融工具或者具有相似信用风险特征的金融工具组合 为基础，通过比较金融工具在资产负债表日发生违约的风险与在初始确认日发生违约的风险， 以确定金融工具预计存续期内发生违约风险的变化情况。</w:t>
      </w:r>
    </w:p>
    <w:p>
      <w:pPr>
        <w:pStyle w:val="Style59"/>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当触发以下一个或多个定量或定性标准时，公司认为金融工具的信用风险已发生显著增 加：</w:t>
      </w:r>
    </w:p>
    <w:p>
      <w:pPr>
        <w:pStyle w:val="Style59"/>
        <w:keepNext w:val="0"/>
        <w:keepLines w:val="0"/>
        <w:widowControl w:val="0"/>
        <w:shd w:val="clear" w:color="auto" w:fill="auto"/>
        <w:bidi w:val="0"/>
        <w:spacing w:before="0" w:after="0" w:line="469" w:lineRule="exact"/>
        <w:ind w:left="0" w:right="0" w:firstLine="480"/>
        <w:jc w:val="left"/>
      </w:pPr>
      <w:r>
        <w:rPr>
          <w:color w:val="000000"/>
          <w:spacing w:val="0"/>
          <w:w w:val="100"/>
          <w:position w:val="0"/>
          <w:sz w:val="24"/>
          <w:szCs w:val="24"/>
        </w:rPr>
        <w:t>&lt;1&gt;定量标准主要为报告日剩余存续期违约概率较初始确认时上升超过一定比例。</w:t>
      </w:r>
    </w:p>
    <w:p>
      <w:pPr>
        <w:pStyle w:val="Style59"/>
        <w:keepNext w:val="0"/>
        <w:keepLines w:val="0"/>
        <w:widowControl w:val="0"/>
        <w:shd w:val="clear" w:color="auto" w:fill="auto"/>
        <w:bidi w:val="0"/>
        <w:spacing w:before="0" w:after="0" w:line="475" w:lineRule="exact"/>
        <w:ind w:left="0" w:right="0" w:firstLine="480"/>
        <w:jc w:val="left"/>
      </w:pPr>
      <w:r>
        <w:rPr>
          <w:color w:val="000000"/>
          <w:spacing w:val="0"/>
          <w:w w:val="100"/>
          <w:position w:val="0"/>
          <w:sz w:val="24"/>
          <w:szCs w:val="24"/>
        </w:rPr>
        <w:t>&lt;2&gt;定性标准主要为债务人经营或财务情况出现重大不利变化、预警客户清单等。</w:t>
      </w:r>
    </w:p>
    <w:p>
      <w:pPr>
        <w:pStyle w:val="Style59"/>
        <w:keepNext w:val="0"/>
        <w:keepLines w:val="0"/>
        <w:widowControl w:val="0"/>
        <w:shd w:val="clear" w:color="auto" w:fill="auto"/>
        <w:bidi w:val="0"/>
        <w:spacing w:before="0" w:after="0" w:line="475" w:lineRule="exact"/>
        <w:ind w:left="0" w:right="0" w:firstLine="480"/>
        <w:jc w:val="both"/>
      </w:pPr>
      <w:r>
        <w:rPr>
          <w:color w:val="000000"/>
          <w:spacing w:val="0"/>
          <w:w w:val="100"/>
          <w:position w:val="0"/>
          <w:sz w:val="24"/>
          <w:szCs w:val="24"/>
        </w:rPr>
        <w:t>&lt;3&gt;上限指标为债务人合同付款（包括本金和利息）一般逾期超过30天，最长不超过90 天。</w:t>
      </w:r>
    </w:p>
    <w:p>
      <w:pPr>
        <w:pStyle w:val="Style59"/>
        <w:keepNext w:val="0"/>
        <w:keepLines w:val="0"/>
        <w:widowControl w:val="0"/>
        <w:shd w:val="clear" w:color="auto" w:fill="auto"/>
        <w:tabs>
          <w:tab w:pos="853" w:val="left"/>
        </w:tabs>
        <w:bidi w:val="0"/>
        <w:spacing w:before="0" w:after="0" w:line="475" w:lineRule="exact"/>
        <w:ind w:left="0" w:right="0" w:firstLine="480"/>
        <w:jc w:val="both"/>
      </w:pPr>
      <w:bookmarkStart w:id="826" w:name="bookmark826"/>
      <w:r>
        <w:rPr>
          <w:color w:val="000000"/>
          <w:spacing w:val="0"/>
          <w:w w:val="100"/>
          <w:position w:val="0"/>
          <w:sz w:val="24"/>
          <w:szCs w:val="24"/>
        </w:rPr>
        <w:t>2</w:t>
      </w:r>
      <w:bookmarkEnd w:id="826"/>
      <w:r>
        <w:rPr>
          <w:color w:val="000000"/>
          <w:spacing w:val="0"/>
          <w:w w:val="100"/>
          <w:position w:val="0"/>
          <w:sz w:val="24"/>
          <w:szCs w:val="24"/>
        </w:rPr>
        <w:t>）</w:t>
        <w:tab/>
        <w:t>已发生信用减值资产的定义</w:t>
      </w:r>
    </w:p>
    <w:p>
      <w:pPr>
        <w:pStyle w:val="Style59"/>
        <w:keepNext w:val="0"/>
        <w:keepLines w:val="0"/>
        <w:widowControl w:val="0"/>
        <w:shd w:val="clear" w:color="auto" w:fill="auto"/>
        <w:bidi w:val="0"/>
        <w:spacing w:before="0" w:after="0" w:line="475" w:lineRule="exact"/>
        <w:ind w:left="0" w:right="0" w:firstLine="480"/>
        <w:jc w:val="both"/>
      </w:pPr>
      <w:r>
        <w:rPr>
          <w:color w:val="000000"/>
          <w:spacing w:val="0"/>
          <w:w w:val="100"/>
          <w:position w:val="0"/>
          <w:sz w:val="24"/>
          <w:szCs w:val="24"/>
        </w:rPr>
        <w:t>为确定是否发生信用减值，公司所采用的界定标准，与内部针对相关金融工具的信用风 险管理目标保持一致，同时考虑定量、定性指标。公司评估债务人是否发生信用减值时，主 要考虑以下因素：</w:t>
      </w:r>
    </w:p>
    <w:p>
      <w:pPr>
        <w:pStyle w:val="Style59"/>
        <w:keepNext w:val="0"/>
        <w:keepLines w:val="0"/>
        <w:widowControl w:val="0"/>
        <w:shd w:val="clear" w:color="auto" w:fill="auto"/>
        <w:bidi w:val="0"/>
        <w:spacing w:before="0" w:after="0" w:line="475" w:lineRule="exact"/>
        <w:ind w:left="0" w:right="0" w:firstLine="480"/>
        <w:jc w:val="both"/>
      </w:pPr>
      <w:r>
        <w:rPr>
          <w:color w:val="000000"/>
          <w:spacing w:val="0"/>
          <w:w w:val="100"/>
          <w:position w:val="0"/>
          <w:sz w:val="24"/>
          <w:szCs w:val="24"/>
        </w:rPr>
        <w:t>&lt;1&gt;发行方或债务人发生重大财务困难；</w:t>
      </w:r>
    </w:p>
    <w:p>
      <w:pPr>
        <w:pStyle w:val="Style59"/>
        <w:keepNext w:val="0"/>
        <w:keepLines w:val="0"/>
        <w:widowControl w:val="0"/>
        <w:shd w:val="clear" w:color="auto" w:fill="auto"/>
        <w:bidi w:val="0"/>
        <w:spacing w:before="0" w:after="0" w:line="475" w:lineRule="exact"/>
        <w:ind w:left="0" w:right="0" w:firstLine="480"/>
        <w:jc w:val="both"/>
      </w:pPr>
      <w:r>
        <w:rPr>
          <w:color w:val="000000"/>
          <w:spacing w:val="0"/>
          <w:w w:val="100"/>
          <w:position w:val="0"/>
          <w:sz w:val="24"/>
          <w:szCs w:val="24"/>
        </w:rPr>
        <w:t>&lt;2&gt;债务人违反合同，如偿付利息或本金违约或逾期等；</w:t>
      </w:r>
    </w:p>
    <w:p>
      <w:pPr>
        <w:pStyle w:val="Style59"/>
        <w:keepNext w:val="0"/>
        <w:keepLines w:val="0"/>
        <w:widowControl w:val="0"/>
        <w:shd w:val="clear" w:color="auto" w:fill="auto"/>
        <w:bidi w:val="0"/>
        <w:spacing w:before="0" w:after="0" w:line="475" w:lineRule="exact"/>
        <w:ind w:left="0" w:right="0" w:firstLine="480"/>
        <w:jc w:val="both"/>
      </w:pPr>
      <w:r>
        <w:rPr>
          <w:color w:val="000000"/>
          <w:spacing w:val="0"/>
          <w:w w:val="100"/>
          <w:position w:val="0"/>
          <w:sz w:val="24"/>
          <w:szCs w:val="24"/>
        </w:rPr>
        <w:t>&lt;3&gt;债权人出于与债务人财务困难有关的经济或合同考虑，给予债务人在任何其他情况 下都不会做出的让步；</w:t>
      </w:r>
    </w:p>
    <w:p>
      <w:pPr>
        <w:pStyle w:val="Style59"/>
        <w:keepNext w:val="0"/>
        <w:keepLines w:val="0"/>
        <w:widowControl w:val="0"/>
        <w:shd w:val="clear" w:color="auto" w:fill="auto"/>
        <w:bidi w:val="0"/>
        <w:spacing w:before="0" w:after="0" w:line="475" w:lineRule="exact"/>
        <w:ind w:left="0" w:right="0" w:firstLine="480"/>
        <w:jc w:val="both"/>
      </w:pPr>
      <w:r>
        <w:rPr>
          <w:color w:val="000000"/>
          <w:spacing w:val="0"/>
          <w:w w:val="100"/>
          <w:position w:val="0"/>
          <w:sz w:val="24"/>
          <w:szCs w:val="24"/>
        </w:rPr>
        <w:t>&lt;4&gt;债务人很可能破产或进行其他财务重组；</w:t>
      </w:r>
    </w:p>
    <w:p>
      <w:pPr>
        <w:pStyle w:val="Style59"/>
        <w:keepNext w:val="0"/>
        <w:keepLines w:val="0"/>
        <w:widowControl w:val="0"/>
        <w:shd w:val="clear" w:color="auto" w:fill="auto"/>
        <w:bidi w:val="0"/>
        <w:spacing w:before="0" w:after="0" w:line="475" w:lineRule="exact"/>
        <w:ind w:left="0" w:right="0" w:firstLine="480"/>
        <w:jc w:val="left"/>
      </w:pPr>
      <w:r>
        <w:rPr>
          <w:color w:val="000000"/>
          <w:spacing w:val="0"/>
          <w:w w:val="100"/>
          <w:position w:val="0"/>
          <w:sz w:val="24"/>
          <w:szCs w:val="24"/>
        </w:rPr>
        <w:t>&lt;5&gt;发行方或债务人财务困难导致该金融资产的活跃市场消失；</w:t>
      </w:r>
    </w:p>
    <w:p>
      <w:pPr>
        <w:pStyle w:val="Style59"/>
        <w:keepNext w:val="0"/>
        <w:keepLines w:val="0"/>
        <w:widowControl w:val="0"/>
        <w:shd w:val="clear" w:color="auto" w:fill="auto"/>
        <w:bidi w:val="0"/>
        <w:spacing w:before="0" w:after="0" w:line="475" w:lineRule="exact"/>
        <w:ind w:left="0" w:right="0" w:firstLine="480"/>
        <w:jc w:val="left"/>
      </w:pPr>
      <w:r>
        <w:rPr>
          <w:color w:val="000000"/>
          <w:spacing w:val="0"/>
          <w:w w:val="100"/>
          <w:position w:val="0"/>
          <w:sz w:val="24"/>
          <w:szCs w:val="24"/>
        </w:rPr>
        <w:t>&lt;6&gt;以大幅折扣购买或源生一项金融资产，该折扣反映了发生信用损失的事实。</w:t>
      </w:r>
    </w:p>
    <w:p>
      <w:pPr>
        <w:pStyle w:val="Style59"/>
        <w:keepNext w:val="0"/>
        <w:keepLines w:val="0"/>
        <w:widowControl w:val="0"/>
        <w:shd w:val="clear" w:color="auto" w:fill="auto"/>
        <w:bidi w:val="0"/>
        <w:spacing w:before="0" w:after="0" w:line="475" w:lineRule="exact"/>
        <w:ind w:left="0" w:right="0" w:firstLine="480"/>
        <w:jc w:val="both"/>
      </w:pPr>
      <w:r>
        <w:rPr>
          <w:color w:val="000000"/>
          <w:spacing w:val="0"/>
          <w:w w:val="100"/>
          <w:position w:val="0"/>
          <w:sz w:val="24"/>
          <w:szCs w:val="24"/>
        </w:rPr>
        <w:t>金融资产发生信用减值，有可能是多个事件的共同作用所致，未必是可单独识别的事件 所致。</w:t>
      </w:r>
    </w:p>
    <w:p>
      <w:pPr>
        <w:pStyle w:val="Style59"/>
        <w:keepNext w:val="0"/>
        <w:keepLines w:val="0"/>
        <w:widowControl w:val="0"/>
        <w:shd w:val="clear" w:color="auto" w:fill="auto"/>
        <w:tabs>
          <w:tab w:pos="873" w:val="left"/>
        </w:tabs>
        <w:bidi w:val="0"/>
        <w:spacing w:before="0" w:after="0" w:line="469" w:lineRule="exact"/>
        <w:ind w:left="0" w:right="0" w:firstLine="500"/>
        <w:jc w:val="both"/>
      </w:pPr>
      <w:bookmarkStart w:id="827" w:name="bookmark827"/>
      <w:r>
        <w:rPr>
          <w:color w:val="000000"/>
          <w:spacing w:val="0"/>
          <w:w w:val="100"/>
          <w:position w:val="0"/>
          <w:sz w:val="24"/>
          <w:szCs w:val="24"/>
        </w:rPr>
        <w:t>3</w:t>
      </w:r>
      <w:bookmarkEnd w:id="827"/>
      <w:r>
        <w:rPr>
          <w:color w:val="000000"/>
          <w:spacing w:val="0"/>
          <w:w w:val="100"/>
          <w:position w:val="0"/>
          <w:sz w:val="24"/>
          <w:szCs w:val="24"/>
        </w:rPr>
        <w:t>）</w:t>
        <w:tab/>
        <w:t>预期信用损失计量的参数</w:t>
      </w:r>
    </w:p>
    <w:p>
      <w:pPr>
        <w:pStyle w:val="Style59"/>
        <w:keepNext w:val="0"/>
        <w:keepLines w:val="0"/>
        <w:widowControl w:val="0"/>
        <w:shd w:val="clear" w:color="auto" w:fill="auto"/>
        <w:bidi w:val="0"/>
        <w:spacing w:before="0" w:after="0" w:line="469" w:lineRule="exact"/>
        <w:ind w:left="0" w:right="0" w:firstLine="500"/>
        <w:jc w:val="both"/>
      </w:pPr>
      <w:r>
        <w:rPr>
          <w:color w:val="000000"/>
          <w:spacing w:val="0"/>
          <w:w w:val="100"/>
          <w:position w:val="0"/>
          <w:sz w:val="24"/>
          <w:szCs w:val="24"/>
        </w:rPr>
        <w:t>根据信用风险是否发生显著增加以及是否已发生信用减值，公司对不同的资产分别以12 个月或整个存续期的预期信用损失计量减值准备。预期信用损失计量的关键参数包括违约概 率、违约损失率和违约风险敞口。公司考虑历史统计数据（如交易对手评级、担保方式及抵 质押物类别、还款方式等）的定量分析及前瞻性信息，建立违约概率、违约损失率及违约风 险敞口模型。</w:t>
      </w:r>
    </w:p>
    <w:p>
      <w:pPr>
        <w:pStyle w:val="Style59"/>
        <w:keepNext w:val="0"/>
        <w:keepLines w:val="0"/>
        <w:widowControl w:val="0"/>
        <w:shd w:val="clear" w:color="auto" w:fill="auto"/>
        <w:bidi w:val="0"/>
        <w:spacing w:before="0" w:after="0" w:line="469" w:lineRule="exact"/>
        <w:ind w:left="0" w:right="0" w:firstLine="500"/>
        <w:jc w:val="both"/>
      </w:pPr>
      <w:r>
        <w:rPr>
          <w:color w:val="000000"/>
          <w:spacing w:val="0"/>
          <w:w w:val="100"/>
          <w:position w:val="0"/>
          <w:sz w:val="24"/>
          <w:szCs w:val="24"/>
        </w:rPr>
        <w:t>相关定义如下：</w:t>
      </w:r>
    </w:p>
    <w:p>
      <w:pPr>
        <w:pStyle w:val="Style59"/>
        <w:keepNext w:val="0"/>
        <w:keepLines w:val="0"/>
        <w:widowControl w:val="0"/>
        <w:shd w:val="clear" w:color="auto" w:fill="auto"/>
        <w:bidi w:val="0"/>
        <w:spacing w:before="0" w:after="0" w:line="472" w:lineRule="exact"/>
        <w:ind w:left="0" w:right="0" w:firstLine="500"/>
        <w:jc w:val="both"/>
      </w:pPr>
      <w:r>
        <w:rPr>
          <w:color w:val="000000"/>
          <w:spacing w:val="0"/>
          <w:w w:val="100"/>
          <w:position w:val="0"/>
          <w:sz w:val="24"/>
          <w:szCs w:val="24"/>
        </w:rPr>
        <w:t>&lt;1&gt;违约概率是指债务人在未来12个月或在整个剩余存续期，无法履行其偿付义务的可 能性。公司的违约概率以历史信用损失模型结果为基础进行调整，加入前瞻性信息，以反映 当前宏观经济环境下债务人违约概率；</w:t>
      </w:r>
    </w:p>
    <w:p>
      <w:pPr>
        <w:pStyle w:val="Style59"/>
        <w:keepNext w:val="0"/>
        <w:keepLines w:val="0"/>
        <w:widowControl w:val="0"/>
        <w:shd w:val="clear" w:color="auto" w:fill="auto"/>
        <w:bidi w:val="0"/>
        <w:spacing w:before="0" w:after="0" w:line="472" w:lineRule="exact"/>
        <w:ind w:left="0" w:right="0" w:firstLine="500"/>
        <w:jc w:val="both"/>
      </w:pPr>
      <w:r>
        <w:rPr>
          <w:color w:val="000000"/>
          <w:spacing w:val="0"/>
          <w:w w:val="100"/>
          <w:position w:val="0"/>
          <w:sz w:val="24"/>
          <w:szCs w:val="24"/>
        </w:rPr>
        <w:t>&lt;2&gt;违约损失率是指公司对违约风险暴露发生损失程度作出的预期。根据交易对手的类 型、追索的方式和优先级，以及担保品的不同，违约损失率也有所不同。违约损失率为违约 发生时风险敞口损失的百分比，以未来12个月内或整个存续期为基准进行计算；</w:t>
      </w:r>
    </w:p>
    <w:p>
      <w:pPr>
        <w:pStyle w:val="Style59"/>
        <w:keepNext w:val="0"/>
        <w:keepLines w:val="0"/>
        <w:widowControl w:val="0"/>
        <w:shd w:val="clear" w:color="auto" w:fill="auto"/>
        <w:bidi w:val="0"/>
        <w:spacing w:before="0" w:after="0" w:line="472" w:lineRule="exact"/>
        <w:ind w:left="0" w:right="0" w:firstLine="500"/>
        <w:jc w:val="both"/>
      </w:pPr>
      <w:r>
        <w:rPr>
          <w:color w:val="000000"/>
          <w:spacing w:val="0"/>
          <w:w w:val="100"/>
          <w:position w:val="0"/>
          <w:sz w:val="24"/>
          <w:szCs w:val="24"/>
        </w:rPr>
        <w:t>&lt;3&gt;违约风险敞口是指，在未来12个月或在整个剩余存续期中，在违约发生时，公司应 被偿付的金额。</w:t>
      </w:r>
    </w:p>
    <w:p>
      <w:pPr>
        <w:pStyle w:val="Style59"/>
        <w:keepNext w:val="0"/>
        <w:keepLines w:val="0"/>
        <w:widowControl w:val="0"/>
        <w:shd w:val="clear" w:color="auto" w:fill="auto"/>
        <w:tabs>
          <w:tab w:pos="878" w:val="left"/>
        </w:tabs>
        <w:bidi w:val="0"/>
        <w:spacing w:before="0" w:after="0" w:line="472" w:lineRule="exact"/>
        <w:ind w:left="0" w:right="0" w:firstLine="500"/>
        <w:jc w:val="both"/>
      </w:pPr>
      <w:bookmarkStart w:id="828" w:name="bookmark828"/>
      <w:r>
        <w:rPr>
          <w:color w:val="000000"/>
          <w:spacing w:val="0"/>
          <w:w w:val="100"/>
          <w:position w:val="0"/>
          <w:sz w:val="24"/>
          <w:szCs w:val="24"/>
        </w:rPr>
        <w:t>4</w:t>
      </w:r>
      <w:bookmarkEnd w:id="828"/>
      <w:r>
        <w:rPr>
          <w:color w:val="000000"/>
          <w:spacing w:val="0"/>
          <w:w w:val="100"/>
          <w:position w:val="0"/>
          <w:sz w:val="24"/>
          <w:szCs w:val="24"/>
        </w:rPr>
        <w:t>）</w:t>
        <w:tab/>
        <w:t>前瞻性信息</w:t>
      </w:r>
    </w:p>
    <w:p>
      <w:pPr>
        <w:pStyle w:val="Style59"/>
        <w:keepNext w:val="0"/>
        <w:keepLines w:val="0"/>
        <w:widowControl w:val="0"/>
        <w:shd w:val="clear" w:color="auto" w:fill="auto"/>
        <w:bidi w:val="0"/>
        <w:spacing w:before="0" w:after="0" w:line="472" w:lineRule="exact"/>
        <w:ind w:left="0" w:right="0" w:firstLine="500"/>
        <w:jc w:val="both"/>
      </w:pPr>
      <w:r>
        <w:rPr>
          <w:color w:val="000000"/>
          <w:spacing w:val="0"/>
          <w:w w:val="100"/>
          <w:position w:val="0"/>
          <w:sz w:val="24"/>
          <w:szCs w:val="24"/>
        </w:rPr>
        <w:t>信用风险显著增加的评估及预期信用损失的计算均涉及前瞻性信息。公司通过进行历史 数据分析，识别出影响各业务类型信用风险及预期信用损失的关键经济指标。</w:t>
      </w:r>
    </w:p>
    <w:p>
      <w:pPr>
        <w:pStyle w:val="Style59"/>
        <w:keepNext w:val="0"/>
        <w:keepLines w:val="0"/>
        <w:widowControl w:val="0"/>
        <w:shd w:val="clear" w:color="auto" w:fill="auto"/>
        <w:bidi w:val="0"/>
        <w:spacing w:before="0" w:after="0" w:line="472" w:lineRule="exact"/>
        <w:ind w:left="0" w:right="0" w:firstLine="500"/>
        <w:jc w:val="both"/>
      </w:pPr>
      <w:r>
        <w:rPr>
          <w:color w:val="000000"/>
          <w:spacing w:val="0"/>
          <w:w w:val="100"/>
          <w:position w:val="0"/>
          <w:sz w:val="24"/>
          <w:szCs w:val="24"/>
        </w:rPr>
        <w:t>当单项金融资产无法以合理成本评估预期信用损失的信息时，公司依据信用风险特征将 应收款项划分为若干组合，在组合基础上计算预期信用损失，确定组合的依据如下：</w:t>
      </w:r>
    </w:p>
    <w:p>
      <w:pPr>
        <w:pStyle w:val="Style59"/>
        <w:keepNext w:val="0"/>
        <w:keepLines w:val="0"/>
        <w:widowControl w:val="0"/>
        <w:shd w:val="clear" w:color="auto" w:fill="auto"/>
        <w:bidi w:val="0"/>
        <w:spacing w:before="0" w:after="0" w:line="472" w:lineRule="exact"/>
        <w:ind w:left="0" w:right="0" w:firstLine="500"/>
        <w:jc w:val="left"/>
      </w:pPr>
      <w:r>
        <w:rPr>
          <w:color w:val="000000"/>
          <w:spacing w:val="0"/>
          <w:w w:val="100"/>
          <w:position w:val="0"/>
          <w:sz w:val="24"/>
          <w:szCs w:val="24"/>
        </w:rPr>
        <w:t>&lt;1&gt;应收票据组合</w:t>
      </w:r>
    </w:p>
    <w:p>
      <w:pPr>
        <w:pStyle w:val="Style59"/>
        <w:keepNext w:val="0"/>
        <w:keepLines w:val="0"/>
        <w:widowControl w:val="0"/>
        <w:shd w:val="clear" w:color="auto" w:fill="auto"/>
        <w:bidi w:val="0"/>
        <w:spacing w:before="0" w:after="0" w:line="472" w:lineRule="exact"/>
        <w:ind w:left="0" w:right="0" w:firstLine="500"/>
        <w:jc w:val="left"/>
      </w:pPr>
      <w:r>
        <w:rPr>
          <w:color w:val="000000"/>
          <w:spacing w:val="0"/>
          <w:w w:val="100"/>
          <w:position w:val="0"/>
          <w:sz w:val="24"/>
          <w:szCs w:val="24"/>
        </w:rPr>
        <w:t>项目确定组合的依据</w:t>
      </w:r>
    </w:p>
    <w:p>
      <w:pPr>
        <w:pStyle w:val="Style59"/>
        <w:keepNext w:val="0"/>
        <w:keepLines w:val="0"/>
        <w:widowControl w:val="0"/>
        <w:shd w:val="clear" w:color="auto" w:fill="auto"/>
        <w:tabs>
          <w:tab w:pos="4614" w:val="left"/>
        </w:tabs>
        <w:bidi w:val="0"/>
        <w:spacing w:before="0" w:after="0" w:line="472" w:lineRule="exact"/>
        <w:ind w:left="0" w:right="0" w:firstLine="500"/>
        <w:jc w:val="left"/>
      </w:pPr>
      <w:r>
        <w:rPr>
          <w:color w:val="000000"/>
          <w:spacing w:val="0"/>
          <w:w w:val="100"/>
          <w:position w:val="0"/>
          <w:sz w:val="24"/>
          <w:szCs w:val="24"/>
        </w:rPr>
        <w:t>应收票据组合1：商业承兑汇票组合</w:t>
        <w:tab/>
        <w:t>按票据性质为信用风险特征划分组合</w:t>
      </w:r>
    </w:p>
    <w:p>
      <w:pPr>
        <w:pStyle w:val="Style59"/>
        <w:keepNext w:val="0"/>
        <w:keepLines w:val="0"/>
        <w:widowControl w:val="0"/>
        <w:shd w:val="clear" w:color="auto" w:fill="auto"/>
        <w:tabs>
          <w:tab w:pos="4614" w:val="left"/>
        </w:tabs>
        <w:bidi w:val="0"/>
        <w:spacing w:before="0" w:after="0" w:line="472" w:lineRule="exact"/>
        <w:ind w:left="0" w:right="0" w:firstLine="500"/>
        <w:jc w:val="left"/>
      </w:pPr>
      <w:r>
        <w:rPr>
          <w:color w:val="000000"/>
          <w:spacing w:val="0"/>
          <w:w w:val="100"/>
          <w:position w:val="0"/>
          <w:sz w:val="24"/>
          <w:szCs w:val="24"/>
        </w:rPr>
        <w:t>应收票据组合2：银行承兑汇票组合</w:t>
        <w:tab/>
        <w:t>按票据性质为信用风险特征划分组合</w:t>
      </w:r>
    </w:p>
    <w:p>
      <w:pPr>
        <w:pStyle w:val="Style59"/>
        <w:keepNext w:val="0"/>
        <w:keepLines w:val="0"/>
        <w:widowControl w:val="0"/>
        <w:shd w:val="clear" w:color="auto" w:fill="auto"/>
        <w:bidi w:val="0"/>
        <w:spacing w:before="0" w:after="0" w:line="472" w:lineRule="exact"/>
        <w:ind w:left="0" w:right="0" w:firstLine="500"/>
        <w:jc w:val="both"/>
      </w:pPr>
      <w:r>
        <w:rPr>
          <w:color w:val="000000"/>
          <w:spacing w:val="0"/>
          <w:w w:val="100"/>
          <w:position w:val="0"/>
          <w:sz w:val="24"/>
          <w:szCs w:val="24"/>
        </w:rPr>
        <w:t>对于划分为组合的应收票据，公司参考历史信用损失经验，结合当前状况以及对未来经 济状况的预测，通过违约风险敞口和整个存续期预期信用损失率，计算预期信用损失。</w:t>
      </w:r>
    </w:p>
    <w:p>
      <w:pPr>
        <w:pStyle w:val="Style59"/>
        <w:keepNext w:val="0"/>
        <w:keepLines w:val="0"/>
        <w:widowControl w:val="0"/>
        <w:shd w:val="clear" w:color="auto" w:fill="auto"/>
        <w:bidi w:val="0"/>
        <w:spacing w:before="0" w:after="0" w:line="472" w:lineRule="exact"/>
        <w:ind w:left="0" w:right="0" w:firstLine="500"/>
        <w:jc w:val="left"/>
      </w:pPr>
      <w:r>
        <w:rPr>
          <w:color w:val="000000"/>
          <w:spacing w:val="0"/>
          <w:w w:val="100"/>
          <w:position w:val="0"/>
          <w:sz w:val="24"/>
          <w:szCs w:val="24"/>
        </w:rPr>
        <w:t>&lt;2&gt;应收账款组合</w:t>
      </w:r>
    </w:p>
    <w:p>
      <w:pPr>
        <w:pStyle w:val="Style59"/>
        <w:keepNext w:val="0"/>
        <w:keepLines w:val="0"/>
        <w:widowControl w:val="0"/>
        <w:shd w:val="clear" w:color="auto" w:fill="auto"/>
        <w:bidi w:val="0"/>
        <w:spacing w:before="0" w:after="0" w:line="472" w:lineRule="exact"/>
        <w:ind w:left="0" w:right="0" w:firstLine="500"/>
        <w:jc w:val="left"/>
      </w:pPr>
      <w:r>
        <w:rPr>
          <w:color w:val="000000"/>
          <w:spacing w:val="0"/>
          <w:w w:val="100"/>
          <w:position w:val="0"/>
          <w:sz w:val="24"/>
          <w:szCs w:val="24"/>
        </w:rPr>
        <w:t>项目 确定组合的依据</w:t>
      </w:r>
    </w:p>
    <w:p>
      <w:pPr>
        <w:pStyle w:val="Style59"/>
        <w:keepNext w:val="0"/>
        <w:keepLines w:val="0"/>
        <w:widowControl w:val="0"/>
        <w:shd w:val="clear" w:color="auto" w:fill="auto"/>
        <w:tabs>
          <w:tab w:pos="4614" w:val="left"/>
        </w:tabs>
        <w:bidi w:val="0"/>
        <w:spacing w:before="0" w:after="0" w:line="472" w:lineRule="exact"/>
        <w:ind w:left="0" w:right="0" w:firstLine="500"/>
        <w:jc w:val="left"/>
      </w:pPr>
      <w:r>
        <w:rPr>
          <w:color w:val="000000"/>
          <w:spacing w:val="0"/>
          <w:w w:val="100"/>
          <w:position w:val="0"/>
          <w:sz w:val="24"/>
          <w:szCs w:val="24"/>
        </w:rPr>
        <w:t>应收账款组合1：政府及运营商组合</w:t>
        <w:tab/>
        <w:t>按客户性质为信用风险特征划分组合</w:t>
      </w:r>
    </w:p>
    <w:p>
      <w:pPr>
        <w:pStyle w:val="Style59"/>
        <w:keepNext w:val="0"/>
        <w:keepLines w:val="0"/>
        <w:widowControl w:val="0"/>
        <w:shd w:val="clear" w:color="auto" w:fill="auto"/>
        <w:bidi w:val="0"/>
        <w:spacing w:before="0" w:after="0" w:line="466" w:lineRule="exact"/>
        <w:ind w:left="0" w:right="0" w:firstLine="480"/>
        <w:jc w:val="left"/>
      </w:pPr>
      <w:r>
        <w:rPr>
          <w:color w:val="000000"/>
          <w:spacing w:val="0"/>
          <w:w w:val="100"/>
          <w:position w:val="0"/>
          <w:sz w:val="24"/>
          <w:szCs w:val="24"/>
        </w:rPr>
        <w:t>应收账款组合2：关联方组合按客户性质为信用风险特征划分组合</w:t>
      </w:r>
    </w:p>
    <w:p>
      <w:pPr>
        <w:pStyle w:val="Style59"/>
        <w:keepNext w:val="0"/>
        <w:keepLines w:val="0"/>
        <w:widowControl w:val="0"/>
        <w:shd w:val="clear" w:color="auto" w:fill="auto"/>
        <w:bidi w:val="0"/>
        <w:spacing w:before="0" w:after="0" w:line="466" w:lineRule="exact"/>
        <w:ind w:left="0" w:right="0" w:firstLine="480"/>
        <w:jc w:val="left"/>
      </w:pPr>
      <w:r>
        <w:rPr>
          <w:color w:val="000000"/>
          <w:spacing w:val="0"/>
          <w:w w:val="100"/>
          <w:position w:val="0"/>
          <w:sz w:val="24"/>
          <w:szCs w:val="24"/>
        </w:rPr>
        <w:t>应收账款组合3：其他组合按客户性质为信用风险特征划分组合</w:t>
      </w:r>
    </w:p>
    <w:p>
      <w:pPr>
        <w:pStyle w:val="Style59"/>
        <w:keepNext w:val="0"/>
        <w:keepLines w:val="0"/>
        <w:widowControl w:val="0"/>
        <w:shd w:val="clear" w:color="auto" w:fill="auto"/>
        <w:bidi w:val="0"/>
        <w:spacing w:before="0" w:after="0" w:line="466" w:lineRule="exact"/>
        <w:ind w:left="0" w:right="0" w:firstLine="480"/>
        <w:jc w:val="both"/>
      </w:pPr>
      <w:r>
        <w:rPr>
          <w:color w:val="000000"/>
          <w:spacing w:val="0"/>
          <w:w w:val="100"/>
          <w:position w:val="0"/>
          <w:sz w:val="24"/>
          <w:szCs w:val="24"/>
        </w:rPr>
        <w:t>对于划分为组合的应收账款，公司参考历史信用损失经验，结合当前状况以及对未来经 济状况的预测，编制应收账款账龄与整个存续期预期信用损失率对照表，计算预期信用损失。</w:t>
      </w:r>
    </w:p>
    <w:p>
      <w:pPr>
        <w:pStyle w:val="Style59"/>
        <w:keepNext w:val="0"/>
        <w:keepLines w:val="0"/>
        <w:widowControl w:val="0"/>
        <w:shd w:val="clear" w:color="auto" w:fill="auto"/>
        <w:bidi w:val="0"/>
        <w:spacing w:before="0" w:after="0" w:line="466" w:lineRule="exact"/>
        <w:ind w:left="0" w:right="0" w:firstLine="480"/>
        <w:jc w:val="left"/>
      </w:pPr>
      <w:r>
        <w:rPr>
          <w:color w:val="000000"/>
          <w:spacing w:val="0"/>
          <w:w w:val="100"/>
          <w:position w:val="0"/>
          <w:sz w:val="24"/>
          <w:szCs w:val="24"/>
        </w:rPr>
        <w:t>&lt;3&gt;其他应收款组合</w:t>
      </w:r>
    </w:p>
    <w:p>
      <w:pPr>
        <w:pStyle w:val="Style59"/>
        <w:keepNext w:val="0"/>
        <w:keepLines w:val="0"/>
        <w:widowControl w:val="0"/>
        <w:shd w:val="clear" w:color="auto" w:fill="auto"/>
        <w:bidi w:val="0"/>
        <w:spacing w:before="0" w:after="0" w:line="466" w:lineRule="exact"/>
        <w:ind w:left="0" w:right="0" w:firstLine="480"/>
        <w:jc w:val="left"/>
      </w:pPr>
      <w:r>
        <w:rPr>
          <w:color w:val="000000"/>
          <w:spacing w:val="0"/>
          <w:w w:val="100"/>
          <w:position w:val="0"/>
          <w:sz w:val="24"/>
          <w:szCs w:val="24"/>
        </w:rPr>
        <w:t>项目确定组合的依据</w:t>
      </w:r>
    </w:p>
    <w:p>
      <w:pPr>
        <w:pStyle w:val="Style59"/>
        <w:keepNext w:val="0"/>
        <w:keepLines w:val="0"/>
        <w:widowControl w:val="0"/>
        <w:shd w:val="clear" w:color="auto" w:fill="auto"/>
        <w:bidi w:val="0"/>
        <w:spacing w:before="0" w:after="0" w:line="466" w:lineRule="exact"/>
        <w:ind w:left="0" w:right="0" w:firstLine="480"/>
        <w:jc w:val="left"/>
      </w:pPr>
      <w:r>
        <w:rPr>
          <w:color w:val="000000"/>
          <w:spacing w:val="0"/>
          <w:w w:val="100"/>
          <w:position w:val="0"/>
          <w:sz w:val="24"/>
          <w:szCs w:val="24"/>
        </w:rPr>
        <w:t>其他应收款组合1：押金、备用金、保证金组合按款项性质划分组合</w:t>
      </w:r>
    </w:p>
    <w:p>
      <w:pPr>
        <w:pStyle w:val="Style59"/>
        <w:keepNext w:val="0"/>
        <w:keepLines w:val="0"/>
        <w:widowControl w:val="0"/>
        <w:shd w:val="clear" w:color="auto" w:fill="auto"/>
        <w:bidi w:val="0"/>
        <w:spacing w:before="0" w:after="0" w:line="478" w:lineRule="exact"/>
        <w:ind w:left="0" w:right="0" w:firstLine="480"/>
        <w:jc w:val="left"/>
      </w:pPr>
      <w:r>
        <w:rPr>
          <w:color w:val="000000"/>
          <w:spacing w:val="0"/>
          <w:w w:val="100"/>
          <w:position w:val="0"/>
          <w:sz w:val="24"/>
          <w:szCs w:val="24"/>
        </w:rPr>
        <w:t>其他应收款组合2：往来款组合按款项性质划分组合</w:t>
      </w:r>
    </w:p>
    <w:p>
      <w:pPr>
        <w:pStyle w:val="Style59"/>
        <w:keepNext w:val="0"/>
        <w:keepLines w:val="0"/>
        <w:widowControl w:val="0"/>
        <w:shd w:val="clear" w:color="auto" w:fill="auto"/>
        <w:bidi w:val="0"/>
        <w:spacing w:before="0" w:after="0" w:line="478" w:lineRule="exact"/>
        <w:ind w:left="0" w:right="0" w:firstLine="480"/>
        <w:jc w:val="left"/>
      </w:pPr>
      <w:r>
        <w:rPr>
          <w:color w:val="000000"/>
          <w:spacing w:val="0"/>
          <w:w w:val="100"/>
          <w:position w:val="0"/>
          <w:sz w:val="24"/>
          <w:szCs w:val="24"/>
        </w:rPr>
        <w:t>其他应收款组合3：其他组合 按款项性质划分组合</w:t>
      </w:r>
    </w:p>
    <w:p>
      <w:pPr>
        <w:pStyle w:val="Style59"/>
        <w:keepNext w:val="0"/>
        <w:keepLines w:val="0"/>
        <w:widowControl w:val="0"/>
        <w:shd w:val="clear" w:color="auto" w:fill="auto"/>
        <w:bidi w:val="0"/>
        <w:spacing w:before="0" w:after="0" w:line="478" w:lineRule="exact"/>
        <w:ind w:left="0" w:right="0" w:firstLine="480"/>
        <w:jc w:val="both"/>
      </w:pPr>
      <w:r>
        <w:rPr>
          <w:color w:val="000000"/>
          <w:spacing w:val="0"/>
          <w:w w:val="100"/>
          <w:position w:val="0"/>
          <w:sz w:val="24"/>
          <w:szCs w:val="24"/>
        </w:rPr>
        <w:t>对于划分为组合的其他应收款，公司参考历史信用损失经验，结合当前状况以及对未来 经济状况的预测，通过违约风险敞口和未来12个月内或整个存续期预期信用损失率，计算预 期信用损失。</w:t>
      </w:r>
    </w:p>
    <w:p>
      <w:pPr>
        <w:pStyle w:val="Style59"/>
        <w:keepNext w:val="0"/>
        <w:keepLines w:val="0"/>
        <w:widowControl w:val="0"/>
        <w:shd w:val="clear" w:color="auto" w:fill="auto"/>
        <w:bidi w:val="0"/>
        <w:spacing w:before="0" w:after="0" w:line="475" w:lineRule="exact"/>
        <w:ind w:left="0" w:right="0" w:firstLine="480"/>
        <w:jc w:val="both"/>
      </w:pPr>
      <w:r>
        <w:rPr>
          <w:color w:val="000000"/>
          <w:spacing w:val="0"/>
          <w:w w:val="100"/>
          <w:position w:val="0"/>
          <w:sz w:val="24"/>
          <w:szCs w:val="24"/>
        </w:rPr>
        <w:t>&lt;4&gt;合同资产组合</w:t>
      </w:r>
    </w:p>
    <w:p>
      <w:pPr>
        <w:pStyle w:val="Style59"/>
        <w:keepNext w:val="0"/>
        <w:keepLines w:val="0"/>
        <w:widowControl w:val="0"/>
        <w:shd w:val="clear" w:color="auto" w:fill="auto"/>
        <w:tabs>
          <w:tab w:pos="4555" w:val="left"/>
        </w:tabs>
        <w:bidi w:val="0"/>
        <w:spacing w:before="0" w:after="0" w:line="475" w:lineRule="exact"/>
        <w:ind w:left="0" w:right="0" w:firstLine="480"/>
        <w:jc w:val="left"/>
      </w:pPr>
      <w:r>
        <w:rPr>
          <w:color w:val="000000"/>
          <w:spacing w:val="0"/>
          <w:w w:val="100"/>
          <w:position w:val="0"/>
          <w:sz w:val="24"/>
          <w:szCs w:val="24"/>
        </w:rPr>
        <w:t>合同资产组合1：政府及运营商组合</w:t>
        <w:tab/>
        <w:t>按客户性质为信用风险特征划分组合</w:t>
      </w:r>
    </w:p>
    <w:p>
      <w:pPr>
        <w:pStyle w:val="Style59"/>
        <w:keepNext w:val="0"/>
        <w:keepLines w:val="0"/>
        <w:widowControl w:val="0"/>
        <w:shd w:val="clear" w:color="auto" w:fill="auto"/>
        <w:bidi w:val="0"/>
        <w:spacing w:before="0" w:after="0" w:line="475" w:lineRule="exact"/>
        <w:ind w:left="0" w:right="0" w:firstLine="480"/>
        <w:jc w:val="left"/>
      </w:pPr>
      <w:r>
        <w:rPr>
          <w:color w:val="000000"/>
          <w:spacing w:val="0"/>
          <w:w w:val="100"/>
          <w:position w:val="0"/>
          <w:sz w:val="24"/>
          <w:szCs w:val="24"/>
        </w:rPr>
        <w:t>合同资产组合2：关联方组合 按客户性质为信用风险特征划分组合</w:t>
      </w:r>
    </w:p>
    <w:p>
      <w:pPr>
        <w:pStyle w:val="Style59"/>
        <w:keepNext w:val="0"/>
        <w:keepLines w:val="0"/>
        <w:widowControl w:val="0"/>
        <w:shd w:val="clear" w:color="auto" w:fill="auto"/>
        <w:bidi w:val="0"/>
        <w:spacing w:before="0" w:after="0" w:line="475" w:lineRule="exact"/>
        <w:ind w:left="0" w:right="0" w:firstLine="480"/>
        <w:jc w:val="left"/>
      </w:pPr>
      <w:r>
        <w:rPr>
          <w:color w:val="000000"/>
          <w:spacing w:val="0"/>
          <w:w w:val="100"/>
          <w:position w:val="0"/>
          <w:sz w:val="24"/>
          <w:szCs w:val="24"/>
        </w:rPr>
        <w:t>合同资产组合3：其他组合 按客户性质为信用风险特征划分组合</w:t>
      </w:r>
    </w:p>
    <w:p>
      <w:pPr>
        <w:pStyle w:val="Style59"/>
        <w:keepNext w:val="0"/>
        <w:keepLines w:val="0"/>
        <w:widowControl w:val="0"/>
        <w:shd w:val="clear" w:color="auto" w:fill="auto"/>
        <w:bidi w:val="0"/>
        <w:spacing w:before="0" w:after="0" w:line="475" w:lineRule="exact"/>
        <w:ind w:left="0" w:right="0" w:firstLine="480"/>
        <w:jc w:val="both"/>
      </w:pPr>
      <w:r>
        <w:rPr>
          <w:color w:val="000000"/>
          <w:spacing w:val="0"/>
          <w:w w:val="100"/>
          <w:position w:val="0"/>
          <w:sz w:val="24"/>
          <w:szCs w:val="24"/>
        </w:rPr>
        <w:t>对于划分为组合的合同资产，公司参考应收账款历史信用损失经验，结合当前状况以及 对未来经济状况的预测，编制合同资产账龄与整个存续期预期信用损失率对照表，计算预期 信用损失。</w:t>
      </w:r>
    </w:p>
    <w:p>
      <w:pPr>
        <w:pStyle w:val="Style59"/>
        <w:keepNext w:val="0"/>
        <w:keepLines w:val="0"/>
        <w:widowControl w:val="0"/>
        <w:shd w:val="clear" w:color="auto" w:fill="auto"/>
        <w:bidi w:val="0"/>
        <w:spacing w:before="0" w:after="0" w:line="467" w:lineRule="exact"/>
        <w:ind w:left="0" w:right="0" w:firstLine="480"/>
        <w:jc w:val="both"/>
      </w:pPr>
      <w:r>
        <w:rPr>
          <w:color w:val="000000"/>
          <w:spacing w:val="0"/>
          <w:w w:val="100"/>
          <w:position w:val="0"/>
          <w:sz w:val="24"/>
          <w:szCs w:val="24"/>
        </w:rPr>
        <w:t>&lt;5&gt;其他</w:t>
      </w:r>
    </w:p>
    <w:p>
      <w:pPr>
        <w:pStyle w:val="Style59"/>
        <w:keepNext w:val="0"/>
        <w:keepLines w:val="0"/>
        <w:widowControl w:val="0"/>
        <w:shd w:val="clear" w:color="auto" w:fill="auto"/>
        <w:bidi w:val="0"/>
        <w:spacing w:before="0" w:after="0" w:line="467" w:lineRule="exact"/>
        <w:ind w:left="0" w:right="0" w:firstLine="480"/>
        <w:jc w:val="both"/>
      </w:pPr>
      <w:r>
        <w:rPr>
          <w:color w:val="000000"/>
          <w:spacing w:val="0"/>
          <w:w w:val="100"/>
          <w:position w:val="0"/>
          <w:sz w:val="24"/>
          <w:szCs w:val="24"/>
        </w:rPr>
        <w:t>对于存在客观证据表明存在减值，以及其他适用于单项评估的应收票据、预付款项、应 收款项融资、以及长期应收款等单独进行减值测试，确认预期信用损失，计提单项减值准备。</w:t>
      </w:r>
    </w:p>
    <w:p>
      <w:pPr>
        <w:pStyle w:val="Style59"/>
        <w:keepNext w:val="0"/>
        <w:keepLines w:val="0"/>
        <w:widowControl w:val="0"/>
        <w:shd w:val="clear" w:color="auto" w:fill="auto"/>
        <w:bidi w:val="0"/>
        <w:spacing w:before="0" w:after="0" w:line="467" w:lineRule="exact"/>
        <w:ind w:left="0" w:right="0" w:firstLine="480"/>
        <w:jc w:val="both"/>
      </w:pPr>
      <w:r>
        <w:rPr>
          <w:color w:val="000000"/>
          <w:spacing w:val="0"/>
          <w:w w:val="100"/>
          <w:position w:val="0"/>
          <w:sz w:val="24"/>
          <w:szCs w:val="24"/>
        </w:rPr>
        <w:t>为反映金融工具的信用风险自初始确认后的变化，公司及其子公司在每个资产负债表日 重新计量预期信用损失，由此形成的损失准备的增加或转回金额，应当作为减值损失或利得 计入当期损益。对于以摊余成本计量的金融资产，损失准备抵减该金融资产在资产负债表中 列示的账面价值；对于以公允价值计量且其变动计入其他综合收益的债权投资，公司及其子 公司在其他综合收益中确认其损失准备，不抵减该金融资产的账面价值。</w:t>
      </w:r>
    </w:p>
    <w:p>
      <w:pPr>
        <w:pStyle w:val="Style59"/>
        <w:keepNext w:val="0"/>
        <w:keepLines w:val="0"/>
        <w:widowControl w:val="0"/>
        <w:numPr>
          <w:ilvl w:val="0"/>
          <w:numId w:val="45"/>
        </w:numPr>
        <w:shd w:val="clear" w:color="auto" w:fill="auto"/>
        <w:bidi w:val="0"/>
        <w:spacing w:before="0" w:after="0" w:line="467" w:lineRule="exact"/>
        <w:ind w:left="0" w:right="0" w:firstLine="480"/>
        <w:jc w:val="left"/>
      </w:pPr>
      <w:bookmarkStart w:id="829" w:name="bookmark829"/>
      <w:bookmarkEnd w:id="829"/>
      <w:r>
        <w:rPr>
          <w:color w:val="000000"/>
          <w:spacing w:val="0"/>
          <w:w w:val="100"/>
          <w:position w:val="0"/>
          <w:sz w:val="24"/>
          <w:szCs w:val="24"/>
        </w:rPr>
        <w:t>终止确认</w:t>
      </w:r>
    </w:p>
    <w:p>
      <w:pPr>
        <w:pStyle w:val="Style59"/>
        <w:keepNext w:val="0"/>
        <w:keepLines w:val="0"/>
        <w:widowControl w:val="0"/>
        <w:shd w:val="clear" w:color="auto" w:fill="auto"/>
        <w:bidi w:val="0"/>
        <w:spacing w:before="0" w:after="0" w:line="467" w:lineRule="exact"/>
        <w:ind w:left="0" w:right="0" w:firstLine="480"/>
        <w:jc w:val="left"/>
      </w:pPr>
      <w:r>
        <w:rPr>
          <w:color w:val="000000"/>
          <w:spacing w:val="0"/>
          <w:w w:val="100"/>
          <w:position w:val="0"/>
          <w:sz w:val="24"/>
          <w:szCs w:val="24"/>
        </w:rPr>
        <w:t>金融资产满足下列条件之一的，予以终止确认：</w:t>
      </w:r>
    </w:p>
    <w:p>
      <w:pPr>
        <w:pStyle w:val="Style59"/>
        <w:keepNext w:val="0"/>
        <w:keepLines w:val="0"/>
        <w:widowControl w:val="0"/>
        <w:shd w:val="clear" w:color="auto" w:fill="auto"/>
        <w:tabs>
          <w:tab w:pos="842" w:val="left"/>
        </w:tabs>
        <w:bidi w:val="0"/>
        <w:spacing w:before="0" w:after="0" w:line="471" w:lineRule="exact"/>
        <w:ind w:left="0" w:right="0" w:firstLine="480"/>
        <w:jc w:val="left"/>
      </w:pPr>
      <w:bookmarkStart w:id="830" w:name="bookmark830"/>
      <w:r>
        <w:rPr>
          <w:color w:val="000000"/>
          <w:spacing w:val="0"/>
          <w:w w:val="100"/>
          <w:position w:val="0"/>
          <w:sz w:val="24"/>
          <w:szCs w:val="24"/>
        </w:rPr>
        <w:t>1</w:t>
      </w:r>
      <w:bookmarkEnd w:id="830"/>
      <w:r>
        <w:rPr>
          <w:color w:val="000000"/>
          <w:spacing w:val="0"/>
          <w:w w:val="100"/>
          <w:position w:val="0"/>
          <w:sz w:val="24"/>
          <w:szCs w:val="24"/>
        </w:rPr>
        <w:t>）</w:t>
        <w:tab/>
        <w:t>收取该金融资产现金流量的合同权利终止；</w:t>
      </w:r>
    </w:p>
    <w:p>
      <w:pPr>
        <w:pStyle w:val="Style59"/>
        <w:keepNext w:val="0"/>
        <w:keepLines w:val="0"/>
        <w:widowControl w:val="0"/>
        <w:shd w:val="clear" w:color="auto" w:fill="auto"/>
        <w:tabs>
          <w:tab w:pos="853" w:val="left"/>
        </w:tabs>
        <w:bidi w:val="0"/>
        <w:spacing w:before="0" w:after="0" w:line="471" w:lineRule="exact"/>
        <w:ind w:left="0" w:right="0" w:firstLine="480"/>
        <w:jc w:val="both"/>
      </w:pPr>
      <w:bookmarkStart w:id="831" w:name="bookmark831"/>
      <w:r>
        <w:rPr>
          <w:color w:val="000000"/>
          <w:spacing w:val="0"/>
          <w:w w:val="100"/>
          <w:position w:val="0"/>
          <w:sz w:val="24"/>
          <w:szCs w:val="24"/>
        </w:rPr>
        <w:t>2</w:t>
      </w:r>
      <w:bookmarkEnd w:id="831"/>
      <w:r>
        <w:rPr>
          <w:color w:val="000000"/>
          <w:spacing w:val="0"/>
          <w:w w:val="100"/>
          <w:position w:val="0"/>
          <w:sz w:val="24"/>
          <w:szCs w:val="24"/>
        </w:rPr>
        <w:t>）</w:t>
        <w:tab/>
        <w:t>该金融资产已转移，且公司将金融资产所有权上几乎所有的风险和报酬转移给转入 方；</w:t>
      </w:r>
    </w:p>
    <w:p>
      <w:pPr>
        <w:pStyle w:val="Style59"/>
        <w:keepNext w:val="0"/>
        <w:keepLines w:val="0"/>
        <w:widowControl w:val="0"/>
        <w:shd w:val="clear" w:color="auto" w:fill="auto"/>
        <w:tabs>
          <w:tab w:pos="843" w:val="left"/>
        </w:tabs>
        <w:bidi w:val="0"/>
        <w:spacing w:before="0" w:after="0" w:line="471" w:lineRule="exact"/>
        <w:ind w:left="0" w:right="0" w:firstLine="480"/>
        <w:jc w:val="both"/>
      </w:pPr>
      <w:bookmarkStart w:id="832" w:name="bookmark832"/>
      <w:r>
        <w:rPr>
          <w:color w:val="000000"/>
          <w:spacing w:val="0"/>
          <w:w w:val="100"/>
          <w:position w:val="0"/>
          <w:sz w:val="24"/>
          <w:szCs w:val="24"/>
        </w:rPr>
        <w:t>3</w:t>
      </w:r>
      <w:bookmarkEnd w:id="832"/>
      <w:r>
        <w:rPr>
          <w:color w:val="000000"/>
          <w:spacing w:val="0"/>
          <w:w w:val="100"/>
          <w:position w:val="0"/>
          <w:sz w:val="24"/>
          <w:szCs w:val="24"/>
        </w:rPr>
        <w:t>）</w:t>
        <w:tab/>
        <w:t>该金融资产已转移，虽然公司既没有转移也没有保留金融资产所有权上几乎所有的风 险和报酬，但是放弃了对该金融资产控制。</w:t>
      </w:r>
    </w:p>
    <w:p>
      <w:pPr>
        <w:pStyle w:val="Style59"/>
        <w:keepNext w:val="0"/>
        <w:keepLines w:val="0"/>
        <w:widowControl w:val="0"/>
        <w:shd w:val="clear" w:color="auto" w:fill="auto"/>
        <w:bidi w:val="0"/>
        <w:spacing w:before="0" w:after="0" w:line="471" w:lineRule="exact"/>
        <w:ind w:left="0" w:right="0" w:firstLine="480"/>
        <w:jc w:val="both"/>
      </w:pPr>
      <w:r>
        <w:rPr>
          <w:color w:val="000000"/>
          <w:spacing w:val="0"/>
          <w:w w:val="100"/>
          <w:position w:val="0"/>
          <w:sz w:val="24"/>
          <w:szCs w:val="24"/>
        </w:rPr>
        <w:t>其他权益工具投资终止确认时，其账面价值与收到的对价以及原直接计入其他综合收益 的公允价值变动累计额之和的差额，计入留存收益；其余金融资产终止确认时，其账面价值 与收到的对价以及原直接计入其他综合收益的公允价值变动累计额之和的差额，计入当期损 益。</w:t>
      </w:r>
    </w:p>
    <w:p>
      <w:pPr>
        <w:pStyle w:val="Style59"/>
        <w:keepNext w:val="0"/>
        <w:keepLines w:val="0"/>
        <w:widowControl w:val="0"/>
        <w:numPr>
          <w:ilvl w:val="0"/>
          <w:numId w:val="45"/>
        </w:numPr>
        <w:shd w:val="clear" w:color="auto" w:fill="auto"/>
        <w:bidi w:val="0"/>
        <w:spacing w:before="0" w:after="0" w:line="471" w:lineRule="exact"/>
        <w:ind w:left="0" w:right="0" w:firstLine="480"/>
        <w:jc w:val="both"/>
      </w:pPr>
      <w:bookmarkStart w:id="833" w:name="bookmark833"/>
      <w:bookmarkEnd w:id="833"/>
      <w:r>
        <w:rPr>
          <w:color w:val="000000"/>
          <w:spacing w:val="0"/>
          <w:w w:val="100"/>
          <w:position w:val="0"/>
          <w:sz w:val="24"/>
          <w:szCs w:val="24"/>
        </w:rPr>
        <w:t>核销</w:t>
      </w:r>
    </w:p>
    <w:p>
      <w:pPr>
        <w:pStyle w:val="Style59"/>
        <w:keepNext w:val="0"/>
        <w:keepLines w:val="0"/>
        <w:widowControl w:val="0"/>
        <w:shd w:val="clear" w:color="auto" w:fill="auto"/>
        <w:bidi w:val="0"/>
        <w:spacing w:before="0" w:after="0" w:line="471" w:lineRule="exact"/>
        <w:ind w:left="0" w:right="0" w:firstLine="480"/>
        <w:jc w:val="both"/>
      </w:pPr>
      <w:r>
        <w:rPr>
          <w:color w:val="000000"/>
          <w:spacing w:val="0"/>
          <w:w w:val="100"/>
          <w:position w:val="0"/>
          <w:sz w:val="24"/>
          <w:szCs w:val="24"/>
        </w:rPr>
        <w:t>如果公司及其子公司不再合理预期金融资产合同现金流量能够全部或部分收回，则直接 减记该金融资产的账面余额。这种减记构成相关金融资产的终止确认。这种情况通常发生在 公司及其子公司确定债务人没有资产或收入来源可产生足够的现金流量以偿还将被减记的金 额。但是，按照公司及其子公司收回到期款项的程序，被减记的金融资产仍可能受到执行活 动的影响。</w:t>
      </w:r>
    </w:p>
    <w:p>
      <w:pPr>
        <w:pStyle w:val="Style59"/>
        <w:keepNext w:val="0"/>
        <w:keepLines w:val="0"/>
        <w:widowControl w:val="0"/>
        <w:shd w:val="clear" w:color="auto" w:fill="auto"/>
        <w:bidi w:val="0"/>
        <w:spacing w:before="0" w:after="440" w:line="471" w:lineRule="exact"/>
        <w:ind w:left="0" w:right="0" w:firstLine="480"/>
        <w:jc w:val="both"/>
      </w:pPr>
      <w:r>
        <w:rPr>
          <w:color w:val="000000"/>
          <w:spacing w:val="0"/>
          <w:w w:val="100"/>
          <w:position w:val="0"/>
          <w:sz w:val="24"/>
          <w:szCs w:val="24"/>
        </w:rPr>
        <w:t>已减记的金融资产以后又收回的，作为减值损失的转回计入收回当期的损益。</w:t>
      </w:r>
    </w:p>
    <w:p>
      <w:pPr>
        <w:pStyle w:val="Style59"/>
        <w:keepNext w:val="0"/>
        <w:keepLines w:val="0"/>
        <w:widowControl w:val="0"/>
        <w:shd w:val="clear" w:color="auto" w:fill="auto"/>
        <w:bidi w:val="0"/>
        <w:spacing w:before="0" w:after="0" w:line="471" w:lineRule="exact"/>
        <w:ind w:left="0" w:right="0" w:firstLine="480"/>
        <w:jc w:val="both"/>
      </w:pPr>
      <w:bookmarkStart w:id="834" w:name="bookmark834"/>
      <w:r>
        <w:rPr>
          <w:color w:val="000000"/>
          <w:spacing w:val="0"/>
          <w:w w:val="100"/>
          <w:position w:val="0"/>
          <w:sz w:val="24"/>
          <w:szCs w:val="24"/>
        </w:rPr>
        <w:t>（</w:t>
      </w:r>
      <w:bookmarkEnd w:id="834"/>
      <w:r>
        <w:rPr>
          <w:color w:val="000000"/>
          <w:spacing w:val="0"/>
          <w:w w:val="100"/>
          <w:position w:val="0"/>
          <w:sz w:val="24"/>
          <w:szCs w:val="24"/>
        </w:rPr>
        <w:t>2）金融负债</w:t>
      </w:r>
    </w:p>
    <w:p>
      <w:pPr>
        <w:pStyle w:val="Style59"/>
        <w:keepNext w:val="0"/>
        <w:keepLines w:val="0"/>
        <w:widowControl w:val="0"/>
        <w:shd w:val="clear" w:color="auto" w:fill="auto"/>
        <w:bidi w:val="0"/>
        <w:spacing w:before="0" w:after="0" w:line="466" w:lineRule="exact"/>
        <w:ind w:left="0" w:right="0" w:firstLine="480"/>
        <w:jc w:val="both"/>
      </w:pPr>
      <w:r>
        <w:rPr>
          <w:color w:val="000000"/>
          <w:spacing w:val="0"/>
          <w:w w:val="100"/>
          <w:position w:val="0"/>
          <w:sz w:val="24"/>
          <w:szCs w:val="24"/>
        </w:rPr>
        <w:t>金融负债于初始确认时分类为以摊余成本计量的金融负债和以公允价值计量且其变动计 入当期损益的金融负债。</w:t>
      </w:r>
    </w:p>
    <w:p>
      <w:pPr>
        <w:pStyle w:val="Style59"/>
        <w:keepNext w:val="0"/>
        <w:keepLines w:val="0"/>
        <w:widowControl w:val="0"/>
        <w:shd w:val="clear" w:color="auto" w:fill="auto"/>
        <w:bidi w:val="0"/>
        <w:spacing w:before="0" w:after="0" w:line="466" w:lineRule="exact"/>
        <w:ind w:left="0" w:right="0" w:firstLine="480"/>
        <w:jc w:val="left"/>
      </w:pPr>
      <w:r>
        <w:rPr>
          <w:color w:val="000000"/>
          <w:spacing w:val="0"/>
          <w:w w:val="100"/>
          <w:position w:val="0"/>
          <w:sz w:val="24"/>
          <w:szCs w:val="24"/>
        </w:rPr>
        <w:t>除下列各项外，公司将金融负债分类为以摊余成本计量的金融负债：</w:t>
      </w:r>
    </w:p>
    <w:p>
      <w:pPr>
        <w:pStyle w:val="Style59"/>
        <w:keepNext w:val="0"/>
        <w:keepLines w:val="0"/>
        <w:widowControl w:val="0"/>
        <w:numPr>
          <w:ilvl w:val="0"/>
          <w:numId w:val="47"/>
        </w:numPr>
        <w:shd w:val="clear" w:color="auto" w:fill="auto"/>
        <w:tabs>
          <w:tab w:pos="891" w:val="left"/>
        </w:tabs>
        <w:bidi w:val="0"/>
        <w:spacing w:before="0" w:after="0" w:line="466" w:lineRule="exact"/>
        <w:ind w:left="0" w:right="0" w:firstLine="480"/>
        <w:jc w:val="both"/>
      </w:pPr>
      <w:bookmarkStart w:id="835" w:name="bookmark835"/>
      <w:bookmarkEnd w:id="835"/>
      <w:r>
        <w:rPr>
          <w:color w:val="000000"/>
          <w:spacing w:val="0"/>
          <w:w w:val="100"/>
          <w:position w:val="0"/>
          <w:sz w:val="24"/>
          <w:szCs w:val="24"/>
        </w:rPr>
        <w:t>以公允价值计量且其变动计入当期损益的金融负债，包括交易性金融负债（含属于金 融负债的衍生工具）和指定为以公允价值计量且其变动计入当期损益的金融负债。</w:t>
      </w:r>
    </w:p>
    <w:p>
      <w:pPr>
        <w:pStyle w:val="Style59"/>
        <w:keepNext w:val="0"/>
        <w:keepLines w:val="0"/>
        <w:widowControl w:val="0"/>
        <w:numPr>
          <w:ilvl w:val="0"/>
          <w:numId w:val="47"/>
        </w:numPr>
        <w:shd w:val="clear" w:color="auto" w:fill="auto"/>
        <w:tabs>
          <w:tab w:pos="901" w:val="left"/>
        </w:tabs>
        <w:bidi w:val="0"/>
        <w:spacing w:before="0" w:after="0" w:line="466" w:lineRule="exact"/>
        <w:ind w:left="0" w:right="0" w:firstLine="480"/>
        <w:jc w:val="both"/>
      </w:pPr>
      <w:bookmarkStart w:id="836" w:name="bookmark836"/>
      <w:bookmarkEnd w:id="836"/>
      <w:r>
        <w:rPr>
          <w:color w:val="000000"/>
          <w:spacing w:val="0"/>
          <w:w w:val="100"/>
          <w:position w:val="0"/>
          <w:sz w:val="24"/>
          <w:szCs w:val="24"/>
        </w:rPr>
        <w:t>金融资产转移不符合终止确认条件或继续涉入被转移金融资产所形成的金融负债。</w:t>
      </w:r>
    </w:p>
    <w:p>
      <w:pPr>
        <w:pStyle w:val="Style59"/>
        <w:keepNext w:val="0"/>
        <w:keepLines w:val="0"/>
        <w:widowControl w:val="0"/>
        <w:numPr>
          <w:ilvl w:val="0"/>
          <w:numId w:val="47"/>
        </w:numPr>
        <w:shd w:val="clear" w:color="auto" w:fill="auto"/>
        <w:tabs>
          <w:tab w:pos="901" w:val="left"/>
        </w:tabs>
        <w:bidi w:val="0"/>
        <w:spacing w:before="0" w:after="0" w:line="466" w:lineRule="exact"/>
        <w:ind w:left="0" w:right="0" w:firstLine="480"/>
        <w:jc w:val="both"/>
      </w:pPr>
      <w:bookmarkStart w:id="837" w:name="bookmark837"/>
      <w:bookmarkEnd w:id="837"/>
      <w:r>
        <w:rPr>
          <w:color w:val="000000"/>
          <w:spacing w:val="0"/>
          <w:w w:val="100"/>
          <w:position w:val="0"/>
          <w:sz w:val="24"/>
          <w:szCs w:val="24"/>
        </w:rPr>
        <w:t>不属于本条第①项或第②项情形的财务担保合同，以及不属于本条第①项情形的以低 于市场利率贷款的贷款承诺。在非同一控制下的企业合并中，公司作为购买方确认的或有对 价形成金融负债的，该金融负债按照以公允价值计量且其变动计入当期损益进行会计处理。</w:t>
      </w:r>
    </w:p>
    <w:p>
      <w:pPr>
        <w:pStyle w:val="Style59"/>
        <w:keepNext w:val="0"/>
        <w:keepLines w:val="0"/>
        <w:widowControl w:val="0"/>
        <w:shd w:val="clear" w:color="auto" w:fill="auto"/>
        <w:bidi w:val="0"/>
        <w:spacing w:before="0" w:after="0" w:line="466" w:lineRule="exact"/>
        <w:ind w:left="0" w:right="0" w:firstLine="480"/>
        <w:jc w:val="both"/>
      </w:pPr>
      <w:r>
        <w:rPr>
          <w:color w:val="000000"/>
          <w:spacing w:val="0"/>
          <w:w w:val="100"/>
          <w:position w:val="0"/>
          <w:sz w:val="24"/>
          <w:szCs w:val="24"/>
        </w:rPr>
        <w:t>在初始确认时，为了提供更相关的会计信息，公司可以将金融负债指定为以公允价值计 量且其变动计入当期损益的金融负债，该指定满足下列条件之一：</w:t>
      </w:r>
    </w:p>
    <w:p>
      <w:pPr>
        <w:pStyle w:val="Style59"/>
        <w:keepNext w:val="0"/>
        <w:keepLines w:val="0"/>
        <w:widowControl w:val="0"/>
        <w:shd w:val="clear" w:color="auto" w:fill="auto"/>
        <w:tabs>
          <w:tab w:pos="878" w:val="left"/>
        </w:tabs>
        <w:bidi w:val="0"/>
        <w:spacing w:before="0" w:after="0" w:line="469" w:lineRule="exact"/>
        <w:ind w:left="0" w:right="0" w:firstLine="480"/>
        <w:jc w:val="both"/>
      </w:pPr>
      <w:bookmarkStart w:id="838" w:name="bookmark838"/>
      <w:r>
        <w:rPr>
          <w:color w:val="000000"/>
          <w:spacing w:val="0"/>
          <w:w w:val="100"/>
          <w:position w:val="0"/>
          <w:sz w:val="24"/>
          <w:szCs w:val="24"/>
        </w:rPr>
        <w:t>1</w:t>
      </w:r>
      <w:bookmarkEnd w:id="838"/>
      <w:r>
        <w:rPr>
          <w:color w:val="000000"/>
          <w:spacing w:val="0"/>
          <w:w w:val="100"/>
          <w:position w:val="0"/>
          <w:sz w:val="24"/>
          <w:szCs w:val="24"/>
        </w:rPr>
        <w:t>）</w:t>
        <w:tab/>
        <w:t>能够消除或显著减少会计错配。</w:t>
      </w:r>
    </w:p>
    <w:p>
      <w:pPr>
        <w:pStyle w:val="Style59"/>
        <w:keepNext w:val="0"/>
        <w:keepLines w:val="0"/>
        <w:widowControl w:val="0"/>
        <w:shd w:val="clear" w:color="auto" w:fill="auto"/>
        <w:tabs>
          <w:tab w:pos="878" w:val="left"/>
        </w:tabs>
        <w:bidi w:val="0"/>
        <w:spacing w:before="0" w:after="0" w:line="469" w:lineRule="exact"/>
        <w:ind w:left="0" w:right="0" w:firstLine="480"/>
        <w:jc w:val="both"/>
      </w:pPr>
      <w:bookmarkStart w:id="839" w:name="bookmark839"/>
      <w:r>
        <w:rPr>
          <w:color w:val="000000"/>
          <w:spacing w:val="0"/>
          <w:w w:val="100"/>
          <w:position w:val="0"/>
          <w:sz w:val="24"/>
          <w:szCs w:val="24"/>
        </w:rPr>
        <w:t>2</w:t>
      </w:r>
      <w:bookmarkEnd w:id="839"/>
      <w:r>
        <w:rPr>
          <w:color w:val="000000"/>
          <w:spacing w:val="0"/>
          <w:w w:val="100"/>
          <w:position w:val="0"/>
          <w:sz w:val="24"/>
          <w:szCs w:val="24"/>
        </w:rPr>
        <w:t>）</w:t>
        <w:tab/>
        <w:t>根据正式书面文件载明的企业风险管理或投资策略，以公允价值为基础对金融负债组 合或金融资产和金融负债组合进行管理和业绩评价，并在公司内部以此为基础向关键管理人 员报告。该指定一经做出，不得撤销。</w:t>
      </w:r>
    </w:p>
    <w:p>
      <w:pPr>
        <w:pStyle w:val="Style59"/>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公司的金融负债主要为以摊余成本计量的金融负债，包括应付票据及应付账款、其他应 付款、借款及应付债券等。该类金融负债按其公允价值扣除交易费用后的金额进行初始计量， 并采用实际利率法进行后续计量。期限在一年以下（含一年）的，列示为流动负债；期限在一 年以上但自资产负债表日起一年内（含一年）到期的，列示为一年内到期的非流动负债；其余 列示为非流动负债。</w:t>
      </w:r>
    </w:p>
    <w:p>
      <w:pPr>
        <w:pStyle w:val="Style59"/>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当金融负债的现时义务全部或部分已经解除时，公司终止确认该金融负债或义务已解除 的部分。终止确认部分的账面价值与支付的对价之间的差额，计入当期损益。</w:t>
      </w:r>
    </w:p>
    <w:p>
      <w:pPr>
        <w:pStyle w:val="Style59"/>
        <w:keepNext w:val="0"/>
        <w:keepLines w:val="0"/>
        <w:widowControl w:val="0"/>
        <w:shd w:val="clear" w:color="auto" w:fill="auto"/>
        <w:bidi w:val="0"/>
        <w:spacing w:before="0" w:after="440" w:line="469" w:lineRule="exact"/>
        <w:ind w:left="0" w:right="0" w:firstLine="480"/>
        <w:jc w:val="both"/>
      </w:pPr>
      <w:r>
        <w:rPr>
          <w:color w:val="000000"/>
          <w:spacing w:val="0"/>
          <w:w w:val="100"/>
          <w:position w:val="0"/>
          <w:sz w:val="24"/>
          <w:szCs w:val="24"/>
        </w:rPr>
        <w:t>金融负债（或其一部分）的现时义务已经解除的，公司终止确认该金融负债（或该部分 金融负债）。</w:t>
      </w:r>
    </w:p>
    <w:p>
      <w:pPr>
        <w:pStyle w:val="Style59"/>
        <w:keepNext w:val="0"/>
        <w:keepLines w:val="0"/>
        <w:widowControl w:val="0"/>
        <w:shd w:val="clear" w:color="auto" w:fill="auto"/>
        <w:tabs>
          <w:tab w:pos="931" w:val="left"/>
        </w:tabs>
        <w:bidi w:val="0"/>
        <w:spacing w:before="0" w:after="0" w:line="468" w:lineRule="exact"/>
        <w:ind w:left="0" w:right="0" w:firstLine="480"/>
        <w:jc w:val="both"/>
      </w:pPr>
      <w:bookmarkStart w:id="840" w:name="bookmark840"/>
      <w:r>
        <w:rPr>
          <w:color w:val="000000"/>
          <w:spacing w:val="0"/>
          <w:w w:val="100"/>
          <w:position w:val="0"/>
          <w:sz w:val="24"/>
          <w:szCs w:val="24"/>
        </w:rPr>
        <w:t>（</w:t>
      </w:r>
      <w:bookmarkEnd w:id="840"/>
      <w:r>
        <w:rPr>
          <w:color w:val="000000"/>
          <w:spacing w:val="0"/>
          <w:w w:val="100"/>
          <w:position w:val="0"/>
          <w:sz w:val="24"/>
          <w:szCs w:val="24"/>
        </w:rPr>
        <w:t>3）</w:t>
        <w:tab/>
        <w:t>金融工具的公允价值确定</w:t>
      </w:r>
    </w:p>
    <w:p>
      <w:pPr>
        <w:pStyle w:val="Style59"/>
        <w:keepNext w:val="0"/>
        <w:keepLines w:val="0"/>
        <w:widowControl w:val="0"/>
        <w:shd w:val="clear" w:color="auto" w:fill="auto"/>
        <w:bidi w:val="0"/>
        <w:spacing w:before="0" w:after="440" w:line="468" w:lineRule="exact"/>
        <w:ind w:left="0" w:right="0" w:firstLine="480"/>
        <w:jc w:val="both"/>
      </w:pPr>
      <w:r>
        <w:rPr>
          <w:color w:val="000000"/>
          <w:spacing w:val="0"/>
          <w:w w:val="100"/>
          <w:position w:val="0"/>
          <w:sz w:val="24"/>
          <w:szCs w:val="24"/>
        </w:rPr>
        <w:t>存在活跃市场的金融工具，以活跃市场中的报价确定其公允价值。不存在活跃市场的金 融工具，采用估值技术确定其公允价值。在估值时，公司采用在当前情况下适用并且有足够 可利用数据和其他信息支持的估值技术，选择与市场参与者在相关资产或负债的交易中所考 虑的资产或负债特征相一致的输入值，并尽可能优先使用相关可观察输入值。在相关可观察 输入值无法取得或取得不切实可行的情况下，使用不可观察输入值。</w:t>
      </w:r>
    </w:p>
    <w:p>
      <w:pPr>
        <w:pStyle w:val="Style59"/>
        <w:keepNext w:val="0"/>
        <w:keepLines w:val="0"/>
        <w:widowControl w:val="0"/>
        <w:shd w:val="clear" w:color="auto" w:fill="auto"/>
        <w:tabs>
          <w:tab w:pos="931" w:val="left"/>
        </w:tabs>
        <w:bidi w:val="0"/>
        <w:spacing w:before="0" w:after="0" w:line="466" w:lineRule="exact"/>
        <w:ind w:left="0" w:right="0" w:firstLine="480"/>
        <w:jc w:val="both"/>
      </w:pPr>
      <w:bookmarkStart w:id="841" w:name="bookmark841"/>
      <w:r>
        <w:rPr>
          <w:color w:val="000000"/>
          <w:spacing w:val="0"/>
          <w:w w:val="100"/>
          <w:position w:val="0"/>
          <w:sz w:val="24"/>
          <w:szCs w:val="24"/>
        </w:rPr>
        <w:t>（</w:t>
      </w:r>
      <w:bookmarkEnd w:id="841"/>
      <w:r>
        <w:rPr>
          <w:color w:val="000000"/>
          <w:spacing w:val="0"/>
          <w:w w:val="100"/>
          <w:position w:val="0"/>
          <w:sz w:val="24"/>
          <w:szCs w:val="24"/>
        </w:rPr>
        <w:t>4）</w:t>
        <w:tab/>
        <w:t>后续计量</w:t>
      </w:r>
    </w:p>
    <w:p>
      <w:pPr>
        <w:pStyle w:val="Style59"/>
        <w:keepNext w:val="0"/>
        <w:keepLines w:val="0"/>
        <w:widowControl w:val="0"/>
        <w:shd w:val="clear" w:color="auto" w:fill="auto"/>
        <w:bidi w:val="0"/>
        <w:spacing w:before="0" w:after="0" w:line="466" w:lineRule="exact"/>
        <w:ind w:left="0" w:right="0" w:firstLine="480"/>
        <w:jc w:val="both"/>
      </w:pPr>
      <w:r>
        <w:rPr>
          <w:color w:val="000000"/>
          <w:spacing w:val="0"/>
          <w:w w:val="100"/>
          <w:position w:val="0"/>
          <w:sz w:val="24"/>
          <w:szCs w:val="24"/>
        </w:rPr>
        <w:t>初始确认后，公司对不同类别的金融资产，分别以摊余成本、以公允价值计量且其变动 计入其他综合收益或以公允价值计量且其变动计入当期损益进行后续计量。</w:t>
      </w:r>
    </w:p>
    <w:p>
      <w:pPr>
        <w:pStyle w:val="Style59"/>
        <w:keepNext w:val="0"/>
        <w:keepLines w:val="0"/>
        <w:widowControl w:val="0"/>
        <w:shd w:val="clear" w:color="auto" w:fill="auto"/>
        <w:bidi w:val="0"/>
        <w:spacing w:before="0" w:after="0" w:line="466" w:lineRule="exact"/>
        <w:ind w:left="0" w:right="0" w:firstLine="480"/>
        <w:jc w:val="both"/>
      </w:pPr>
      <w:r>
        <w:rPr>
          <w:color w:val="000000"/>
          <w:spacing w:val="0"/>
          <w:w w:val="100"/>
          <w:position w:val="0"/>
          <w:sz w:val="24"/>
          <w:szCs w:val="24"/>
        </w:rPr>
        <w:t>初始确认后，公司对不同类别的金融负债，分别以摊余成本、以公允价值计量且其变动 计入当期损益或以其他适当方法进行后续计量。</w:t>
      </w:r>
    </w:p>
    <w:p>
      <w:pPr>
        <w:pStyle w:val="Style59"/>
        <w:keepNext w:val="0"/>
        <w:keepLines w:val="0"/>
        <w:widowControl w:val="0"/>
        <w:shd w:val="clear" w:color="auto" w:fill="auto"/>
        <w:bidi w:val="0"/>
        <w:spacing w:before="0" w:after="0" w:line="466" w:lineRule="exact"/>
        <w:ind w:left="0" w:right="0" w:firstLine="480"/>
        <w:jc w:val="both"/>
      </w:pPr>
      <w:r>
        <w:rPr>
          <w:color w:val="000000"/>
          <w:spacing w:val="0"/>
          <w:w w:val="100"/>
          <w:position w:val="0"/>
          <w:sz w:val="24"/>
          <w:szCs w:val="24"/>
        </w:rPr>
        <w:t>金融资产或金融负债的摊余成本，以该金融资产或金融负债的初始确认金额经下列调整 后的结果确定：</w:t>
      </w:r>
    </w:p>
    <w:p>
      <w:pPr>
        <w:pStyle w:val="Style59"/>
        <w:keepNext w:val="0"/>
        <w:keepLines w:val="0"/>
        <w:widowControl w:val="0"/>
        <w:numPr>
          <w:ilvl w:val="0"/>
          <w:numId w:val="49"/>
        </w:numPr>
        <w:shd w:val="clear" w:color="auto" w:fill="auto"/>
        <w:bidi w:val="0"/>
        <w:spacing w:before="0" w:after="0" w:line="466" w:lineRule="exact"/>
        <w:ind w:left="0" w:right="0" w:firstLine="480"/>
        <w:jc w:val="both"/>
      </w:pPr>
      <w:bookmarkStart w:id="842" w:name="bookmark842"/>
      <w:bookmarkEnd w:id="842"/>
      <w:r>
        <w:rPr>
          <w:color w:val="000000"/>
          <w:spacing w:val="0"/>
          <w:w w:val="100"/>
          <w:position w:val="0"/>
          <w:sz w:val="24"/>
          <w:szCs w:val="24"/>
        </w:rPr>
        <w:t>扣除已偿还的本金。</w:t>
      </w:r>
    </w:p>
    <w:p>
      <w:pPr>
        <w:pStyle w:val="Style59"/>
        <w:keepNext w:val="0"/>
        <w:keepLines w:val="0"/>
        <w:widowControl w:val="0"/>
        <w:numPr>
          <w:ilvl w:val="0"/>
          <w:numId w:val="49"/>
        </w:numPr>
        <w:shd w:val="clear" w:color="auto" w:fill="auto"/>
        <w:tabs>
          <w:tab w:pos="901" w:val="left"/>
        </w:tabs>
        <w:bidi w:val="0"/>
        <w:spacing w:before="0" w:after="0" w:line="470" w:lineRule="exact"/>
        <w:ind w:left="0" w:right="0" w:firstLine="480"/>
        <w:jc w:val="both"/>
      </w:pPr>
      <w:bookmarkStart w:id="843" w:name="bookmark843"/>
      <w:bookmarkEnd w:id="843"/>
      <w:r>
        <w:rPr>
          <w:color w:val="000000"/>
          <w:spacing w:val="0"/>
          <w:w w:val="100"/>
          <w:position w:val="0"/>
          <w:sz w:val="24"/>
          <w:szCs w:val="24"/>
        </w:rPr>
        <w:t>加上或减去采用实际利率法将该初始确认金额与到期日金额之间的差额进行摊销形 成的累计摊销额。</w:t>
      </w:r>
    </w:p>
    <w:p>
      <w:pPr>
        <w:pStyle w:val="Style59"/>
        <w:keepNext w:val="0"/>
        <w:keepLines w:val="0"/>
        <w:widowControl w:val="0"/>
        <w:numPr>
          <w:ilvl w:val="0"/>
          <w:numId w:val="49"/>
        </w:numPr>
        <w:shd w:val="clear" w:color="auto" w:fill="auto"/>
        <w:tabs>
          <w:tab w:pos="901" w:val="left"/>
        </w:tabs>
        <w:bidi w:val="0"/>
        <w:spacing w:before="0" w:after="0" w:line="470" w:lineRule="exact"/>
        <w:ind w:left="0" w:right="0" w:firstLine="480"/>
        <w:jc w:val="both"/>
      </w:pPr>
      <w:bookmarkStart w:id="844" w:name="bookmark844"/>
      <w:bookmarkEnd w:id="844"/>
      <w:r>
        <w:rPr>
          <w:color w:val="000000"/>
          <w:spacing w:val="0"/>
          <w:w w:val="100"/>
          <w:position w:val="0"/>
          <w:sz w:val="24"/>
          <w:szCs w:val="24"/>
        </w:rPr>
        <w:t>扣除累计计提的损失准备（仅适用于金融资产）。</w:t>
      </w:r>
    </w:p>
    <w:p>
      <w:pPr>
        <w:pStyle w:val="Style59"/>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公司按照实际利率法确认利息收入。利息收入根据金融资产账面余额乘以实际利率计算 确定，但下列情况除外：</w:t>
      </w:r>
    </w:p>
    <w:p>
      <w:pPr>
        <w:pStyle w:val="Style59"/>
        <w:keepNext w:val="0"/>
        <w:keepLines w:val="0"/>
        <w:widowControl w:val="0"/>
        <w:shd w:val="clear" w:color="auto" w:fill="auto"/>
        <w:tabs>
          <w:tab w:pos="839" w:val="left"/>
        </w:tabs>
        <w:bidi w:val="0"/>
        <w:spacing w:before="0" w:after="0" w:line="470" w:lineRule="exact"/>
        <w:ind w:left="0" w:right="0" w:firstLine="480"/>
        <w:jc w:val="both"/>
      </w:pPr>
      <w:bookmarkStart w:id="845" w:name="bookmark845"/>
      <w:r>
        <w:rPr>
          <w:color w:val="000000"/>
          <w:spacing w:val="0"/>
          <w:w w:val="100"/>
          <w:position w:val="0"/>
          <w:sz w:val="24"/>
          <w:szCs w:val="24"/>
        </w:rPr>
        <w:t>1</w:t>
      </w:r>
      <w:bookmarkEnd w:id="845"/>
      <w:r>
        <w:rPr>
          <w:color w:val="000000"/>
          <w:spacing w:val="0"/>
          <w:w w:val="100"/>
          <w:position w:val="0"/>
          <w:sz w:val="24"/>
          <w:szCs w:val="24"/>
        </w:rPr>
        <w:t>）</w:t>
        <w:tab/>
        <w:t>对于购入或源生的已发生信用减值的金融资产，公司自初始确认起，按照该金融资产 的摊余成本和经信用调整的实际利率计算确定其利息收入。</w:t>
      </w:r>
    </w:p>
    <w:p>
      <w:pPr>
        <w:pStyle w:val="Style59"/>
        <w:keepNext w:val="0"/>
        <w:keepLines w:val="0"/>
        <w:widowControl w:val="0"/>
        <w:shd w:val="clear" w:color="auto" w:fill="auto"/>
        <w:tabs>
          <w:tab w:pos="858" w:val="left"/>
        </w:tabs>
        <w:bidi w:val="0"/>
        <w:spacing w:before="0" w:after="400" w:line="470" w:lineRule="exact"/>
        <w:ind w:left="0" w:right="0" w:firstLine="480"/>
        <w:jc w:val="both"/>
      </w:pPr>
      <w:bookmarkStart w:id="846" w:name="bookmark846"/>
      <w:r>
        <w:rPr>
          <w:color w:val="000000"/>
          <w:spacing w:val="0"/>
          <w:w w:val="100"/>
          <w:position w:val="0"/>
          <w:sz w:val="24"/>
          <w:szCs w:val="24"/>
        </w:rPr>
        <w:t>2</w:t>
      </w:r>
      <w:bookmarkEnd w:id="846"/>
      <w:r>
        <w:rPr>
          <w:color w:val="000000"/>
          <w:spacing w:val="0"/>
          <w:w w:val="100"/>
          <w:position w:val="0"/>
          <w:sz w:val="24"/>
          <w:szCs w:val="24"/>
        </w:rPr>
        <w:t>）</w:t>
        <w:tab/>
        <w:t>对于购入或源生的未发生信用减值、但在后续期间成为已发生信用减值的金融资产， 公司在后续期间，按照该金融资产的摊余成本和实际利率计算确定其利息收入。公司按照上 述政策对金融资产的摊余成本运用实际利率法计算利息收入的，若该金融工具在后续期间因 其信用风险有所改善而不再存在信用减值，并且这一改善在客观上可与应用上述政策之后发 生的某一事件相联系（如债务人的信用评级被上调），公司转按实际利率乘以该金融资产账 面余额来计算确定利息收入。</w:t>
      </w:r>
    </w:p>
    <w:p>
      <w:pPr>
        <w:pStyle w:val="Style24"/>
        <w:keepNext/>
        <w:keepLines/>
        <w:widowControl w:val="0"/>
        <w:shd w:val="clear" w:color="auto" w:fill="auto"/>
        <w:tabs>
          <w:tab w:pos="474" w:val="left"/>
        </w:tabs>
        <w:bidi w:val="0"/>
        <w:spacing w:before="0" w:after="220" w:line="240" w:lineRule="auto"/>
        <w:ind w:left="0" w:right="0" w:firstLine="0"/>
        <w:jc w:val="both"/>
      </w:pPr>
      <w:bookmarkStart w:id="847" w:name="bookmark847"/>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1</w:t>
      </w:r>
      <w:bookmarkEnd w:id="849"/>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47"/>
      <w:bookmarkEnd w:id="848"/>
      <w:bookmarkEnd w:id="850"/>
    </w:p>
    <w:p>
      <w:pPr>
        <w:pStyle w:val="Style59"/>
        <w:keepNext w:val="0"/>
        <w:keepLines w:val="0"/>
        <w:widowControl w:val="0"/>
        <w:shd w:val="clear" w:color="auto" w:fill="auto"/>
        <w:bidi w:val="0"/>
        <w:spacing w:before="0" w:after="400" w:line="470" w:lineRule="exact"/>
        <w:ind w:left="0" w:right="0" w:firstLine="480"/>
        <w:jc w:val="both"/>
      </w:pPr>
      <w:r>
        <w:rPr>
          <w:color w:val="000000"/>
          <w:spacing w:val="0"/>
          <w:w w:val="100"/>
          <w:position w:val="0"/>
          <w:sz w:val="24"/>
          <w:szCs w:val="24"/>
        </w:rPr>
        <w:t>应收票据的预期信用损失确定方法及会计处理方法详见附注五、10、金融工具。</w:t>
      </w:r>
    </w:p>
    <w:p>
      <w:pPr>
        <w:pStyle w:val="Style24"/>
        <w:keepNext/>
        <w:keepLines/>
        <w:widowControl w:val="0"/>
        <w:shd w:val="clear" w:color="auto" w:fill="auto"/>
        <w:tabs>
          <w:tab w:pos="474" w:val="left"/>
        </w:tabs>
        <w:bidi w:val="0"/>
        <w:spacing w:before="0" w:after="220" w:line="240" w:lineRule="auto"/>
        <w:ind w:left="0" w:right="0" w:firstLine="0"/>
        <w:jc w:val="both"/>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1</w:t>
      </w:r>
      <w:bookmarkEnd w:id="853"/>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51"/>
      <w:bookmarkEnd w:id="852"/>
      <w:bookmarkEnd w:id="854"/>
    </w:p>
    <w:p>
      <w:pPr>
        <w:pStyle w:val="Style59"/>
        <w:keepNext w:val="0"/>
        <w:keepLines w:val="0"/>
        <w:widowControl w:val="0"/>
        <w:shd w:val="clear" w:color="auto" w:fill="auto"/>
        <w:bidi w:val="0"/>
        <w:spacing w:before="0" w:after="400" w:line="470" w:lineRule="exact"/>
        <w:ind w:left="0" w:right="0" w:firstLine="480"/>
        <w:jc w:val="both"/>
      </w:pPr>
      <w:r>
        <w:rPr>
          <w:color w:val="000000"/>
          <w:spacing w:val="0"/>
          <w:w w:val="100"/>
          <w:position w:val="0"/>
          <w:sz w:val="24"/>
          <w:szCs w:val="24"/>
        </w:rPr>
        <w:t>应收账款的预期信用损失的确定方法及会计处理方法详见附注五、10、金融工具。</w:t>
      </w:r>
    </w:p>
    <w:p>
      <w:pPr>
        <w:pStyle w:val="Style24"/>
        <w:keepNext/>
        <w:keepLines/>
        <w:widowControl w:val="0"/>
        <w:shd w:val="clear" w:color="auto" w:fill="auto"/>
        <w:tabs>
          <w:tab w:pos="474" w:val="left"/>
        </w:tabs>
        <w:bidi w:val="0"/>
        <w:spacing w:before="0" w:after="220" w:line="240" w:lineRule="auto"/>
        <w:ind w:left="0" w:right="0" w:firstLine="0"/>
        <w:jc w:val="both"/>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1</w:t>
      </w:r>
      <w:bookmarkEnd w:id="857"/>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55"/>
      <w:bookmarkEnd w:id="856"/>
      <w:bookmarkEnd w:id="858"/>
    </w:p>
    <w:p>
      <w:pPr>
        <w:pStyle w:val="Style59"/>
        <w:keepNext w:val="0"/>
        <w:keepLines w:val="0"/>
        <w:widowControl w:val="0"/>
        <w:shd w:val="clear" w:color="auto" w:fill="auto"/>
        <w:bidi w:val="0"/>
        <w:spacing w:before="0" w:after="400" w:line="470" w:lineRule="exact"/>
        <w:ind w:left="0" w:right="0" w:firstLine="480"/>
        <w:jc w:val="both"/>
      </w:pPr>
      <w:r>
        <w:rPr>
          <w:color w:val="000000"/>
          <w:spacing w:val="0"/>
          <w:w w:val="100"/>
          <w:position w:val="0"/>
          <w:sz w:val="24"/>
          <w:szCs w:val="24"/>
        </w:rPr>
        <w:t>应收款项融资的预期信用损失的确定方法及会计处理方法详见附注五、10、金融工具。</w:t>
      </w:r>
    </w:p>
    <w:p>
      <w:pPr>
        <w:pStyle w:val="Style24"/>
        <w:keepNext/>
        <w:keepLines/>
        <w:widowControl w:val="0"/>
        <w:shd w:val="clear" w:color="auto" w:fill="auto"/>
        <w:tabs>
          <w:tab w:pos="474" w:val="left"/>
        </w:tabs>
        <w:bidi w:val="0"/>
        <w:spacing w:before="0" w:after="220" w:line="240" w:lineRule="auto"/>
        <w:ind w:left="0" w:right="0" w:firstLine="0"/>
        <w:jc w:val="both"/>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1</w:t>
      </w:r>
      <w:bookmarkEnd w:id="861"/>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59"/>
      <w:bookmarkEnd w:id="860"/>
      <w:bookmarkEnd w:id="862"/>
    </w:p>
    <w:p>
      <w:pPr>
        <w:pStyle w:val="Style59"/>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其他应收款的预期信用损失的确定方法及会计处理方法</w:t>
      </w:r>
    </w:p>
    <w:p>
      <w:pPr>
        <w:pStyle w:val="Style59"/>
        <w:keepNext w:val="0"/>
        <w:keepLines w:val="0"/>
        <w:widowControl w:val="0"/>
        <w:shd w:val="clear" w:color="auto" w:fill="auto"/>
        <w:bidi w:val="0"/>
        <w:spacing w:before="0" w:after="400" w:line="470" w:lineRule="exact"/>
        <w:ind w:left="0" w:right="0" w:firstLine="480"/>
        <w:jc w:val="both"/>
      </w:pPr>
      <w:r>
        <w:rPr>
          <w:color w:val="000000"/>
          <w:spacing w:val="0"/>
          <w:w w:val="100"/>
          <w:position w:val="0"/>
          <w:sz w:val="24"/>
          <w:szCs w:val="24"/>
        </w:rPr>
        <w:t>其他应收款预期信用损失的确定方法及会计处理方法详见附注五、10、金融工具。</w:t>
      </w:r>
    </w:p>
    <w:p>
      <w:pPr>
        <w:pStyle w:val="Style24"/>
        <w:keepNext/>
        <w:keepLines/>
        <w:widowControl w:val="0"/>
        <w:shd w:val="clear" w:color="auto" w:fill="auto"/>
        <w:tabs>
          <w:tab w:pos="474" w:val="left"/>
        </w:tabs>
        <w:bidi w:val="0"/>
        <w:spacing w:before="0" w:after="400" w:line="240" w:lineRule="auto"/>
        <w:ind w:left="0" w:right="0" w:firstLine="0"/>
        <w:jc w:val="both"/>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1</w:t>
      </w:r>
      <w:bookmarkEnd w:id="865"/>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63"/>
      <w:bookmarkEnd w:id="864"/>
      <w:bookmarkEnd w:id="866"/>
    </w:p>
    <w:p>
      <w:pPr>
        <w:pStyle w:val="Style59"/>
        <w:keepNext w:val="0"/>
        <w:keepLines w:val="0"/>
        <w:widowControl w:val="0"/>
        <w:shd w:val="clear" w:color="auto" w:fill="auto"/>
        <w:bidi w:val="0"/>
        <w:spacing w:before="0" w:after="220" w:line="240" w:lineRule="auto"/>
        <w:ind w:left="0" w:right="0" w:firstLine="480"/>
        <w:jc w:val="both"/>
      </w:pPr>
      <w:bookmarkStart w:id="867" w:name="bookmark867"/>
      <w:r>
        <w:rPr>
          <w:color w:val="000000"/>
          <w:spacing w:val="0"/>
          <w:w w:val="100"/>
          <w:position w:val="0"/>
          <w:sz w:val="24"/>
          <w:szCs w:val="24"/>
        </w:rPr>
        <w:t>（</w:t>
      </w:r>
      <w:bookmarkEnd w:id="867"/>
      <w:r>
        <w:rPr>
          <w:color w:val="000000"/>
          <w:spacing w:val="0"/>
          <w:w w:val="100"/>
          <w:position w:val="0"/>
          <w:sz w:val="24"/>
          <w:szCs w:val="24"/>
        </w:rPr>
        <w:t>1）存货的分类</w:t>
      </w:r>
    </w:p>
    <w:p>
      <w:pPr>
        <w:pStyle w:val="Style59"/>
        <w:keepNext w:val="0"/>
        <w:keepLines w:val="0"/>
        <w:widowControl w:val="0"/>
        <w:shd w:val="clear" w:color="auto" w:fill="auto"/>
        <w:bidi w:val="0"/>
        <w:spacing w:before="0" w:after="400" w:line="240" w:lineRule="auto"/>
        <w:ind w:left="0" w:right="0" w:firstLine="480"/>
        <w:jc w:val="both"/>
      </w:pPr>
      <w:r>
        <w:rPr>
          <w:color w:val="000000"/>
          <w:spacing w:val="0"/>
          <w:w w:val="100"/>
          <w:position w:val="0"/>
          <w:sz w:val="24"/>
          <w:szCs w:val="24"/>
        </w:rPr>
        <w:t>存货包括原材料、项目成本、库存商品以及周转材料、合同履约成本等。</w:t>
      </w:r>
    </w:p>
    <w:p>
      <w:pPr>
        <w:pStyle w:val="Style59"/>
        <w:keepNext w:val="0"/>
        <w:keepLines w:val="0"/>
        <w:widowControl w:val="0"/>
        <w:numPr>
          <w:ilvl w:val="0"/>
          <w:numId w:val="43"/>
        </w:numPr>
        <w:shd w:val="clear" w:color="auto" w:fill="auto"/>
        <w:tabs>
          <w:tab w:pos="934" w:val="left"/>
        </w:tabs>
        <w:bidi w:val="0"/>
        <w:spacing w:before="0" w:after="0" w:line="468" w:lineRule="exact"/>
        <w:ind w:left="0" w:right="0" w:firstLine="480"/>
        <w:jc w:val="both"/>
      </w:pPr>
      <w:bookmarkStart w:id="868" w:name="bookmark868"/>
      <w:bookmarkEnd w:id="868"/>
      <w:r>
        <w:rPr>
          <w:color w:val="000000"/>
          <w:spacing w:val="0"/>
          <w:w w:val="100"/>
          <w:position w:val="0"/>
          <w:sz w:val="24"/>
          <w:szCs w:val="24"/>
        </w:rPr>
        <w:t>发出存货的计价方法</w:t>
      </w:r>
    </w:p>
    <w:p>
      <w:pPr>
        <w:pStyle w:val="Style59"/>
        <w:keepNext w:val="0"/>
        <w:keepLines w:val="0"/>
        <w:widowControl w:val="0"/>
        <w:shd w:val="clear" w:color="auto" w:fill="auto"/>
        <w:bidi w:val="0"/>
        <w:spacing w:before="0" w:after="440" w:line="468" w:lineRule="exact"/>
        <w:ind w:left="0" w:right="0" w:firstLine="480"/>
        <w:jc w:val="both"/>
      </w:pPr>
      <w:r>
        <w:rPr>
          <w:color w:val="000000"/>
          <w:spacing w:val="0"/>
          <w:w w:val="100"/>
          <w:position w:val="0"/>
          <w:sz w:val="24"/>
          <w:szCs w:val="24"/>
        </w:rPr>
        <w:t>发出存货时按个别计价法计价。</w:t>
      </w:r>
    </w:p>
    <w:p>
      <w:pPr>
        <w:pStyle w:val="Style59"/>
        <w:keepNext w:val="0"/>
        <w:keepLines w:val="0"/>
        <w:widowControl w:val="0"/>
        <w:numPr>
          <w:ilvl w:val="0"/>
          <w:numId w:val="43"/>
        </w:numPr>
        <w:shd w:val="clear" w:color="auto" w:fill="auto"/>
        <w:tabs>
          <w:tab w:pos="934" w:val="left"/>
        </w:tabs>
        <w:bidi w:val="0"/>
        <w:spacing w:before="0" w:after="0" w:line="468" w:lineRule="exact"/>
        <w:ind w:left="0" w:right="0" w:firstLine="480"/>
        <w:jc w:val="both"/>
      </w:pPr>
      <w:bookmarkStart w:id="869" w:name="bookmark869"/>
      <w:bookmarkEnd w:id="869"/>
      <w:r>
        <w:rPr>
          <w:color w:val="000000"/>
          <w:spacing w:val="0"/>
          <w:w w:val="100"/>
          <w:position w:val="0"/>
          <w:sz w:val="24"/>
          <w:szCs w:val="24"/>
        </w:rPr>
        <w:t>存货可变现净值的确定依据及存货跌价准备的计提方法</w:t>
      </w:r>
    </w:p>
    <w:p>
      <w:pPr>
        <w:pStyle w:val="Style59"/>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于资产负债表日，存货按照成本与可变现净值孰低计量，存货成本高于其可变现净值的， 应当计提存货跌价准备，计入当期损益。可变现净值，是指在日常活动中，存货的估计售价 减去至完工时估计将要发生的成本、估计的销售费用以及相关税费后的金额。</w:t>
      </w:r>
    </w:p>
    <w:p>
      <w:pPr>
        <w:pStyle w:val="Style59"/>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各类存货可变现净值的确定依据如下：</w:t>
      </w:r>
    </w:p>
    <w:p>
      <w:pPr>
        <w:pStyle w:val="Style59"/>
        <w:keepNext w:val="0"/>
        <w:keepLines w:val="0"/>
        <w:widowControl w:val="0"/>
        <w:numPr>
          <w:ilvl w:val="0"/>
          <w:numId w:val="51"/>
        </w:numPr>
        <w:shd w:val="clear" w:color="auto" w:fill="auto"/>
        <w:tabs>
          <w:tab w:pos="883" w:val="left"/>
        </w:tabs>
        <w:bidi w:val="0"/>
        <w:spacing w:before="0" w:after="0" w:line="468" w:lineRule="exact"/>
        <w:ind w:left="0" w:right="0" w:firstLine="480"/>
        <w:jc w:val="both"/>
      </w:pPr>
      <w:bookmarkStart w:id="870" w:name="bookmark870"/>
      <w:bookmarkEnd w:id="870"/>
      <w:r>
        <w:rPr>
          <w:color w:val="000000"/>
          <w:spacing w:val="0"/>
          <w:w w:val="100"/>
          <w:position w:val="0"/>
          <w:sz w:val="24"/>
          <w:szCs w:val="24"/>
        </w:rPr>
        <w:t>产成品、商品和用于出售的材料等直接用于出售的商品存货，在正常生产经营过程中， 以该存货的估计售价减去估计的销售费用和相关税费后的金额，确定其可变现净值。</w:t>
      </w:r>
    </w:p>
    <w:p>
      <w:pPr>
        <w:pStyle w:val="Style59"/>
        <w:keepNext w:val="0"/>
        <w:keepLines w:val="0"/>
        <w:widowControl w:val="0"/>
        <w:numPr>
          <w:ilvl w:val="0"/>
          <w:numId w:val="51"/>
        </w:numPr>
        <w:shd w:val="clear" w:color="auto" w:fill="auto"/>
        <w:tabs>
          <w:tab w:pos="896" w:val="left"/>
        </w:tabs>
        <w:bidi w:val="0"/>
        <w:spacing w:before="0" w:after="0" w:line="468" w:lineRule="exact"/>
        <w:ind w:left="0" w:right="0" w:firstLine="480"/>
        <w:jc w:val="both"/>
      </w:pPr>
      <w:bookmarkStart w:id="871" w:name="bookmark871"/>
      <w:bookmarkEnd w:id="871"/>
      <w:r>
        <w:rPr>
          <w:color w:val="000000"/>
          <w:spacing w:val="0"/>
          <w:w w:val="100"/>
          <w:position w:val="0"/>
          <w:sz w:val="24"/>
          <w:szCs w:val="24"/>
        </w:rPr>
        <w:t>需要经过加工的材料存货，在正常生产经营过程中，以所生产的产成品的估计售价减 去至完工时估计将要发生的成本、估计的销售费用和相关税费后的金额，确定其可变现净值。</w:t>
      </w:r>
    </w:p>
    <w:p>
      <w:pPr>
        <w:pStyle w:val="Style59"/>
        <w:keepNext w:val="0"/>
        <w:keepLines w:val="0"/>
        <w:widowControl w:val="0"/>
        <w:numPr>
          <w:ilvl w:val="0"/>
          <w:numId w:val="51"/>
        </w:numPr>
        <w:shd w:val="clear" w:color="auto" w:fill="auto"/>
        <w:tabs>
          <w:tab w:pos="901" w:val="left"/>
        </w:tabs>
        <w:bidi w:val="0"/>
        <w:spacing w:before="0" w:after="0" w:line="468" w:lineRule="exact"/>
        <w:ind w:left="0" w:right="0" w:firstLine="480"/>
        <w:jc w:val="both"/>
      </w:pPr>
      <w:bookmarkStart w:id="872" w:name="bookmark872"/>
      <w:bookmarkEnd w:id="872"/>
      <w:r>
        <w:rPr>
          <w:color w:val="000000"/>
          <w:spacing w:val="0"/>
          <w:w w:val="100"/>
          <w:position w:val="0"/>
          <w:sz w:val="24"/>
          <w:szCs w:val="24"/>
        </w:rPr>
        <w:t>资产负债表日，同一项存货中一部分有合同价格约定、其他部分不存在合同价格的， 应当分别确定其可变现净值，并与其相对应的成本进行比较，分别确定存货跌价准备的计提 或转回的金额。</w:t>
      </w:r>
    </w:p>
    <w:p>
      <w:pPr>
        <w:pStyle w:val="Style59"/>
        <w:keepNext w:val="0"/>
        <w:keepLines w:val="0"/>
        <w:widowControl w:val="0"/>
        <w:shd w:val="clear" w:color="auto" w:fill="auto"/>
        <w:bidi w:val="0"/>
        <w:spacing w:before="0" w:after="440" w:line="468" w:lineRule="exact"/>
        <w:ind w:left="0" w:right="0" w:firstLine="480"/>
        <w:jc w:val="both"/>
      </w:pPr>
      <w:r>
        <w:rPr>
          <w:color w:val="000000"/>
          <w:spacing w:val="0"/>
          <w:w w:val="100"/>
          <w:position w:val="0"/>
          <w:sz w:val="24"/>
          <w:szCs w:val="24"/>
        </w:rPr>
        <w:t>存货跌价准备按单个存货项目(或存货类别)计提，与在同一地区生产和销售的产品系列 相关、具有相同或类似最终用途或目的，且难以与其他项目分开计量的存货，合并计提存货 跌价准备。</w:t>
      </w:r>
    </w:p>
    <w:p>
      <w:pPr>
        <w:pStyle w:val="Style59"/>
        <w:keepNext w:val="0"/>
        <w:keepLines w:val="0"/>
        <w:widowControl w:val="0"/>
        <w:numPr>
          <w:ilvl w:val="0"/>
          <w:numId w:val="43"/>
        </w:numPr>
        <w:shd w:val="clear" w:color="auto" w:fill="auto"/>
        <w:tabs>
          <w:tab w:pos="934" w:val="left"/>
        </w:tabs>
        <w:bidi w:val="0"/>
        <w:spacing w:before="0" w:after="0" w:line="468" w:lineRule="exact"/>
        <w:ind w:left="0" w:right="0" w:firstLine="480"/>
        <w:jc w:val="both"/>
      </w:pPr>
      <w:bookmarkStart w:id="873" w:name="bookmark873"/>
      <w:bookmarkEnd w:id="873"/>
      <w:r>
        <w:rPr>
          <w:color w:val="000000"/>
          <w:spacing w:val="0"/>
          <w:w w:val="100"/>
          <w:position w:val="0"/>
          <w:sz w:val="24"/>
          <w:szCs w:val="24"/>
        </w:rPr>
        <w:t>存货的盘存制度</w:t>
      </w:r>
    </w:p>
    <w:p>
      <w:pPr>
        <w:pStyle w:val="Style59"/>
        <w:keepNext w:val="0"/>
        <w:keepLines w:val="0"/>
        <w:widowControl w:val="0"/>
        <w:shd w:val="clear" w:color="auto" w:fill="auto"/>
        <w:bidi w:val="0"/>
        <w:spacing w:before="0" w:after="440" w:line="468" w:lineRule="exact"/>
        <w:ind w:left="0" w:right="0" w:firstLine="480"/>
        <w:jc w:val="both"/>
      </w:pPr>
      <w:r>
        <w:rPr>
          <w:color w:val="000000"/>
          <w:spacing w:val="0"/>
          <w:w w:val="100"/>
          <w:position w:val="0"/>
          <w:sz w:val="24"/>
          <w:szCs w:val="24"/>
        </w:rPr>
        <w:t>存货的盘存制度采用永续盘存制。</w:t>
      </w:r>
    </w:p>
    <w:p>
      <w:pPr>
        <w:pStyle w:val="Style59"/>
        <w:keepNext w:val="0"/>
        <w:keepLines w:val="0"/>
        <w:widowControl w:val="0"/>
        <w:numPr>
          <w:ilvl w:val="0"/>
          <w:numId w:val="43"/>
        </w:numPr>
        <w:shd w:val="clear" w:color="auto" w:fill="auto"/>
        <w:tabs>
          <w:tab w:pos="934" w:val="left"/>
        </w:tabs>
        <w:bidi w:val="0"/>
        <w:spacing w:before="0" w:after="0" w:line="468" w:lineRule="exact"/>
        <w:ind w:left="0" w:right="0" w:firstLine="480"/>
        <w:jc w:val="both"/>
      </w:pPr>
      <w:bookmarkStart w:id="874" w:name="bookmark874"/>
      <w:bookmarkEnd w:id="874"/>
      <w:r>
        <w:rPr>
          <w:color w:val="000000"/>
          <w:spacing w:val="0"/>
          <w:w w:val="100"/>
          <w:position w:val="0"/>
          <w:sz w:val="24"/>
          <w:szCs w:val="24"/>
        </w:rPr>
        <w:t>低值易耗品和包装物的摊销方法</w:t>
      </w:r>
    </w:p>
    <w:p>
      <w:pPr>
        <w:pStyle w:val="Style59"/>
        <w:keepNext w:val="0"/>
        <w:keepLines w:val="0"/>
        <w:widowControl w:val="0"/>
        <w:shd w:val="clear" w:color="auto" w:fill="auto"/>
        <w:bidi w:val="0"/>
        <w:spacing w:before="0" w:after="400" w:line="468" w:lineRule="exact"/>
        <w:ind w:left="0" w:right="0" w:firstLine="480"/>
        <w:jc w:val="both"/>
      </w:pPr>
      <w:r>
        <w:rPr>
          <w:color w:val="000000"/>
          <w:spacing w:val="0"/>
          <w:w w:val="100"/>
          <w:position w:val="0"/>
          <w:sz w:val="24"/>
          <w:szCs w:val="24"/>
        </w:rPr>
        <w:t>对低值易耗品采用一次转销法。对包装物采用一次转销法。</w:t>
      </w:r>
    </w:p>
    <w:p>
      <w:pPr>
        <w:pStyle w:val="Style24"/>
        <w:keepNext/>
        <w:keepLines/>
        <w:widowControl w:val="0"/>
        <w:shd w:val="clear" w:color="auto" w:fill="auto"/>
        <w:bidi w:val="0"/>
        <w:spacing w:before="0" w:after="220" w:line="240" w:lineRule="auto"/>
        <w:ind w:left="0" w:right="0" w:firstLine="0"/>
        <w:jc w:val="both"/>
      </w:pPr>
      <w:bookmarkStart w:id="875" w:name="bookmark875"/>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rPr>
        <w:t>1</w:t>
      </w:r>
      <w:bookmarkEnd w:id="877"/>
      <w:r>
        <w:rPr>
          <w:rFonts w:ascii="Times New Roman" w:eastAsia="Times New Roman" w:hAnsi="Times New Roman" w:cs="Times New Roman"/>
          <w:color w:val="000000"/>
          <w:spacing w:val="0"/>
          <w:w w:val="100"/>
          <w:position w:val="0"/>
        </w:rPr>
        <w:t>6</w:t>
      </w:r>
      <w:r>
        <w:rPr>
          <w:color w:val="000000"/>
          <w:spacing w:val="0"/>
          <w:w w:val="100"/>
          <w:position w:val="0"/>
        </w:rPr>
        <w:t>、合同资产</w:t>
      </w:r>
      <w:bookmarkEnd w:id="875"/>
      <w:bookmarkEnd w:id="876"/>
      <w:bookmarkEnd w:id="878"/>
    </w:p>
    <w:p>
      <w:pPr>
        <w:pStyle w:val="Style59"/>
        <w:keepNext w:val="0"/>
        <w:keepLines w:val="0"/>
        <w:widowControl w:val="0"/>
        <w:numPr>
          <w:ilvl w:val="0"/>
          <w:numId w:val="53"/>
        </w:numPr>
        <w:shd w:val="clear" w:color="auto" w:fill="auto"/>
        <w:bidi w:val="0"/>
        <w:spacing w:before="0" w:after="0" w:line="480" w:lineRule="exact"/>
        <w:ind w:left="0" w:right="0" w:firstLine="480"/>
        <w:jc w:val="both"/>
      </w:pPr>
      <w:bookmarkStart w:id="879" w:name="bookmark879"/>
      <w:bookmarkEnd w:id="879"/>
      <w:r>
        <w:rPr>
          <w:color w:val="000000"/>
          <w:spacing w:val="0"/>
          <w:w w:val="100"/>
          <w:position w:val="0"/>
          <w:sz w:val="24"/>
          <w:szCs w:val="24"/>
        </w:rPr>
        <w:t>合同资产的确认方法及标准</w:t>
      </w:r>
    </w:p>
    <w:p>
      <w:pPr>
        <w:pStyle w:val="Style59"/>
        <w:keepNext w:val="0"/>
        <w:keepLines w:val="0"/>
        <w:widowControl w:val="0"/>
        <w:shd w:val="clear" w:color="auto" w:fill="auto"/>
        <w:bidi w:val="0"/>
        <w:spacing w:before="0" w:after="0" w:line="480" w:lineRule="exact"/>
        <w:ind w:left="0" w:right="0" w:firstLine="480"/>
        <w:jc w:val="both"/>
      </w:pPr>
      <w:r>
        <w:rPr>
          <w:color w:val="000000"/>
          <w:spacing w:val="0"/>
          <w:w w:val="100"/>
          <w:position w:val="0"/>
          <w:sz w:val="24"/>
          <w:szCs w:val="24"/>
        </w:rPr>
        <w:t xml:space="preserve">合同资产，指已向客户转让商品而有权收取对价的权利，且该权利取决于时间流逝之外 的其他因素。向客户销售两项可明确区分的商品，因已交付其中一项商品而有权收取款项， </w:t>
      </w:r>
      <w:r>
        <w:rPr>
          <w:color w:val="000000"/>
          <w:spacing w:val="0"/>
          <w:w w:val="100"/>
          <w:position w:val="0"/>
          <w:sz w:val="24"/>
          <w:szCs w:val="24"/>
        </w:rPr>
        <w:t>但收取该款项还取决于交付另一项商品的，该收款权利应作为合同资产。同一合同下的合同 资产和合同负债以净额列示，不同合同下的合同资产和合同负债不予抵销。</w:t>
      </w:r>
    </w:p>
    <w:p>
      <w:pPr>
        <w:pStyle w:val="Style59"/>
        <w:keepNext w:val="0"/>
        <w:keepLines w:val="0"/>
        <w:widowControl w:val="0"/>
        <w:shd w:val="clear" w:color="auto" w:fill="auto"/>
        <w:bidi w:val="0"/>
        <w:spacing w:before="0" w:after="0" w:line="474" w:lineRule="exact"/>
        <w:ind w:left="0" w:right="0" w:firstLine="480"/>
        <w:jc w:val="left"/>
      </w:pPr>
      <w:bookmarkStart w:id="880" w:name="bookmark880"/>
      <w:r>
        <w:rPr>
          <w:color w:val="000000"/>
          <w:spacing w:val="0"/>
          <w:w w:val="100"/>
          <w:position w:val="0"/>
          <w:sz w:val="24"/>
          <w:szCs w:val="24"/>
        </w:rPr>
        <w:t>（</w:t>
      </w:r>
      <w:bookmarkEnd w:id="880"/>
      <w:r>
        <w:rPr>
          <w:color w:val="000000"/>
          <w:spacing w:val="0"/>
          <w:w w:val="100"/>
          <w:position w:val="0"/>
          <w:sz w:val="24"/>
          <w:szCs w:val="24"/>
        </w:rPr>
        <w:t>2）合同资产预期信用损失的确定方法及会计处理方法</w:t>
      </w:r>
    </w:p>
    <w:p>
      <w:pPr>
        <w:pStyle w:val="Style59"/>
        <w:keepNext w:val="0"/>
        <w:keepLines w:val="0"/>
        <w:widowControl w:val="0"/>
        <w:shd w:val="clear" w:color="auto" w:fill="auto"/>
        <w:bidi w:val="0"/>
        <w:spacing w:before="0" w:after="700" w:line="474" w:lineRule="exact"/>
        <w:ind w:left="0" w:right="0" w:firstLine="480"/>
        <w:jc w:val="both"/>
      </w:pPr>
      <w:r>
        <w:rPr>
          <w:color w:val="000000"/>
          <w:spacing w:val="0"/>
          <w:w w:val="100"/>
          <w:position w:val="0"/>
          <w:sz w:val="24"/>
          <w:szCs w:val="24"/>
        </w:rPr>
        <w:t>正常履行合同形成的合同资产，如果合同付款逾期未超过30日的，判断合同应收的现金 流量与预期能收到的现金流量之间不存在差异，不确认合同资产减值准备；如果合同付款逾 期超过（含）30日的，按照该合同资产整个存续期的预期信用损失确认合同资产减值准备， 具体确定方法和会计处理方法参见“附注五、10、金融工具”。</w:t>
      </w:r>
    </w:p>
    <w:p>
      <w:pPr>
        <w:pStyle w:val="Style24"/>
        <w:keepNext/>
        <w:keepLines/>
        <w:widowControl w:val="0"/>
        <w:shd w:val="clear" w:color="auto" w:fill="auto"/>
        <w:bidi w:val="0"/>
        <w:spacing w:before="0" w:after="440" w:line="240" w:lineRule="auto"/>
        <w:ind w:left="0" w:right="0" w:firstLine="0"/>
        <w:jc w:val="left"/>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1</w:t>
      </w:r>
      <w:bookmarkEnd w:id="883"/>
      <w:r>
        <w:rPr>
          <w:rFonts w:ascii="Times New Roman" w:eastAsia="Times New Roman" w:hAnsi="Times New Roman" w:cs="Times New Roman"/>
          <w:color w:val="000000"/>
          <w:spacing w:val="0"/>
          <w:w w:val="100"/>
          <w:position w:val="0"/>
        </w:rPr>
        <w:t>7</w:t>
      </w:r>
      <w:r>
        <w:rPr>
          <w:color w:val="000000"/>
          <w:spacing w:val="0"/>
          <w:w w:val="100"/>
          <w:position w:val="0"/>
        </w:rPr>
        <w:t>、合同成本</w:t>
      </w:r>
      <w:bookmarkEnd w:id="881"/>
      <w:bookmarkEnd w:id="882"/>
      <w:bookmarkEnd w:id="884"/>
    </w:p>
    <w:p>
      <w:pPr>
        <w:pStyle w:val="Style59"/>
        <w:keepNext w:val="0"/>
        <w:keepLines w:val="0"/>
        <w:widowControl w:val="0"/>
        <w:shd w:val="clear" w:color="auto" w:fill="auto"/>
        <w:tabs>
          <w:tab w:pos="934" w:val="left"/>
        </w:tabs>
        <w:bidi w:val="0"/>
        <w:spacing w:before="0" w:after="120" w:line="240" w:lineRule="auto"/>
        <w:ind w:left="0" w:right="0" w:firstLine="480"/>
        <w:jc w:val="left"/>
      </w:pPr>
      <w:bookmarkStart w:id="885" w:name="bookmark885"/>
      <w:r>
        <w:rPr>
          <w:color w:val="000000"/>
          <w:spacing w:val="0"/>
          <w:w w:val="100"/>
          <w:position w:val="0"/>
          <w:sz w:val="24"/>
          <w:szCs w:val="24"/>
        </w:rPr>
        <w:t>（</w:t>
      </w:r>
      <w:bookmarkEnd w:id="885"/>
      <w:r>
        <w:rPr>
          <w:color w:val="000000"/>
          <w:spacing w:val="0"/>
          <w:w w:val="100"/>
          <w:position w:val="0"/>
          <w:sz w:val="24"/>
          <w:szCs w:val="24"/>
        </w:rPr>
        <w:t>1）</w:t>
        <w:tab/>
        <w:t>与合同成本有关的资产金额的确定方法</w:t>
      </w:r>
    </w:p>
    <w:p>
      <w:pPr>
        <w:pStyle w:val="Style59"/>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与合同成本有关的资产包括合同履约成本和合同取得成本。</w:t>
      </w:r>
    </w:p>
    <w:p>
      <w:pPr>
        <w:pStyle w:val="Style59"/>
        <w:keepNext w:val="0"/>
        <w:keepLines w:val="0"/>
        <w:widowControl w:val="0"/>
        <w:shd w:val="clear" w:color="auto" w:fill="auto"/>
        <w:bidi w:val="0"/>
        <w:spacing w:before="0" w:after="0" w:line="478" w:lineRule="exact"/>
        <w:ind w:left="0" w:right="0" w:firstLine="480"/>
        <w:jc w:val="both"/>
      </w:pPr>
      <w:r>
        <w:rPr>
          <w:color w:val="000000"/>
          <w:spacing w:val="0"/>
          <w:w w:val="100"/>
          <w:position w:val="0"/>
          <w:sz w:val="24"/>
          <w:szCs w:val="24"/>
        </w:rPr>
        <w:t>合同履约成本，即为履行合同发生的成本，不属于《企业会计准则第14号</w:t>
      </w:r>
      <w:r>
        <w:rPr>
          <w:color w:val="000000"/>
          <w:spacing w:val="0"/>
          <w:w w:val="100"/>
          <w:position w:val="0"/>
          <w:sz w:val="24"/>
          <w:szCs w:val="24"/>
        </w:rPr>
        <w:t>一一</w:t>
      </w:r>
      <w:r>
        <w:rPr>
          <w:color w:val="000000"/>
          <w:spacing w:val="0"/>
          <w:w w:val="100"/>
          <w:position w:val="0"/>
          <w:sz w:val="24"/>
          <w:szCs w:val="24"/>
        </w:rPr>
        <w:t>收入（2017 年修订）》之外的其他企业会计准则规范范围且同时满足下列条件的，作为合同履约成本确 认为一项资产：</w:t>
      </w:r>
    </w:p>
    <w:p>
      <w:pPr>
        <w:pStyle w:val="Style59"/>
        <w:keepNext w:val="0"/>
        <w:keepLines w:val="0"/>
        <w:widowControl w:val="0"/>
        <w:numPr>
          <w:ilvl w:val="0"/>
          <w:numId w:val="55"/>
        </w:numPr>
        <w:shd w:val="clear" w:color="auto" w:fill="auto"/>
        <w:tabs>
          <w:tab w:pos="776" w:val="left"/>
        </w:tabs>
        <w:bidi w:val="0"/>
        <w:spacing w:before="0" w:after="0" w:line="467" w:lineRule="exact"/>
        <w:ind w:left="0" w:right="0" w:firstLine="480"/>
        <w:jc w:val="both"/>
      </w:pPr>
      <w:bookmarkStart w:id="886" w:name="bookmark886"/>
      <w:bookmarkEnd w:id="886"/>
      <w:r>
        <w:rPr>
          <w:color w:val="000000"/>
          <w:spacing w:val="0"/>
          <w:w w:val="100"/>
          <w:position w:val="0"/>
          <w:sz w:val="24"/>
          <w:szCs w:val="24"/>
        </w:rPr>
        <w:t>该成本与一份当前或预期取得的合同直接相关，包括直接人工、直接材料、制造费用 （或类似费用）、明确由客户承担的成本以及仅因该合同而发生的其他成本；</w:t>
      </w:r>
    </w:p>
    <w:p>
      <w:pPr>
        <w:pStyle w:val="Style59"/>
        <w:keepNext w:val="0"/>
        <w:keepLines w:val="0"/>
        <w:widowControl w:val="0"/>
        <w:numPr>
          <w:ilvl w:val="0"/>
          <w:numId w:val="55"/>
        </w:numPr>
        <w:shd w:val="clear" w:color="auto" w:fill="auto"/>
        <w:tabs>
          <w:tab w:pos="901" w:val="left"/>
        </w:tabs>
        <w:bidi w:val="0"/>
        <w:spacing w:before="0" w:after="0" w:line="467" w:lineRule="exact"/>
        <w:ind w:left="0" w:right="0" w:firstLine="480"/>
        <w:jc w:val="left"/>
      </w:pPr>
      <w:bookmarkStart w:id="887" w:name="bookmark887"/>
      <w:bookmarkEnd w:id="887"/>
      <w:r>
        <w:rPr>
          <w:color w:val="000000"/>
          <w:spacing w:val="0"/>
          <w:w w:val="100"/>
          <w:position w:val="0"/>
          <w:sz w:val="24"/>
          <w:szCs w:val="24"/>
        </w:rPr>
        <w:t>该成本增加了企业未来用于履行履约义务的资源；</w:t>
      </w:r>
    </w:p>
    <w:p>
      <w:pPr>
        <w:pStyle w:val="Style59"/>
        <w:keepNext w:val="0"/>
        <w:keepLines w:val="0"/>
        <w:widowControl w:val="0"/>
        <w:numPr>
          <w:ilvl w:val="0"/>
          <w:numId w:val="55"/>
        </w:numPr>
        <w:shd w:val="clear" w:color="auto" w:fill="auto"/>
        <w:tabs>
          <w:tab w:pos="901" w:val="left"/>
        </w:tabs>
        <w:bidi w:val="0"/>
        <w:spacing w:before="0" w:after="0" w:line="467" w:lineRule="exact"/>
        <w:ind w:left="0" w:right="0" w:firstLine="480"/>
        <w:jc w:val="both"/>
      </w:pPr>
      <w:bookmarkStart w:id="888" w:name="bookmark888"/>
      <w:bookmarkEnd w:id="888"/>
      <w:r>
        <w:rPr>
          <w:color w:val="000000"/>
          <w:spacing w:val="0"/>
          <w:w w:val="100"/>
          <w:position w:val="0"/>
          <w:sz w:val="24"/>
          <w:szCs w:val="24"/>
        </w:rPr>
        <w:t>该成本预期能够收回。</w:t>
      </w:r>
    </w:p>
    <w:p>
      <w:pPr>
        <w:pStyle w:val="Style59"/>
        <w:keepNext w:val="0"/>
        <w:keepLines w:val="0"/>
        <w:widowControl w:val="0"/>
        <w:shd w:val="clear" w:color="auto" w:fill="auto"/>
        <w:bidi w:val="0"/>
        <w:spacing w:before="0" w:after="0" w:line="467" w:lineRule="exact"/>
        <w:ind w:left="0" w:right="0" w:firstLine="480"/>
        <w:jc w:val="both"/>
      </w:pPr>
      <w:r>
        <w:rPr>
          <w:color w:val="000000"/>
          <w:spacing w:val="0"/>
          <w:w w:val="100"/>
          <w:position w:val="0"/>
          <w:sz w:val="24"/>
          <w:szCs w:val="24"/>
        </w:rPr>
        <w:t>合同取得成本，即为取得合同发生的增量成本预期能够收回的，作为合同取得成本确认 为一项资产。增量成本，是指不取得合同就不会发生的成本（例如：销售佣金等）。该资产 摊销期限不超过一年的，可以在发生时计入当期损益。</w:t>
      </w:r>
    </w:p>
    <w:p>
      <w:pPr>
        <w:pStyle w:val="Style59"/>
        <w:keepNext w:val="0"/>
        <w:keepLines w:val="0"/>
        <w:widowControl w:val="0"/>
        <w:shd w:val="clear" w:color="auto" w:fill="auto"/>
        <w:bidi w:val="0"/>
        <w:spacing w:before="0" w:after="440" w:line="467" w:lineRule="exact"/>
        <w:ind w:left="0" w:right="0" w:firstLine="480"/>
        <w:jc w:val="both"/>
      </w:pPr>
      <w:r>
        <w:rPr>
          <w:color w:val="000000"/>
          <w:spacing w:val="0"/>
          <w:w w:val="100"/>
          <w:position w:val="0"/>
          <w:sz w:val="24"/>
          <w:szCs w:val="24"/>
        </w:rPr>
        <w:t>企业为取得合同发生的、除预期能够收回的增量成本之外的其他支出（例如：无论是否 取得合同均会发生的差旅费、投标费、为准备投标资料发生的相关费用等），应当在发生时 计入当期损益，除非这些支出明确由客户承担。</w:t>
      </w:r>
    </w:p>
    <w:p>
      <w:pPr>
        <w:pStyle w:val="Style59"/>
        <w:keepNext w:val="0"/>
        <w:keepLines w:val="0"/>
        <w:widowControl w:val="0"/>
        <w:shd w:val="clear" w:color="auto" w:fill="auto"/>
        <w:tabs>
          <w:tab w:pos="934" w:val="left"/>
        </w:tabs>
        <w:bidi w:val="0"/>
        <w:spacing w:before="0" w:after="0" w:line="470" w:lineRule="exact"/>
        <w:ind w:left="0" w:right="0" w:firstLine="480"/>
        <w:jc w:val="both"/>
      </w:pPr>
      <w:bookmarkStart w:id="889" w:name="bookmark889"/>
      <w:r>
        <w:rPr>
          <w:color w:val="000000"/>
          <w:spacing w:val="0"/>
          <w:w w:val="100"/>
          <w:position w:val="0"/>
          <w:sz w:val="24"/>
          <w:szCs w:val="24"/>
        </w:rPr>
        <w:t>（</w:t>
      </w:r>
      <w:bookmarkEnd w:id="889"/>
      <w:r>
        <w:rPr>
          <w:color w:val="000000"/>
          <w:spacing w:val="0"/>
          <w:w w:val="100"/>
          <w:position w:val="0"/>
          <w:sz w:val="24"/>
          <w:szCs w:val="24"/>
        </w:rPr>
        <w:t>2）</w:t>
        <w:tab/>
        <w:t>与合同成本有关的资产的摊销</w:t>
      </w:r>
    </w:p>
    <w:p>
      <w:pPr>
        <w:pStyle w:val="Style59"/>
        <w:keepNext w:val="0"/>
        <w:keepLines w:val="0"/>
        <w:widowControl w:val="0"/>
        <w:shd w:val="clear" w:color="auto" w:fill="auto"/>
        <w:bidi w:val="0"/>
        <w:spacing w:before="0" w:after="280" w:line="523" w:lineRule="exact"/>
        <w:ind w:left="0" w:right="0" w:firstLine="480"/>
        <w:jc w:val="both"/>
      </w:pPr>
      <w:r>
        <w:rPr>
          <w:color w:val="000000"/>
          <w:spacing w:val="0"/>
          <w:w w:val="100"/>
          <w:position w:val="0"/>
          <w:sz w:val="24"/>
          <w:szCs w:val="24"/>
        </w:rPr>
        <w:t>与合同成本有关的资产采用与该资产相关的商品收入确认相同的基础进行摊销，计入当 期损益。</w:t>
      </w:r>
    </w:p>
    <w:p>
      <w:pPr>
        <w:pStyle w:val="Style59"/>
        <w:keepNext w:val="0"/>
        <w:keepLines w:val="0"/>
        <w:widowControl w:val="0"/>
        <w:numPr>
          <w:ilvl w:val="0"/>
          <w:numId w:val="57"/>
        </w:numPr>
        <w:shd w:val="clear" w:color="auto" w:fill="auto"/>
        <w:bidi w:val="0"/>
        <w:spacing w:before="0" w:after="0" w:line="469" w:lineRule="exact"/>
        <w:ind w:left="0" w:right="0" w:firstLine="480"/>
        <w:jc w:val="both"/>
      </w:pPr>
      <w:bookmarkStart w:id="890" w:name="bookmark890"/>
      <w:bookmarkEnd w:id="890"/>
      <w:r>
        <w:rPr>
          <w:color w:val="000000"/>
          <w:spacing w:val="0"/>
          <w:w w:val="100"/>
          <w:position w:val="0"/>
          <w:sz w:val="24"/>
          <w:szCs w:val="24"/>
        </w:rPr>
        <w:t>与合同成本有关的资产的减值</w:t>
      </w:r>
    </w:p>
    <w:p>
      <w:pPr>
        <w:pStyle w:val="Style59"/>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在确定与合同成本有关的资产的减值时，首先对按照其他相关企业会计准则确认的、与 合同有关的其他资产确定减值损失；然后根据其账面价值高于下列第①项减去第②项的差额 的，超出部分应当计提减值准备，并确认为资产减值损失：</w:t>
      </w:r>
    </w:p>
    <w:p>
      <w:pPr>
        <w:pStyle w:val="Style59"/>
        <w:keepNext w:val="0"/>
        <w:keepLines w:val="0"/>
        <w:widowControl w:val="0"/>
        <w:numPr>
          <w:ilvl w:val="0"/>
          <w:numId w:val="59"/>
        </w:numPr>
        <w:shd w:val="clear" w:color="auto" w:fill="auto"/>
        <w:tabs>
          <w:tab w:pos="901" w:val="left"/>
        </w:tabs>
        <w:bidi w:val="0"/>
        <w:spacing w:before="0" w:after="0" w:line="469" w:lineRule="exact"/>
        <w:ind w:left="0" w:right="0" w:firstLine="480"/>
        <w:jc w:val="both"/>
      </w:pPr>
      <w:bookmarkStart w:id="891" w:name="bookmark891"/>
      <w:bookmarkEnd w:id="891"/>
      <w:r>
        <w:rPr>
          <w:color w:val="000000"/>
          <w:spacing w:val="0"/>
          <w:w w:val="100"/>
          <w:position w:val="0"/>
          <w:sz w:val="24"/>
          <w:szCs w:val="24"/>
        </w:rPr>
        <w:t>因转让与该资产相关的商品预期能够取得的剩余对价；</w:t>
      </w:r>
    </w:p>
    <w:p>
      <w:pPr>
        <w:pStyle w:val="Style59"/>
        <w:keepNext w:val="0"/>
        <w:keepLines w:val="0"/>
        <w:widowControl w:val="0"/>
        <w:numPr>
          <w:ilvl w:val="0"/>
          <w:numId w:val="59"/>
        </w:numPr>
        <w:shd w:val="clear" w:color="auto" w:fill="auto"/>
        <w:tabs>
          <w:tab w:pos="901" w:val="left"/>
        </w:tabs>
        <w:bidi w:val="0"/>
        <w:spacing w:before="0" w:after="0" w:line="469" w:lineRule="exact"/>
        <w:ind w:left="0" w:right="0" w:firstLine="480"/>
        <w:jc w:val="both"/>
      </w:pPr>
      <w:bookmarkStart w:id="892" w:name="bookmark892"/>
      <w:bookmarkEnd w:id="892"/>
      <w:r>
        <w:rPr>
          <w:color w:val="000000"/>
          <w:spacing w:val="0"/>
          <w:w w:val="100"/>
          <w:position w:val="0"/>
          <w:sz w:val="24"/>
          <w:szCs w:val="24"/>
        </w:rPr>
        <w:t>为转让该相关商品估计将要发生的成本。</w:t>
      </w:r>
    </w:p>
    <w:p>
      <w:pPr>
        <w:pStyle w:val="Style59"/>
        <w:keepNext w:val="0"/>
        <w:keepLines w:val="0"/>
        <w:widowControl w:val="0"/>
        <w:shd w:val="clear" w:color="auto" w:fill="auto"/>
        <w:bidi w:val="0"/>
        <w:spacing w:before="0" w:after="400" w:line="469" w:lineRule="exact"/>
        <w:ind w:left="0" w:right="0" w:firstLine="480"/>
        <w:jc w:val="both"/>
      </w:pPr>
      <w:r>
        <w:rPr>
          <w:color w:val="000000"/>
          <w:spacing w:val="0"/>
          <w:w w:val="100"/>
          <w:position w:val="0"/>
          <w:sz w:val="24"/>
          <w:szCs w:val="24"/>
        </w:rPr>
        <w:t>以前期间减值的因素之后发生变化，使得企业上述第①项减去第②项后的差额高于该资 产账面价值的，转回原已计提的资产减值准备，并计入当期损益，但转回后的资产账面价值 不应超过假定不计提减值准备情况下该资产在转回日的账面价值。</w:t>
      </w:r>
    </w:p>
    <w:p>
      <w:pPr>
        <w:pStyle w:val="Style24"/>
        <w:keepNext/>
        <w:keepLines/>
        <w:widowControl w:val="0"/>
        <w:shd w:val="clear" w:color="auto" w:fill="auto"/>
        <w:tabs>
          <w:tab w:pos="474" w:val="left"/>
        </w:tabs>
        <w:bidi w:val="0"/>
        <w:spacing w:before="0" w:after="240" w:line="240" w:lineRule="auto"/>
        <w:ind w:left="0" w:right="0" w:firstLine="0"/>
        <w:jc w:val="left"/>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1</w:t>
      </w:r>
      <w:bookmarkEnd w:id="895"/>
      <w:r>
        <w:rPr>
          <w:rFonts w:ascii="Times New Roman" w:eastAsia="Times New Roman" w:hAnsi="Times New Roman" w:cs="Times New Roman"/>
          <w:color w:val="000000"/>
          <w:spacing w:val="0"/>
          <w:w w:val="100"/>
          <w:position w:val="0"/>
        </w:rPr>
        <w:t>8</w:t>
      </w:r>
      <w:r>
        <w:rPr>
          <w:color w:val="000000"/>
          <w:spacing w:val="0"/>
          <w:w w:val="100"/>
          <w:position w:val="0"/>
        </w:rPr>
        <w:t>、</w:t>
        <w:tab/>
        <w:t>长期应收款</w:t>
      </w:r>
      <w:bookmarkEnd w:id="893"/>
      <w:bookmarkEnd w:id="894"/>
      <w:bookmarkEnd w:id="896"/>
    </w:p>
    <w:p>
      <w:pPr>
        <w:pStyle w:val="Style59"/>
        <w:keepNext w:val="0"/>
        <w:keepLines w:val="0"/>
        <w:widowControl w:val="0"/>
        <w:shd w:val="clear" w:color="auto" w:fill="auto"/>
        <w:bidi w:val="0"/>
        <w:spacing w:before="0" w:after="400" w:line="467" w:lineRule="exact"/>
        <w:ind w:left="0" w:right="0" w:firstLine="480"/>
        <w:jc w:val="left"/>
      </w:pPr>
      <w:r>
        <w:rPr>
          <w:color w:val="000000"/>
          <w:spacing w:val="0"/>
          <w:w w:val="100"/>
          <w:position w:val="0"/>
          <w:sz w:val="24"/>
          <w:szCs w:val="24"/>
        </w:rPr>
        <w:t>长期应收款预期信用损失的确认方法及会计处理方法详见附注五、10、金融工具。</w:t>
      </w:r>
    </w:p>
    <w:p>
      <w:pPr>
        <w:pStyle w:val="Style24"/>
        <w:keepNext/>
        <w:keepLines/>
        <w:widowControl w:val="0"/>
        <w:shd w:val="clear" w:color="auto" w:fill="auto"/>
        <w:tabs>
          <w:tab w:pos="474" w:val="left"/>
        </w:tabs>
        <w:bidi w:val="0"/>
        <w:spacing w:before="0" w:after="240" w:line="240" w:lineRule="auto"/>
        <w:ind w:left="0" w:right="0" w:firstLine="0"/>
        <w:jc w:val="left"/>
      </w:pPr>
      <w:bookmarkStart w:id="897" w:name="bookmark897"/>
      <w:bookmarkStart w:id="898" w:name="bookmark898"/>
      <w:bookmarkStart w:id="899" w:name="bookmark899"/>
      <w:bookmarkStart w:id="900" w:name="bookmark900"/>
      <w:r>
        <w:rPr>
          <w:rFonts w:ascii="Times New Roman" w:eastAsia="Times New Roman" w:hAnsi="Times New Roman" w:cs="Times New Roman"/>
          <w:color w:val="000000"/>
          <w:spacing w:val="0"/>
          <w:w w:val="100"/>
          <w:position w:val="0"/>
        </w:rPr>
        <w:t>1</w:t>
      </w:r>
      <w:bookmarkEnd w:id="899"/>
      <w:r>
        <w:rPr>
          <w:rFonts w:ascii="Times New Roman" w:eastAsia="Times New Roman" w:hAnsi="Times New Roman" w:cs="Times New Roman"/>
          <w:color w:val="000000"/>
          <w:spacing w:val="0"/>
          <w:w w:val="100"/>
          <w:position w:val="0"/>
        </w:rPr>
        <w:t>9</w:t>
      </w:r>
      <w:r>
        <w:rPr>
          <w:color w:val="000000"/>
          <w:spacing w:val="0"/>
          <w:w w:val="100"/>
          <w:position w:val="0"/>
        </w:rPr>
        <w:t>、</w:t>
        <w:tab/>
        <w:t>长期股权投资</w:t>
      </w:r>
      <w:bookmarkEnd w:id="897"/>
      <w:bookmarkEnd w:id="898"/>
      <w:bookmarkEnd w:id="900"/>
    </w:p>
    <w:p>
      <w:pPr>
        <w:pStyle w:val="Style59"/>
        <w:keepNext w:val="0"/>
        <w:keepLines w:val="0"/>
        <w:widowControl w:val="0"/>
        <w:shd w:val="clear" w:color="auto" w:fill="auto"/>
        <w:bidi w:val="0"/>
        <w:spacing w:before="0" w:after="480" w:line="466" w:lineRule="exact"/>
        <w:ind w:left="0" w:right="0" w:firstLine="480"/>
        <w:jc w:val="both"/>
      </w:pPr>
      <w:r>
        <w:rPr>
          <w:color w:val="000000"/>
          <w:spacing w:val="0"/>
          <w:w w:val="100"/>
          <w:position w:val="0"/>
          <w:sz w:val="24"/>
          <w:szCs w:val="24"/>
        </w:rPr>
        <w:t>长期股权投资是指公司对被投资单位实施控制、重大影响的权益性投资，以及对其合营 企业的投资。</w:t>
      </w:r>
    </w:p>
    <w:p>
      <w:pPr>
        <w:pStyle w:val="Style59"/>
        <w:keepNext w:val="0"/>
        <w:keepLines w:val="0"/>
        <w:widowControl w:val="0"/>
        <w:numPr>
          <w:ilvl w:val="0"/>
          <w:numId w:val="61"/>
        </w:numPr>
        <w:shd w:val="clear" w:color="auto" w:fill="auto"/>
        <w:bidi w:val="0"/>
        <w:spacing w:before="0" w:after="0" w:line="467" w:lineRule="exact"/>
        <w:ind w:left="0" w:right="0" w:firstLine="480"/>
        <w:jc w:val="left"/>
      </w:pPr>
      <w:bookmarkStart w:id="901" w:name="bookmark901"/>
      <w:bookmarkEnd w:id="901"/>
      <w:r>
        <w:rPr>
          <w:color w:val="000000"/>
          <w:spacing w:val="0"/>
          <w:w w:val="100"/>
          <w:position w:val="0"/>
          <w:sz w:val="24"/>
          <w:szCs w:val="24"/>
        </w:rPr>
        <w:t>投资成本确定</w:t>
      </w:r>
    </w:p>
    <w:p>
      <w:pPr>
        <w:pStyle w:val="Style59"/>
        <w:keepNext w:val="0"/>
        <w:keepLines w:val="0"/>
        <w:widowControl w:val="0"/>
        <w:shd w:val="clear" w:color="auto" w:fill="auto"/>
        <w:bidi w:val="0"/>
        <w:spacing w:before="0" w:after="0" w:line="467" w:lineRule="exact"/>
        <w:ind w:left="0" w:right="0" w:firstLine="480"/>
        <w:jc w:val="both"/>
      </w:pPr>
      <w:r>
        <w:rPr>
          <w:color w:val="000000"/>
          <w:spacing w:val="0"/>
          <w:w w:val="100"/>
          <w:position w:val="0"/>
          <w:sz w:val="24"/>
          <w:szCs w:val="24"/>
        </w:rPr>
        <w:t>除对外合并形成的长期股权投资以外，其他方式取得的长期股权投资，按照下列规定确 定其初始投资成本：</w:t>
      </w:r>
    </w:p>
    <w:p>
      <w:pPr>
        <w:pStyle w:val="Style59"/>
        <w:keepNext w:val="0"/>
        <w:keepLines w:val="0"/>
        <w:widowControl w:val="0"/>
        <w:numPr>
          <w:ilvl w:val="0"/>
          <w:numId w:val="63"/>
        </w:numPr>
        <w:shd w:val="clear" w:color="auto" w:fill="auto"/>
        <w:tabs>
          <w:tab w:pos="896" w:val="left"/>
        </w:tabs>
        <w:bidi w:val="0"/>
        <w:spacing w:before="0" w:after="0" w:line="467" w:lineRule="exact"/>
        <w:ind w:left="0" w:right="0" w:firstLine="480"/>
        <w:jc w:val="both"/>
      </w:pPr>
      <w:bookmarkStart w:id="902" w:name="bookmark902"/>
      <w:bookmarkEnd w:id="902"/>
      <w:r>
        <w:rPr>
          <w:color w:val="000000"/>
          <w:spacing w:val="0"/>
          <w:w w:val="100"/>
          <w:position w:val="0"/>
          <w:sz w:val="24"/>
          <w:szCs w:val="24"/>
        </w:rPr>
        <w:t>以支付现金取得的长期股权投资，按照实际支付的购买价款作为初始投资成本。初始 投资成本包括与取得长期股权投资直接相关的费用、税金及其他必要支出；</w:t>
      </w:r>
    </w:p>
    <w:p>
      <w:pPr>
        <w:pStyle w:val="Style59"/>
        <w:keepNext w:val="0"/>
        <w:keepLines w:val="0"/>
        <w:widowControl w:val="0"/>
        <w:numPr>
          <w:ilvl w:val="0"/>
          <w:numId w:val="63"/>
        </w:numPr>
        <w:shd w:val="clear" w:color="auto" w:fill="auto"/>
        <w:tabs>
          <w:tab w:pos="891" w:val="left"/>
        </w:tabs>
        <w:bidi w:val="0"/>
        <w:spacing w:before="0" w:after="0" w:line="467" w:lineRule="exact"/>
        <w:ind w:left="0" w:right="0" w:firstLine="480"/>
        <w:jc w:val="both"/>
      </w:pPr>
      <w:bookmarkStart w:id="903" w:name="bookmark903"/>
      <w:bookmarkEnd w:id="903"/>
      <w:r>
        <w:rPr>
          <w:color w:val="000000"/>
          <w:spacing w:val="0"/>
          <w:w w:val="100"/>
          <w:position w:val="0"/>
          <w:sz w:val="24"/>
          <w:szCs w:val="24"/>
        </w:rPr>
        <w:t>以发行权益性证券取得的长期股权投资，按照发行权益性证券的公允价值作为初始投 资成本；</w:t>
      </w:r>
    </w:p>
    <w:p>
      <w:pPr>
        <w:pStyle w:val="Style59"/>
        <w:keepNext w:val="0"/>
        <w:keepLines w:val="0"/>
        <w:widowControl w:val="0"/>
        <w:numPr>
          <w:ilvl w:val="0"/>
          <w:numId w:val="63"/>
        </w:numPr>
        <w:shd w:val="clear" w:color="auto" w:fill="auto"/>
        <w:tabs>
          <w:tab w:pos="896" w:val="left"/>
        </w:tabs>
        <w:bidi w:val="0"/>
        <w:spacing w:before="0" w:after="0" w:line="467" w:lineRule="exact"/>
        <w:ind w:left="0" w:right="0" w:firstLine="480"/>
        <w:jc w:val="both"/>
      </w:pPr>
      <w:bookmarkStart w:id="904" w:name="bookmark904"/>
      <w:bookmarkEnd w:id="904"/>
      <w:r>
        <w:rPr>
          <w:color w:val="000000"/>
          <w:spacing w:val="0"/>
          <w:w w:val="100"/>
          <w:position w:val="0"/>
          <w:sz w:val="24"/>
          <w:szCs w:val="24"/>
        </w:rPr>
        <w:t>通过非货币性资产交换取得的长期股权投资，其初始投资成本应当按照《企业会计准 则第7号一非货币性资产交换》确定；</w:t>
      </w:r>
    </w:p>
    <w:p>
      <w:pPr>
        <w:pStyle w:val="Style59"/>
        <w:keepNext w:val="0"/>
        <w:keepLines w:val="0"/>
        <w:widowControl w:val="0"/>
        <w:numPr>
          <w:ilvl w:val="0"/>
          <w:numId w:val="63"/>
        </w:numPr>
        <w:shd w:val="clear" w:color="auto" w:fill="auto"/>
        <w:tabs>
          <w:tab w:pos="891" w:val="left"/>
        </w:tabs>
        <w:bidi w:val="0"/>
        <w:spacing w:before="0" w:after="640" w:line="467" w:lineRule="exact"/>
        <w:ind w:left="0" w:right="0" w:firstLine="480"/>
        <w:jc w:val="both"/>
      </w:pPr>
      <w:bookmarkStart w:id="905" w:name="bookmark905"/>
      <w:bookmarkEnd w:id="905"/>
      <w:r>
        <w:rPr>
          <w:color w:val="000000"/>
          <w:spacing w:val="0"/>
          <w:w w:val="100"/>
          <w:position w:val="0"/>
          <w:sz w:val="24"/>
          <w:szCs w:val="24"/>
        </w:rPr>
        <w:t>通过债务重组取得的长期股权投资，其初始投资成本应当按照《企业会计准则第12 号一债务重组》确定。</w:t>
      </w:r>
    </w:p>
    <w:p>
      <w:pPr>
        <w:pStyle w:val="Style59"/>
        <w:keepNext w:val="0"/>
        <w:keepLines w:val="0"/>
        <w:widowControl w:val="0"/>
        <w:numPr>
          <w:ilvl w:val="0"/>
          <w:numId w:val="61"/>
        </w:numPr>
        <w:shd w:val="clear" w:color="auto" w:fill="auto"/>
        <w:bidi w:val="0"/>
        <w:spacing w:before="0" w:after="240" w:line="240" w:lineRule="auto"/>
        <w:ind w:left="0" w:right="0" w:firstLine="480"/>
        <w:jc w:val="both"/>
      </w:pPr>
      <w:bookmarkStart w:id="906" w:name="bookmark906"/>
      <w:bookmarkEnd w:id="906"/>
      <w:r>
        <w:rPr>
          <w:color w:val="000000"/>
          <w:spacing w:val="0"/>
          <w:w w:val="100"/>
          <w:position w:val="0"/>
          <w:sz w:val="24"/>
          <w:szCs w:val="24"/>
        </w:rPr>
        <w:t>后续计量及损益确认方法</w:t>
      </w:r>
    </w:p>
    <w:p>
      <w:pPr>
        <w:pStyle w:val="Style59"/>
        <w:keepNext w:val="0"/>
        <w:keepLines w:val="0"/>
        <w:widowControl w:val="0"/>
        <w:numPr>
          <w:ilvl w:val="0"/>
          <w:numId w:val="65"/>
        </w:numPr>
        <w:shd w:val="clear" w:color="auto" w:fill="auto"/>
        <w:tabs>
          <w:tab w:pos="891" w:val="left"/>
        </w:tabs>
        <w:bidi w:val="0"/>
        <w:spacing w:before="0" w:after="0" w:line="468" w:lineRule="exact"/>
        <w:ind w:left="0" w:right="0" w:firstLine="480"/>
        <w:jc w:val="both"/>
      </w:pPr>
      <w:bookmarkStart w:id="907" w:name="bookmark907"/>
      <w:bookmarkEnd w:id="907"/>
      <w:r>
        <w:rPr>
          <w:color w:val="000000"/>
          <w:spacing w:val="0"/>
          <w:w w:val="100"/>
          <w:position w:val="0"/>
          <w:sz w:val="24"/>
          <w:szCs w:val="24"/>
        </w:rPr>
        <w:t>下列长期股权投资采用成本法核算：</w:t>
      </w:r>
    </w:p>
    <w:p>
      <w:pPr>
        <w:pStyle w:val="Style59"/>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公司能够对被投资单位实施控制的长期股权投资。</w:t>
      </w:r>
    </w:p>
    <w:p>
      <w:pPr>
        <w:pStyle w:val="Style59"/>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采用成本法核算的长期股权投资按照初始投资成本计价。追加或收回投资应当调整长期 股权投资的成本。被投资单位宣告分派的现金股利或利润，确认为当期投资收益。</w:t>
      </w:r>
    </w:p>
    <w:p>
      <w:pPr>
        <w:pStyle w:val="Style59"/>
        <w:keepNext w:val="0"/>
        <w:keepLines w:val="0"/>
        <w:widowControl w:val="0"/>
        <w:numPr>
          <w:ilvl w:val="0"/>
          <w:numId w:val="65"/>
        </w:numPr>
        <w:shd w:val="clear" w:color="auto" w:fill="auto"/>
        <w:tabs>
          <w:tab w:pos="891" w:val="left"/>
        </w:tabs>
        <w:bidi w:val="0"/>
        <w:spacing w:before="0" w:after="0" w:line="468" w:lineRule="exact"/>
        <w:ind w:left="0" w:right="0" w:firstLine="480"/>
        <w:jc w:val="both"/>
      </w:pPr>
      <w:bookmarkStart w:id="908" w:name="bookmark908"/>
      <w:bookmarkEnd w:id="908"/>
      <w:r>
        <w:rPr>
          <w:color w:val="000000"/>
          <w:spacing w:val="0"/>
          <w:w w:val="100"/>
          <w:position w:val="0"/>
          <w:sz w:val="24"/>
          <w:szCs w:val="24"/>
        </w:rPr>
        <w:t>对被投资单位具有共同控制(指合营企业)或重大影响的长期股权投资，按照采用权益 法核算。</w:t>
      </w:r>
    </w:p>
    <w:p>
      <w:pPr>
        <w:pStyle w:val="Style59"/>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长期股权投资采用权益法核算时，对长期股权投资的投资成本大于投资时应享有被投资 单位可辨认净资产公允价值份额的，不调整长期股权投资的投资成本；对长期股权投资的投 资成本小于投资时应享有被投资单位可辨认净资产公允价值份额的，对长期股权投资的账面 价值进行调整，差额计入投资当期的损益。</w:t>
      </w:r>
    </w:p>
    <w:p>
      <w:pPr>
        <w:pStyle w:val="Style59"/>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在权益法核算时，当取得长期股权投资后，按照应享有或应分担的被投资单位实现的净 损益和其他综合收益的份额，分别确认投资损益和其他综合收益，并调整长期股权投资的账 面价值。投资企业按照被投资单位宣告分派的利润或现金股利计算应分得的部分，相应减少 长期股权投资的账面价值。投资方对于被投资单位除净损益、其他综合收益和利润分配以外 所有者权益的其他变动，应当调整长期股权投资的账面价值并计入所有者权益。</w:t>
      </w:r>
    </w:p>
    <w:p>
      <w:pPr>
        <w:pStyle w:val="Style59"/>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确认被投资单位发生的净亏损，以长期股权投资的账面价值以及其他实质上构成对被投 资单位净投资的长期权益减记至零为限，公司对被投资企业负有承担额外损失义务的除外。 被投资单位以后实现净利润的，投资企业在其收益分享额弥补未确认的亏损分担额后，恢复 确认收益分享额。</w:t>
      </w:r>
    </w:p>
    <w:p>
      <w:pPr>
        <w:pStyle w:val="Style59"/>
        <w:keepNext w:val="0"/>
        <w:keepLines w:val="0"/>
        <w:widowControl w:val="0"/>
        <w:shd w:val="clear" w:color="auto" w:fill="auto"/>
        <w:bidi w:val="0"/>
        <w:spacing w:before="0" w:after="0" w:line="490" w:lineRule="exact"/>
        <w:ind w:left="0" w:right="0" w:firstLine="480"/>
        <w:jc w:val="both"/>
      </w:pPr>
      <w:r>
        <w:rPr>
          <w:color w:val="000000"/>
          <w:spacing w:val="0"/>
          <w:w w:val="100"/>
          <w:position w:val="0"/>
          <w:sz w:val="24"/>
          <w:szCs w:val="24"/>
        </w:rPr>
        <w:t>对于被投资单位除净损益、其他综合收益和利润分配以外所有者权益的其他变动，调整 长期股权投资的账面价值并计入所有者权益。</w:t>
      </w:r>
    </w:p>
    <w:p>
      <w:pPr>
        <w:pStyle w:val="Style59"/>
        <w:keepNext w:val="0"/>
        <w:keepLines w:val="0"/>
        <w:widowControl w:val="0"/>
        <w:shd w:val="clear" w:color="auto" w:fill="auto"/>
        <w:bidi w:val="0"/>
        <w:spacing w:before="0" w:after="0" w:line="466" w:lineRule="exact"/>
        <w:ind w:left="0" w:right="0" w:firstLine="480"/>
        <w:jc w:val="both"/>
      </w:pPr>
      <w:r>
        <w:rPr>
          <w:color w:val="000000"/>
          <w:spacing w:val="0"/>
          <w:w w:val="100"/>
          <w:position w:val="0"/>
          <w:sz w:val="24"/>
          <w:szCs w:val="24"/>
        </w:rPr>
        <w:t>长期股权投资按照权益法核算在确认投资损益时，先对被投资单位的净利润进行取得投 资时被投资单位各项可辨认资产等的公允价值、会计政策和会计期间方面的调整，再按应享 有或应分担的被投资单位的净损益份额确认当期投资损益。</w:t>
      </w:r>
    </w:p>
    <w:p>
      <w:pPr>
        <w:pStyle w:val="Style59"/>
        <w:keepNext w:val="0"/>
        <w:keepLines w:val="0"/>
        <w:widowControl w:val="0"/>
        <w:shd w:val="clear" w:color="auto" w:fill="auto"/>
        <w:bidi w:val="0"/>
        <w:spacing w:before="0" w:after="440" w:line="466" w:lineRule="exact"/>
        <w:ind w:left="0" w:right="0" w:firstLine="480"/>
        <w:jc w:val="both"/>
      </w:pPr>
      <w:r>
        <w:rPr>
          <w:color w:val="000000"/>
          <w:spacing w:val="0"/>
          <w:w w:val="100"/>
          <w:position w:val="0"/>
          <w:sz w:val="24"/>
          <w:szCs w:val="24"/>
        </w:rPr>
        <w:t>与联营企业及合营企业之间发生的未实现内部交易损益按照持股比例计算归属于公司的 部分，在抵销基础上确认投资损益。</w:t>
      </w:r>
    </w:p>
    <w:p>
      <w:pPr>
        <w:pStyle w:val="Style59"/>
        <w:keepNext w:val="0"/>
        <w:keepLines w:val="0"/>
        <w:widowControl w:val="0"/>
        <w:numPr>
          <w:ilvl w:val="0"/>
          <w:numId w:val="61"/>
        </w:numPr>
        <w:shd w:val="clear" w:color="auto" w:fill="auto"/>
        <w:bidi w:val="0"/>
        <w:spacing w:before="0" w:after="0" w:line="468" w:lineRule="exact"/>
        <w:ind w:left="0" w:right="0" w:firstLine="480"/>
        <w:jc w:val="both"/>
      </w:pPr>
      <w:bookmarkStart w:id="909" w:name="bookmark909"/>
      <w:bookmarkEnd w:id="909"/>
      <w:r>
        <w:rPr>
          <w:color w:val="000000"/>
          <w:spacing w:val="0"/>
          <w:w w:val="100"/>
          <w:position w:val="0"/>
          <w:sz w:val="24"/>
          <w:szCs w:val="24"/>
        </w:rPr>
        <w:t>确定对被投资单位具有共同控制、重大影响的依据</w:t>
      </w:r>
    </w:p>
    <w:p>
      <w:pPr>
        <w:pStyle w:val="Style59"/>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 xml:space="preserve">共同控制，是指按照相关约定对某项安排所共有的控制，并且该安排的相关活动必须经 </w:t>
      </w:r>
      <w:r>
        <w:rPr>
          <w:color w:val="000000"/>
          <w:spacing w:val="0"/>
          <w:w w:val="100"/>
          <w:position w:val="0"/>
          <w:sz w:val="24"/>
          <w:szCs w:val="24"/>
        </w:rPr>
        <w:t>过分享控制权的参与方一致同意后才能决策。在判断是否存在共同控制时，首先判断所有参 与方或参与方组合是否集体控制该安排，如果所有参与方或一组参与方必须一致行动才能决 定某项安排的相关活动，则认为所有参与方或一组参与方集体控制该安排。其次再判断该安 排相关活动的决策是否必须经过这些集体控制该安排的参与方一致同意。如果存在两个或两 个以上的参与方组合能够集体控制某项安排的，不构成共同控制。判断是否存在共同控制时， 不考虑享有的保护性权利。</w:t>
      </w:r>
    </w:p>
    <w:p>
      <w:pPr>
        <w:pStyle w:val="Style59"/>
        <w:keepNext w:val="0"/>
        <w:keepLines w:val="0"/>
        <w:widowControl w:val="0"/>
        <w:shd w:val="clear" w:color="auto" w:fill="auto"/>
        <w:bidi w:val="0"/>
        <w:spacing w:before="0" w:after="400" w:line="468" w:lineRule="exact"/>
        <w:ind w:left="0" w:right="0" w:firstLine="500"/>
        <w:jc w:val="both"/>
      </w:pPr>
      <w:r>
        <w:rPr>
          <w:color w:val="000000"/>
          <w:spacing w:val="0"/>
          <w:w w:val="100"/>
          <w:position w:val="0"/>
          <w:sz w:val="24"/>
          <w:szCs w:val="24"/>
        </w:rPr>
        <w:t>重大影响，是指对一个企业的财务和经营政策有参与决策的权力，但并不能够控制或者 与其他方一起共同控制这些政策的制定。在确定能否对被投资单位施加重大影响时，考虑投 资方直接或间接持有被投资单位的表决权股份以及投资方及其他方持有的当期可执行潜在表 决权在假定转换为对被投资方单位的股权后产生的影响，包括被投资单位发行的当期可转换 的认股权证、股份期权及可转换公司债券等的影响。</w:t>
      </w:r>
    </w:p>
    <w:p>
      <w:pPr>
        <w:pStyle w:val="Style24"/>
        <w:keepNext/>
        <w:keepLines/>
        <w:widowControl w:val="0"/>
        <w:shd w:val="clear" w:color="auto" w:fill="auto"/>
        <w:tabs>
          <w:tab w:pos="483" w:val="left"/>
        </w:tabs>
        <w:bidi w:val="0"/>
        <w:spacing w:before="0" w:after="400" w:line="240" w:lineRule="auto"/>
        <w:ind w:left="0" w:right="0" w:firstLine="0"/>
        <w:jc w:val="both"/>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2</w:t>
      </w:r>
      <w:bookmarkEnd w:id="912"/>
      <w:r>
        <w:rPr>
          <w:rFonts w:ascii="Times New Roman" w:eastAsia="Times New Roman" w:hAnsi="Times New Roman" w:cs="Times New Roman"/>
          <w:color w:val="000000"/>
          <w:spacing w:val="0"/>
          <w:w w:val="100"/>
          <w:position w:val="0"/>
        </w:rPr>
        <w:t>0</w:t>
      </w:r>
      <w:r>
        <w:rPr>
          <w:color w:val="000000"/>
          <w:spacing w:val="0"/>
          <w:w w:val="100"/>
          <w:position w:val="0"/>
        </w:rPr>
        <w:t>、</w:t>
        <w:tab/>
        <w:t>投资性房地产</w:t>
      </w:r>
      <w:bookmarkEnd w:id="910"/>
      <w:bookmarkEnd w:id="911"/>
      <w:bookmarkEnd w:id="913"/>
    </w:p>
    <w:p>
      <w:pPr>
        <w:pStyle w:val="Style59"/>
        <w:keepNext w:val="0"/>
        <w:keepLines w:val="0"/>
        <w:widowControl w:val="0"/>
        <w:shd w:val="clear" w:color="auto" w:fill="auto"/>
        <w:bidi w:val="0"/>
        <w:spacing w:before="0" w:after="140" w:line="240" w:lineRule="auto"/>
        <w:ind w:left="0" w:right="0" w:firstLine="500"/>
        <w:jc w:val="both"/>
      </w:pPr>
      <w:r>
        <w:rPr>
          <w:color w:val="000000"/>
          <w:spacing w:val="0"/>
          <w:w w:val="100"/>
          <w:position w:val="0"/>
          <w:sz w:val="24"/>
          <w:szCs w:val="24"/>
        </w:rPr>
        <w:t>投资性房地产计量模式</w:t>
      </w:r>
    </w:p>
    <w:p>
      <w:pPr>
        <w:pStyle w:val="Style59"/>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rPr>
        <w:t>成本法计量</w:t>
      </w:r>
    </w:p>
    <w:p>
      <w:pPr>
        <w:pStyle w:val="Style59"/>
        <w:keepNext w:val="0"/>
        <w:keepLines w:val="0"/>
        <w:widowControl w:val="0"/>
        <w:shd w:val="clear" w:color="auto" w:fill="auto"/>
        <w:bidi w:val="0"/>
        <w:spacing w:before="0" w:after="0" w:line="472" w:lineRule="exact"/>
        <w:ind w:left="0" w:right="0" w:firstLine="500"/>
        <w:jc w:val="both"/>
      </w:pPr>
      <w:r>
        <w:rPr>
          <w:color w:val="000000"/>
          <w:spacing w:val="0"/>
          <w:w w:val="100"/>
          <w:position w:val="0"/>
          <w:sz w:val="24"/>
          <w:szCs w:val="24"/>
        </w:rPr>
        <w:t>折旧或摊销方法</w:t>
      </w:r>
    </w:p>
    <w:p>
      <w:pPr>
        <w:pStyle w:val="Style59"/>
        <w:keepNext w:val="0"/>
        <w:keepLines w:val="0"/>
        <w:widowControl w:val="0"/>
        <w:shd w:val="clear" w:color="auto" w:fill="auto"/>
        <w:bidi w:val="0"/>
        <w:spacing w:before="0" w:after="0" w:line="472" w:lineRule="exact"/>
        <w:ind w:left="0" w:right="0" w:firstLine="500"/>
        <w:jc w:val="both"/>
      </w:pPr>
      <w:r>
        <w:rPr>
          <w:color w:val="000000"/>
          <w:spacing w:val="0"/>
          <w:w w:val="100"/>
          <w:position w:val="0"/>
          <w:sz w:val="24"/>
          <w:szCs w:val="24"/>
        </w:rPr>
        <w:t>投资性房地产是指为赚取租金或资本增值，或两者兼有而持有的房地产，包括已出租的 土地使用权、持有并准备增值后转让的土地使用权、已出租的建筑物。投资性房地产应当按 照成本进行初始计量，在资产负债表日采用成本模式对投资性房地产或公允价值模式进行后 续计量。</w:t>
      </w:r>
    </w:p>
    <w:p>
      <w:pPr>
        <w:pStyle w:val="Style59"/>
        <w:keepNext w:val="0"/>
        <w:keepLines w:val="0"/>
        <w:widowControl w:val="0"/>
        <w:shd w:val="clear" w:color="auto" w:fill="auto"/>
        <w:bidi w:val="0"/>
        <w:spacing w:before="0" w:after="400" w:line="472" w:lineRule="exact"/>
        <w:ind w:left="0" w:right="0" w:firstLine="500"/>
        <w:jc w:val="both"/>
      </w:pPr>
      <w:r>
        <w:rPr>
          <w:color w:val="000000"/>
          <w:spacing w:val="0"/>
          <w:w w:val="100"/>
          <w:position w:val="0"/>
          <w:sz w:val="24"/>
          <w:szCs w:val="24"/>
        </w:rPr>
        <w:t>本公司采用成本模式对投资性房地产进行后续计量，并按照与房屋建筑物或土地使用权 一致的政策进行折旧或摊销。</w:t>
      </w:r>
    </w:p>
    <w:p>
      <w:pPr>
        <w:pStyle w:val="Style24"/>
        <w:keepNext/>
        <w:keepLines/>
        <w:widowControl w:val="0"/>
        <w:shd w:val="clear" w:color="auto" w:fill="auto"/>
        <w:tabs>
          <w:tab w:pos="483" w:val="left"/>
        </w:tabs>
        <w:bidi w:val="0"/>
        <w:spacing w:before="0" w:line="240" w:lineRule="auto"/>
        <w:ind w:left="0" w:right="0" w:firstLine="0"/>
        <w:jc w:val="both"/>
      </w:pPr>
      <w:bookmarkStart w:id="914" w:name="bookmark914"/>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2</w:t>
      </w:r>
      <w:bookmarkEnd w:id="916"/>
      <w:r>
        <w:rPr>
          <w:rFonts w:ascii="Times New Roman" w:eastAsia="Times New Roman" w:hAnsi="Times New Roman" w:cs="Times New Roman"/>
          <w:color w:val="000000"/>
          <w:spacing w:val="0"/>
          <w:w w:val="100"/>
          <w:position w:val="0"/>
        </w:rPr>
        <w:t>1</w:t>
      </w:r>
      <w:r>
        <w:rPr>
          <w:color w:val="000000"/>
          <w:spacing w:val="0"/>
          <w:w w:val="100"/>
          <w:position w:val="0"/>
        </w:rPr>
        <w:t>、</w:t>
        <w:tab/>
        <w:t>固定资产</w:t>
      </w:r>
      <w:bookmarkEnd w:id="914"/>
      <w:bookmarkEnd w:id="915"/>
      <w:bookmarkEnd w:id="917"/>
    </w:p>
    <w:p>
      <w:pPr>
        <w:pStyle w:val="Style102"/>
        <w:keepNext/>
        <w:keepLines/>
        <w:widowControl w:val="0"/>
        <w:shd w:val="clear" w:color="auto" w:fill="auto"/>
        <w:bidi w:val="0"/>
        <w:spacing w:before="0" w:after="220" w:line="240" w:lineRule="auto"/>
        <w:ind w:left="0" w:right="0" w:firstLine="0"/>
        <w:jc w:val="both"/>
      </w:pPr>
      <w:bookmarkStart w:id="918" w:name="bookmark918"/>
      <w:bookmarkStart w:id="919" w:name="bookmark919"/>
      <w:bookmarkStart w:id="920" w:name="bookmark920"/>
      <w:bookmarkStart w:id="921" w:name="bookmark921"/>
      <w:r>
        <w:rPr>
          <w:color w:val="000000"/>
          <w:spacing w:val="0"/>
          <w:w w:val="100"/>
          <w:position w:val="0"/>
        </w:rPr>
        <w:t>（</w:t>
      </w:r>
      <w:bookmarkEnd w:id="920"/>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18"/>
      <w:bookmarkEnd w:id="919"/>
      <w:bookmarkEnd w:id="921"/>
    </w:p>
    <w:p>
      <w:pPr>
        <w:pStyle w:val="Style59"/>
        <w:keepNext w:val="0"/>
        <w:keepLines w:val="0"/>
        <w:widowControl w:val="0"/>
        <w:shd w:val="clear" w:color="auto" w:fill="auto"/>
        <w:bidi w:val="0"/>
        <w:spacing w:before="0" w:after="0" w:line="475" w:lineRule="exact"/>
        <w:ind w:left="0" w:right="0" w:firstLine="500"/>
        <w:jc w:val="both"/>
      </w:pPr>
      <w:r>
        <w:rPr>
          <w:color w:val="000000"/>
          <w:spacing w:val="0"/>
          <w:w w:val="100"/>
          <w:position w:val="0"/>
          <w:sz w:val="24"/>
          <w:szCs w:val="24"/>
        </w:rPr>
        <w:t>固定资产指为生产商品、提供劳务、出租或经营管理而持有，并且使用寿命超过一个会 计年度的有形资产。固定资产同时满足下列条件的，才能予以确认：</w:t>
      </w:r>
    </w:p>
    <w:p>
      <w:pPr>
        <w:pStyle w:val="Style59"/>
        <w:keepNext w:val="0"/>
        <w:keepLines w:val="0"/>
        <w:widowControl w:val="0"/>
        <w:numPr>
          <w:ilvl w:val="0"/>
          <w:numId w:val="67"/>
        </w:numPr>
        <w:shd w:val="clear" w:color="auto" w:fill="auto"/>
        <w:tabs>
          <w:tab w:pos="921" w:val="left"/>
        </w:tabs>
        <w:bidi w:val="0"/>
        <w:spacing w:before="0" w:after="0" w:line="475" w:lineRule="exact"/>
        <w:ind w:left="0" w:right="0" w:firstLine="500"/>
        <w:jc w:val="both"/>
      </w:pPr>
      <w:bookmarkStart w:id="922" w:name="bookmark922"/>
      <w:bookmarkEnd w:id="922"/>
      <w:r>
        <w:rPr>
          <w:color w:val="000000"/>
          <w:spacing w:val="0"/>
          <w:w w:val="100"/>
          <w:position w:val="0"/>
          <w:sz w:val="24"/>
          <w:szCs w:val="24"/>
        </w:rPr>
        <w:t>与该固定资产有关的经济利益很可能流入企业；</w:t>
      </w:r>
    </w:p>
    <w:p>
      <w:pPr>
        <w:pStyle w:val="Style59"/>
        <w:keepNext w:val="0"/>
        <w:keepLines w:val="0"/>
        <w:widowControl w:val="0"/>
        <w:numPr>
          <w:ilvl w:val="0"/>
          <w:numId w:val="67"/>
        </w:numPr>
        <w:shd w:val="clear" w:color="auto" w:fill="auto"/>
        <w:tabs>
          <w:tab w:pos="921" w:val="left"/>
        </w:tabs>
        <w:bidi w:val="0"/>
        <w:spacing w:before="0" w:after="380" w:line="475" w:lineRule="exact"/>
        <w:ind w:left="0" w:right="0" w:firstLine="500"/>
        <w:jc w:val="both"/>
      </w:pPr>
      <w:bookmarkStart w:id="923" w:name="bookmark923"/>
      <w:bookmarkEnd w:id="923"/>
      <w:r>
        <w:rPr>
          <w:color w:val="000000"/>
          <w:spacing w:val="0"/>
          <w:w w:val="100"/>
          <w:position w:val="0"/>
          <w:sz w:val="24"/>
          <w:szCs w:val="24"/>
        </w:rPr>
        <w:t>该固定资产的成本能够可靠地计量。</w:t>
      </w:r>
    </w:p>
    <w:p>
      <w:pPr>
        <w:pStyle w:val="Style21"/>
        <w:keepNext w:val="0"/>
        <w:keepLines w:val="0"/>
        <w:widowControl w:val="0"/>
        <w:shd w:val="clear" w:color="auto" w:fill="auto"/>
        <w:bidi w:val="0"/>
        <w:spacing w:before="0" w:after="0" w:line="240" w:lineRule="auto"/>
        <w:ind w:left="5" w:right="0" w:firstLine="0"/>
        <w:jc w:val="left"/>
        <w:rPr>
          <w:sz w:val="20"/>
          <w:szCs w:val="20"/>
        </w:rPr>
      </w:pPr>
      <w:bookmarkStart w:id="924" w:name="bookmark924"/>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bookmarkEnd w:id="924"/>
    </w:p>
    <w:tbl>
      <w:tblPr>
        <w:tblOverlap w:val="never"/>
        <w:jc w:val="center"/>
        <w:tblLayout w:type="fixed"/>
      </w:tblPr>
      <w:tblGrid>
        <w:gridCol w:w="1920"/>
        <w:gridCol w:w="1915"/>
        <w:gridCol w:w="1915"/>
        <w:gridCol w:w="1910"/>
        <w:gridCol w:w="192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1.90%-3.88%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9.50%-32.33%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19.00%-32.33%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19.00%-32.33%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13.57%-32.33%</w:t>
            </w:r>
          </w:p>
        </w:tc>
      </w:tr>
    </w:tbl>
    <w:p>
      <w:pPr>
        <w:pStyle w:val="Style21"/>
        <w:keepNext w:val="0"/>
        <w:keepLines w:val="0"/>
        <w:widowControl w:val="0"/>
        <w:shd w:val="clear" w:color="auto" w:fill="auto"/>
        <w:bidi w:val="0"/>
        <w:spacing w:before="0" w:after="0" w:line="240" w:lineRule="auto"/>
        <w:ind w:left="5" w:right="0" w:firstLine="0"/>
        <w:jc w:val="left"/>
        <w:rPr>
          <w:sz w:val="20"/>
          <w:szCs w:val="20"/>
        </w:rPr>
      </w:pPr>
      <w:bookmarkStart w:id="925" w:name="bookmark925"/>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)融资租入固定资产的认定依据、计价和折旧方法</w:t>
      </w:r>
      <w:bookmarkEnd w:id="925"/>
    </w:p>
    <w:p>
      <w:pPr>
        <w:widowControl w:val="0"/>
        <w:spacing w:after="219" w:line="1" w:lineRule="exact"/>
      </w:pPr>
    </w:p>
    <w:p>
      <w:pPr>
        <w:pStyle w:val="Style59"/>
        <w:keepNext w:val="0"/>
        <w:keepLines w:val="0"/>
        <w:widowControl w:val="0"/>
        <w:shd w:val="clear" w:color="auto" w:fill="auto"/>
        <w:bidi w:val="0"/>
        <w:spacing w:before="0" w:after="0" w:line="470" w:lineRule="exact"/>
        <w:ind w:left="0" w:right="0" w:firstLine="500"/>
        <w:jc w:val="both"/>
      </w:pPr>
      <w:r>
        <w:rPr>
          <w:color w:val="000000"/>
          <w:spacing w:val="0"/>
          <w:w w:val="100"/>
          <w:position w:val="0"/>
          <w:sz w:val="24"/>
          <w:szCs w:val="24"/>
        </w:rPr>
        <w:t>融资租入固定资产的认定依据：实质上转移了与资产所有权有关的全部风险和报酬的租 赁。具体认定依据为符合下列一项或数项条件的：</w:t>
      </w:r>
    </w:p>
    <w:p>
      <w:pPr>
        <w:pStyle w:val="Style59"/>
        <w:keepNext w:val="0"/>
        <w:keepLines w:val="0"/>
        <w:widowControl w:val="0"/>
        <w:numPr>
          <w:ilvl w:val="0"/>
          <w:numId w:val="69"/>
        </w:numPr>
        <w:shd w:val="clear" w:color="auto" w:fill="auto"/>
        <w:tabs>
          <w:tab w:pos="921" w:val="left"/>
        </w:tabs>
        <w:bidi w:val="0"/>
        <w:spacing w:before="0" w:after="0" w:line="470" w:lineRule="exact"/>
        <w:ind w:left="0" w:right="0" w:firstLine="500"/>
        <w:jc w:val="left"/>
      </w:pPr>
      <w:bookmarkStart w:id="926" w:name="bookmark926"/>
      <w:bookmarkEnd w:id="926"/>
      <w:r>
        <w:rPr>
          <w:color w:val="000000"/>
          <w:spacing w:val="0"/>
          <w:w w:val="100"/>
          <w:position w:val="0"/>
          <w:sz w:val="24"/>
          <w:szCs w:val="24"/>
        </w:rPr>
        <w:t>在租赁期届满时，租赁资产的所有权转移给承租人；</w:t>
      </w:r>
    </w:p>
    <w:p>
      <w:pPr>
        <w:pStyle w:val="Style59"/>
        <w:keepNext w:val="0"/>
        <w:keepLines w:val="0"/>
        <w:widowControl w:val="0"/>
        <w:numPr>
          <w:ilvl w:val="0"/>
          <w:numId w:val="69"/>
        </w:numPr>
        <w:shd w:val="clear" w:color="auto" w:fill="auto"/>
        <w:tabs>
          <w:tab w:pos="891" w:val="left"/>
        </w:tabs>
        <w:bidi w:val="0"/>
        <w:spacing w:before="0" w:after="0" w:line="470" w:lineRule="exact"/>
        <w:ind w:left="0" w:right="0" w:firstLine="500"/>
        <w:jc w:val="both"/>
      </w:pPr>
      <w:bookmarkStart w:id="927" w:name="bookmark927"/>
      <w:bookmarkEnd w:id="927"/>
      <w:r>
        <w:rPr>
          <w:color w:val="000000"/>
          <w:spacing w:val="0"/>
          <w:w w:val="100"/>
          <w:position w:val="0"/>
          <w:sz w:val="24"/>
          <w:szCs w:val="24"/>
        </w:rPr>
        <w:t>承租人有购买租赁资产的选择权，所订立的购买价款预计将远低于行使选择权时租赁 资产的公允价值，因而在租赁开始日就可以合理确定承租人会行使这种选择权；</w:t>
      </w:r>
    </w:p>
    <w:p>
      <w:pPr>
        <w:pStyle w:val="Style59"/>
        <w:keepNext w:val="0"/>
        <w:keepLines w:val="0"/>
        <w:widowControl w:val="0"/>
        <w:numPr>
          <w:ilvl w:val="0"/>
          <w:numId w:val="69"/>
        </w:numPr>
        <w:shd w:val="clear" w:color="auto" w:fill="auto"/>
        <w:tabs>
          <w:tab w:pos="921" w:val="left"/>
        </w:tabs>
        <w:bidi w:val="0"/>
        <w:spacing w:before="0" w:after="0" w:line="470" w:lineRule="exact"/>
        <w:ind w:left="0" w:right="0" w:firstLine="500"/>
        <w:jc w:val="both"/>
      </w:pPr>
      <w:bookmarkStart w:id="928" w:name="bookmark928"/>
      <w:bookmarkEnd w:id="928"/>
      <w:r>
        <w:rPr>
          <w:color w:val="000000"/>
          <w:spacing w:val="0"/>
          <w:w w:val="100"/>
          <w:position w:val="0"/>
          <w:sz w:val="24"/>
          <w:szCs w:val="24"/>
        </w:rPr>
        <w:t>即使资产的所有权不转移，但租赁期占租赁资产使用寿命的大部分；</w:t>
      </w:r>
    </w:p>
    <w:p>
      <w:pPr>
        <w:pStyle w:val="Style59"/>
        <w:keepNext w:val="0"/>
        <w:keepLines w:val="0"/>
        <w:widowControl w:val="0"/>
        <w:numPr>
          <w:ilvl w:val="0"/>
          <w:numId w:val="69"/>
        </w:numPr>
        <w:shd w:val="clear" w:color="auto" w:fill="auto"/>
        <w:tabs>
          <w:tab w:pos="921" w:val="left"/>
        </w:tabs>
        <w:bidi w:val="0"/>
        <w:spacing w:before="0" w:after="220" w:line="470" w:lineRule="exact"/>
        <w:ind w:left="0" w:right="0" w:firstLine="500"/>
        <w:jc w:val="both"/>
      </w:pPr>
      <w:bookmarkStart w:id="929" w:name="bookmark929"/>
      <w:bookmarkEnd w:id="929"/>
      <w:r>
        <w:rPr>
          <w:color w:val="000000"/>
          <w:spacing w:val="0"/>
          <w:w w:val="100"/>
          <w:position w:val="0"/>
          <w:sz w:val="24"/>
          <w:szCs w:val="24"/>
        </w:rPr>
        <w:t>承租人在租赁开始日的最低租赁付款额现值，几乎相当于租赁开始日租赁资产公允价</w:t>
      </w:r>
    </w:p>
    <w:p>
      <w:pPr>
        <w:pStyle w:val="Style59"/>
        <w:keepNext w:val="0"/>
        <w:keepLines w:val="0"/>
        <w:widowControl w:val="0"/>
        <w:shd w:val="clear" w:color="auto" w:fill="auto"/>
        <w:bidi w:val="0"/>
        <w:spacing w:before="0" w:after="0" w:line="475" w:lineRule="exact"/>
        <w:ind w:left="0" w:right="0" w:firstLine="0"/>
        <w:jc w:val="both"/>
      </w:pPr>
      <w:r>
        <w:rPr>
          <w:color w:val="000000"/>
          <w:spacing w:val="0"/>
          <w:w w:val="100"/>
          <w:position w:val="0"/>
          <w:sz w:val="24"/>
          <w:szCs w:val="24"/>
        </w:rPr>
        <w:t>值；</w:t>
      </w:r>
    </w:p>
    <w:p>
      <w:pPr>
        <w:pStyle w:val="Style59"/>
        <w:keepNext w:val="0"/>
        <w:keepLines w:val="0"/>
        <w:widowControl w:val="0"/>
        <w:numPr>
          <w:ilvl w:val="0"/>
          <w:numId w:val="69"/>
        </w:numPr>
        <w:shd w:val="clear" w:color="auto" w:fill="auto"/>
        <w:tabs>
          <w:tab w:pos="921" w:val="left"/>
        </w:tabs>
        <w:bidi w:val="0"/>
        <w:spacing w:before="0" w:after="0" w:line="475" w:lineRule="exact"/>
        <w:ind w:left="0" w:right="0" w:firstLine="500"/>
        <w:jc w:val="left"/>
      </w:pPr>
      <w:bookmarkStart w:id="930" w:name="bookmark930"/>
      <w:bookmarkEnd w:id="930"/>
      <w:r>
        <w:rPr>
          <w:color w:val="000000"/>
          <w:spacing w:val="0"/>
          <w:w w:val="100"/>
          <w:position w:val="0"/>
          <w:sz w:val="24"/>
          <w:szCs w:val="24"/>
        </w:rPr>
        <w:t>租赁资产性质特殊，如不作较大改造只有承租人才能使用。</w:t>
      </w:r>
    </w:p>
    <w:p>
      <w:pPr>
        <w:pStyle w:val="Style59"/>
        <w:keepNext w:val="0"/>
        <w:keepLines w:val="0"/>
        <w:widowControl w:val="0"/>
        <w:shd w:val="clear" w:color="auto" w:fill="auto"/>
        <w:bidi w:val="0"/>
        <w:spacing w:before="0" w:after="0" w:line="475" w:lineRule="exact"/>
        <w:ind w:left="0" w:right="0" w:firstLine="500"/>
        <w:jc w:val="both"/>
      </w:pPr>
      <w:r>
        <w:rPr>
          <w:color w:val="000000"/>
          <w:spacing w:val="0"/>
          <w:w w:val="100"/>
          <w:position w:val="0"/>
          <w:sz w:val="24"/>
          <w:szCs w:val="24"/>
        </w:rPr>
        <w:t>融资租入固定资产的计价方法：融资租入固定资产初始计价为租赁期开始日租赁资产公 允价值与最低租赁付款额现值较低者作为入账价值。</w:t>
      </w:r>
    </w:p>
    <w:p>
      <w:pPr>
        <w:pStyle w:val="Style59"/>
        <w:keepNext w:val="0"/>
        <w:keepLines w:val="0"/>
        <w:widowControl w:val="0"/>
        <w:shd w:val="clear" w:color="auto" w:fill="auto"/>
        <w:bidi w:val="0"/>
        <w:spacing w:before="0" w:after="400" w:line="475" w:lineRule="exact"/>
        <w:ind w:left="0" w:right="0" w:firstLine="500"/>
        <w:jc w:val="both"/>
      </w:pPr>
      <w:r>
        <w:rPr>
          <w:color w:val="000000"/>
          <w:spacing w:val="0"/>
          <w:w w:val="100"/>
          <w:position w:val="0"/>
          <w:sz w:val="24"/>
          <w:szCs w:val="24"/>
        </w:rPr>
        <w:t>融资租入固定资产后续计价采用与自有固定资产相一致的折旧政策计提折旧及减值准 备。</w:t>
      </w:r>
    </w:p>
    <w:p>
      <w:pPr>
        <w:pStyle w:val="Style24"/>
        <w:keepNext/>
        <w:keepLines/>
        <w:widowControl w:val="0"/>
        <w:shd w:val="clear" w:color="auto" w:fill="auto"/>
        <w:tabs>
          <w:tab w:pos="483" w:val="left"/>
        </w:tabs>
        <w:bidi w:val="0"/>
        <w:spacing w:before="0" w:after="220" w:line="240" w:lineRule="auto"/>
        <w:ind w:left="0" w:right="0" w:firstLine="0"/>
        <w:jc w:val="both"/>
      </w:pPr>
      <w:bookmarkStart w:id="931" w:name="bookmark931"/>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2</w:t>
      </w:r>
      <w:bookmarkEnd w:id="933"/>
      <w:r>
        <w:rPr>
          <w:rFonts w:ascii="Times New Roman" w:eastAsia="Times New Roman" w:hAnsi="Times New Roman" w:cs="Times New Roman"/>
          <w:color w:val="000000"/>
          <w:spacing w:val="0"/>
          <w:w w:val="100"/>
          <w:position w:val="0"/>
        </w:rPr>
        <w:t>2</w:t>
      </w:r>
      <w:r>
        <w:rPr>
          <w:color w:val="000000"/>
          <w:spacing w:val="0"/>
          <w:w w:val="100"/>
          <w:position w:val="0"/>
        </w:rPr>
        <w:t>、</w:t>
        <w:tab/>
        <w:t>在建工程</w:t>
      </w:r>
      <w:bookmarkEnd w:id="931"/>
      <w:bookmarkEnd w:id="932"/>
      <w:bookmarkEnd w:id="934"/>
    </w:p>
    <w:p>
      <w:pPr>
        <w:pStyle w:val="Style59"/>
        <w:keepNext w:val="0"/>
        <w:keepLines w:val="0"/>
        <w:widowControl w:val="0"/>
        <w:numPr>
          <w:ilvl w:val="0"/>
          <w:numId w:val="71"/>
        </w:numPr>
        <w:shd w:val="clear" w:color="auto" w:fill="auto"/>
        <w:tabs>
          <w:tab w:pos="954" w:val="left"/>
        </w:tabs>
        <w:bidi w:val="0"/>
        <w:spacing w:before="0" w:after="0" w:line="470" w:lineRule="exact"/>
        <w:ind w:left="0" w:right="0" w:firstLine="500"/>
        <w:jc w:val="left"/>
      </w:pPr>
      <w:bookmarkStart w:id="935" w:name="bookmark935"/>
      <w:bookmarkEnd w:id="935"/>
      <w:r>
        <w:rPr>
          <w:color w:val="000000"/>
          <w:spacing w:val="0"/>
          <w:w w:val="100"/>
          <w:position w:val="0"/>
          <w:sz w:val="24"/>
          <w:szCs w:val="24"/>
        </w:rPr>
        <w:t>包括公司基建、更新改造等发生的支出，该项支出包含工程物资；</w:t>
      </w:r>
    </w:p>
    <w:p>
      <w:pPr>
        <w:pStyle w:val="Style59"/>
        <w:keepNext w:val="0"/>
        <w:keepLines w:val="0"/>
        <w:widowControl w:val="0"/>
        <w:numPr>
          <w:ilvl w:val="0"/>
          <w:numId w:val="71"/>
        </w:numPr>
        <w:shd w:val="clear" w:color="auto" w:fill="auto"/>
        <w:tabs>
          <w:tab w:pos="954" w:val="left"/>
        </w:tabs>
        <w:bidi w:val="0"/>
        <w:spacing w:before="0" w:after="400" w:line="470" w:lineRule="exact"/>
        <w:ind w:left="0" w:right="0" w:firstLine="500"/>
        <w:jc w:val="left"/>
      </w:pPr>
      <w:bookmarkStart w:id="936" w:name="bookmark936"/>
      <w:bookmarkEnd w:id="936"/>
      <w:r>
        <w:rPr>
          <w:color w:val="000000"/>
          <w:spacing w:val="0"/>
          <w:w w:val="100"/>
          <w:position w:val="0"/>
          <w:sz w:val="24"/>
          <w:szCs w:val="24"/>
        </w:rPr>
        <w:t>在建工程达到预定可使用状态时转入固定资产。</w:t>
      </w:r>
    </w:p>
    <w:p>
      <w:pPr>
        <w:pStyle w:val="Style24"/>
        <w:keepNext/>
        <w:keepLines/>
        <w:widowControl w:val="0"/>
        <w:shd w:val="clear" w:color="auto" w:fill="auto"/>
        <w:tabs>
          <w:tab w:pos="483" w:val="left"/>
        </w:tabs>
        <w:bidi w:val="0"/>
        <w:spacing w:before="0" w:after="220" w:line="240" w:lineRule="auto"/>
        <w:ind w:left="0" w:right="0" w:firstLine="0"/>
        <w:jc w:val="both"/>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2</w:t>
      </w:r>
      <w:bookmarkEnd w:id="939"/>
      <w:r>
        <w:rPr>
          <w:rFonts w:ascii="Times New Roman" w:eastAsia="Times New Roman" w:hAnsi="Times New Roman" w:cs="Times New Roman"/>
          <w:color w:val="000000"/>
          <w:spacing w:val="0"/>
          <w:w w:val="100"/>
          <w:position w:val="0"/>
        </w:rPr>
        <w:t>3</w:t>
      </w:r>
      <w:r>
        <w:rPr>
          <w:color w:val="000000"/>
          <w:spacing w:val="0"/>
          <w:w w:val="100"/>
          <w:position w:val="0"/>
        </w:rPr>
        <w:t>、</w:t>
        <w:tab/>
        <w:t>借款费用</w:t>
      </w:r>
      <w:bookmarkEnd w:id="937"/>
      <w:bookmarkEnd w:id="938"/>
      <w:bookmarkEnd w:id="940"/>
    </w:p>
    <w:p>
      <w:pPr>
        <w:pStyle w:val="Style59"/>
        <w:keepNext w:val="0"/>
        <w:keepLines w:val="0"/>
        <w:widowControl w:val="0"/>
        <w:numPr>
          <w:ilvl w:val="0"/>
          <w:numId w:val="73"/>
        </w:numPr>
        <w:shd w:val="clear" w:color="auto" w:fill="auto"/>
        <w:bidi w:val="0"/>
        <w:spacing w:before="0" w:after="920" w:line="466" w:lineRule="exact"/>
        <w:ind w:left="0" w:right="0" w:firstLine="500"/>
        <w:jc w:val="both"/>
      </w:pPr>
      <w:bookmarkStart w:id="941" w:name="bookmark941"/>
      <w:bookmarkEnd w:id="941"/>
      <w:r>
        <w:rPr>
          <w:color w:val="000000"/>
          <w:spacing w:val="0"/>
          <w:w w:val="100"/>
          <w:position w:val="0"/>
          <w:sz w:val="24"/>
          <w:szCs w:val="24"/>
        </w:rPr>
        <w:t xml:space="preserve">公司发生的借款费用，可直接归属于符合资本化条件的资产的购建或者生产的，予 以资本化，计入相关资产成本。符合资本化条件的资产，是指需要经过相当长的时间的(通常 </w:t>
      </w:r>
      <w:r>
        <w:rPr>
          <w:color w:val="000000"/>
          <w:spacing w:val="0"/>
          <w:w w:val="100"/>
          <w:position w:val="0"/>
          <w:sz w:val="24"/>
          <w:szCs w:val="24"/>
        </w:rPr>
        <w:t>是指1年及1年以上)购建或者生产活动才能达到预定可使用可销售状态的固定资产、投资性房 地产和存货等资产。其他借款费用，应当在发生时根据其发生额确认为费用，计入当期损益。 借款费用包括借款利息、折价或者溢价的摊销、辅助费用以及因外币借款而发生的汇兑差额</w:t>
      </w:r>
    </w:p>
    <w:p>
      <w:pPr>
        <w:pStyle w:val="Style59"/>
        <w:keepNext w:val="0"/>
        <w:keepLines w:val="0"/>
        <w:widowControl w:val="0"/>
        <w:numPr>
          <w:ilvl w:val="0"/>
          <w:numId w:val="73"/>
        </w:numPr>
        <w:shd w:val="clear" w:color="auto" w:fill="auto"/>
        <w:tabs>
          <w:tab w:pos="934" w:val="left"/>
        </w:tabs>
        <w:bidi w:val="0"/>
        <w:spacing w:before="0" w:after="0" w:line="470" w:lineRule="exact"/>
        <w:ind w:left="0" w:right="0" w:firstLine="480"/>
        <w:jc w:val="both"/>
      </w:pPr>
      <w:bookmarkStart w:id="942" w:name="bookmark942"/>
      <w:bookmarkEnd w:id="942"/>
      <w:r>
        <w:rPr>
          <w:color w:val="000000"/>
          <w:spacing w:val="0"/>
          <w:w w:val="100"/>
          <w:position w:val="0"/>
          <w:sz w:val="24"/>
          <w:szCs w:val="24"/>
        </w:rPr>
        <w:t>借款费用同时满足下列条件的，开始资本化：</w:t>
      </w:r>
    </w:p>
    <w:p>
      <w:pPr>
        <w:pStyle w:val="Style59"/>
        <w:keepNext w:val="0"/>
        <w:keepLines w:val="0"/>
        <w:widowControl w:val="0"/>
        <w:numPr>
          <w:ilvl w:val="0"/>
          <w:numId w:val="75"/>
        </w:numPr>
        <w:shd w:val="clear" w:color="auto" w:fill="auto"/>
        <w:tabs>
          <w:tab w:pos="896" w:val="left"/>
        </w:tabs>
        <w:bidi w:val="0"/>
        <w:spacing w:before="0" w:after="0" w:line="470" w:lineRule="exact"/>
        <w:ind w:left="0" w:right="0" w:firstLine="480"/>
        <w:jc w:val="both"/>
      </w:pPr>
      <w:bookmarkStart w:id="943" w:name="bookmark943"/>
      <w:bookmarkEnd w:id="943"/>
      <w:r>
        <w:rPr>
          <w:color w:val="000000"/>
          <w:spacing w:val="0"/>
          <w:w w:val="100"/>
          <w:position w:val="0"/>
          <w:sz w:val="24"/>
          <w:szCs w:val="24"/>
        </w:rPr>
        <w:t>资产支出已发生，资产支出包括为购建或者生产符合资本化条件的资产而支付的现 金、转移非现金资产或者承担带息债务形式发生的支出；</w:t>
      </w:r>
    </w:p>
    <w:p>
      <w:pPr>
        <w:pStyle w:val="Style59"/>
        <w:keepNext w:val="0"/>
        <w:keepLines w:val="0"/>
        <w:widowControl w:val="0"/>
        <w:numPr>
          <w:ilvl w:val="0"/>
          <w:numId w:val="75"/>
        </w:numPr>
        <w:shd w:val="clear" w:color="auto" w:fill="auto"/>
        <w:tabs>
          <w:tab w:pos="901" w:val="left"/>
        </w:tabs>
        <w:bidi w:val="0"/>
        <w:spacing w:before="0" w:after="0" w:line="470" w:lineRule="exact"/>
        <w:ind w:left="0" w:right="0" w:firstLine="480"/>
        <w:jc w:val="both"/>
      </w:pPr>
      <w:bookmarkStart w:id="944" w:name="bookmark944"/>
      <w:bookmarkEnd w:id="944"/>
      <w:r>
        <w:rPr>
          <w:color w:val="000000"/>
          <w:spacing w:val="0"/>
          <w:w w:val="100"/>
          <w:position w:val="0"/>
          <w:sz w:val="24"/>
          <w:szCs w:val="24"/>
        </w:rPr>
        <w:t>借款费用已经发生；</w:t>
      </w:r>
    </w:p>
    <w:p>
      <w:pPr>
        <w:pStyle w:val="Style59"/>
        <w:keepNext w:val="0"/>
        <w:keepLines w:val="0"/>
        <w:widowControl w:val="0"/>
        <w:numPr>
          <w:ilvl w:val="0"/>
          <w:numId w:val="75"/>
        </w:numPr>
        <w:shd w:val="clear" w:color="auto" w:fill="auto"/>
        <w:tabs>
          <w:tab w:pos="901" w:val="left"/>
        </w:tabs>
        <w:bidi w:val="0"/>
        <w:spacing w:before="0" w:after="0" w:line="470" w:lineRule="exact"/>
        <w:ind w:left="0" w:right="0" w:firstLine="480"/>
        <w:jc w:val="both"/>
      </w:pPr>
      <w:bookmarkStart w:id="945" w:name="bookmark945"/>
      <w:bookmarkEnd w:id="945"/>
      <w:r>
        <w:rPr>
          <w:color w:val="000000"/>
          <w:spacing w:val="0"/>
          <w:w w:val="100"/>
          <w:position w:val="0"/>
          <w:sz w:val="24"/>
          <w:szCs w:val="24"/>
        </w:rPr>
        <w:t>为使资产达到预定可使用或者可销售状态所必要的购建或者生产活动已经开始。</w:t>
      </w:r>
    </w:p>
    <w:p>
      <w:pPr>
        <w:pStyle w:val="Style59"/>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购建或者生产符合资本化条件的资产达到预定可使用或者可销售状态时，借款费用停止 资本化。</w:t>
      </w:r>
    </w:p>
    <w:p>
      <w:pPr>
        <w:pStyle w:val="Style59"/>
        <w:keepNext w:val="0"/>
        <w:keepLines w:val="0"/>
        <w:widowControl w:val="0"/>
        <w:shd w:val="clear" w:color="auto" w:fill="auto"/>
        <w:bidi w:val="0"/>
        <w:spacing w:before="0" w:after="440" w:line="470" w:lineRule="exact"/>
        <w:ind w:left="0" w:right="0" w:firstLine="480"/>
        <w:jc w:val="both"/>
      </w:pPr>
      <w:r>
        <w:rPr>
          <w:color w:val="000000"/>
          <w:spacing w:val="0"/>
          <w:w w:val="100"/>
          <w:position w:val="0"/>
          <w:sz w:val="24"/>
          <w:szCs w:val="24"/>
        </w:rPr>
        <w:t>符合资本化条件的资产在购建或者生产过程中发生非正常中断，且中断时间连续超过3 个月的，暂停借款费用的资本化。在中断期间发生的借款费用确认为费用，计入当期损益， 直至资产的购建或者生产活动重新开始。如果中断是所购建或者生产的符合资本化条件的资 产达到预定可使用或可销售状态必要的程序，借款费用的资本化则继续进行。</w:t>
      </w:r>
    </w:p>
    <w:p>
      <w:pPr>
        <w:pStyle w:val="Style59"/>
        <w:keepNext w:val="0"/>
        <w:keepLines w:val="0"/>
        <w:widowControl w:val="0"/>
        <w:numPr>
          <w:ilvl w:val="0"/>
          <w:numId w:val="73"/>
        </w:numPr>
        <w:shd w:val="clear" w:color="auto" w:fill="auto"/>
        <w:tabs>
          <w:tab w:pos="968" w:val="left"/>
        </w:tabs>
        <w:bidi w:val="0"/>
        <w:spacing w:before="0" w:after="0" w:line="470" w:lineRule="exact"/>
        <w:ind w:left="0" w:right="0" w:firstLine="480"/>
        <w:jc w:val="both"/>
      </w:pPr>
      <w:bookmarkStart w:id="946" w:name="bookmark946"/>
      <w:bookmarkEnd w:id="946"/>
      <w:r>
        <w:rPr>
          <w:color w:val="000000"/>
          <w:spacing w:val="0"/>
          <w:w w:val="100"/>
          <w:position w:val="0"/>
          <w:sz w:val="24"/>
          <w:szCs w:val="24"/>
        </w:rPr>
        <w:t>在资本化期间内，每一会计期间的利息(包括折价或溢价的摊销)资本化金额，按照 下列规定确定：</w:t>
      </w:r>
    </w:p>
    <w:p>
      <w:pPr>
        <w:pStyle w:val="Style59"/>
        <w:keepNext w:val="0"/>
        <w:keepLines w:val="0"/>
        <w:widowControl w:val="0"/>
        <w:numPr>
          <w:ilvl w:val="0"/>
          <w:numId w:val="77"/>
        </w:numPr>
        <w:shd w:val="clear" w:color="auto" w:fill="auto"/>
        <w:tabs>
          <w:tab w:pos="891" w:val="left"/>
        </w:tabs>
        <w:bidi w:val="0"/>
        <w:spacing w:before="0" w:after="0" w:line="470" w:lineRule="exact"/>
        <w:ind w:left="0" w:right="0" w:firstLine="480"/>
        <w:jc w:val="both"/>
      </w:pPr>
      <w:bookmarkStart w:id="947" w:name="bookmark947"/>
      <w:bookmarkEnd w:id="947"/>
      <w:r>
        <w:rPr>
          <w:color w:val="000000"/>
          <w:spacing w:val="0"/>
          <w:w w:val="100"/>
          <w:position w:val="0"/>
          <w:sz w:val="24"/>
          <w:szCs w:val="24"/>
        </w:rPr>
        <w:t>为购建或者生产符合资本化条件的资产而借入专门借款的，以专门借款当期实际发生 的利息费用，减去尚未动用的借款资金存入银行取得的利息收入或进行暂时性投资取得的投 资收益后的金额确定。</w:t>
      </w:r>
    </w:p>
    <w:p>
      <w:pPr>
        <w:pStyle w:val="Style59"/>
        <w:keepNext w:val="0"/>
        <w:keepLines w:val="0"/>
        <w:widowControl w:val="0"/>
        <w:numPr>
          <w:ilvl w:val="0"/>
          <w:numId w:val="77"/>
        </w:numPr>
        <w:shd w:val="clear" w:color="auto" w:fill="auto"/>
        <w:tabs>
          <w:tab w:pos="901" w:val="left"/>
        </w:tabs>
        <w:bidi w:val="0"/>
        <w:spacing w:before="0" w:after="0" w:line="470" w:lineRule="exact"/>
        <w:ind w:left="0" w:right="0" w:firstLine="480"/>
        <w:jc w:val="both"/>
      </w:pPr>
      <w:bookmarkStart w:id="948" w:name="bookmark948"/>
      <w:bookmarkEnd w:id="948"/>
      <w:r>
        <w:rPr>
          <w:color w:val="000000"/>
          <w:spacing w:val="0"/>
          <w:w w:val="100"/>
          <w:position w:val="0"/>
          <w:sz w:val="24"/>
          <w:szCs w:val="24"/>
        </w:rPr>
        <w:t>为购建或者生产符合资本化条件的资产而占用了一般借款的，根据累计资产支出超过 专门借款部分的资产支出加权平均数乘以所占用的一般借款的资本化率，计算确定一般借款 应予资本化的利息金额。资本化率根据一般借款加权平均利率确定。</w:t>
      </w:r>
    </w:p>
    <w:p>
      <w:pPr>
        <w:pStyle w:val="Style59"/>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借款存在折价或溢价的，按照实际利率法确定每一会计期间相应摊销的折价或者溢价的 金额，调整每期利息金额。</w:t>
      </w:r>
    </w:p>
    <w:p>
      <w:pPr>
        <w:pStyle w:val="Style59"/>
        <w:keepNext w:val="0"/>
        <w:keepLines w:val="0"/>
        <w:widowControl w:val="0"/>
        <w:shd w:val="clear" w:color="auto" w:fill="auto"/>
        <w:bidi w:val="0"/>
        <w:spacing w:before="0" w:after="440" w:line="470" w:lineRule="exact"/>
        <w:ind w:left="0" w:right="0" w:firstLine="480"/>
        <w:jc w:val="both"/>
      </w:pPr>
      <w:r>
        <w:rPr>
          <w:color w:val="000000"/>
          <w:spacing w:val="0"/>
          <w:w w:val="100"/>
          <w:position w:val="0"/>
          <w:sz w:val="24"/>
          <w:szCs w:val="24"/>
        </w:rPr>
        <w:t>在资本化期间内，每一会计期间的利息资本化金额，不超过当期相关借款实际发生的利 息金额。</w:t>
      </w:r>
    </w:p>
    <w:p>
      <w:pPr>
        <w:pStyle w:val="Style59"/>
        <w:keepNext w:val="0"/>
        <w:keepLines w:val="0"/>
        <w:widowControl w:val="0"/>
        <w:numPr>
          <w:ilvl w:val="0"/>
          <w:numId w:val="73"/>
        </w:numPr>
        <w:shd w:val="clear" w:color="auto" w:fill="auto"/>
        <w:bidi w:val="0"/>
        <w:spacing w:before="0" w:after="400" w:line="470" w:lineRule="exact"/>
        <w:ind w:left="0" w:right="0" w:firstLine="500"/>
        <w:jc w:val="both"/>
      </w:pPr>
      <w:bookmarkStart w:id="949" w:name="bookmark949"/>
      <w:bookmarkEnd w:id="949"/>
      <w:r>
        <w:rPr>
          <w:color w:val="000000"/>
          <w:spacing w:val="0"/>
          <w:w w:val="100"/>
          <w:position w:val="0"/>
          <w:sz w:val="24"/>
          <w:szCs w:val="24"/>
        </w:rPr>
        <w:t>专门借款发生的辅助费用，在所购建或者生产的符合资本化条件的资产达到预定可 使用或者可销售状态之前发生的，在发生时根据其发生额予以资本化，计入符合资本化条件 的资产的成本；在所购建或者生产的符合资本化条件的资产达到预定可使用或者可销售状态 之后发生的，在发生时根据其发生额确认为费用，计入当期损益。一般借款发生的辅助费用， 在发生时根据其发生额确认为费用，计入当期损益。</w:t>
      </w:r>
    </w:p>
    <w:p>
      <w:pPr>
        <w:pStyle w:val="Style24"/>
        <w:keepNext/>
        <w:keepLines/>
        <w:widowControl w:val="0"/>
        <w:shd w:val="clear" w:color="auto" w:fill="auto"/>
        <w:bidi w:val="0"/>
        <w:spacing w:before="0" w:after="220" w:line="240" w:lineRule="auto"/>
        <w:ind w:left="0" w:right="0" w:firstLine="0"/>
        <w:jc w:val="both"/>
      </w:pPr>
      <w:bookmarkStart w:id="950" w:name="bookmark950"/>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rPr>
        <w:t>2</w:t>
      </w:r>
      <w:bookmarkEnd w:id="952"/>
      <w:r>
        <w:rPr>
          <w:rFonts w:ascii="Times New Roman" w:eastAsia="Times New Roman" w:hAnsi="Times New Roman" w:cs="Times New Roman"/>
          <w:color w:val="000000"/>
          <w:spacing w:val="0"/>
          <w:w w:val="100"/>
          <w:position w:val="0"/>
        </w:rPr>
        <w:t>4</w:t>
      </w:r>
      <w:r>
        <w:rPr>
          <w:color w:val="000000"/>
          <w:spacing w:val="0"/>
          <w:w w:val="100"/>
          <w:position w:val="0"/>
        </w:rPr>
        <w:t>、使用权资产</w:t>
      </w:r>
      <w:bookmarkEnd w:id="950"/>
      <w:bookmarkEnd w:id="951"/>
      <w:bookmarkEnd w:id="953"/>
    </w:p>
    <w:p>
      <w:pPr>
        <w:pStyle w:val="Style59"/>
        <w:keepNext w:val="0"/>
        <w:keepLines w:val="0"/>
        <w:widowControl w:val="0"/>
        <w:shd w:val="clear" w:color="auto" w:fill="auto"/>
        <w:bidi w:val="0"/>
        <w:spacing w:before="0" w:after="0" w:line="470" w:lineRule="exact"/>
        <w:ind w:left="0" w:right="0" w:firstLine="500"/>
        <w:jc w:val="both"/>
      </w:pPr>
      <w:r>
        <w:rPr>
          <w:color w:val="000000"/>
          <w:spacing w:val="0"/>
          <w:w w:val="100"/>
          <w:position w:val="0"/>
          <w:sz w:val="24"/>
          <w:szCs w:val="24"/>
        </w:rPr>
        <w:t>自2021年1月1日起适用</w:t>
      </w:r>
    </w:p>
    <w:p>
      <w:pPr>
        <w:pStyle w:val="Style59"/>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使用权资产类别主要包括房屋建筑物。</w:t>
      </w:r>
    </w:p>
    <w:p>
      <w:pPr>
        <w:pStyle w:val="Style59"/>
        <w:keepNext w:val="0"/>
        <w:keepLines w:val="0"/>
        <w:widowControl w:val="0"/>
        <w:numPr>
          <w:ilvl w:val="0"/>
          <w:numId w:val="79"/>
        </w:numPr>
        <w:shd w:val="clear" w:color="auto" w:fill="auto"/>
        <w:tabs>
          <w:tab w:pos="954" w:val="left"/>
        </w:tabs>
        <w:bidi w:val="0"/>
        <w:spacing w:before="0" w:after="0" w:line="468" w:lineRule="exact"/>
        <w:ind w:left="0" w:right="0" w:firstLine="500"/>
        <w:jc w:val="both"/>
      </w:pPr>
      <w:bookmarkStart w:id="954" w:name="bookmark954"/>
      <w:bookmarkEnd w:id="954"/>
      <w:r>
        <w:rPr>
          <w:color w:val="000000"/>
          <w:spacing w:val="0"/>
          <w:w w:val="100"/>
          <w:position w:val="0"/>
          <w:sz w:val="24"/>
          <w:szCs w:val="24"/>
        </w:rPr>
        <w:t>使用权资产确认条件</w:t>
      </w:r>
    </w:p>
    <w:p>
      <w:pPr>
        <w:pStyle w:val="Style59"/>
        <w:keepNext w:val="0"/>
        <w:keepLines w:val="0"/>
        <w:widowControl w:val="0"/>
        <w:shd w:val="clear" w:color="auto" w:fill="auto"/>
        <w:bidi w:val="0"/>
        <w:spacing w:before="0" w:after="440" w:line="468" w:lineRule="exact"/>
        <w:ind w:left="0" w:right="0" w:firstLine="500"/>
        <w:jc w:val="both"/>
      </w:pPr>
      <w:r>
        <w:rPr>
          <w:color w:val="000000"/>
          <w:spacing w:val="0"/>
          <w:w w:val="100"/>
          <w:position w:val="0"/>
          <w:sz w:val="24"/>
          <w:szCs w:val="24"/>
        </w:rPr>
        <w:t>使用权资产是指公司作为承租人可在租赁期内使用租赁资产的权利。公司在租赁期开始 日对租赁确认使用权资产。使用权资产在同时满足经济利益很可能流入、成本能够可靠计量 时予以确认。</w:t>
      </w:r>
    </w:p>
    <w:p>
      <w:pPr>
        <w:pStyle w:val="Style59"/>
        <w:keepNext w:val="0"/>
        <w:keepLines w:val="0"/>
        <w:widowControl w:val="0"/>
        <w:numPr>
          <w:ilvl w:val="0"/>
          <w:numId w:val="79"/>
        </w:numPr>
        <w:shd w:val="clear" w:color="auto" w:fill="auto"/>
        <w:tabs>
          <w:tab w:pos="954" w:val="left"/>
        </w:tabs>
        <w:bidi w:val="0"/>
        <w:spacing w:before="0" w:after="0" w:line="470" w:lineRule="exact"/>
        <w:ind w:left="0" w:right="0" w:firstLine="500"/>
        <w:jc w:val="both"/>
      </w:pPr>
      <w:bookmarkStart w:id="955" w:name="bookmark955"/>
      <w:bookmarkEnd w:id="955"/>
      <w:r>
        <w:rPr>
          <w:color w:val="000000"/>
          <w:spacing w:val="0"/>
          <w:w w:val="100"/>
          <w:position w:val="0"/>
          <w:sz w:val="24"/>
          <w:szCs w:val="24"/>
        </w:rPr>
        <w:t>使用权资产的初始计量</w:t>
      </w:r>
    </w:p>
    <w:p>
      <w:pPr>
        <w:pStyle w:val="Style59"/>
        <w:keepNext w:val="0"/>
        <w:keepLines w:val="0"/>
        <w:widowControl w:val="0"/>
        <w:shd w:val="clear" w:color="auto" w:fill="auto"/>
        <w:bidi w:val="0"/>
        <w:spacing w:before="0" w:after="0" w:line="470" w:lineRule="exact"/>
        <w:ind w:left="0" w:right="0" w:firstLine="500"/>
        <w:jc w:val="both"/>
      </w:pPr>
      <w:r>
        <w:rPr>
          <w:color w:val="000000"/>
          <w:spacing w:val="0"/>
          <w:w w:val="100"/>
          <w:position w:val="0"/>
          <w:sz w:val="24"/>
          <w:szCs w:val="24"/>
        </w:rPr>
        <w:t>使用权资产按照成本进行初始计量，该成本包括：</w:t>
      </w:r>
    </w:p>
    <w:p>
      <w:pPr>
        <w:pStyle w:val="Style59"/>
        <w:keepNext w:val="0"/>
        <w:keepLines w:val="0"/>
        <w:widowControl w:val="0"/>
        <w:numPr>
          <w:ilvl w:val="0"/>
          <w:numId w:val="81"/>
        </w:numPr>
        <w:shd w:val="clear" w:color="auto" w:fill="auto"/>
        <w:tabs>
          <w:tab w:pos="921" w:val="left"/>
        </w:tabs>
        <w:bidi w:val="0"/>
        <w:spacing w:before="0" w:after="0" w:line="470" w:lineRule="exact"/>
        <w:ind w:left="0" w:right="0" w:firstLine="500"/>
        <w:jc w:val="both"/>
      </w:pPr>
      <w:bookmarkStart w:id="956" w:name="bookmark956"/>
      <w:bookmarkEnd w:id="956"/>
      <w:r>
        <w:rPr>
          <w:color w:val="000000"/>
          <w:spacing w:val="0"/>
          <w:w w:val="100"/>
          <w:position w:val="0"/>
          <w:sz w:val="24"/>
          <w:szCs w:val="24"/>
        </w:rPr>
        <w:t>租赁负债的初始计量金额；</w:t>
      </w:r>
    </w:p>
    <w:p>
      <w:pPr>
        <w:pStyle w:val="Style59"/>
        <w:keepNext w:val="0"/>
        <w:keepLines w:val="0"/>
        <w:widowControl w:val="0"/>
        <w:numPr>
          <w:ilvl w:val="0"/>
          <w:numId w:val="81"/>
        </w:numPr>
        <w:shd w:val="clear" w:color="auto" w:fill="auto"/>
        <w:tabs>
          <w:tab w:pos="901" w:val="left"/>
        </w:tabs>
        <w:bidi w:val="0"/>
        <w:spacing w:before="0" w:after="0" w:line="470" w:lineRule="exact"/>
        <w:ind w:left="0" w:right="0" w:firstLine="500"/>
        <w:jc w:val="both"/>
      </w:pPr>
      <w:bookmarkStart w:id="957" w:name="bookmark957"/>
      <w:bookmarkEnd w:id="957"/>
      <w:r>
        <w:rPr>
          <w:color w:val="000000"/>
          <w:spacing w:val="0"/>
          <w:w w:val="100"/>
          <w:position w:val="0"/>
          <w:sz w:val="24"/>
          <w:szCs w:val="24"/>
        </w:rPr>
        <w:t>在租赁期开始日或之前支付的租赁付款额，存在租赁激励的，扣除已享受的租赁激励 相关金额；</w:t>
      </w:r>
    </w:p>
    <w:p>
      <w:pPr>
        <w:pStyle w:val="Style59"/>
        <w:keepNext w:val="0"/>
        <w:keepLines w:val="0"/>
        <w:widowControl w:val="0"/>
        <w:numPr>
          <w:ilvl w:val="0"/>
          <w:numId w:val="81"/>
        </w:numPr>
        <w:shd w:val="clear" w:color="auto" w:fill="auto"/>
        <w:tabs>
          <w:tab w:pos="921" w:val="left"/>
        </w:tabs>
        <w:bidi w:val="0"/>
        <w:spacing w:before="0" w:after="0" w:line="470" w:lineRule="exact"/>
        <w:ind w:left="0" w:right="0" w:firstLine="500"/>
        <w:jc w:val="both"/>
      </w:pPr>
      <w:bookmarkStart w:id="958" w:name="bookmark958"/>
      <w:bookmarkEnd w:id="958"/>
      <w:r>
        <w:rPr>
          <w:color w:val="000000"/>
          <w:spacing w:val="0"/>
          <w:w w:val="100"/>
          <w:position w:val="0"/>
          <w:sz w:val="24"/>
          <w:szCs w:val="24"/>
        </w:rPr>
        <w:t>承租人发生的初始直接费用；</w:t>
      </w:r>
    </w:p>
    <w:p>
      <w:pPr>
        <w:pStyle w:val="Style59"/>
        <w:keepNext w:val="0"/>
        <w:keepLines w:val="0"/>
        <w:widowControl w:val="0"/>
        <w:numPr>
          <w:ilvl w:val="0"/>
          <w:numId w:val="81"/>
        </w:numPr>
        <w:shd w:val="clear" w:color="auto" w:fill="auto"/>
        <w:tabs>
          <w:tab w:pos="896" w:val="left"/>
        </w:tabs>
        <w:bidi w:val="0"/>
        <w:spacing w:before="0" w:after="440" w:line="470" w:lineRule="exact"/>
        <w:ind w:left="0" w:right="0" w:firstLine="500"/>
        <w:jc w:val="both"/>
      </w:pPr>
      <w:bookmarkStart w:id="959" w:name="bookmark959"/>
      <w:bookmarkEnd w:id="959"/>
      <w:r>
        <w:rPr>
          <w:color w:val="000000"/>
          <w:spacing w:val="0"/>
          <w:w w:val="100"/>
          <w:position w:val="0"/>
          <w:sz w:val="24"/>
          <w:szCs w:val="24"/>
        </w:rPr>
        <w:t>承租人为拆卸及移除租赁资产、复原租赁资产所在场地或将租赁资产恢复至租赁条款 约定状态预计将发生的成本。</w:t>
      </w:r>
    </w:p>
    <w:p>
      <w:pPr>
        <w:pStyle w:val="Style59"/>
        <w:keepNext w:val="0"/>
        <w:keepLines w:val="0"/>
        <w:widowControl w:val="0"/>
        <w:numPr>
          <w:ilvl w:val="0"/>
          <w:numId w:val="79"/>
        </w:numPr>
        <w:shd w:val="clear" w:color="auto" w:fill="auto"/>
        <w:tabs>
          <w:tab w:pos="954" w:val="left"/>
        </w:tabs>
        <w:bidi w:val="0"/>
        <w:spacing w:before="0" w:after="0" w:line="464" w:lineRule="exact"/>
        <w:ind w:left="0" w:right="0" w:firstLine="500"/>
        <w:jc w:val="both"/>
      </w:pPr>
      <w:bookmarkStart w:id="960" w:name="bookmark960"/>
      <w:bookmarkEnd w:id="960"/>
      <w:r>
        <w:rPr>
          <w:color w:val="000000"/>
          <w:spacing w:val="0"/>
          <w:w w:val="100"/>
          <w:position w:val="0"/>
          <w:sz w:val="24"/>
          <w:szCs w:val="24"/>
        </w:rPr>
        <w:t>使用权资产的后续计量</w:t>
      </w:r>
    </w:p>
    <w:p>
      <w:pPr>
        <w:pStyle w:val="Style59"/>
        <w:keepNext w:val="0"/>
        <w:keepLines w:val="0"/>
        <w:widowControl w:val="0"/>
        <w:numPr>
          <w:ilvl w:val="0"/>
          <w:numId w:val="83"/>
        </w:numPr>
        <w:shd w:val="clear" w:color="auto" w:fill="auto"/>
        <w:tabs>
          <w:tab w:pos="921" w:val="left"/>
        </w:tabs>
        <w:bidi w:val="0"/>
        <w:spacing w:before="0" w:after="0" w:line="464" w:lineRule="exact"/>
        <w:ind w:left="0" w:right="0" w:firstLine="500"/>
        <w:jc w:val="both"/>
      </w:pPr>
      <w:bookmarkStart w:id="961" w:name="bookmark961"/>
      <w:bookmarkEnd w:id="961"/>
      <w:r>
        <w:rPr>
          <w:color w:val="000000"/>
          <w:spacing w:val="0"/>
          <w:w w:val="100"/>
          <w:position w:val="0"/>
          <w:sz w:val="24"/>
          <w:szCs w:val="24"/>
        </w:rPr>
        <w:t>采用成本模式对使用权资产进行后续计量。</w:t>
      </w:r>
    </w:p>
    <w:p>
      <w:pPr>
        <w:pStyle w:val="Style59"/>
        <w:keepNext w:val="0"/>
        <w:keepLines w:val="0"/>
        <w:widowControl w:val="0"/>
        <w:numPr>
          <w:ilvl w:val="0"/>
          <w:numId w:val="83"/>
        </w:numPr>
        <w:shd w:val="clear" w:color="auto" w:fill="auto"/>
        <w:tabs>
          <w:tab w:pos="896" w:val="left"/>
        </w:tabs>
        <w:bidi w:val="0"/>
        <w:spacing w:before="0" w:after="120" w:line="464" w:lineRule="exact"/>
        <w:ind w:left="0" w:right="0" w:firstLine="500"/>
        <w:jc w:val="both"/>
      </w:pPr>
      <w:bookmarkStart w:id="962" w:name="bookmark962"/>
      <w:bookmarkEnd w:id="962"/>
      <w:r>
        <w:rPr>
          <w:color w:val="000000"/>
          <w:spacing w:val="0"/>
          <w:w w:val="100"/>
          <w:position w:val="0"/>
          <w:sz w:val="24"/>
          <w:szCs w:val="24"/>
        </w:rPr>
        <w:t>对使用权资产计提折旧。能够合理确定租赁期届满时取得租赁资产所有权的，公司在 租赁资产剩余使用寿命内计提折旧。无法合理确定租赁期届满时能够取得租赁资产所有权的， 公司在租赁期与租赁资产剩余使用寿命两者孰短的期间内计提折旧。各类使用权资产的具体 折旧方法如下。</w:t>
      </w:r>
    </w:p>
    <w:p>
      <w:pPr>
        <w:pStyle w:val="Style59"/>
        <w:keepNext w:val="0"/>
        <w:keepLines w:val="0"/>
        <w:widowControl w:val="0"/>
        <w:numPr>
          <w:ilvl w:val="0"/>
          <w:numId w:val="79"/>
        </w:numPr>
        <w:shd w:val="clear" w:color="auto" w:fill="auto"/>
        <w:bidi w:val="0"/>
        <w:spacing w:before="0" w:after="220" w:line="240" w:lineRule="auto"/>
        <w:ind w:left="0" w:right="0" w:firstLine="500"/>
        <w:jc w:val="both"/>
      </w:pPr>
      <w:bookmarkStart w:id="963" w:name="bookmark963"/>
      <w:bookmarkEnd w:id="963"/>
      <w:r>
        <w:rPr>
          <w:color w:val="000000"/>
          <w:spacing w:val="0"/>
          <w:w w:val="100"/>
          <w:position w:val="0"/>
          <w:sz w:val="24"/>
          <w:szCs w:val="24"/>
        </w:rPr>
        <w:t>各类使用权资产折旧方法</w:t>
      </w:r>
    </w:p>
    <w:p>
      <w:pPr>
        <w:pStyle w:val="Style59"/>
        <w:keepNext w:val="0"/>
        <w:keepLines w:val="0"/>
        <w:widowControl w:val="0"/>
        <w:shd w:val="clear" w:color="auto" w:fill="auto"/>
        <w:bidi w:val="0"/>
        <w:spacing w:before="0" w:after="80" w:line="240" w:lineRule="auto"/>
        <w:ind w:left="0" w:right="0" w:firstLine="500"/>
        <w:jc w:val="both"/>
      </w:pPr>
      <w:r>
        <w:rPr>
          <w:color w:val="000000"/>
          <w:spacing w:val="0"/>
          <w:w w:val="100"/>
          <w:position w:val="0"/>
          <w:sz w:val="24"/>
          <w:szCs w:val="24"/>
        </w:rPr>
        <w:t>各类固定资产采用直线法并按下列使用寿命、预计净残值率及折旧率计提折旧:</w:t>
      </w:r>
    </w:p>
    <w:tbl>
      <w:tblPr>
        <w:tblOverlap w:val="never"/>
        <w:jc w:val="center"/>
        <w:tblLayout w:type="fixed"/>
      </w:tblPr>
      <w:tblGrid>
        <w:gridCol w:w="1944"/>
        <w:gridCol w:w="1939"/>
        <w:gridCol w:w="1939"/>
        <w:gridCol w:w="1934"/>
        <w:gridCol w:w="1949"/>
      </w:tblGrid>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年折旧率</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房屋及建筑物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直线法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33.33%</w:t>
            </w:r>
          </w:p>
        </w:tc>
      </w:tr>
    </w:tbl>
    <w:p>
      <w:pPr>
        <w:widowControl w:val="0"/>
        <w:spacing w:after="279" w:line="1" w:lineRule="exact"/>
      </w:pPr>
    </w:p>
    <w:p>
      <w:pPr>
        <w:pStyle w:val="Style59"/>
        <w:keepNext w:val="0"/>
        <w:keepLines w:val="0"/>
        <w:widowControl w:val="0"/>
        <w:numPr>
          <w:ilvl w:val="0"/>
          <w:numId w:val="79"/>
        </w:numPr>
        <w:shd w:val="clear" w:color="auto" w:fill="auto"/>
        <w:tabs>
          <w:tab w:pos="978" w:val="left"/>
        </w:tabs>
        <w:bidi w:val="0"/>
        <w:spacing w:before="0" w:after="440" w:line="470" w:lineRule="exact"/>
        <w:ind w:left="0" w:right="0" w:firstLine="500"/>
        <w:jc w:val="both"/>
      </w:pPr>
      <w:bookmarkStart w:id="964" w:name="bookmark964"/>
      <w:bookmarkEnd w:id="964"/>
      <w:r>
        <w:rPr>
          <w:color w:val="000000"/>
          <w:spacing w:val="0"/>
          <w:w w:val="100"/>
          <w:position w:val="0"/>
          <w:sz w:val="24"/>
          <w:szCs w:val="24"/>
        </w:rPr>
        <w:t>按照变动后的租赁付款额的现值重新计量租赁负债，并相应调整使用权资产的账面 价值时，如使用权资产账面价值已调减至零，但租赁负债仍需进一步调减的，将剩余金额计 入当期损益。</w:t>
      </w:r>
    </w:p>
    <w:p>
      <w:pPr>
        <w:pStyle w:val="Style59"/>
        <w:keepNext w:val="0"/>
        <w:keepLines w:val="0"/>
        <w:widowControl w:val="0"/>
        <w:numPr>
          <w:ilvl w:val="0"/>
          <w:numId w:val="79"/>
        </w:numPr>
        <w:shd w:val="clear" w:color="auto" w:fill="auto"/>
        <w:tabs>
          <w:tab w:pos="954" w:val="left"/>
        </w:tabs>
        <w:bidi w:val="0"/>
        <w:spacing w:before="0" w:after="0" w:line="470" w:lineRule="exact"/>
        <w:ind w:left="0" w:right="0" w:firstLine="500"/>
        <w:jc w:val="both"/>
      </w:pPr>
      <w:bookmarkStart w:id="965" w:name="bookmark965"/>
      <w:bookmarkEnd w:id="965"/>
      <w:r>
        <w:rPr>
          <w:color w:val="000000"/>
          <w:spacing w:val="0"/>
          <w:w w:val="100"/>
          <w:position w:val="0"/>
          <w:sz w:val="24"/>
          <w:szCs w:val="24"/>
        </w:rPr>
        <w:t>使用权资产的减值测试方法、减值准备计提方法</w:t>
      </w:r>
    </w:p>
    <w:p>
      <w:pPr>
        <w:pStyle w:val="Style59"/>
        <w:keepNext w:val="0"/>
        <w:keepLines w:val="0"/>
        <w:widowControl w:val="0"/>
        <w:shd w:val="clear" w:color="auto" w:fill="auto"/>
        <w:bidi w:val="0"/>
        <w:spacing w:before="0" w:after="400" w:line="470" w:lineRule="exact"/>
        <w:ind w:left="0" w:right="0" w:firstLine="500"/>
        <w:jc w:val="both"/>
      </w:pPr>
      <w:r>
        <w:rPr>
          <w:color w:val="000000"/>
          <w:spacing w:val="0"/>
          <w:w w:val="100"/>
          <w:position w:val="0"/>
          <w:sz w:val="24"/>
          <w:szCs w:val="24"/>
        </w:rPr>
        <w:t>资产负债表日，有迹象表明使用权资产发生减值的，按照账面价值高于可收回金额的差 额计提相应的减值准备。</w:t>
      </w:r>
    </w:p>
    <w:p>
      <w:pPr>
        <w:pStyle w:val="Style24"/>
        <w:keepNext/>
        <w:keepLines/>
        <w:widowControl w:val="0"/>
        <w:shd w:val="clear" w:color="auto" w:fill="auto"/>
        <w:bidi w:val="0"/>
        <w:spacing w:before="0" w:line="240" w:lineRule="auto"/>
        <w:ind w:left="0" w:right="0" w:firstLine="0"/>
        <w:jc w:val="both"/>
      </w:pPr>
      <w:bookmarkStart w:id="966" w:name="bookmark966"/>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2</w:t>
      </w:r>
      <w:bookmarkEnd w:id="968"/>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966"/>
      <w:bookmarkEnd w:id="967"/>
      <w:bookmarkEnd w:id="969"/>
    </w:p>
    <w:p>
      <w:pPr>
        <w:pStyle w:val="Style102"/>
        <w:keepNext/>
        <w:keepLines/>
        <w:widowControl w:val="0"/>
        <w:numPr>
          <w:ilvl w:val="0"/>
          <w:numId w:val="85"/>
        </w:numPr>
        <w:shd w:val="clear" w:color="auto" w:fill="auto"/>
        <w:bidi w:val="0"/>
        <w:spacing w:before="0" w:after="220" w:line="240" w:lineRule="auto"/>
        <w:ind w:left="0" w:right="0" w:firstLine="0"/>
        <w:jc w:val="both"/>
      </w:pPr>
      <w:bookmarkStart w:id="970" w:name="bookmark970"/>
      <w:bookmarkStart w:id="971" w:name="bookmark971"/>
      <w:bookmarkStart w:id="972" w:name="bookmark972"/>
      <w:bookmarkStart w:id="973" w:name="bookmark973"/>
      <w:bookmarkEnd w:id="972"/>
      <w:r>
        <w:rPr>
          <w:color w:val="000000"/>
          <w:spacing w:val="0"/>
          <w:w w:val="100"/>
          <w:position w:val="0"/>
        </w:rPr>
        <w:t>计价方法、使用寿命、减值测试</w:t>
      </w:r>
      <w:bookmarkEnd w:id="970"/>
      <w:bookmarkEnd w:id="971"/>
      <w:bookmarkEnd w:id="973"/>
    </w:p>
    <w:p>
      <w:pPr>
        <w:pStyle w:val="Style59"/>
        <w:keepNext w:val="0"/>
        <w:keepLines w:val="0"/>
        <w:widowControl w:val="0"/>
        <w:shd w:val="clear" w:color="auto" w:fill="auto"/>
        <w:bidi w:val="0"/>
        <w:spacing w:before="0" w:after="0" w:line="470" w:lineRule="exact"/>
        <w:ind w:left="0" w:right="0" w:firstLine="500"/>
        <w:jc w:val="both"/>
      </w:pPr>
      <w:r>
        <w:rPr>
          <w:color w:val="000000"/>
          <w:spacing w:val="0"/>
          <w:w w:val="100"/>
          <w:position w:val="0"/>
          <w:sz w:val="24"/>
          <w:szCs w:val="24"/>
        </w:rPr>
        <w:t>无形资产，是指企业拥有或者控制的没有实物形态的可辨认非货币性资产。无形资产按 照成本进行初始计量。于取得无形资产时分析判断其使用寿命。</w:t>
      </w:r>
    </w:p>
    <w:p>
      <w:pPr>
        <w:pStyle w:val="Style59"/>
        <w:keepNext w:val="0"/>
        <w:keepLines w:val="0"/>
        <w:widowControl w:val="0"/>
        <w:shd w:val="clear" w:color="auto" w:fill="auto"/>
        <w:bidi w:val="0"/>
        <w:spacing w:before="0" w:after="0" w:line="470" w:lineRule="exact"/>
        <w:ind w:left="0" w:right="0" w:firstLine="500"/>
        <w:jc w:val="both"/>
      </w:pPr>
      <w:r>
        <w:rPr>
          <w:color w:val="000000"/>
          <w:spacing w:val="0"/>
          <w:w w:val="100"/>
          <w:position w:val="0"/>
          <w:sz w:val="24"/>
          <w:szCs w:val="24"/>
        </w:rPr>
        <w:t>公司确定无形资产使用寿命通常考虑的因素：</w:t>
      </w:r>
    </w:p>
    <w:p>
      <w:pPr>
        <w:pStyle w:val="Style59"/>
        <w:keepNext w:val="0"/>
        <w:keepLines w:val="0"/>
        <w:widowControl w:val="0"/>
        <w:numPr>
          <w:ilvl w:val="0"/>
          <w:numId w:val="87"/>
        </w:numPr>
        <w:shd w:val="clear" w:color="auto" w:fill="auto"/>
        <w:tabs>
          <w:tab w:pos="921" w:val="left"/>
        </w:tabs>
        <w:bidi w:val="0"/>
        <w:spacing w:before="0" w:after="0" w:line="470" w:lineRule="exact"/>
        <w:ind w:left="0" w:right="0" w:firstLine="500"/>
        <w:jc w:val="both"/>
      </w:pPr>
      <w:bookmarkStart w:id="974" w:name="bookmark974"/>
      <w:bookmarkEnd w:id="974"/>
      <w:r>
        <w:rPr>
          <w:color w:val="000000"/>
          <w:spacing w:val="0"/>
          <w:w w:val="100"/>
          <w:position w:val="0"/>
          <w:sz w:val="24"/>
          <w:szCs w:val="24"/>
        </w:rPr>
        <w:t>运用该资产生产的产品通常的寿命周期、可获得的类似资产使用寿命的信息；</w:t>
      </w:r>
    </w:p>
    <w:p>
      <w:pPr>
        <w:pStyle w:val="Style59"/>
        <w:keepNext w:val="0"/>
        <w:keepLines w:val="0"/>
        <w:widowControl w:val="0"/>
        <w:numPr>
          <w:ilvl w:val="0"/>
          <w:numId w:val="87"/>
        </w:numPr>
        <w:shd w:val="clear" w:color="auto" w:fill="auto"/>
        <w:tabs>
          <w:tab w:pos="921" w:val="left"/>
        </w:tabs>
        <w:bidi w:val="0"/>
        <w:spacing w:before="0" w:after="0" w:line="470" w:lineRule="exact"/>
        <w:ind w:left="0" w:right="0" w:firstLine="500"/>
        <w:jc w:val="both"/>
      </w:pPr>
      <w:bookmarkStart w:id="975" w:name="bookmark975"/>
      <w:bookmarkEnd w:id="975"/>
      <w:r>
        <w:rPr>
          <w:color w:val="000000"/>
          <w:spacing w:val="0"/>
          <w:w w:val="100"/>
          <w:position w:val="0"/>
          <w:sz w:val="24"/>
          <w:szCs w:val="24"/>
        </w:rPr>
        <w:t>技术、工艺等方面的现阶段情况及对未来发展趋势的估计；</w:t>
      </w:r>
    </w:p>
    <w:p>
      <w:pPr>
        <w:pStyle w:val="Style59"/>
        <w:keepNext w:val="0"/>
        <w:keepLines w:val="0"/>
        <w:widowControl w:val="0"/>
        <w:numPr>
          <w:ilvl w:val="0"/>
          <w:numId w:val="87"/>
        </w:numPr>
        <w:shd w:val="clear" w:color="auto" w:fill="auto"/>
        <w:tabs>
          <w:tab w:pos="921" w:val="left"/>
        </w:tabs>
        <w:bidi w:val="0"/>
        <w:spacing w:before="0" w:after="0" w:line="470" w:lineRule="exact"/>
        <w:ind w:left="0" w:right="0" w:firstLine="500"/>
        <w:jc w:val="both"/>
      </w:pPr>
      <w:bookmarkStart w:id="976" w:name="bookmark976"/>
      <w:bookmarkEnd w:id="976"/>
      <w:r>
        <w:rPr>
          <w:color w:val="000000"/>
          <w:spacing w:val="0"/>
          <w:w w:val="100"/>
          <w:position w:val="0"/>
          <w:sz w:val="24"/>
          <w:szCs w:val="24"/>
        </w:rPr>
        <w:t>以该资产生产的产品或提供服务的市场需求情况；</w:t>
      </w:r>
    </w:p>
    <w:p>
      <w:pPr>
        <w:pStyle w:val="Style59"/>
        <w:keepNext w:val="0"/>
        <w:keepLines w:val="0"/>
        <w:widowControl w:val="0"/>
        <w:numPr>
          <w:ilvl w:val="0"/>
          <w:numId w:val="87"/>
        </w:numPr>
        <w:shd w:val="clear" w:color="auto" w:fill="auto"/>
        <w:tabs>
          <w:tab w:pos="921" w:val="left"/>
        </w:tabs>
        <w:bidi w:val="0"/>
        <w:spacing w:before="0" w:after="0" w:line="470" w:lineRule="exact"/>
        <w:ind w:left="0" w:right="0" w:firstLine="500"/>
        <w:jc w:val="both"/>
      </w:pPr>
      <w:bookmarkStart w:id="977" w:name="bookmark977"/>
      <w:bookmarkEnd w:id="977"/>
      <w:r>
        <w:rPr>
          <w:color w:val="000000"/>
          <w:spacing w:val="0"/>
          <w:w w:val="100"/>
          <w:position w:val="0"/>
          <w:sz w:val="24"/>
          <w:szCs w:val="24"/>
        </w:rPr>
        <w:t>现在或潜在的竞争者预期采取的行动；</w:t>
      </w:r>
    </w:p>
    <w:p>
      <w:pPr>
        <w:pStyle w:val="Style59"/>
        <w:keepNext w:val="0"/>
        <w:keepLines w:val="0"/>
        <w:widowControl w:val="0"/>
        <w:numPr>
          <w:ilvl w:val="0"/>
          <w:numId w:val="87"/>
        </w:numPr>
        <w:shd w:val="clear" w:color="auto" w:fill="auto"/>
        <w:tabs>
          <w:tab w:pos="891" w:val="left"/>
        </w:tabs>
        <w:bidi w:val="0"/>
        <w:spacing w:before="0" w:after="0" w:line="470" w:lineRule="exact"/>
        <w:ind w:left="0" w:right="0" w:firstLine="500"/>
        <w:jc w:val="both"/>
      </w:pPr>
      <w:bookmarkStart w:id="978" w:name="bookmark978"/>
      <w:bookmarkEnd w:id="978"/>
      <w:r>
        <w:rPr>
          <w:color w:val="000000"/>
          <w:spacing w:val="0"/>
          <w:w w:val="100"/>
          <w:position w:val="0"/>
          <w:sz w:val="24"/>
          <w:szCs w:val="24"/>
        </w:rPr>
        <w:t>为维持该资产带来经济利益能力的预期维护支出，以及公司预计支付有关支出的能 力；</w:t>
      </w:r>
    </w:p>
    <w:p>
      <w:pPr>
        <w:pStyle w:val="Style59"/>
        <w:keepNext w:val="0"/>
        <w:keepLines w:val="0"/>
        <w:widowControl w:val="0"/>
        <w:numPr>
          <w:ilvl w:val="0"/>
          <w:numId w:val="87"/>
        </w:numPr>
        <w:shd w:val="clear" w:color="auto" w:fill="auto"/>
        <w:tabs>
          <w:tab w:pos="921" w:val="left"/>
        </w:tabs>
        <w:bidi w:val="0"/>
        <w:spacing w:before="0" w:after="0" w:line="470" w:lineRule="exact"/>
        <w:ind w:left="0" w:right="0" w:firstLine="500"/>
        <w:jc w:val="both"/>
      </w:pPr>
      <w:bookmarkStart w:id="979" w:name="bookmark979"/>
      <w:bookmarkEnd w:id="979"/>
      <w:r>
        <w:rPr>
          <w:color w:val="000000"/>
          <w:spacing w:val="0"/>
          <w:w w:val="100"/>
          <w:position w:val="0"/>
          <w:sz w:val="24"/>
          <w:szCs w:val="24"/>
        </w:rPr>
        <w:t>对该资产控制期限的相关法律规定或类似限制，如特许使用期、租赁期等；</w:t>
      </w:r>
    </w:p>
    <w:p>
      <w:pPr>
        <w:pStyle w:val="Style59"/>
        <w:keepNext w:val="0"/>
        <w:keepLines w:val="0"/>
        <w:widowControl w:val="0"/>
        <w:numPr>
          <w:ilvl w:val="0"/>
          <w:numId w:val="87"/>
        </w:numPr>
        <w:shd w:val="clear" w:color="auto" w:fill="auto"/>
        <w:tabs>
          <w:tab w:pos="921" w:val="left"/>
        </w:tabs>
        <w:bidi w:val="0"/>
        <w:spacing w:before="0" w:after="0" w:line="470" w:lineRule="exact"/>
        <w:ind w:left="0" w:right="0" w:firstLine="500"/>
        <w:jc w:val="both"/>
      </w:pPr>
      <w:bookmarkStart w:id="980" w:name="bookmark980"/>
      <w:bookmarkEnd w:id="980"/>
      <w:r>
        <w:rPr>
          <w:color w:val="000000"/>
          <w:spacing w:val="0"/>
          <w:w w:val="100"/>
          <w:position w:val="0"/>
          <w:sz w:val="24"/>
          <w:szCs w:val="24"/>
        </w:rPr>
        <w:t>与企业持有其他资产使用寿命的关联性等。</w:t>
      </w:r>
    </w:p>
    <w:p>
      <w:pPr>
        <w:pStyle w:val="Style59"/>
        <w:keepNext w:val="0"/>
        <w:keepLines w:val="0"/>
        <w:widowControl w:val="0"/>
        <w:shd w:val="clear" w:color="auto" w:fill="auto"/>
        <w:bidi w:val="0"/>
        <w:spacing w:before="0" w:after="0" w:line="470" w:lineRule="exact"/>
        <w:ind w:left="0" w:right="0" w:firstLine="500"/>
        <w:jc w:val="both"/>
      </w:pPr>
      <w:r>
        <w:rPr>
          <w:color w:val="000000"/>
          <w:spacing w:val="0"/>
          <w:w w:val="100"/>
          <w:position w:val="0"/>
          <w:sz w:val="24"/>
          <w:szCs w:val="24"/>
        </w:rPr>
        <w:t>无法预见无形资产为公司带来经济利益期限的，视为使用寿命不确定的无形资产。</w:t>
      </w:r>
    </w:p>
    <w:p>
      <w:pPr>
        <w:pStyle w:val="Style59"/>
        <w:keepNext w:val="0"/>
        <w:keepLines w:val="0"/>
        <w:widowControl w:val="0"/>
        <w:shd w:val="clear" w:color="auto" w:fill="auto"/>
        <w:bidi w:val="0"/>
        <w:spacing w:before="0" w:after="240" w:line="470" w:lineRule="exact"/>
        <w:ind w:left="0" w:right="0" w:firstLine="500"/>
        <w:jc w:val="both"/>
      </w:pPr>
      <w:r>
        <w:rPr>
          <w:color w:val="000000"/>
          <w:spacing w:val="0"/>
          <w:w w:val="100"/>
          <w:position w:val="0"/>
          <w:sz w:val="24"/>
          <w:szCs w:val="24"/>
        </w:rPr>
        <w:t>对于使用寿命有限的无形资产，在使用寿命内系统合理(或者直线法)摊销。公司于每年 年度终了，对使用寿命有限的无形资产的使用寿命及摊销方法进行复核。无形资产的使用寿 命及摊销方法与以前估计不同的，将改变摊销期限和摊销方法。</w:t>
      </w:r>
    </w:p>
    <w:p>
      <w:pPr>
        <w:pStyle w:val="Style59"/>
        <w:keepNext w:val="0"/>
        <w:keepLines w:val="0"/>
        <w:widowControl w:val="0"/>
        <w:shd w:val="clear" w:color="auto" w:fill="auto"/>
        <w:bidi w:val="0"/>
        <w:spacing w:before="0" w:after="400" w:line="468" w:lineRule="exact"/>
        <w:ind w:left="0" w:right="0" w:firstLine="500"/>
        <w:jc w:val="both"/>
      </w:pPr>
      <w:r>
        <w:rPr>
          <w:color w:val="000000"/>
          <w:spacing w:val="0"/>
          <w:w w:val="100"/>
          <w:position w:val="0"/>
          <w:sz w:val="24"/>
          <w:szCs w:val="24"/>
        </w:rPr>
        <w:t>使用寿命不确定的无形资产不进行摊销。</w:t>
      </w:r>
    </w:p>
    <w:p>
      <w:pPr>
        <w:pStyle w:val="Style102"/>
        <w:keepNext/>
        <w:keepLines/>
        <w:widowControl w:val="0"/>
        <w:shd w:val="clear" w:color="auto" w:fill="auto"/>
        <w:bidi w:val="0"/>
        <w:spacing w:before="0" w:after="240" w:line="240" w:lineRule="auto"/>
        <w:ind w:left="0" w:right="0" w:firstLine="0"/>
        <w:jc w:val="left"/>
      </w:pPr>
      <w:bookmarkStart w:id="981" w:name="bookmark981"/>
      <w:bookmarkStart w:id="982" w:name="bookmark982"/>
      <w:bookmarkStart w:id="983" w:name="bookmark983"/>
      <w:bookmarkStart w:id="984" w:name="bookmark984"/>
      <w:r>
        <w:rPr>
          <w:color w:val="000000"/>
          <w:spacing w:val="0"/>
          <w:w w:val="100"/>
          <w:position w:val="0"/>
        </w:rPr>
        <w:t>（</w:t>
      </w:r>
      <w:bookmarkEnd w:id="983"/>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81"/>
      <w:bookmarkEnd w:id="982"/>
      <w:bookmarkEnd w:id="984"/>
    </w:p>
    <w:p>
      <w:pPr>
        <w:pStyle w:val="Style59"/>
        <w:keepNext w:val="0"/>
        <w:keepLines w:val="0"/>
        <w:widowControl w:val="0"/>
        <w:numPr>
          <w:ilvl w:val="0"/>
          <w:numId w:val="89"/>
        </w:numPr>
        <w:shd w:val="clear" w:color="auto" w:fill="auto"/>
        <w:tabs>
          <w:tab w:pos="921" w:val="left"/>
        </w:tabs>
        <w:bidi w:val="0"/>
        <w:spacing w:before="0" w:after="0" w:line="468" w:lineRule="exact"/>
        <w:ind w:left="0" w:right="0" w:firstLine="500"/>
        <w:jc w:val="both"/>
      </w:pPr>
      <w:bookmarkStart w:id="985" w:name="bookmark985"/>
      <w:bookmarkEnd w:id="985"/>
      <w:r>
        <w:rPr>
          <w:color w:val="000000"/>
          <w:spacing w:val="0"/>
          <w:w w:val="100"/>
          <w:position w:val="0"/>
          <w:sz w:val="24"/>
          <w:szCs w:val="24"/>
        </w:rPr>
        <w:t>内部研究开发项目的支出，包括研究阶段支出与开发阶段支出，其中：</w:t>
      </w:r>
    </w:p>
    <w:p>
      <w:pPr>
        <w:pStyle w:val="Style59"/>
        <w:keepNext w:val="0"/>
        <w:keepLines w:val="0"/>
        <w:widowControl w:val="0"/>
        <w:shd w:val="clear" w:color="auto" w:fill="auto"/>
        <w:tabs>
          <w:tab w:pos="858" w:val="left"/>
        </w:tabs>
        <w:bidi w:val="0"/>
        <w:spacing w:before="0" w:after="0" w:line="468" w:lineRule="exact"/>
        <w:ind w:left="0" w:right="0" w:firstLine="500"/>
        <w:jc w:val="both"/>
      </w:pPr>
      <w:bookmarkStart w:id="986" w:name="bookmark986"/>
      <w:r>
        <w:rPr>
          <w:color w:val="000000"/>
          <w:spacing w:val="0"/>
          <w:w w:val="100"/>
          <w:position w:val="0"/>
          <w:sz w:val="24"/>
          <w:szCs w:val="24"/>
        </w:rPr>
        <w:t>1</w:t>
      </w:r>
      <w:bookmarkEnd w:id="986"/>
      <w:r>
        <w:rPr>
          <w:color w:val="000000"/>
          <w:spacing w:val="0"/>
          <w:w w:val="100"/>
          <w:position w:val="0"/>
          <w:sz w:val="24"/>
          <w:szCs w:val="24"/>
        </w:rPr>
        <w:t>）</w:t>
        <w:tab/>
        <w:t>研究是指为获取并理解新的科学或技术知识而进行的独创性的有计划调查。</w:t>
      </w:r>
    </w:p>
    <w:p>
      <w:pPr>
        <w:pStyle w:val="Style59"/>
        <w:keepNext w:val="0"/>
        <w:keepLines w:val="0"/>
        <w:widowControl w:val="0"/>
        <w:shd w:val="clear" w:color="auto" w:fill="auto"/>
        <w:tabs>
          <w:tab w:pos="853" w:val="left"/>
        </w:tabs>
        <w:bidi w:val="0"/>
        <w:spacing w:before="0" w:after="0" w:line="468" w:lineRule="exact"/>
        <w:ind w:left="0" w:right="0" w:firstLine="500"/>
        <w:jc w:val="both"/>
      </w:pPr>
      <w:bookmarkStart w:id="987" w:name="bookmark987"/>
      <w:r>
        <w:rPr>
          <w:color w:val="000000"/>
          <w:spacing w:val="0"/>
          <w:w w:val="100"/>
          <w:position w:val="0"/>
          <w:sz w:val="24"/>
          <w:szCs w:val="24"/>
        </w:rPr>
        <w:t>2</w:t>
      </w:r>
      <w:bookmarkEnd w:id="987"/>
      <w:r>
        <w:rPr>
          <w:color w:val="000000"/>
          <w:spacing w:val="0"/>
          <w:w w:val="100"/>
          <w:position w:val="0"/>
          <w:sz w:val="24"/>
          <w:szCs w:val="24"/>
        </w:rPr>
        <w:t>）</w:t>
        <w:tab/>
        <w:t>开发是指在进行商业性生产或使用前，将研究成果或其他知识应用于某项计划或设 计，以生产出新的或具有实质性改进的材料、装置、产品等。</w:t>
      </w:r>
    </w:p>
    <w:p>
      <w:pPr>
        <w:pStyle w:val="Style59"/>
        <w:keepNext w:val="0"/>
        <w:keepLines w:val="0"/>
        <w:widowControl w:val="0"/>
        <w:numPr>
          <w:ilvl w:val="0"/>
          <w:numId w:val="89"/>
        </w:numPr>
        <w:shd w:val="clear" w:color="auto" w:fill="auto"/>
        <w:tabs>
          <w:tab w:pos="901" w:val="left"/>
        </w:tabs>
        <w:bidi w:val="0"/>
        <w:spacing w:before="0" w:after="0" w:line="468" w:lineRule="exact"/>
        <w:ind w:left="0" w:right="0" w:firstLine="500"/>
        <w:jc w:val="both"/>
      </w:pPr>
      <w:bookmarkStart w:id="988" w:name="bookmark988"/>
      <w:bookmarkEnd w:id="988"/>
      <w:r>
        <w:rPr>
          <w:color w:val="000000"/>
          <w:spacing w:val="0"/>
          <w:w w:val="100"/>
          <w:position w:val="0"/>
          <w:sz w:val="24"/>
          <w:szCs w:val="24"/>
        </w:rPr>
        <w:t>内部研究开发项目在研究阶段的支出于发生时计入当期损益；开发阶段的支出，同时 满足下列条件的，确认为无形资产：</w:t>
      </w:r>
    </w:p>
    <w:p>
      <w:pPr>
        <w:pStyle w:val="Style59"/>
        <w:keepNext w:val="0"/>
        <w:keepLines w:val="0"/>
        <w:widowControl w:val="0"/>
        <w:shd w:val="clear" w:color="auto" w:fill="auto"/>
        <w:tabs>
          <w:tab w:pos="858" w:val="left"/>
        </w:tabs>
        <w:bidi w:val="0"/>
        <w:spacing w:before="0" w:after="0" w:line="468" w:lineRule="exact"/>
        <w:ind w:left="0" w:right="0" w:firstLine="500"/>
        <w:jc w:val="both"/>
      </w:pPr>
      <w:bookmarkStart w:id="989" w:name="bookmark989"/>
      <w:r>
        <w:rPr>
          <w:color w:val="000000"/>
          <w:spacing w:val="0"/>
          <w:w w:val="100"/>
          <w:position w:val="0"/>
          <w:sz w:val="24"/>
          <w:szCs w:val="24"/>
        </w:rPr>
        <w:t>1</w:t>
      </w:r>
      <w:bookmarkEnd w:id="989"/>
      <w:r>
        <w:rPr>
          <w:color w:val="000000"/>
          <w:spacing w:val="0"/>
          <w:w w:val="100"/>
          <w:position w:val="0"/>
          <w:sz w:val="24"/>
          <w:szCs w:val="24"/>
        </w:rPr>
        <w:t>）</w:t>
        <w:tab/>
        <w:t>完成该无形资产以使其能够使用或出售在技术上具有可行性；</w:t>
      </w:r>
    </w:p>
    <w:p>
      <w:pPr>
        <w:pStyle w:val="Style59"/>
        <w:keepNext w:val="0"/>
        <w:keepLines w:val="0"/>
        <w:widowControl w:val="0"/>
        <w:shd w:val="clear" w:color="auto" w:fill="auto"/>
        <w:tabs>
          <w:tab w:pos="873" w:val="left"/>
        </w:tabs>
        <w:bidi w:val="0"/>
        <w:spacing w:before="0" w:after="0" w:line="468" w:lineRule="exact"/>
        <w:ind w:left="0" w:right="0" w:firstLine="500"/>
        <w:jc w:val="both"/>
      </w:pPr>
      <w:bookmarkStart w:id="990" w:name="bookmark990"/>
      <w:r>
        <w:rPr>
          <w:color w:val="000000"/>
          <w:spacing w:val="0"/>
          <w:w w:val="100"/>
          <w:position w:val="0"/>
          <w:sz w:val="24"/>
          <w:szCs w:val="24"/>
        </w:rPr>
        <w:t>2</w:t>
      </w:r>
      <w:bookmarkEnd w:id="990"/>
      <w:r>
        <w:rPr>
          <w:color w:val="000000"/>
          <w:spacing w:val="0"/>
          <w:w w:val="100"/>
          <w:position w:val="0"/>
          <w:sz w:val="24"/>
          <w:szCs w:val="24"/>
        </w:rPr>
        <w:t>）</w:t>
        <w:tab/>
        <w:t>具有完成该无形资产并使用或出售的意图；</w:t>
      </w:r>
    </w:p>
    <w:p>
      <w:pPr>
        <w:pStyle w:val="Style59"/>
        <w:keepNext w:val="0"/>
        <w:keepLines w:val="0"/>
        <w:widowControl w:val="0"/>
        <w:shd w:val="clear" w:color="auto" w:fill="auto"/>
        <w:tabs>
          <w:tab w:pos="858" w:val="left"/>
        </w:tabs>
        <w:bidi w:val="0"/>
        <w:spacing w:before="0" w:after="0" w:line="468" w:lineRule="exact"/>
        <w:ind w:left="0" w:right="0" w:firstLine="500"/>
        <w:jc w:val="both"/>
      </w:pPr>
      <w:bookmarkStart w:id="991" w:name="bookmark991"/>
      <w:r>
        <w:rPr>
          <w:color w:val="000000"/>
          <w:spacing w:val="0"/>
          <w:w w:val="100"/>
          <w:position w:val="0"/>
          <w:sz w:val="24"/>
          <w:szCs w:val="24"/>
        </w:rPr>
        <w:t>3</w:t>
      </w:r>
      <w:bookmarkEnd w:id="991"/>
      <w:r>
        <w:rPr>
          <w:color w:val="000000"/>
          <w:spacing w:val="0"/>
          <w:w w:val="100"/>
          <w:position w:val="0"/>
          <w:sz w:val="24"/>
          <w:szCs w:val="24"/>
        </w:rPr>
        <w:t>）</w:t>
        <w:tab/>
        <w:t>无形资产产生经济利益的方式，包括能够证明运用该无形资产生产的产品存在市场或 无形资产自身存在市场，无形资产将在内部使用的，应当证明其有用性；</w:t>
      </w:r>
    </w:p>
    <w:p>
      <w:pPr>
        <w:pStyle w:val="Style59"/>
        <w:keepNext w:val="0"/>
        <w:keepLines w:val="0"/>
        <w:widowControl w:val="0"/>
        <w:shd w:val="clear" w:color="auto" w:fill="auto"/>
        <w:tabs>
          <w:tab w:pos="853" w:val="left"/>
        </w:tabs>
        <w:bidi w:val="0"/>
        <w:spacing w:before="0" w:after="0" w:line="468" w:lineRule="exact"/>
        <w:ind w:left="0" w:right="0" w:firstLine="500"/>
        <w:jc w:val="both"/>
      </w:pPr>
      <w:bookmarkStart w:id="992" w:name="bookmark992"/>
      <w:r>
        <w:rPr>
          <w:color w:val="000000"/>
          <w:spacing w:val="0"/>
          <w:w w:val="100"/>
          <w:position w:val="0"/>
          <w:sz w:val="24"/>
          <w:szCs w:val="24"/>
        </w:rPr>
        <w:t>4</w:t>
      </w:r>
      <w:bookmarkEnd w:id="992"/>
      <w:r>
        <w:rPr>
          <w:color w:val="000000"/>
          <w:spacing w:val="0"/>
          <w:w w:val="100"/>
          <w:position w:val="0"/>
          <w:sz w:val="24"/>
          <w:szCs w:val="24"/>
        </w:rPr>
        <w:t>）</w:t>
        <w:tab/>
        <w:t>有足够的技术、财务资源和其他资源支持，以完成该无形资产的开发，并有能力使用 或出售该无形资产；</w:t>
      </w:r>
    </w:p>
    <w:p>
      <w:pPr>
        <w:pStyle w:val="Style59"/>
        <w:keepNext w:val="0"/>
        <w:keepLines w:val="0"/>
        <w:widowControl w:val="0"/>
        <w:shd w:val="clear" w:color="auto" w:fill="auto"/>
        <w:tabs>
          <w:tab w:pos="878" w:val="left"/>
        </w:tabs>
        <w:bidi w:val="0"/>
        <w:spacing w:before="0" w:after="400" w:line="468" w:lineRule="exact"/>
        <w:ind w:left="0" w:right="0" w:firstLine="500"/>
        <w:jc w:val="both"/>
      </w:pPr>
      <w:bookmarkStart w:id="993" w:name="bookmark993"/>
      <w:r>
        <w:rPr>
          <w:color w:val="000000"/>
          <w:spacing w:val="0"/>
          <w:w w:val="100"/>
          <w:position w:val="0"/>
          <w:sz w:val="24"/>
          <w:szCs w:val="24"/>
        </w:rPr>
        <w:t>5</w:t>
      </w:r>
      <w:bookmarkEnd w:id="993"/>
      <w:r>
        <w:rPr>
          <w:color w:val="000000"/>
          <w:spacing w:val="0"/>
          <w:w w:val="100"/>
          <w:position w:val="0"/>
          <w:sz w:val="24"/>
          <w:szCs w:val="24"/>
        </w:rPr>
        <w:t>）</w:t>
        <w:tab/>
        <w:t>归属于该无形资产开发阶段的支出能够可靠地计量。</w:t>
      </w:r>
    </w:p>
    <w:p>
      <w:pPr>
        <w:pStyle w:val="Style24"/>
        <w:keepNext/>
        <w:keepLines/>
        <w:widowControl w:val="0"/>
        <w:shd w:val="clear" w:color="auto" w:fill="auto"/>
        <w:bidi w:val="0"/>
        <w:spacing w:before="0" w:after="240" w:line="240" w:lineRule="auto"/>
        <w:ind w:left="0" w:right="0" w:firstLine="0"/>
        <w:jc w:val="both"/>
      </w:pPr>
      <w:bookmarkStart w:id="994" w:name="bookmark994"/>
      <w:bookmarkStart w:id="995" w:name="bookmark995"/>
      <w:bookmarkStart w:id="996" w:name="bookmark996"/>
      <w:bookmarkStart w:id="997" w:name="bookmark997"/>
      <w:r>
        <w:rPr>
          <w:rFonts w:ascii="Times New Roman" w:eastAsia="Times New Roman" w:hAnsi="Times New Roman" w:cs="Times New Roman"/>
          <w:color w:val="000000"/>
          <w:spacing w:val="0"/>
          <w:w w:val="100"/>
          <w:position w:val="0"/>
        </w:rPr>
        <w:t>2</w:t>
      </w:r>
      <w:bookmarkEnd w:id="996"/>
      <w:r>
        <w:rPr>
          <w:rFonts w:ascii="Times New Roman" w:eastAsia="Times New Roman" w:hAnsi="Times New Roman" w:cs="Times New Roman"/>
          <w:color w:val="000000"/>
          <w:spacing w:val="0"/>
          <w:w w:val="100"/>
          <w:position w:val="0"/>
        </w:rPr>
        <w:t>6</w:t>
      </w:r>
      <w:r>
        <w:rPr>
          <w:color w:val="000000"/>
          <w:spacing w:val="0"/>
          <w:w w:val="100"/>
          <w:position w:val="0"/>
        </w:rPr>
        <w:t>、长期资产减值</w:t>
      </w:r>
      <w:bookmarkEnd w:id="994"/>
      <w:bookmarkEnd w:id="995"/>
      <w:bookmarkEnd w:id="997"/>
    </w:p>
    <w:p>
      <w:pPr>
        <w:pStyle w:val="Style59"/>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对于固定资产、在建工程、使用寿命有限的无形资产、以成本模式计量的投资性房地产 及对子公司、合营企业、联营企业的长期股权投资等非流动非金融资产，公司于资产负债表 日判断是否存在减值迹象。如存在减值迹象的，则估计其可收回金额，进行减值测试。商誉、 使用寿命不确定的无形资产和尚未达到可使用状态的无形资产，无论是否存在减值迹象，每 年均进行减值测试。</w:t>
      </w:r>
    </w:p>
    <w:p>
      <w:pPr>
        <w:pStyle w:val="Style59"/>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 xml:space="preserve">减值测试结果表明资产的可收回金额低于其账面价值的，按其差额计提减值准备并计入 减值损失。可收回金额为资产的公允价值减去处置费用后的净额与资产预计未来现金流量的 现值两者之间的较高者。资产的公允价值根据公平交易中销售协议价格确定；不存在销售协 议但存在资产活跃市场的，公允价值按照该资产的买方出价确定；不存在销售协议和资产活 跃市场的，则以可获取的最佳信息为基础估计资产的公允价值。处置费用包括与资产处置有 关的法律费用、相关税费、搬运费以及为使资产达到可销售状态所发生的直接费用。资产预 计未来现金流量的现值，按照资产在持续使用过程中和最终处置时所产生的预计未来现金流 </w:t>
      </w:r>
      <w:r>
        <w:rPr>
          <w:color w:val="000000"/>
          <w:spacing w:val="0"/>
          <w:w w:val="100"/>
          <w:position w:val="0"/>
          <w:sz w:val="24"/>
          <w:szCs w:val="24"/>
        </w:rPr>
        <w:t>量，选择恰当的折现率对其进行折现后的金额加以确定。资产减值准备按单项资产为基础计 算并确认，如果难以对单项资产的可收回金额进行估计的，以该资产所属的资产组确定资产 组的可收回金额。资产组是能够独立产生现金流入的最小资产组合。</w:t>
      </w:r>
    </w:p>
    <w:p>
      <w:pPr>
        <w:pStyle w:val="Style59"/>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就商誉的减值测试而言，对于因企业合并形成的商誉的账面价值，自购买日起按照合理 的方法分摊至相关的资产组；难以分摊至相关的资产组的，将其分摊至相关的资产组组合。 相关的资产组或资产组组合，是能够从企业合并的协同效应中受益的资产组或者资产组组合， 且不大于本公司确定的报告分部。</w:t>
      </w:r>
    </w:p>
    <w:p>
      <w:pPr>
        <w:pStyle w:val="Style59"/>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对包含商誉的相关资产组或者资产组组合进行减值测试时，如与商誉相关的资产组或者 资产组组合存在减值迹象的，首先对不包含商誉的资产组或者资产组组合进行减值测试，计 算可收回金额，确认相应的减值损失。然后对包含商誉的资产组或者资产组组合进行减值测 试，比较其账面价值与可收回金额，如可收回金额低于账面价值的，减值损失金额首先抵减 分摊至资产组或资产组组合中商誉的账面价值，再根据资产组或资产组组合中除商誉之外的 其他各项资产的账面价值所占比重，按比例抵减其他各项资产的账面价值，但抵减后的各资 产的账面价值不得低于该资产的公允价值减去处置费用后的净额（如可确定的）和该资产预 计未来现金流量的现值（如可确定的）两者之间较高者，同时也不低于零。</w:t>
      </w:r>
    </w:p>
    <w:p>
      <w:pPr>
        <w:pStyle w:val="Style59"/>
        <w:keepNext w:val="0"/>
        <w:keepLines w:val="0"/>
        <w:widowControl w:val="0"/>
        <w:shd w:val="clear" w:color="auto" w:fill="auto"/>
        <w:bidi w:val="0"/>
        <w:spacing w:before="0" w:after="400" w:line="468" w:lineRule="exact"/>
        <w:ind w:left="0" w:right="0" w:firstLine="500"/>
        <w:jc w:val="both"/>
      </w:pPr>
      <w:r>
        <w:rPr>
          <w:color w:val="000000"/>
          <w:spacing w:val="0"/>
          <w:w w:val="100"/>
          <w:position w:val="0"/>
          <w:sz w:val="24"/>
          <w:szCs w:val="24"/>
        </w:rPr>
        <w:t>上述资产减值损失一经确认，以后期间不予转回价值得以恢复的部分。</w:t>
      </w:r>
    </w:p>
    <w:p>
      <w:pPr>
        <w:pStyle w:val="Style24"/>
        <w:keepNext/>
        <w:keepLines/>
        <w:widowControl w:val="0"/>
        <w:shd w:val="clear" w:color="auto" w:fill="auto"/>
        <w:tabs>
          <w:tab w:pos="427" w:val="left"/>
        </w:tabs>
        <w:bidi w:val="0"/>
        <w:spacing w:before="0" w:after="240" w:line="240" w:lineRule="auto"/>
        <w:ind w:left="0" w:right="0" w:firstLine="0"/>
        <w:jc w:val="both"/>
      </w:pPr>
      <w:bookmarkStart w:id="1000" w:name="bookmark1000"/>
      <w:bookmarkStart w:id="1001" w:name="bookmark1001"/>
      <w:bookmarkStart w:id="998" w:name="bookmark998"/>
      <w:bookmarkStart w:id="999" w:name="bookmark999"/>
      <w:r>
        <w:rPr>
          <w:rFonts w:ascii="Times New Roman" w:eastAsia="Times New Roman" w:hAnsi="Times New Roman" w:cs="Times New Roman"/>
          <w:color w:val="000000"/>
          <w:spacing w:val="0"/>
          <w:w w:val="100"/>
          <w:position w:val="0"/>
        </w:rPr>
        <w:t>2</w:t>
      </w:r>
      <w:bookmarkEnd w:id="1000"/>
      <w:r>
        <w:rPr>
          <w:rFonts w:ascii="Times New Roman" w:eastAsia="Times New Roman" w:hAnsi="Times New Roman" w:cs="Times New Roman"/>
          <w:color w:val="000000"/>
          <w:spacing w:val="0"/>
          <w:w w:val="100"/>
          <w:position w:val="0"/>
        </w:rPr>
        <w:t>7</w:t>
      </w:r>
      <w:r>
        <w:rPr>
          <w:color w:val="000000"/>
          <w:spacing w:val="0"/>
          <w:w w:val="100"/>
          <w:position w:val="0"/>
        </w:rPr>
        <w:t>、</w:t>
        <w:tab/>
        <w:t>长期待摊费用</w:t>
      </w:r>
      <w:bookmarkEnd w:id="1001"/>
      <w:bookmarkEnd w:id="998"/>
      <w:bookmarkEnd w:id="999"/>
    </w:p>
    <w:p>
      <w:pPr>
        <w:pStyle w:val="Style59"/>
        <w:keepNext w:val="0"/>
        <w:keepLines w:val="0"/>
        <w:widowControl w:val="0"/>
        <w:shd w:val="clear" w:color="auto" w:fill="auto"/>
        <w:bidi w:val="0"/>
        <w:spacing w:before="0" w:after="400" w:line="466" w:lineRule="exact"/>
        <w:ind w:left="0" w:right="0" w:firstLine="500"/>
        <w:jc w:val="both"/>
      </w:pPr>
      <w:r>
        <w:rPr>
          <w:color w:val="000000"/>
          <w:spacing w:val="0"/>
          <w:w w:val="100"/>
          <w:position w:val="0"/>
          <w:sz w:val="24"/>
          <w:szCs w:val="24"/>
        </w:rPr>
        <w:t>长期待摊费用是公司已经发生但应由本期和以后各期负担的分摊期限在1年以上（不含1 年）的各项费用。长期待摊费用在受益期内平均摊销，如果长期待摊费用项目不能使以后会计 期间受益的，则将其尚未摊销的摊余价值全部转入当期损益。</w:t>
      </w:r>
    </w:p>
    <w:p>
      <w:pPr>
        <w:pStyle w:val="Style24"/>
        <w:keepNext/>
        <w:keepLines/>
        <w:widowControl w:val="0"/>
        <w:shd w:val="clear" w:color="auto" w:fill="auto"/>
        <w:tabs>
          <w:tab w:pos="427" w:val="left"/>
        </w:tabs>
        <w:bidi w:val="0"/>
        <w:spacing w:before="0" w:after="240" w:line="240" w:lineRule="auto"/>
        <w:ind w:left="0" w:right="0" w:firstLine="0"/>
        <w:jc w:val="both"/>
      </w:pPr>
      <w:bookmarkStart w:id="1002" w:name="bookmark1002"/>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2</w:t>
      </w:r>
      <w:bookmarkEnd w:id="1004"/>
      <w:r>
        <w:rPr>
          <w:rFonts w:ascii="Times New Roman" w:eastAsia="Times New Roman" w:hAnsi="Times New Roman" w:cs="Times New Roman"/>
          <w:color w:val="000000"/>
          <w:spacing w:val="0"/>
          <w:w w:val="100"/>
          <w:position w:val="0"/>
        </w:rPr>
        <w:t>8</w:t>
      </w:r>
      <w:r>
        <w:rPr>
          <w:color w:val="000000"/>
          <w:spacing w:val="0"/>
          <w:w w:val="100"/>
          <w:position w:val="0"/>
        </w:rPr>
        <w:t>、</w:t>
        <w:tab/>
        <w:t>合同负债</w:t>
      </w:r>
      <w:bookmarkEnd w:id="1002"/>
      <w:bookmarkEnd w:id="1003"/>
      <w:bookmarkEnd w:id="1005"/>
    </w:p>
    <w:p>
      <w:pPr>
        <w:pStyle w:val="Style59"/>
        <w:keepNext w:val="0"/>
        <w:keepLines w:val="0"/>
        <w:widowControl w:val="0"/>
        <w:shd w:val="clear" w:color="auto" w:fill="auto"/>
        <w:bidi w:val="0"/>
        <w:spacing w:before="0" w:after="320" w:line="467" w:lineRule="exact"/>
        <w:ind w:left="0" w:right="0" w:firstLine="500"/>
        <w:jc w:val="left"/>
      </w:pPr>
      <w:r>
        <w:rPr>
          <w:color w:val="000000"/>
          <w:spacing w:val="0"/>
          <w:w w:val="100"/>
          <w:position w:val="0"/>
          <w:sz w:val="24"/>
          <w:szCs w:val="24"/>
        </w:rPr>
        <w:t>合同负债反映已收或应收客户对价而应向客户转让商品的义务。在向客户转让商品之前， 客户已经支付了合同对价或已经取得了无条件收取合同对价权利的，在客户实际支付款项与 到期应付款项孰早时点，按照已收或应收的金额确认合同负债。同一合同下的合同资产和合 同负债以净额列示，不同合同下的合同资产和合同负债不予抵销。</w:t>
      </w:r>
    </w:p>
    <w:p>
      <w:pPr>
        <w:pStyle w:val="Style24"/>
        <w:keepNext/>
        <w:keepLines/>
        <w:widowControl w:val="0"/>
        <w:shd w:val="clear" w:color="auto" w:fill="auto"/>
        <w:bidi w:val="0"/>
        <w:spacing w:before="0" w:line="240" w:lineRule="auto"/>
        <w:ind w:left="0" w:right="0" w:firstLine="0"/>
        <w:jc w:val="left"/>
      </w:pPr>
      <w:bookmarkStart w:id="1006" w:name="bookmark1006"/>
      <w:bookmarkStart w:id="1007" w:name="bookmark1007"/>
      <w:bookmarkStart w:id="1008" w:name="bookmark1008"/>
      <w:bookmarkStart w:id="1009" w:name="bookmark1009"/>
      <w:r>
        <w:rPr>
          <w:rFonts w:ascii="Times New Roman" w:eastAsia="Times New Roman" w:hAnsi="Times New Roman" w:cs="Times New Roman"/>
          <w:color w:val="000000"/>
          <w:spacing w:val="0"/>
          <w:w w:val="100"/>
          <w:position w:val="0"/>
        </w:rPr>
        <w:t>2</w:t>
      </w:r>
      <w:bookmarkEnd w:id="1008"/>
      <w:r>
        <w:rPr>
          <w:rFonts w:ascii="Times New Roman" w:eastAsia="Times New Roman" w:hAnsi="Times New Roman" w:cs="Times New Roman"/>
          <w:color w:val="000000"/>
          <w:spacing w:val="0"/>
          <w:w w:val="100"/>
          <w:position w:val="0"/>
        </w:rPr>
        <w:t>9</w:t>
      </w:r>
      <w:r>
        <w:rPr>
          <w:color w:val="000000"/>
          <w:spacing w:val="0"/>
          <w:w w:val="100"/>
          <w:position w:val="0"/>
        </w:rPr>
        <w:t>、职工薪酬</w:t>
      </w:r>
      <w:bookmarkEnd w:id="1006"/>
      <w:bookmarkEnd w:id="1007"/>
      <w:bookmarkEnd w:id="1009"/>
    </w:p>
    <w:p>
      <w:pPr>
        <w:pStyle w:val="Style102"/>
        <w:keepNext/>
        <w:keepLines/>
        <w:widowControl w:val="0"/>
        <w:shd w:val="clear" w:color="auto" w:fill="auto"/>
        <w:tabs>
          <w:tab w:pos="493" w:val="left"/>
        </w:tabs>
        <w:bidi w:val="0"/>
        <w:spacing w:before="0" w:after="220" w:line="240" w:lineRule="auto"/>
        <w:ind w:left="0" w:right="0" w:firstLine="0"/>
        <w:jc w:val="left"/>
      </w:pPr>
      <w:bookmarkStart w:id="1010" w:name="bookmark1010"/>
      <w:bookmarkStart w:id="1011" w:name="bookmark1011"/>
      <w:bookmarkStart w:id="1012" w:name="bookmark1012"/>
      <w:bookmarkStart w:id="1013" w:name="bookmark1013"/>
      <w:r>
        <w:rPr>
          <w:color w:val="000000"/>
          <w:spacing w:val="0"/>
          <w:w w:val="100"/>
          <w:position w:val="0"/>
        </w:rPr>
        <w:t>（</w:t>
      </w:r>
      <w:bookmarkEnd w:id="1012"/>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010"/>
      <w:bookmarkEnd w:id="1011"/>
      <w:bookmarkEnd w:id="1013"/>
    </w:p>
    <w:p>
      <w:pPr>
        <w:pStyle w:val="Style59"/>
        <w:keepNext w:val="0"/>
        <w:keepLines w:val="0"/>
        <w:widowControl w:val="0"/>
        <w:shd w:val="clear" w:color="auto" w:fill="auto"/>
        <w:bidi w:val="0"/>
        <w:spacing w:before="0" w:after="0" w:line="467" w:lineRule="exact"/>
        <w:ind w:left="0" w:right="0" w:firstLine="500"/>
        <w:jc w:val="both"/>
      </w:pPr>
      <w:r>
        <w:rPr>
          <w:color w:val="000000"/>
          <w:spacing w:val="0"/>
          <w:w w:val="100"/>
          <w:position w:val="0"/>
          <w:sz w:val="24"/>
          <w:szCs w:val="24"/>
        </w:rPr>
        <w:t>短期薪酬是指公司在职工提供相关服务的年度报告期间结束后十二个月内需要全部予以 支付的职工薪酬。</w:t>
      </w:r>
    </w:p>
    <w:p>
      <w:pPr>
        <w:pStyle w:val="Style59"/>
        <w:keepNext w:val="0"/>
        <w:keepLines w:val="0"/>
        <w:widowControl w:val="0"/>
        <w:shd w:val="clear" w:color="auto" w:fill="auto"/>
        <w:bidi w:val="0"/>
        <w:spacing w:before="0" w:after="0" w:line="467" w:lineRule="exact"/>
        <w:ind w:left="0" w:right="0" w:firstLine="500"/>
        <w:jc w:val="both"/>
      </w:pPr>
      <w:r>
        <w:rPr>
          <w:color w:val="000000"/>
          <w:spacing w:val="0"/>
          <w:w w:val="100"/>
          <w:position w:val="0"/>
          <w:sz w:val="24"/>
          <w:szCs w:val="24"/>
        </w:rPr>
        <w:t>短期薪酬包括职工工资、奖金、津贴和补贴，职工福利费、医疗保险费、工伤保险费和 生育保险费等社会保险费，住房公积金、工会经费和职工教育经费，短期带薪缺勤、短期利 润分享计划，非货币性福利以及其他短期薪酬。</w:t>
      </w:r>
    </w:p>
    <w:p>
      <w:pPr>
        <w:pStyle w:val="Style59"/>
        <w:keepNext w:val="0"/>
        <w:keepLines w:val="0"/>
        <w:widowControl w:val="0"/>
        <w:shd w:val="clear" w:color="auto" w:fill="auto"/>
        <w:bidi w:val="0"/>
        <w:spacing w:before="0" w:after="400" w:line="467" w:lineRule="exact"/>
        <w:ind w:left="0" w:right="0" w:firstLine="500"/>
        <w:jc w:val="both"/>
      </w:pPr>
      <w:r>
        <w:rPr>
          <w:color w:val="000000"/>
          <w:spacing w:val="0"/>
          <w:w w:val="100"/>
          <w:position w:val="0"/>
          <w:sz w:val="24"/>
          <w:szCs w:val="24"/>
        </w:rPr>
        <w:t>短期薪酬在职工为公司提供服务的会计期间，将实际发生的短期薪酬确认为负债，并计 入当期损益或相关资产成本。</w:t>
      </w:r>
    </w:p>
    <w:p>
      <w:pPr>
        <w:pStyle w:val="Style102"/>
        <w:keepNext/>
        <w:keepLines/>
        <w:widowControl w:val="0"/>
        <w:shd w:val="clear" w:color="auto" w:fill="auto"/>
        <w:tabs>
          <w:tab w:pos="493" w:val="left"/>
        </w:tabs>
        <w:bidi w:val="0"/>
        <w:spacing w:before="0" w:after="220" w:line="240" w:lineRule="auto"/>
        <w:ind w:left="0" w:right="0" w:firstLine="0"/>
        <w:jc w:val="both"/>
      </w:pPr>
      <w:bookmarkStart w:id="1014" w:name="bookmark1014"/>
      <w:bookmarkStart w:id="1015" w:name="bookmark1015"/>
      <w:bookmarkStart w:id="1016" w:name="bookmark1016"/>
      <w:bookmarkStart w:id="1017" w:name="bookmark1017"/>
      <w:r>
        <w:rPr>
          <w:color w:val="000000"/>
          <w:spacing w:val="0"/>
          <w:w w:val="100"/>
          <w:position w:val="0"/>
        </w:rPr>
        <w:t>（</w:t>
      </w:r>
      <w:bookmarkEnd w:id="1016"/>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14"/>
      <w:bookmarkEnd w:id="1015"/>
      <w:bookmarkEnd w:id="1017"/>
    </w:p>
    <w:p>
      <w:pPr>
        <w:pStyle w:val="Style59"/>
        <w:keepNext w:val="0"/>
        <w:keepLines w:val="0"/>
        <w:widowControl w:val="0"/>
        <w:shd w:val="clear" w:color="auto" w:fill="auto"/>
        <w:bidi w:val="0"/>
        <w:spacing w:before="0" w:after="0" w:line="469" w:lineRule="exact"/>
        <w:ind w:left="0" w:right="0" w:firstLine="500"/>
        <w:jc w:val="both"/>
      </w:pPr>
      <w:r>
        <w:rPr>
          <w:color w:val="000000"/>
          <w:spacing w:val="0"/>
          <w:w w:val="100"/>
          <w:position w:val="0"/>
          <w:sz w:val="24"/>
          <w:szCs w:val="24"/>
        </w:rPr>
        <w:t>离职后福利是指公司为获得员工提供的服务而在职工退休或与公司解除劳动关系后，提 供的各种形式的报酬和福利，短期薪酬和辞退福利除外。</w:t>
      </w:r>
    </w:p>
    <w:p>
      <w:pPr>
        <w:pStyle w:val="Style59"/>
        <w:keepNext w:val="0"/>
        <w:keepLines w:val="0"/>
        <w:widowControl w:val="0"/>
        <w:shd w:val="clear" w:color="auto" w:fill="auto"/>
        <w:bidi w:val="0"/>
        <w:spacing w:before="0" w:after="0" w:line="469" w:lineRule="exact"/>
        <w:ind w:left="0" w:right="0" w:firstLine="500"/>
        <w:jc w:val="both"/>
      </w:pPr>
      <w:r>
        <w:rPr>
          <w:color w:val="000000"/>
          <w:spacing w:val="0"/>
          <w:w w:val="100"/>
          <w:position w:val="0"/>
          <w:sz w:val="24"/>
          <w:szCs w:val="24"/>
        </w:rPr>
        <w:t>离职后福利计划包括设定提存计划和设定受益计划。其中，设定提存计划，是指向独立 的基金缴存固定费用后，公司不再承担进一步支付义务的离职后福利计划；设定受益计划， 是指除设定提存计划以外的离职后福利计划。</w:t>
      </w:r>
    </w:p>
    <w:p>
      <w:pPr>
        <w:pStyle w:val="Style59"/>
        <w:keepNext w:val="0"/>
        <w:keepLines w:val="0"/>
        <w:widowControl w:val="0"/>
        <w:shd w:val="clear" w:color="auto" w:fill="auto"/>
        <w:bidi w:val="0"/>
        <w:spacing w:before="0" w:after="0" w:line="469" w:lineRule="exact"/>
        <w:ind w:left="0" w:right="0" w:firstLine="500"/>
        <w:jc w:val="both"/>
      </w:pPr>
      <w:r>
        <w:rPr>
          <w:color w:val="000000"/>
          <w:spacing w:val="0"/>
          <w:w w:val="100"/>
          <w:position w:val="0"/>
          <w:sz w:val="24"/>
          <w:szCs w:val="24"/>
        </w:rPr>
        <w:t>设定提存计划包括基本养老保险、失业保险等。在职工提供服务的会计期间，根据设定 提存计划计算的应缴存金额确认为负债，并计入当期损益或相关资产成本。</w:t>
      </w:r>
    </w:p>
    <w:p>
      <w:pPr>
        <w:pStyle w:val="Style59"/>
        <w:keepNext w:val="0"/>
        <w:keepLines w:val="0"/>
        <w:widowControl w:val="0"/>
        <w:shd w:val="clear" w:color="auto" w:fill="auto"/>
        <w:bidi w:val="0"/>
        <w:spacing w:before="0" w:after="0" w:line="469" w:lineRule="exact"/>
        <w:ind w:left="0" w:right="0" w:firstLine="500"/>
        <w:jc w:val="both"/>
      </w:pPr>
      <w:r>
        <w:rPr>
          <w:color w:val="000000"/>
          <w:spacing w:val="0"/>
          <w:w w:val="100"/>
          <w:position w:val="0"/>
          <w:sz w:val="24"/>
          <w:szCs w:val="24"/>
        </w:rPr>
        <w:t>于报告期末，将设定受益计划产生的职工薪酬成本确认为下列组成部分：</w:t>
      </w:r>
    </w:p>
    <w:p>
      <w:pPr>
        <w:pStyle w:val="Style59"/>
        <w:keepNext w:val="0"/>
        <w:keepLines w:val="0"/>
        <w:widowControl w:val="0"/>
        <w:numPr>
          <w:ilvl w:val="0"/>
          <w:numId w:val="91"/>
        </w:numPr>
        <w:shd w:val="clear" w:color="auto" w:fill="auto"/>
        <w:tabs>
          <w:tab w:pos="921" w:val="left"/>
        </w:tabs>
        <w:bidi w:val="0"/>
        <w:spacing w:before="0" w:after="0" w:line="469" w:lineRule="exact"/>
        <w:ind w:left="0" w:right="0" w:firstLine="500"/>
        <w:jc w:val="both"/>
      </w:pPr>
      <w:bookmarkStart w:id="1018" w:name="bookmark1018"/>
      <w:bookmarkEnd w:id="1018"/>
      <w:r>
        <w:rPr>
          <w:color w:val="000000"/>
          <w:spacing w:val="0"/>
          <w:w w:val="100"/>
          <w:position w:val="0"/>
          <w:sz w:val="24"/>
          <w:szCs w:val="24"/>
        </w:rPr>
        <w:t>服务成本，包括当期服务成本、过去服务成本和结算利得或损失。</w:t>
      </w:r>
    </w:p>
    <w:p>
      <w:pPr>
        <w:pStyle w:val="Style59"/>
        <w:keepNext w:val="0"/>
        <w:keepLines w:val="0"/>
        <w:widowControl w:val="0"/>
        <w:numPr>
          <w:ilvl w:val="0"/>
          <w:numId w:val="91"/>
        </w:numPr>
        <w:shd w:val="clear" w:color="auto" w:fill="auto"/>
        <w:tabs>
          <w:tab w:pos="896" w:val="left"/>
        </w:tabs>
        <w:bidi w:val="0"/>
        <w:spacing w:before="0" w:after="0" w:line="469" w:lineRule="exact"/>
        <w:ind w:left="0" w:right="0" w:firstLine="500"/>
        <w:jc w:val="both"/>
      </w:pPr>
      <w:bookmarkStart w:id="1019" w:name="bookmark1019"/>
      <w:bookmarkEnd w:id="1019"/>
      <w:r>
        <w:rPr>
          <w:color w:val="000000"/>
          <w:spacing w:val="0"/>
          <w:w w:val="100"/>
          <w:position w:val="0"/>
          <w:sz w:val="24"/>
          <w:szCs w:val="24"/>
        </w:rPr>
        <w:t>设定受益计划净负债或净资产的利息净额，包括计划资产的利息收益、设定受益计划 义务的利息费用以及资产上限影响的利息。</w:t>
      </w:r>
    </w:p>
    <w:p>
      <w:pPr>
        <w:pStyle w:val="Style59"/>
        <w:keepNext w:val="0"/>
        <w:keepLines w:val="0"/>
        <w:widowControl w:val="0"/>
        <w:numPr>
          <w:ilvl w:val="0"/>
          <w:numId w:val="91"/>
        </w:numPr>
        <w:shd w:val="clear" w:color="auto" w:fill="auto"/>
        <w:tabs>
          <w:tab w:pos="921" w:val="left"/>
        </w:tabs>
        <w:bidi w:val="0"/>
        <w:spacing w:before="0" w:after="0" w:line="469" w:lineRule="exact"/>
        <w:ind w:left="0" w:right="0" w:firstLine="500"/>
        <w:jc w:val="both"/>
      </w:pPr>
      <w:bookmarkStart w:id="1020" w:name="bookmark1020"/>
      <w:bookmarkEnd w:id="1020"/>
      <w:r>
        <w:rPr>
          <w:color w:val="000000"/>
          <w:spacing w:val="0"/>
          <w:w w:val="100"/>
          <w:position w:val="0"/>
          <w:sz w:val="24"/>
          <w:szCs w:val="24"/>
        </w:rPr>
        <w:t>重新计量设定受益计划净负债或净资产所产生的变动。</w:t>
      </w:r>
    </w:p>
    <w:p>
      <w:pPr>
        <w:pStyle w:val="Style59"/>
        <w:keepNext w:val="0"/>
        <w:keepLines w:val="0"/>
        <w:widowControl w:val="0"/>
        <w:shd w:val="clear" w:color="auto" w:fill="auto"/>
        <w:bidi w:val="0"/>
        <w:spacing w:before="0" w:after="460" w:line="469" w:lineRule="exact"/>
        <w:ind w:left="0" w:right="0" w:firstLine="500"/>
        <w:jc w:val="both"/>
      </w:pPr>
      <w:r>
        <w:rPr>
          <w:color w:val="000000"/>
          <w:spacing w:val="0"/>
          <w:w w:val="100"/>
          <w:position w:val="0"/>
          <w:sz w:val="24"/>
          <w:szCs w:val="24"/>
        </w:rPr>
        <w:t>除非其他会计准则要求或允许职工福利成本计入资产成本，上述第①项和第②项应计入 当期损益；第③项应计入其他综合收益，并且在后续会计期间不允许转回至损益，但可以在 权益范围内转移这些在其他综合收益中确认的金额。</w:t>
      </w:r>
    </w:p>
    <w:p>
      <w:pPr>
        <w:pStyle w:val="Style59"/>
        <w:keepNext w:val="0"/>
        <w:keepLines w:val="0"/>
        <w:widowControl w:val="0"/>
        <w:shd w:val="clear" w:color="auto" w:fill="auto"/>
        <w:bidi w:val="0"/>
        <w:spacing w:before="0" w:after="0" w:line="469" w:lineRule="exact"/>
        <w:ind w:left="0" w:right="0" w:firstLine="500"/>
        <w:jc w:val="both"/>
      </w:pPr>
      <w:r>
        <w:rPr>
          <w:color w:val="000000"/>
          <w:spacing w:val="0"/>
          <w:w w:val="100"/>
          <w:position w:val="0"/>
          <w:sz w:val="24"/>
          <w:szCs w:val="24"/>
        </w:rPr>
        <w:t>在设定受益计划下，在下列日期孰早日将过去服务成本确认为当期费用：</w:t>
      </w:r>
    </w:p>
    <w:p>
      <w:pPr>
        <w:pStyle w:val="Style59"/>
        <w:keepNext w:val="0"/>
        <w:keepLines w:val="0"/>
        <w:widowControl w:val="0"/>
        <w:shd w:val="clear" w:color="auto" w:fill="auto"/>
        <w:bidi w:val="0"/>
        <w:spacing w:before="0" w:after="280" w:line="469" w:lineRule="exact"/>
        <w:ind w:left="0" w:right="0" w:firstLine="500"/>
        <w:jc w:val="both"/>
      </w:pPr>
      <w:bookmarkStart w:id="1021" w:name="bookmark1021"/>
      <w:r>
        <w:rPr>
          <w:color w:val="000000"/>
          <w:spacing w:val="0"/>
          <w:w w:val="100"/>
          <w:position w:val="0"/>
          <w:sz w:val="24"/>
          <w:szCs w:val="24"/>
        </w:rPr>
        <w:t>1</w:t>
      </w:r>
      <w:bookmarkEnd w:id="1021"/>
      <w:r>
        <w:rPr>
          <w:color w:val="000000"/>
          <w:spacing w:val="0"/>
          <w:w w:val="100"/>
          <w:position w:val="0"/>
          <w:sz w:val="24"/>
          <w:szCs w:val="24"/>
        </w:rPr>
        <w:t>）修改设定受益计划时。</w:t>
      </w:r>
    </w:p>
    <w:p>
      <w:pPr>
        <w:pStyle w:val="Style59"/>
        <w:keepNext w:val="0"/>
        <w:keepLines w:val="0"/>
        <w:widowControl w:val="0"/>
        <w:shd w:val="clear" w:color="auto" w:fill="auto"/>
        <w:bidi w:val="0"/>
        <w:spacing w:before="0" w:after="0" w:line="472" w:lineRule="exact"/>
        <w:ind w:left="0" w:right="0" w:firstLine="500"/>
        <w:jc w:val="both"/>
      </w:pPr>
      <w:bookmarkStart w:id="1022" w:name="bookmark1022"/>
      <w:r>
        <w:rPr>
          <w:color w:val="000000"/>
          <w:spacing w:val="0"/>
          <w:w w:val="100"/>
          <w:position w:val="0"/>
          <w:sz w:val="24"/>
          <w:szCs w:val="24"/>
        </w:rPr>
        <w:t>2</w:t>
      </w:r>
      <w:bookmarkEnd w:id="1022"/>
      <w:r>
        <w:rPr>
          <w:color w:val="000000"/>
          <w:spacing w:val="0"/>
          <w:w w:val="100"/>
          <w:position w:val="0"/>
          <w:sz w:val="24"/>
          <w:szCs w:val="24"/>
        </w:rPr>
        <w:t>）企业确认相关重组费用或辞退福利时。</w:t>
      </w:r>
    </w:p>
    <w:p>
      <w:pPr>
        <w:pStyle w:val="Style59"/>
        <w:keepNext w:val="0"/>
        <w:keepLines w:val="0"/>
        <w:widowControl w:val="0"/>
        <w:shd w:val="clear" w:color="auto" w:fill="auto"/>
        <w:bidi w:val="0"/>
        <w:spacing w:before="0" w:after="400" w:line="472" w:lineRule="exact"/>
        <w:ind w:left="0" w:right="0" w:firstLine="500"/>
        <w:jc w:val="both"/>
      </w:pPr>
      <w:r>
        <w:rPr>
          <w:color w:val="000000"/>
          <w:spacing w:val="0"/>
          <w:w w:val="100"/>
          <w:position w:val="0"/>
          <w:sz w:val="24"/>
          <w:szCs w:val="24"/>
        </w:rPr>
        <w:t>在设定受益计划结算时，确认一项结算利得或损失。</w:t>
      </w:r>
    </w:p>
    <w:p>
      <w:pPr>
        <w:pStyle w:val="Style102"/>
        <w:keepNext/>
        <w:keepLines/>
        <w:widowControl w:val="0"/>
        <w:shd w:val="clear" w:color="auto" w:fill="auto"/>
        <w:tabs>
          <w:tab w:pos="493" w:val="left"/>
        </w:tabs>
        <w:bidi w:val="0"/>
        <w:spacing w:before="0" w:after="240" w:line="240" w:lineRule="auto"/>
        <w:ind w:left="0" w:right="0" w:firstLine="0"/>
        <w:jc w:val="left"/>
      </w:pPr>
      <w:bookmarkStart w:id="1023" w:name="bookmark1023"/>
      <w:bookmarkStart w:id="1024" w:name="bookmark1024"/>
      <w:bookmarkStart w:id="1025" w:name="bookmark1025"/>
      <w:bookmarkStart w:id="1026" w:name="bookmark1026"/>
      <w:r>
        <w:rPr>
          <w:color w:val="000000"/>
          <w:spacing w:val="0"/>
          <w:w w:val="100"/>
          <w:position w:val="0"/>
        </w:rPr>
        <w:t>（</w:t>
      </w:r>
      <w:bookmarkEnd w:id="1025"/>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23"/>
      <w:bookmarkEnd w:id="1024"/>
      <w:bookmarkEnd w:id="1026"/>
    </w:p>
    <w:p>
      <w:pPr>
        <w:pStyle w:val="Style59"/>
        <w:keepNext w:val="0"/>
        <w:keepLines w:val="0"/>
        <w:widowControl w:val="0"/>
        <w:shd w:val="clear" w:color="auto" w:fill="auto"/>
        <w:bidi w:val="0"/>
        <w:spacing w:before="0" w:after="0" w:line="472" w:lineRule="exact"/>
        <w:ind w:left="0" w:right="0" w:firstLine="500"/>
        <w:jc w:val="both"/>
      </w:pPr>
      <w:r>
        <w:rPr>
          <w:color w:val="000000"/>
          <w:spacing w:val="0"/>
          <w:w w:val="100"/>
          <w:position w:val="0"/>
          <w:sz w:val="24"/>
          <w:szCs w:val="24"/>
        </w:rPr>
        <w:t>辞退福利是指公司在职工劳动合同到期之前解除与职工的劳动关系，或者为鼓励职工自 愿接受裁减而给予职工的补偿。</w:t>
      </w:r>
    </w:p>
    <w:p>
      <w:pPr>
        <w:pStyle w:val="Style59"/>
        <w:keepNext w:val="0"/>
        <w:keepLines w:val="0"/>
        <w:widowControl w:val="0"/>
        <w:shd w:val="clear" w:color="auto" w:fill="auto"/>
        <w:bidi w:val="0"/>
        <w:spacing w:before="0" w:after="400" w:line="472" w:lineRule="exact"/>
        <w:ind w:left="0" w:right="0" w:firstLine="500"/>
        <w:jc w:val="both"/>
      </w:pPr>
      <w:r>
        <w:rPr>
          <w:color w:val="000000"/>
          <w:spacing w:val="0"/>
          <w:w w:val="100"/>
          <w:position w:val="0"/>
          <w:sz w:val="24"/>
          <w:szCs w:val="24"/>
        </w:rPr>
        <w:t>公司向职工提供辞退福利的，在下列两者孰早日确认辞退福利产生的职工薪酬负债，并 计入当期损益：公司不能单方面撤回因解除劳动关系计划或裁减建议所提供的辞退福利时； 公司确认与涉及支付辞退福利的重组相关的成本或费用时。</w:t>
      </w:r>
    </w:p>
    <w:p>
      <w:pPr>
        <w:pStyle w:val="Style102"/>
        <w:keepNext/>
        <w:keepLines/>
        <w:widowControl w:val="0"/>
        <w:shd w:val="clear" w:color="auto" w:fill="auto"/>
        <w:tabs>
          <w:tab w:pos="493" w:val="left"/>
        </w:tabs>
        <w:bidi w:val="0"/>
        <w:spacing w:before="0" w:after="240" w:line="240" w:lineRule="auto"/>
        <w:ind w:left="0" w:right="0" w:firstLine="0"/>
        <w:jc w:val="left"/>
      </w:pPr>
      <w:bookmarkStart w:id="1027" w:name="bookmark1027"/>
      <w:bookmarkStart w:id="1028" w:name="bookmark1028"/>
      <w:bookmarkStart w:id="1029" w:name="bookmark1029"/>
      <w:bookmarkStart w:id="1030" w:name="bookmark1030"/>
      <w:r>
        <w:rPr>
          <w:color w:val="000000"/>
          <w:spacing w:val="0"/>
          <w:w w:val="100"/>
          <w:position w:val="0"/>
        </w:rPr>
        <w:t>（</w:t>
      </w:r>
      <w:bookmarkEnd w:id="1029"/>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027"/>
      <w:bookmarkEnd w:id="1028"/>
      <w:bookmarkEnd w:id="1030"/>
    </w:p>
    <w:p>
      <w:pPr>
        <w:pStyle w:val="Style59"/>
        <w:keepNext w:val="0"/>
        <w:keepLines w:val="0"/>
        <w:widowControl w:val="0"/>
        <w:shd w:val="clear" w:color="auto" w:fill="auto"/>
        <w:bidi w:val="0"/>
        <w:spacing w:before="0" w:after="0" w:line="472" w:lineRule="exact"/>
        <w:ind w:left="0" w:right="0" w:firstLine="500"/>
        <w:jc w:val="both"/>
      </w:pPr>
      <w:r>
        <w:rPr>
          <w:color w:val="000000"/>
          <w:spacing w:val="0"/>
          <w:w w:val="100"/>
          <w:position w:val="0"/>
          <w:sz w:val="24"/>
          <w:szCs w:val="24"/>
        </w:rPr>
        <w:t>其他长期职工福利是指除短期薪酬、离职后福利、辞退福利之外所有的职工薪酬，包括 长期带薪缺勤、长期残疾福利、长期利润分享计划等。</w:t>
      </w:r>
    </w:p>
    <w:p>
      <w:pPr>
        <w:pStyle w:val="Style59"/>
        <w:keepNext w:val="0"/>
        <w:keepLines w:val="0"/>
        <w:widowControl w:val="0"/>
        <w:shd w:val="clear" w:color="auto" w:fill="auto"/>
        <w:bidi w:val="0"/>
        <w:spacing w:before="0" w:after="0" w:line="472" w:lineRule="exact"/>
        <w:ind w:left="0" w:right="0" w:firstLine="500"/>
        <w:jc w:val="both"/>
      </w:pPr>
      <w:r>
        <w:rPr>
          <w:color w:val="000000"/>
          <w:spacing w:val="0"/>
          <w:w w:val="100"/>
          <w:position w:val="0"/>
          <w:sz w:val="24"/>
          <w:szCs w:val="24"/>
        </w:rPr>
        <w:t>企业向职工提供的其他长期职工福利，符合设定提存计划条件的，适用于上述设定提存 计划的有关规定进行处理。</w:t>
      </w:r>
    </w:p>
    <w:p>
      <w:pPr>
        <w:pStyle w:val="Style59"/>
        <w:keepNext w:val="0"/>
        <w:keepLines w:val="0"/>
        <w:widowControl w:val="0"/>
        <w:shd w:val="clear" w:color="auto" w:fill="auto"/>
        <w:bidi w:val="0"/>
        <w:spacing w:before="0" w:after="0" w:line="472" w:lineRule="exact"/>
        <w:ind w:left="0" w:right="0" w:firstLine="500"/>
        <w:jc w:val="both"/>
      </w:pPr>
      <w:r>
        <w:rPr>
          <w:color w:val="000000"/>
          <w:spacing w:val="0"/>
          <w:w w:val="100"/>
          <w:position w:val="0"/>
          <w:sz w:val="24"/>
          <w:szCs w:val="24"/>
        </w:rPr>
        <w:t>除符合设定提存计划条件的情形外，按照设定受益计划的有关规定，确认和计量其他长 期职工福利净负债或净资产。在报告期末，企业应当将其他长期职工福利产生的职工薪酬成 本确认为下列组成部分：</w:t>
      </w:r>
    </w:p>
    <w:p>
      <w:pPr>
        <w:pStyle w:val="Style59"/>
        <w:keepNext w:val="0"/>
        <w:keepLines w:val="0"/>
        <w:widowControl w:val="0"/>
        <w:numPr>
          <w:ilvl w:val="0"/>
          <w:numId w:val="93"/>
        </w:numPr>
        <w:shd w:val="clear" w:color="auto" w:fill="auto"/>
        <w:tabs>
          <w:tab w:pos="921" w:val="left"/>
        </w:tabs>
        <w:bidi w:val="0"/>
        <w:spacing w:before="0" w:after="0" w:line="472" w:lineRule="exact"/>
        <w:ind w:left="0" w:right="0" w:firstLine="500"/>
        <w:jc w:val="both"/>
      </w:pPr>
      <w:bookmarkStart w:id="1031" w:name="bookmark1031"/>
      <w:bookmarkEnd w:id="1031"/>
      <w:r>
        <w:rPr>
          <w:color w:val="000000"/>
          <w:spacing w:val="0"/>
          <w:w w:val="100"/>
          <w:position w:val="0"/>
          <w:sz w:val="24"/>
          <w:szCs w:val="24"/>
        </w:rPr>
        <w:t>服务成本。</w:t>
      </w:r>
    </w:p>
    <w:p>
      <w:pPr>
        <w:pStyle w:val="Style59"/>
        <w:keepNext w:val="0"/>
        <w:keepLines w:val="0"/>
        <w:widowControl w:val="0"/>
        <w:numPr>
          <w:ilvl w:val="0"/>
          <w:numId w:val="93"/>
        </w:numPr>
        <w:shd w:val="clear" w:color="auto" w:fill="auto"/>
        <w:tabs>
          <w:tab w:pos="921" w:val="left"/>
        </w:tabs>
        <w:bidi w:val="0"/>
        <w:spacing w:before="0" w:after="0" w:line="472" w:lineRule="exact"/>
        <w:ind w:left="0" w:right="0" w:firstLine="500"/>
        <w:jc w:val="left"/>
      </w:pPr>
      <w:bookmarkStart w:id="1032" w:name="bookmark1032"/>
      <w:bookmarkEnd w:id="1032"/>
      <w:r>
        <w:rPr>
          <w:color w:val="000000"/>
          <w:spacing w:val="0"/>
          <w:w w:val="100"/>
          <w:position w:val="0"/>
          <w:sz w:val="24"/>
          <w:szCs w:val="24"/>
        </w:rPr>
        <w:t>其他长期职工福利净负债或净资产的利息净额。</w:t>
      </w:r>
    </w:p>
    <w:p>
      <w:pPr>
        <w:pStyle w:val="Style59"/>
        <w:keepNext w:val="0"/>
        <w:keepLines w:val="0"/>
        <w:widowControl w:val="0"/>
        <w:numPr>
          <w:ilvl w:val="0"/>
          <w:numId w:val="93"/>
        </w:numPr>
        <w:shd w:val="clear" w:color="auto" w:fill="auto"/>
        <w:tabs>
          <w:tab w:pos="921" w:val="left"/>
        </w:tabs>
        <w:bidi w:val="0"/>
        <w:spacing w:before="0" w:after="0" w:line="472" w:lineRule="exact"/>
        <w:ind w:left="0" w:right="0" w:firstLine="500"/>
        <w:jc w:val="left"/>
      </w:pPr>
      <w:bookmarkStart w:id="1033" w:name="bookmark1033"/>
      <w:bookmarkEnd w:id="1033"/>
      <w:r>
        <w:rPr>
          <w:color w:val="000000"/>
          <w:spacing w:val="0"/>
          <w:w w:val="100"/>
          <w:position w:val="0"/>
          <w:sz w:val="24"/>
          <w:szCs w:val="24"/>
        </w:rPr>
        <w:t>重新计量其他长期职工福利净负债或净资产所产生的变动。</w:t>
      </w:r>
    </w:p>
    <w:p>
      <w:pPr>
        <w:pStyle w:val="Style59"/>
        <w:keepNext w:val="0"/>
        <w:keepLines w:val="0"/>
        <w:widowControl w:val="0"/>
        <w:shd w:val="clear" w:color="auto" w:fill="auto"/>
        <w:bidi w:val="0"/>
        <w:spacing w:before="0" w:after="400" w:line="472" w:lineRule="exact"/>
        <w:ind w:left="0" w:right="0" w:firstLine="500"/>
        <w:jc w:val="left"/>
      </w:pPr>
      <w:r>
        <w:rPr>
          <w:color w:val="000000"/>
          <w:spacing w:val="0"/>
          <w:w w:val="100"/>
          <w:position w:val="0"/>
          <w:sz w:val="24"/>
          <w:szCs w:val="24"/>
        </w:rPr>
        <w:t>为简化相关会计处理，上述项目的总净额计入当期损益或相关资产成本。</w:t>
      </w:r>
    </w:p>
    <w:p>
      <w:pPr>
        <w:pStyle w:val="Style24"/>
        <w:keepNext/>
        <w:keepLines/>
        <w:widowControl w:val="0"/>
        <w:shd w:val="clear" w:color="auto" w:fill="auto"/>
        <w:bidi w:val="0"/>
        <w:spacing w:before="0" w:after="240" w:line="240" w:lineRule="auto"/>
        <w:ind w:left="0" w:right="0" w:firstLine="0"/>
        <w:jc w:val="both"/>
      </w:pPr>
      <w:bookmarkStart w:id="1034" w:name="bookmark1034"/>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3</w:t>
      </w:r>
      <w:bookmarkEnd w:id="1036"/>
      <w:r>
        <w:rPr>
          <w:rFonts w:ascii="Times New Roman" w:eastAsia="Times New Roman" w:hAnsi="Times New Roman" w:cs="Times New Roman"/>
          <w:color w:val="000000"/>
          <w:spacing w:val="0"/>
          <w:w w:val="100"/>
          <w:position w:val="0"/>
        </w:rPr>
        <w:t>0</w:t>
      </w:r>
      <w:r>
        <w:rPr>
          <w:color w:val="000000"/>
          <w:spacing w:val="0"/>
          <w:w w:val="100"/>
          <w:position w:val="0"/>
        </w:rPr>
        <w:t>、租赁负债</w:t>
      </w:r>
      <w:bookmarkEnd w:id="1034"/>
      <w:bookmarkEnd w:id="1035"/>
      <w:bookmarkEnd w:id="1037"/>
    </w:p>
    <w:p>
      <w:pPr>
        <w:pStyle w:val="Style59"/>
        <w:keepNext w:val="0"/>
        <w:keepLines w:val="0"/>
        <w:widowControl w:val="0"/>
        <w:shd w:val="clear" w:color="auto" w:fill="auto"/>
        <w:bidi w:val="0"/>
        <w:spacing w:before="0" w:after="0" w:line="469" w:lineRule="exact"/>
        <w:ind w:left="0" w:right="0" w:firstLine="500"/>
        <w:jc w:val="both"/>
      </w:pPr>
      <w:r>
        <w:rPr>
          <w:color w:val="000000"/>
          <w:spacing w:val="0"/>
          <w:w w:val="100"/>
          <w:position w:val="0"/>
          <w:sz w:val="24"/>
          <w:szCs w:val="24"/>
        </w:rPr>
        <w:t>自2021年1月1日起适用</w:t>
      </w:r>
    </w:p>
    <w:p>
      <w:pPr>
        <w:pStyle w:val="Style59"/>
        <w:keepNext w:val="0"/>
        <w:keepLines w:val="0"/>
        <w:widowControl w:val="0"/>
        <w:shd w:val="clear" w:color="auto" w:fill="auto"/>
        <w:bidi w:val="0"/>
        <w:spacing w:before="0" w:after="240" w:line="469" w:lineRule="exact"/>
        <w:ind w:left="0" w:right="0" w:firstLine="500"/>
        <w:jc w:val="both"/>
      </w:pPr>
      <w:r>
        <w:rPr>
          <w:color w:val="000000"/>
          <w:spacing w:val="0"/>
          <w:w w:val="100"/>
          <w:position w:val="0"/>
          <w:sz w:val="24"/>
          <w:szCs w:val="24"/>
        </w:rPr>
        <w:t>于租赁期开始日，除短期租赁和低价值资产租赁外，将尚未支付的租赁付款额的现值确 认为租赁负债。在计算租赁付款额的现值时，采用租赁内含利率作为折现率；无法确定租赁 内含利率的，采用承租人增量借款利率作为折现率。按照固定的周期性利率计算租赁负债在 租赁期内各期间的利息费用，并计入当期损益，根据附注五、24计入资产成本的除外。未纳 入租赁负债计量的可变租赁付款额于实际发生时计入当期损益，但另有规定计入相关资产成</w:t>
      </w:r>
    </w:p>
    <w:p>
      <w:pPr>
        <w:pStyle w:val="Style59"/>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本的除外。</w:t>
      </w:r>
    </w:p>
    <w:p>
      <w:pPr>
        <w:pStyle w:val="Style59"/>
        <w:keepNext w:val="0"/>
        <w:keepLines w:val="0"/>
        <w:widowControl w:val="0"/>
        <w:shd w:val="clear" w:color="auto" w:fill="auto"/>
        <w:bidi w:val="0"/>
        <w:spacing w:before="0" w:after="400" w:line="468" w:lineRule="exact"/>
        <w:ind w:left="0" w:right="0" w:firstLine="500"/>
        <w:jc w:val="both"/>
      </w:pPr>
      <w:r>
        <w:rPr>
          <w:color w:val="000000"/>
          <w:spacing w:val="0"/>
          <w:w w:val="100"/>
          <w:position w:val="0"/>
          <w:sz w:val="24"/>
          <w:szCs w:val="24"/>
        </w:rPr>
        <w:t>租赁期开始日后，当实质固定付款额发生变动、担保余值预计的应付金额发生变化、用 于确定租赁付款额的指数或比率发生变动、购买选择权、续租选择权或终止选择权的评估结 果或实际行权情况发生变化时，按照变动后的租赁付款额的现值重新计量租赁负债。</w:t>
      </w:r>
    </w:p>
    <w:p>
      <w:pPr>
        <w:pStyle w:val="Style24"/>
        <w:keepNext/>
        <w:keepLines/>
        <w:widowControl w:val="0"/>
        <w:shd w:val="clear" w:color="auto" w:fill="auto"/>
        <w:tabs>
          <w:tab w:pos="483" w:val="left"/>
        </w:tabs>
        <w:bidi w:val="0"/>
        <w:spacing w:before="0" w:after="240" w:line="240" w:lineRule="auto"/>
        <w:ind w:left="0" w:right="0" w:firstLine="0"/>
        <w:jc w:val="both"/>
      </w:pPr>
      <w:bookmarkStart w:id="1038" w:name="bookmark1038"/>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3</w:t>
      </w:r>
      <w:bookmarkEnd w:id="1040"/>
      <w:r>
        <w:rPr>
          <w:rFonts w:ascii="Times New Roman" w:eastAsia="Times New Roman" w:hAnsi="Times New Roman" w:cs="Times New Roman"/>
          <w:color w:val="000000"/>
          <w:spacing w:val="0"/>
          <w:w w:val="100"/>
          <w:position w:val="0"/>
        </w:rPr>
        <w:t>1</w:t>
      </w:r>
      <w:r>
        <w:rPr>
          <w:color w:val="000000"/>
          <w:spacing w:val="0"/>
          <w:w w:val="100"/>
          <w:position w:val="0"/>
        </w:rPr>
        <w:t>、</w:t>
        <w:tab/>
        <w:t>预计负债</w:t>
      </w:r>
      <w:bookmarkEnd w:id="1038"/>
      <w:bookmarkEnd w:id="1039"/>
      <w:bookmarkEnd w:id="1041"/>
    </w:p>
    <w:p>
      <w:pPr>
        <w:pStyle w:val="Style59"/>
        <w:keepNext w:val="0"/>
        <w:keepLines w:val="0"/>
        <w:widowControl w:val="0"/>
        <w:shd w:val="clear" w:color="auto" w:fill="auto"/>
        <w:bidi w:val="0"/>
        <w:spacing w:before="0" w:after="0" w:line="468" w:lineRule="exact"/>
        <w:ind w:left="0" w:right="0" w:firstLine="500"/>
        <w:jc w:val="left"/>
      </w:pPr>
      <w:r>
        <w:rPr>
          <w:color w:val="000000"/>
          <w:spacing w:val="0"/>
          <w:w w:val="100"/>
          <w:position w:val="0"/>
          <w:sz w:val="24"/>
          <w:szCs w:val="24"/>
        </w:rPr>
        <w:t>与或有事项相关的义务同时满足下列条件的，确认为预计负债：</w:t>
      </w:r>
    </w:p>
    <w:p>
      <w:pPr>
        <w:pStyle w:val="Style59"/>
        <w:keepNext w:val="0"/>
        <w:keepLines w:val="0"/>
        <w:widowControl w:val="0"/>
        <w:numPr>
          <w:ilvl w:val="0"/>
          <w:numId w:val="95"/>
        </w:numPr>
        <w:shd w:val="clear" w:color="auto" w:fill="auto"/>
        <w:tabs>
          <w:tab w:pos="954" w:val="left"/>
        </w:tabs>
        <w:bidi w:val="0"/>
        <w:spacing w:before="0" w:after="0" w:line="468" w:lineRule="exact"/>
        <w:ind w:left="0" w:right="0" w:firstLine="500"/>
        <w:jc w:val="left"/>
      </w:pPr>
      <w:bookmarkStart w:id="1042" w:name="bookmark1042"/>
      <w:bookmarkEnd w:id="1042"/>
      <w:r>
        <w:rPr>
          <w:color w:val="000000"/>
          <w:spacing w:val="0"/>
          <w:w w:val="100"/>
          <w:position w:val="0"/>
          <w:sz w:val="24"/>
          <w:szCs w:val="24"/>
        </w:rPr>
        <w:t>该义务是企业承担的现时义务；</w:t>
      </w:r>
    </w:p>
    <w:p>
      <w:pPr>
        <w:pStyle w:val="Style59"/>
        <w:keepNext w:val="0"/>
        <w:keepLines w:val="0"/>
        <w:widowControl w:val="0"/>
        <w:numPr>
          <w:ilvl w:val="0"/>
          <w:numId w:val="95"/>
        </w:numPr>
        <w:shd w:val="clear" w:color="auto" w:fill="auto"/>
        <w:tabs>
          <w:tab w:pos="954" w:val="left"/>
        </w:tabs>
        <w:bidi w:val="0"/>
        <w:spacing w:before="0" w:after="0" w:line="468" w:lineRule="exact"/>
        <w:ind w:left="0" w:right="0" w:firstLine="500"/>
        <w:jc w:val="left"/>
      </w:pPr>
      <w:bookmarkStart w:id="1043" w:name="bookmark1043"/>
      <w:bookmarkEnd w:id="1043"/>
      <w:r>
        <w:rPr>
          <w:color w:val="000000"/>
          <w:spacing w:val="0"/>
          <w:w w:val="100"/>
          <w:position w:val="0"/>
          <w:sz w:val="24"/>
          <w:szCs w:val="24"/>
        </w:rPr>
        <w:t>履行该义务很可能导致经济利益流出企业；</w:t>
      </w:r>
    </w:p>
    <w:p>
      <w:pPr>
        <w:pStyle w:val="Style59"/>
        <w:keepNext w:val="0"/>
        <w:keepLines w:val="0"/>
        <w:widowControl w:val="0"/>
        <w:numPr>
          <w:ilvl w:val="0"/>
          <w:numId w:val="95"/>
        </w:numPr>
        <w:shd w:val="clear" w:color="auto" w:fill="auto"/>
        <w:tabs>
          <w:tab w:pos="954" w:val="left"/>
        </w:tabs>
        <w:bidi w:val="0"/>
        <w:spacing w:before="0" w:after="0" w:line="468" w:lineRule="exact"/>
        <w:ind w:left="0" w:right="0" w:firstLine="500"/>
        <w:jc w:val="left"/>
      </w:pPr>
      <w:bookmarkStart w:id="1044" w:name="bookmark1044"/>
      <w:bookmarkEnd w:id="1044"/>
      <w:r>
        <w:rPr>
          <w:color w:val="000000"/>
          <w:spacing w:val="0"/>
          <w:w w:val="100"/>
          <w:position w:val="0"/>
          <w:sz w:val="24"/>
          <w:szCs w:val="24"/>
        </w:rPr>
        <w:t>该义务的金额能够可靠地计量。</w:t>
      </w:r>
    </w:p>
    <w:p>
      <w:pPr>
        <w:pStyle w:val="Style59"/>
        <w:keepNext w:val="0"/>
        <w:keepLines w:val="0"/>
        <w:widowControl w:val="0"/>
        <w:shd w:val="clear" w:color="auto" w:fill="auto"/>
        <w:bidi w:val="0"/>
        <w:spacing w:before="0" w:after="400" w:line="468" w:lineRule="exact"/>
        <w:ind w:left="0" w:right="0" w:firstLine="500"/>
        <w:jc w:val="left"/>
      </w:pPr>
      <w:r>
        <w:rPr>
          <w:color w:val="000000"/>
          <w:spacing w:val="0"/>
          <w:w w:val="100"/>
          <w:position w:val="0"/>
          <w:sz w:val="24"/>
          <w:szCs w:val="24"/>
        </w:rPr>
        <w:t>预计负债应当按照履行相关现时义务所需支出的最佳估计数进行初始计量。</w:t>
      </w:r>
    </w:p>
    <w:p>
      <w:pPr>
        <w:pStyle w:val="Style24"/>
        <w:keepNext/>
        <w:keepLines/>
        <w:widowControl w:val="0"/>
        <w:shd w:val="clear" w:color="auto" w:fill="auto"/>
        <w:tabs>
          <w:tab w:pos="483" w:val="left"/>
        </w:tabs>
        <w:bidi w:val="0"/>
        <w:spacing w:before="0" w:after="240" w:line="240" w:lineRule="auto"/>
        <w:ind w:left="0" w:right="0" w:firstLine="0"/>
        <w:jc w:val="both"/>
      </w:pPr>
      <w:bookmarkStart w:id="1045" w:name="bookmark1045"/>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3</w:t>
      </w:r>
      <w:bookmarkEnd w:id="1047"/>
      <w:r>
        <w:rPr>
          <w:rFonts w:ascii="Times New Roman" w:eastAsia="Times New Roman" w:hAnsi="Times New Roman" w:cs="Times New Roman"/>
          <w:color w:val="000000"/>
          <w:spacing w:val="0"/>
          <w:w w:val="100"/>
          <w:position w:val="0"/>
        </w:rPr>
        <w:t>2</w:t>
      </w:r>
      <w:r>
        <w:rPr>
          <w:color w:val="000000"/>
          <w:spacing w:val="0"/>
          <w:w w:val="100"/>
          <w:position w:val="0"/>
        </w:rPr>
        <w:t>、</w:t>
        <w:tab/>
        <w:t>股份支付</w:t>
      </w:r>
      <w:bookmarkEnd w:id="1045"/>
      <w:bookmarkEnd w:id="1046"/>
      <w:bookmarkEnd w:id="1048"/>
    </w:p>
    <w:p>
      <w:pPr>
        <w:pStyle w:val="Style59"/>
        <w:keepNext w:val="0"/>
        <w:keepLines w:val="0"/>
        <w:widowControl w:val="0"/>
        <w:numPr>
          <w:ilvl w:val="0"/>
          <w:numId w:val="97"/>
        </w:numPr>
        <w:shd w:val="clear" w:color="auto" w:fill="auto"/>
        <w:tabs>
          <w:tab w:pos="954" w:val="left"/>
        </w:tabs>
        <w:bidi w:val="0"/>
        <w:spacing w:before="0" w:after="0" w:line="468" w:lineRule="exact"/>
        <w:ind w:left="0" w:right="0" w:firstLine="500"/>
        <w:jc w:val="both"/>
      </w:pPr>
      <w:bookmarkStart w:id="1049" w:name="bookmark1049"/>
      <w:bookmarkEnd w:id="1049"/>
      <w:r>
        <w:rPr>
          <w:color w:val="000000"/>
          <w:spacing w:val="0"/>
          <w:w w:val="100"/>
          <w:position w:val="0"/>
          <w:sz w:val="24"/>
          <w:szCs w:val="24"/>
        </w:rPr>
        <w:t>股份支付的种类</w:t>
      </w:r>
    </w:p>
    <w:p>
      <w:pPr>
        <w:pStyle w:val="Style59"/>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股份支付分为以权益结算的股份支付和以现金结算的股份支付。</w:t>
      </w:r>
    </w:p>
    <w:p>
      <w:pPr>
        <w:pStyle w:val="Style59"/>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以权益结算的股份支付，是指企业为获取服务以股份或其他权益工具作为对价进行结算 的交易，这里所指的权益工具是企业自身权益工具。</w:t>
      </w:r>
    </w:p>
    <w:p>
      <w:pPr>
        <w:pStyle w:val="Style59"/>
        <w:keepNext w:val="0"/>
        <w:keepLines w:val="0"/>
        <w:widowControl w:val="0"/>
        <w:shd w:val="clear" w:color="auto" w:fill="auto"/>
        <w:bidi w:val="0"/>
        <w:spacing w:before="0" w:after="440" w:line="468" w:lineRule="exact"/>
        <w:ind w:left="0" w:right="0" w:firstLine="500"/>
        <w:jc w:val="both"/>
      </w:pPr>
      <w:r>
        <w:rPr>
          <w:color w:val="000000"/>
          <w:spacing w:val="0"/>
          <w:w w:val="100"/>
          <w:position w:val="0"/>
          <w:sz w:val="24"/>
          <w:szCs w:val="24"/>
        </w:rPr>
        <w:t>以现金结算的股份支付，是指企业为获取服务承担以股份或其他权益工具为基础计算确 定的交付现金或其他资产义务的交易。</w:t>
      </w:r>
    </w:p>
    <w:p>
      <w:pPr>
        <w:pStyle w:val="Style59"/>
        <w:keepNext w:val="0"/>
        <w:keepLines w:val="0"/>
        <w:widowControl w:val="0"/>
        <w:numPr>
          <w:ilvl w:val="0"/>
          <w:numId w:val="97"/>
        </w:numPr>
        <w:shd w:val="clear" w:color="auto" w:fill="auto"/>
        <w:tabs>
          <w:tab w:pos="954" w:val="left"/>
        </w:tabs>
        <w:bidi w:val="0"/>
        <w:spacing w:before="0" w:after="0" w:line="467" w:lineRule="exact"/>
        <w:ind w:left="0" w:right="0" w:firstLine="500"/>
        <w:jc w:val="left"/>
      </w:pPr>
      <w:bookmarkStart w:id="1050" w:name="bookmark1050"/>
      <w:bookmarkEnd w:id="1050"/>
      <w:r>
        <w:rPr>
          <w:color w:val="000000"/>
          <w:spacing w:val="0"/>
          <w:w w:val="100"/>
          <w:position w:val="0"/>
          <w:sz w:val="24"/>
          <w:szCs w:val="24"/>
        </w:rPr>
        <w:t>实施、修改、终止股份支付计划的相关会计处理</w:t>
      </w:r>
    </w:p>
    <w:p>
      <w:pPr>
        <w:pStyle w:val="Style59"/>
        <w:keepNext w:val="0"/>
        <w:keepLines w:val="0"/>
        <w:widowControl w:val="0"/>
        <w:shd w:val="clear" w:color="auto" w:fill="auto"/>
        <w:bidi w:val="0"/>
        <w:spacing w:before="0" w:after="0" w:line="467" w:lineRule="exact"/>
        <w:ind w:left="0" w:right="0" w:firstLine="500"/>
        <w:jc w:val="both"/>
      </w:pPr>
      <w:r>
        <w:rPr>
          <w:color w:val="000000"/>
          <w:spacing w:val="0"/>
          <w:w w:val="100"/>
          <w:position w:val="0"/>
          <w:sz w:val="24"/>
          <w:szCs w:val="24"/>
        </w:rPr>
        <w:t>①授予后立即可行权的换取职工服务的以权益结算的股份支付，在授予日按照权益工具 的公允价值计入相关成本或费用，相应增加资本公积。</w:t>
      </w:r>
    </w:p>
    <w:p>
      <w:pPr>
        <w:pStyle w:val="Style59"/>
        <w:keepNext w:val="0"/>
        <w:keepLines w:val="0"/>
        <w:widowControl w:val="0"/>
        <w:shd w:val="clear" w:color="auto" w:fill="auto"/>
        <w:bidi w:val="0"/>
        <w:spacing w:before="0" w:after="0" w:line="467" w:lineRule="exact"/>
        <w:ind w:left="0" w:right="0" w:firstLine="500"/>
        <w:jc w:val="both"/>
      </w:pPr>
      <w:r>
        <w:rPr>
          <w:color w:val="000000"/>
          <w:spacing w:val="0"/>
          <w:w w:val="100"/>
          <w:position w:val="0"/>
          <w:sz w:val="24"/>
          <w:szCs w:val="24"/>
        </w:rPr>
        <w:t>完成等待期内的服务或达到规定业绩条件才可行权的换取职工服务的以权益结算的股份 支付，在等待期内的每个资产负债表日，以对可行权权益工具数量的最佳估计为基础，按照 权益工具授予日的公允价值，将当期取得的服务计入相关成本或费用和资本公积。</w:t>
      </w:r>
    </w:p>
    <w:p>
      <w:pPr>
        <w:pStyle w:val="Style59"/>
        <w:keepNext w:val="0"/>
        <w:keepLines w:val="0"/>
        <w:widowControl w:val="0"/>
        <w:shd w:val="clear" w:color="auto" w:fill="auto"/>
        <w:bidi w:val="0"/>
        <w:spacing w:before="0" w:after="0" w:line="467" w:lineRule="exact"/>
        <w:ind w:left="0" w:right="0" w:firstLine="500"/>
        <w:jc w:val="both"/>
      </w:pPr>
      <w:r>
        <w:rPr>
          <w:color w:val="000000"/>
          <w:spacing w:val="0"/>
          <w:w w:val="100"/>
          <w:position w:val="0"/>
          <w:sz w:val="24"/>
          <w:szCs w:val="24"/>
        </w:rPr>
        <w:t>在资产负债表日，后续信息表明可行权权益工具的数量与以前估计不同的，进行调整， 并在可行权日调整至实际可行权的权益工具数量。</w:t>
      </w:r>
    </w:p>
    <w:p>
      <w:pPr>
        <w:pStyle w:val="Style59"/>
        <w:keepNext w:val="0"/>
        <w:keepLines w:val="0"/>
        <w:widowControl w:val="0"/>
        <w:shd w:val="clear" w:color="auto" w:fill="auto"/>
        <w:bidi w:val="0"/>
        <w:spacing w:before="0" w:after="0" w:line="467" w:lineRule="exact"/>
        <w:ind w:left="0" w:right="0" w:firstLine="500"/>
        <w:jc w:val="both"/>
      </w:pPr>
      <w:r>
        <w:rPr>
          <w:color w:val="000000"/>
          <w:spacing w:val="0"/>
          <w:w w:val="100"/>
          <w:position w:val="0"/>
          <w:sz w:val="24"/>
          <w:szCs w:val="24"/>
        </w:rPr>
        <w:t xml:space="preserve">对于权益结算的股份支付，在可行权日之后不再对已确认的成本费用和所有者权益总额 进行调整。在行权日根据行权情况，确认股本和股本溢价，同时结转等待期内确认的资本公 </w:t>
      </w:r>
      <w:r>
        <w:rPr>
          <w:color w:val="000000"/>
          <w:spacing w:val="0"/>
          <w:w w:val="100"/>
          <w:position w:val="0"/>
          <w:sz w:val="24"/>
          <w:szCs w:val="24"/>
        </w:rPr>
        <w:t>积（其他资本公积）。</w:t>
      </w:r>
    </w:p>
    <w:p>
      <w:pPr>
        <w:pStyle w:val="Style59"/>
        <w:keepNext w:val="0"/>
        <w:keepLines w:val="0"/>
        <w:widowControl w:val="0"/>
        <w:shd w:val="clear" w:color="auto" w:fill="auto"/>
        <w:bidi w:val="0"/>
        <w:spacing w:before="0" w:after="0" w:line="466" w:lineRule="exact"/>
        <w:ind w:left="0" w:right="0" w:firstLine="500"/>
        <w:jc w:val="both"/>
      </w:pPr>
      <w:r>
        <w:rPr>
          <w:color w:val="000000"/>
          <w:spacing w:val="0"/>
          <w:w w:val="100"/>
          <w:position w:val="0"/>
          <w:sz w:val="24"/>
          <w:szCs w:val="24"/>
        </w:rPr>
        <w:t>对于授予的存在活跃市场的期权等权益工具，应当按照活跃市场中的报价确定其公允价 值。对于授予的不存在活跃市场的期权等权益工具，应当采用期权定价模型等确定其公允价 值，选用的期权定价模型至少应当考虑以下因素：</w:t>
      </w:r>
    </w:p>
    <w:p>
      <w:pPr>
        <w:pStyle w:val="Style59"/>
        <w:keepNext w:val="0"/>
        <w:keepLines w:val="0"/>
        <w:widowControl w:val="0"/>
        <w:shd w:val="clear" w:color="auto" w:fill="auto"/>
        <w:tabs>
          <w:tab w:pos="858" w:val="left"/>
        </w:tabs>
        <w:bidi w:val="0"/>
        <w:spacing w:before="0" w:after="0" w:line="466" w:lineRule="exact"/>
        <w:ind w:left="0" w:right="0" w:firstLine="500"/>
        <w:jc w:val="both"/>
      </w:pPr>
      <w:bookmarkStart w:id="1051" w:name="bookmark1051"/>
      <w:r>
        <w:rPr>
          <w:color w:val="000000"/>
          <w:spacing w:val="0"/>
          <w:w w:val="100"/>
          <w:position w:val="0"/>
          <w:sz w:val="24"/>
          <w:szCs w:val="24"/>
        </w:rPr>
        <w:t>1</w:t>
      </w:r>
      <w:bookmarkEnd w:id="1051"/>
      <w:r>
        <w:rPr>
          <w:color w:val="000000"/>
          <w:spacing w:val="0"/>
          <w:w w:val="100"/>
          <w:position w:val="0"/>
          <w:sz w:val="24"/>
          <w:szCs w:val="24"/>
        </w:rPr>
        <w:t>）</w:t>
        <w:tab/>
        <w:t>期权的行权价格；</w:t>
      </w:r>
    </w:p>
    <w:p>
      <w:pPr>
        <w:pStyle w:val="Style59"/>
        <w:keepNext w:val="0"/>
        <w:keepLines w:val="0"/>
        <w:widowControl w:val="0"/>
        <w:shd w:val="clear" w:color="auto" w:fill="auto"/>
        <w:tabs>
          <w:tab w:pos="873" w:val="left"/>
        </w:tabs>
        <w:bidi w:val="0"/>
        <w:spacing w:before="0" w:after="0" w:line="466" w:lineRule="exact"/>
        <w:ind w:left="0" w:right="0" w:firstLine="500"/>
        <w:jc w:val="both"/>
      </w:pPr>
      <w:bookmarkStart w:id="1052" w:name="bookmark1052"/>
      <w:r>
        <w:rPr>
          <w:color w:val="000000"/>
          <w:spacing w:val="0"/>
          <w:w w:val="100"/>
          <w:position w:val="0"/>
          <w:sz w:val="24"/>
          <w:szCs w:val="24"/>
        </w:rPr>
        <w:t>2</w:t>
      </w:r>
      <w:bookmarkEnd w:id="1052"/>
      <w:r>
        <w:rPr>
          <w:color w:val="000000"/>
          <w:spacing w:val="0"/>
          <w:w w:val="100"/>
          <w:position w:val="0"/>
          <w:sz w:val="24"/>
          <w:szCs w:val="24"/>
        </w:rPr>
        <w:t>）</w:t>
        <w:tab/>
        <w:t>期权的有效期；</w:t>
      </w:r>
    </w:p>
    <w:p>
      <w:pPr>
        <w:pStyle w:val="Style59"/>
        <w:keepNext w:val="0"/>
        <w:keepLines w:val="0"/>
        <w:widowControl w:val="0"/>
        <w:shd w:val="clear" w:color="auto" w:fill="auto"/>
        <w:tabs>
          <w:tab w:pos="873" w:val="left"/>
        </w:tabs>
        <w:bidi w:val="0"/>
        <w:spacing w:before="0" w:after="0" w:line="466" w:lineRule="exact"/>
        <w:ind w:left="0" w:right="0" w:firstLine="500"/>
        <w:jc w:val="both"/>
      </w:pPr>
      <w:bookmarkStart w:id="1053" w:name="bookmark1053"/>
      <w:r>
        <w:rPr>
          <w:color w:val="000000"/>
          <w:spacing w:val="0"/>
          <w:w w:val="100"/>
          <w:position w:val="0"/>
          <w:sz w:val="24"/>
          <w:szCs w:val="24"/>
        </w:rPr>
        <w:t>3</w:t>
      </w:r>
      <w:bookmarkEnd w:id="1053"/>
      <w:r>
        <w:rPr>
          <w:color w:val="000000"/>
          <w:spacing w:val="0"/>
          <w:w w:val="100"/>
          <w:position w:val="0"/>
          <w:sz w:val="24"/>
          <w:szCs w:val="24"/>
        </w:rPr>
        <w:t>）</w:t>
        <w:tab/>
        <w:t>标的股份的现行价格；</w:t>
      </w:r>
    </w:p>
    <w:p>
      <w:pPr>
        <w:pStyle w:val="Style59"/>
        <w:keepNext w:val="0"/>
        <w:keepLines w:val="0"/>
        <w:widowControl w:val="0"/>
        <w:shd w:val="clear" w:color="auto" w:fill="auto"/>
        <w:tabs>
          <w:tab w:pos="878" w:val="left"/>
        </w:tabs>
        <w:bidi w:val="0"/>
        <w:spacing w:before="0" w:after="0" w:line="466" w:lineRule="exact"/>
        <w:ind w:left="0" w:right="0" w:firstLine="500"/>
        <w:jc w:val="both"/>
      </w:pPr>
      <w:bookmarkStart w:id="1054" w:name="bookmark1054"/>
      <w:r>
        <w:rPr>
          <w:color w:val="000000"/>
          <w:spacing w:val="0"/>
          <w:w w:val="100"/>
          <w:position w:val="0"/>
          <w:sz w:val="24"/>
          <w:szCs w:val="24"/>
        </w:rPr>
        <w:t>4</w:t>
      </w:r>
      <w:bookmarkEnd w:id="1054"/>
      <w:r>
        <w:rPr>
          <w:color w:val="000000"/>
          <w:spacing w:val="0"/>
          <w:w w:val="100"/>
          <w:position w:val="0"/>
          <w:sz w:val="24"/>
          <w:szCs w:val="24"/>
        </w:rPr>
        <w:t>）</w:t>
        <w:tab/>
        <w:t>股价预计波动率；</w:t>
      </w:r>
    </w:p>
    <w:p>
      <w:pPr>
        <w:pStyle w:val="Style59"/>
        <w:keepNext w:val="0"/>
        <w:keepLines w:val="0"/>
        <w:widowControl w:val="0"/>
        <w:shd w:val="clear" w:color="auto" w:fill="auto"/>
        <w:tabs>
          <w:tab w:pos="878" w:val="left"/>
        </w:tabs>
        <w:bidi w:val="0"/>
        <w:spacing w:before="0" w:after="0" w:line="466" w:lineRule="exact"/>
        <w:ind w:left="0" w:right="0" w:firstLine="500"/>
        <w:jc w:val="both"/>
      </w:pPr>
      <w:bookmarkStart w:id="1055" w:name="bookmark1055"/>
      <w:r>
        <w:rPr>
          <w:color w:val="000000"/>
          <w:spacing w:val="0"/>
          <w:w w:val="100"/>
          <w:position w:val="0"/>
          <w:sz w:val="24"/>
          <w:szCs w:val="24"/>
        </w:rPr>
        <w:t>5</w:t>
      </w:r>
      <w:bookmarkEnd w:id="1055"/>
      <w:r>
        <w:rPr>
          <w:color w:val="000000"/>
          <w:spacing w:val="0"/>
          <w:w w:val="100"/>
          <w:position w:val="0"/>
          <w:sz w:val="24"/>
          <w:szCs w:val="24"/>
        </w:rPr>
        <w:t>）</w:t>
        <w:tab/>
        <w:t>股份的预计股利；</w:t>
      </w:r>
    </w:p>
    <w:p>
      <w:pPr>
        <w:pStyle w:val="Style59"/>
        <w:keepNext w:val="0"/>
        <w:keepLines w:val="0"/>
        <w:widowControl w:val="0"/>
        <w:shd w:val="clear" w:color="auto" w:fill="auto"/>
        <w:tabs>
          <w:tab w:pos="878" w:val="left"/>
        </w:tabs>
        <w:bidi w:val="0"/>
        <w:spacing w:before="0" w:after="0" w:line="466" w:lineRule="exact"/>
        <w:ind w:left="0" w:right="0" w:firstLine="500"/>
        <w:jc w:val="both"/>
      </w:pPr>
      <w:bookmarkStart w:id="1056" w:name="bookmark1056"/>
      <w:r>
        <w:rPr>
          <w:color w:val="000000"/>
          <w:spacing w:val="0"/>
          <w:w w:val="100"/>
          <w:position w:val="0"/>
          <w:sz w:val="24"/>
          <w:szCs w:val="24"/>
        </w:rPr>
        <w:t>6</w:t>
      </w:r>
      <w:bookmarkEnd w:id="1056"/>
      <w:r>
        <w:rPr>
          <w:color w:val="000000"/>
          <w:spacing w:val="0"/>
          <w:w w:val="100"/>
          <w:position w:val="0"/>
          <w:sz w:val="24"/>
          <w:szCs w:val="24"/>
        </w:rPr>
        <w:t>）</w:t>
        <w:tab/>
        <w:t>期权有效期内的无风险利率。</w:t>
      </w:r>
    </w:p>
    <w:p>
      <w:pPr>
        <w:pStyle w:val="Style59"/>
        <w:keepNext w:val="0"/>
        <w:keepLines w:val="0"/>
        <w:widowControl w:val="0"/>
        <w:shd w:val="clear" w:color="auto" w:fill="auto"/>
        <w:bidi w:val="0"/>
        <w:spacing w:before="0" w:after="0" w:line="466" w:lineRule="exact"/>
        <w:ind w:left="0" w:right="0" w:firstLine="500"/>
        <w:jc w:val="both"/>
      </w:pPr>
      <w:r>
        <w:rPr>
          <w:color w:val="000000"/>
          <w:spacing w:val="0"/>
          <w:w w:val="100"/>
          <w:position w:val="0"/>
          <w:sz w:val="24"/>
          <w:szCs w:val="24"/>
        </w:rPr>
        <w:t>②授予后立即可行权的以现金结算的股份支付，应当在授予日以企业承担负债的公允价 值计入相关成本或费用，相应增加负债。</w:t>
      </w:r>
    </w:p>
    <w:p>
      <w:pPr>
        <w:pStyle w:val="Style59"/>
        <w:keepNext w:val="0"/>
        <w:keepLines w:val="0"/>
        <w:widowControl w:val="0"/>
        <w:shd w:val="clear" w:color="auto" w:fill="auto"/>
        <w:bidi w:val="0"/>
        <w:spacing w:before="0" w:after="0" w:line="466" w:lineRule="exact"/>
        <w:ind w:left="0" w:right="0" w:firstLine="500"/>
        <w:jc w:val="both"/>
      </w:pPr>
      <w:r>
        <w:rPr>
          <w:color w:val="000000"/>
          <w:spacing w:val="0"/>
          <w:w w:val="100"/>
          <w:position w:val="0"/>
          <w:sz w:val="24"/>
          <w:szCs w:val="24"/>
        </w:rPr>
        <w:t>完成等待期内的服务或达到规定业绩条件以后才可行权的以现金结算的股份支付，在等 待期内的每个资产负债表日，对可行权情况的最佳估计为基础，按照企业承担负债的公允价 值金额，将当期取得的服务计入成本或费用和相应的负债。</w:t>
      </w:r>
    </w:p>
    <w:p>
      <w:pPr>
        <w:pStyle w:val="Style59"/>
        <w:keepNext w:val="0"/>
        <w:keepLines w:val="0"/>
        <w:widowControl w:val="0"/>
        <w:shd w:val="clear" w:color="auto" w:fill="auto"/>
        <w:bidi w:val="0"/>
        <w:spacing w:before="0" w:after="400" w:line="466" w:lineRule="exact"/>
        <w:ind w:left="0" w:right="0" w:firstLine="500"/>
        <w:jc w:val="both"/>
      </w:pPr>
      <w:r>
        <w:rPr>
          <w:color w:val="000000"/>
          <w:spacing w:val="0"/>
          <w:w w:val="100"/>
          <w:position w:val="0"/>
          <w:sz w:val="24"/>
          <w:szCs w:val="24"/>
        </w:rPr>
        <w:t>在相关负债结算前的每个资产负债表日以及结算日，对负债的公允价值重新计量，其变 动计入当期损益。</w:t>
      </w:r>
    </w:p>
    <w:p>
      <w:pPr>
        <w:pStyle w:val="Style24"/>
        <w:keepNext/>
        <w:keepLines/>
        <w:widowControl w:val="0"/>
        <w:shd w:val="clear" w:color="auto" w:fill="auto"/>
        <w:bidi w:val="0"/>
        <w:spacing w:before="0" w:after="200" w:line="240" w:lineRule="auto"/>
        <w:ind w:left="0" w:right="0" w:firstLine="0"/>
        <w:jc w:val="both"/>
      </w:pPr>
      <w:bookmarkStart w:id="1057" w:name="bookmark1057"/>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3</w:t>
      </w:r>
      <w:bookmarkEnd w:id="1059"/>
      <w:r>
        <w:rPr>
          <w:rFonts w:ascii="Times New Roman" w:eastAsia="Times New Roman" w:hAnsi="Times New Roman" w:cs="Times New Roman"/>
          <w:color w:val="000000"/>
          <w:spacing w:val="0"/>
          <w:w w:val="100"/>
          <w:position w:val="0"/>
        </w:rPr>
        <w:t>3</w:t>
      </w:r>
      <w:r>
        <w:rPr>
          <w:color w:val="000000"/>
          <w:spacing w:val="0"/>
          <w:w w:val="100"/>
          <w:position w:val="0"/>
        </w:rPr>
        <w:t>、收入</w:t>
      </w:r>
      <w:bookmarkEnd w:id="1057"/>
      <w:bookmarkEnd w:id="1058"/>
      <w:bookmarkEnd w:id="1060"/>
    </w:p>
    <w:p>
      <w:pPr>
        <w:pStyle w:val="Style59"/>
        <w:keepNext w:val="0"/>
        <w:keepLines w:val="0"/>
        <w:widowControl w:val="0"/>
        <w:shd w:val="clear" w:color="auto" w:fill="auto"/>
        <w:bidi w:val="0"/>
        <w:spacing w:before="0" w:after="0" w:line="485" w:lineRule="exact"/>
        <w:ind w:left="0" w:right="0" w:firstLine="500"/>
        <w:jc w:val="both"/>
      </w:pPr>
      <w:r>
        <w:rPr>
          <w:color w:val="000000"/>
          <w:spacing w:val="0"/>
          <w:w w:val="100"/>
          <w:position w:val="0"/>
          <w:sz w:val="24"/>
          <w:szCs w:val="24"/>
        </w:rPr>
        <w:t>公司需遵守《深圳证券交易所上市公司自律监管指引第3号</w:t>
      </w:r>
      <w:r>
        <w:rPr>
          <w:color w:val="000000"/>
          <w:spacing w:val="0"/>
          <w:w w:val="100"/>
          <w:position w:val="0"/>
          <w:sz w:val="24"/>
          <w:szCs w:val="24"/>
        </w:rPr>
        <w:t>一一</w:t>
      </w:r>
      <w:r>
        <w:rPr>
          <w:color w:val="000000"/>
          <w:spacing w:val="0"/>
          <w:w w:val="100"/>
          <w:position w:val="0"/>
          <w:sz w:val="24"/>
          <w:szCs w:val="24"/>
        </w:rPr>
        <w:t>行业信息披露》中的“软 件与信息技术服务业”的披露要求</w:t>
      </w:r>
    </w:p>
    <w:p>
      <w:pPr>
        <w:pStyle w:val="Style59"/>
        <w:keepNext w:val="0"/>
        <w:keepLines w:val="0"/>
        <w:widowControl w:val="0"/>
        <w:shd w:val="clear" w:color="auto" w:fill="auto"/>
        <w:bidi w:val="0"/>
        <w:spacing w:before="0" w:after="0" w:line="485" w:lineRule="exact"/>
        <w:ind w:left="0" w:right="0" w:firstLine="500"/>
        <w:jc w:val="left"/>
      </w:pPr>
      <w:r>
        <w:rPr>
          <w:color w:val="000000"/>
          <w:spacing w:val="0"/>
          <w:w w:val="100"/>
          <w:position w:val="0"/>
          <w:sz w:val="24"/>
          <w:szCs w:val="24"/>
        </w:rPr>
        <w:t>（1）收入确认原则</w:t>
      </w:r>
    </w:p>
    <w:p>
      <w:pPr>
        <w:pStyle w:val="Style59"/>
        <w:keepNext w:val="0"/>
        <w:keepLines w:val="0"/>
        <w:widowControl w:val="0"/>
        <w:shd w:val="clear" w:color="auto" w:fill="auto"/>
        <w:bidi w:val="0"/>
        <w:spacing w:before="0" w:after="0" w:line="456" w:lineRule="exact"/>
        <w:ind w:left="0" w:right="0" w:firstLine="500"/>
        <w:jc w:val="left"/>
      </w:pPr>
      <w:r>
        <w:rPr>
          <w:color w:val="000000"/>
          <w:spacing w:val="0"/>
          <w:w w:val="100"/>
          <w:position w:val="0"/>
          <w:sz w:val="24"/>
          <w:szCs w:val="24"/>
        </w:rPr>
        <w:t>与客户之间的合同同时满足下列条件时，在客户取得相关商品控制权时确认收入：</w:t>
      </w:r>
    </w:p>
    <w:p>
      <w:pPr>
        <w:pStyle w:val="Style59"/>
        <w:keepNext w:val="0"/>
        <w:keepLines w:val="0"/>
        <w:widowControl w:val="0"/>
        <w:numPr>
          <w:ilvl w:val="0"/>
          <w:numId w:val="99"/>
        </w:numPr>
        <w:shd w:val="clear" w:color="auto" w:fill="auto"/>
        <w:tabs>
          <w:tab w:pos="921" w:val="left"/>
        </w:tabs>
        <w:bidi w:val="0"/>
        <w:spacing w:before="0" w:after="0" w:line="456" w:lineRule="exact"/>
        <w:ind w:left="0" w:right="0" w:firstLine="500"/>
        <w:jc w:val="left"/>
      </w:pPr>
      <w:bookmarkStart w:id="1061" w:name="bookmark1061"/>
      <w:bookmarkEnd w:id="1061"/>
      <w:r>
        <w:rPr>
          <w:color w:val="000000"/>
          <w:spacing w:val="0"/>
          <w:w w:val="100"/>
          <w:position w:val="0"/>
          <w:sz w:val="24"/>
          <w:szCs w:val="24"/>
        </w:rPr>
        <w:t>合同各方已批准该合同并承诺将履行各自义务；</w:t>
      </w:r>
    </w:p>
    <w:p>
      <w:pPr>
        <w:pStyle w:val="Style59"/>
        <w:keepNext w:val="0"/>
        <w:keepLines w:val="0"/>
        <w:widowControl w:val="0"/>
        <w:numPr>
          <w:ilvl w:val="0"/>
          <w:numId w:val="99"/>
        </w:numPr>
        <w:shd w:val="clear" w:color="auto" w:fill="auto"/>
        <w:tabs>
          <w:tab w:pos="921" w:val="left"/>
        </w:tabs>
        <w:bidi w:val="0"/>
        <w:spacing w:before="0" w:after="0" w:line="456" w:lineRule="exact"/>
        <w:ind w:left="0" w:right="0" w:firstLine="500"/>
        <w:jc w:val="left"/>
      </w:pPr>
      <w:bookmarkStart w:id="1062" w:name="bookmark1062"/>
      <w:bookmarkEnd w:id="1062"/>
      <w:r>
        <w:rPr>
          <w:color w:val="000000"/>
          <w:spacing w:val="0"/>
          <w:w w:val="100"/>
          <w:position w:val="0"/>
          <w:sz w:val="24"/>
          <w:szCs w:val="24"/>
        </w:rPr>
        <w:t>合同明确了合同各方与所转让商品或提供劳务相关的权利和义务；</w:t>
      </w:r>
    </w:p>
    <w:p>
      <w:pPr>
        <w:pStyle w:val="Style59"/>
        <w:keepNext w:val="0"/>
        <w:keepLines w:val="0"/>
        <w:widowControl w:val="0"/>
        <w:numPr>
          <w:ilvl w:val="0"/>
          <w:numId w:val="99"/>
        </w:numPr>
        <w:shd w:val="clear" w:color="auto" w:fill="auto"/>
        <w:tabs>
          <w:tab w:pos="921" w:val="left"/>
        </w:tabs>
        <w:bidi w:val="0"/>
        <w:spacing w:before="0" w:after="0" w:line="456" w:lineRule="exact"/>
        <w:ind w:left="0" w:right="0" w:firstLine="500"/>
        <w:jc w:val="left"/>
      </w:pPr>
      <w:bookmarkStart w:id="1063" w:name="bookmark1063"/>
      <w:bookmarkEnd w:id="1063"/>
      <w:r>
        <w:rPr>
          <w:color w:val="000000"/>
          <w:spacing w:val="0"/>
          <w:w w:val="100"/>
          <w:position w:val="0"/>
          <w:sz w:val="24"/>
          <w:szCs w:val="24"/>
        </w:rPr>
        <w:t>合同有明确的与所转让商品相关的支付条款；</w:t>
      </w:r>
    </w:p>
    <w:p>
      <w:pPr>
        <w:pStyle w:val="Style59"/>
        <w:keepNext w:val="0"/>
        <w:keepLines w:val="0"/>
        <w:widowControl w:val="0"/>
        <w:numPr>
          <w:ilvl w:val="0"/>
          <w:numId w:val="99"/>
        </w:numPr>
        <w:shd w:val="clear" w:color="auto" w:fill="auto"/>
        <w:tabs>
          <w:tab w:pos="901" w:val="left"/>
        </w:tabs>
        <w:bidi w:val="0"/>
        <w:spacing w:before="0" w:after="0" w:line="456" w:lineRule="exact"/>
        <w:ind w:left="0" w:right="0" w:firstLine="500"/>
        <w:jc w:val="both"/>
      </w:pPr>
      <w:bookmarkStart w:id="1064" w:name="bookmark1064"/>
      <w:bookmarkEnd w:id="1064"/>
      <w:r>
        <w:rPr>
          <w:color w:val="000000"/>
          <w:spacing w:val="0"/>
          <w:w w:val="100"/>
          <w:position w:val="0"/>
          <w:sz w:val="24"/>
          <w:szCs w:val="24"/>
        </w:rPr>
        <w:t>合同具有商业实质，即履行该合同将改变本集团未来现金流量的风险、时间分布或金 额；</w:t>
      </w:r>
    </w:p>
    <w:p>
      <w:pPr>
        <w:pStyle w:val="Style59"/>
        <w:keepNext w:val="0"/>
        <w:keepLines w:val="0"/>
        <w:widowControl w:val="0"/>
        <w:numPr>
          <w:ilvl w:val="0"/>
          <w:numId w:val="99"/>
        </w:numPr>
        <w:shd w:val="clear" w:color="auto" w:fill="auto"/>
        <w:tabs>
          <w:tab w:pos="921" w:val="left"/>
        </w:tabs>
        <w:bidi w:val="0"/>
        <w:spacing w:before="0" w:after="0" w:line="466" w:lineRule="exact"/>
        <w:ind w:left="0" w:right="0" w:firstLine="500"/>
        <w:jc w:val="left"/>
      </w:pPr>
      <w:bookmarkStart w:id="1065" w:name="bookmark1065"/>
      <w:bookmarkEnd w:id="1065"/>
      <w:r>
        <w:rPr>
          <w:color w:val="000000"/>
          <w:spacing w:val="0"/>
          <w:w w:val="100"/>
          <w:position w:val="0"/>
          <w:sz w:val="24"/>
          <w:szCs w:val="24"/>
        </w:rPr>
        <w:t>因向客户转让商品而有权取得的对价很可能收回。</w:t>
      </w:r>
    </w:p>
    <w:p>
      <w:pPr>
        <w:pStyle w:val="Style59"/>
        <w:keepNext w:val="0"/>
        <w:keepLines w:val="0"/>
        <w:widowControl w:val="0"/>
        <w:shd w:val="clear" w:color="auto" w:fill="auto"/>
        <w:bidi w:val="0"/>
        <w:spacing w:before="0" w:after="0" w:line="466" w:lineRule="exact"/>
        <w:ind w:left="0" w:right="0" w:firstLine="500"/>
        <w:jc w:val="left"/>
      </w:pPr>
      <w:r>
        <w:rPr>
          <w:color w:val="000000"/>
          <w:spacing w:val="0"/>
          <w:w w:val="100"/>
          <w:position w:val="0"/>
          <w:sz w:val="24"/>
          <w:szCs w:val="24"/>
        </w:rPr>
        <w:t xml:space="preserve">在合同开始日对合同进行评估，识别该合同所包含的各单项履约义务，并将交易价格按 </w:t>
      </w:r>
      <w:r>
        <w:rPr>
          <w:color w:val="000000"/>
          <w:spacing w:val="0"/>
          <w:w w:val="100"/>
          <w:position w:val="0"/>
          <w:sz w:val="24"/>
          <w:szCs w:val="24"/>
        </w:rPr>
        <w:t>照各单项履约义务所承诺商品的单独售价的相对比例分摊至各单项履约义务。在确定交易价 格时考虑了可变对价、合同中存在的重大融资成分、非现金对价、应付客户对价等因素的影 响。然后确定各单项履约义务是在某一时段内履行，还是在某一时点履行，并且在履行了各 单项履约义务时分别确认收入。</w:t>
      </w:r>
    </w:p>
    <w:p>
      <w:pPr>
        <w:pStyle w:val="Style59"/>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满足下列条件之一的，属于在某一时段内履行履约义务；否则，属于在某一时点履行履 约义务：</w:t>
      </w:r>
    </w:p>
    <w:p>
      <w:pPr>
        <w:pStyle w:val="Style59"/>
        <w:keepNext w:val="0"/>
        <w:keepLines w:val="0"/>
        <w:widowControl w:val="0"/>
        <w:shd w:val="clear" w:color="auto" w:fill="auto"/>
        <w:tabs>
          <w:tab w:pos="838" w:val="left"/>
        </w:tabs>
        <w:bidi w:val="0"/>
        <w:spacing w:before="0" w:after="0" w:line="469" w:lineRule="exact"/>
        <w:ind w:left="0" w:right="0" w:firstLine="480"/>
        <w:jc w:val="both"/>
      </w:pPr>
      <w:bookmarkStart w:id="1066" w:name="bookmark1066"/>
      <w:r>
        <w:rPr>
          <w:color w:val="000000"/>
          <w:spacing w:val="0"/>
          <w:w w:val="100"/>
          <w:position w:val="0"/>
          <w:sz w:val="24"/>
          <w:szCs w:val="24"/>
        </w:rPr>
        <w:t>1</w:t>
      </w:r>
      <w:bookmarkEnd w:id="1066"/>
      <w:r>
        <w:rPr>
          <w:color w:val="000000"/>
          <w:spacing w:val="0"/>
          <w:w w:val="100"/>
          <w:position w:val="0"/>
          <w:sz w:val="24"/>
          <w:szCs w:val="24"/>
        </w:rPr>
        <w:t>）</w:t>
        <w:tab/>
        <w:t>客户在企业履约的同时即取得并消耗企业履约所带来的经济利益；</w:t>
      </w:r>
    </w:p>
    <w:p>
      <w:pPr>
        <w:pStyle w:val="Style59"/>
        <w:keepNext w:val="0"/>
        <w:keepLines w:val="0"/>
        <w:widowControl w:val="0"/>
        <w:shd w:val="clear" w:color="auto" w:fill="auto"/>
        <w:tabs>
          <w:tab w:pos="853" w:val="left"/>
        </w:tabs>
        <w:bidi w:val="0"/>
        <w:spacing w:before="0" w:after="0" w:line="469" w:lineRule="exact"/>
        <w:ind w:left="0" w:right="0" w:firstLine="480"/>
        <w:jc w:val="both"/>
      </w:pPr>
      <w:bookmarkStart w:id="1067" w:name="bookmark1067"/>
      <w:r>
        <w:rPr>
          <w:color w:val="000000"/>
          <w:spacing w:val="0"/>
          <w:w w:val="100"/>
          <w:position w:val="0"/>
          <w:sz w:val="24"/>
          <w:szCs w:val="24"/>
        </w:rPr>
        <w:t>2</w:t>
      </w:r>
      <w:bookmarkEnd w:id="1067"/>
      <w:r>
        <w:rPr>
          <w:color w:val="000000"/>
          <w:spacing w:val="0"/>
          <w:w w:val="100"/>
          <w:position w:val="0"/>
          <w:sz w:val="24"/>
          <w:szCs w:val="24"/>
        </w:rPr>
        <w:t>）</w:t>
        <w:tab/>
        <w:t>客户能够控制企业履约过程中在建的商品；</w:t>
      </w:r>
    </w:p>
    <w:p>
      <w:pPr>
        <w:pStyle w:val="Style59"/>
        <w:keepNext w:val="0"/>
        <w:keepLines w:val="0"/>
        <w:widowControl w:val="0"/>
        <w:shd w:val="clear" w:color="auto" w:fill="auto"/>
        <w:tabs>
          <w:tab w:pos="853" w:val="left"/>
        </w:tabs>
        <w:bidi w:val="0"/>
        <w:spacing w:before="0" w:after="0" w:line="469" w:lineRule="exact"/>
        <w:ind w:left="0" w:right="0" w:firstLine="480"/>
        <w:jc w:val="both"/>
      </w:pPr>
      <w:bookmarkStart w:id="1068" w:name="bookmark1068"/>
      <w:r>
        <w:rPr>
          <w:color w:val="000000"/>
          <w:spacing w:val="0"/>
          <w:w w:val="100"/>
          <w:position w:val="0"/>
          <w:sz w:val="24"/>
          <w:szCs w:val="24"/>
        </w:rPr>
        <w:t>3</w:t>
      </w:r>
      <w:bookmarkEnd w:id="1068"/>
      <w:r>
        <w:rPr>
          <w:color w:val="000000"/>
          <w:spacing w:val="0"/>
          <w:w w:val="100"/>
          <w:position w:val="0"/>
          <w:sz w:val="24"/>
          <w:szCs w:val="24"/>
        </w:rPr>
        <w:t>）</w:t>
        <w:tab/>
        <w:t>企业履约过程中所产出的商品具有不可替代用途，且该企业在整个合同期间有权就累 计至今已完成的履约部分收取款项。</w:t>
      </w:r>
    </w:p>
    <w:p>
      <w:pPr>
        <w:pStyle w:val="Style59"/>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对于在某一时段内履行的履约义务，在该时段内按照履约进度确认收入。履约进度根据 所转让商品的性质采用投入法或产出法确定，当履约进度不能合理确定时，已经发生的成本 预计能够得到补偿的，按照已经发生的成本金额确认收入，直到履约进度能够合理确定为止。</w:t>
      </w:r>
    </w:p>
    <w:p>
      <w:pPr>
        <w:pStyle w:val="Style59"/>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如果不满足上述条件之一，则在客户取得相关商品控制权的时点将分摊至该单项履约义 务的交易价格确认收入。在判断客户是否已取得商品控制权时，应考虑下列迹象：</w:t>
      </w:r>
    </w:p>
    <w:p>
      <w:pPr>
        <w:pStyle w:val="Style59"/>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&lt;1&gt;企业就该商品享有现时收款权利，即客户就该商品负有现时付款义务；</w:t>
      </w:r>
    </w:p>
    <w:p>
      <w:pPr>
        <w:pStyle w:val="Style59"/>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&lt;2&gt;企业已将该商品的法定所有权转移给客户，即客户已拥有该商品的法定所有权；</w:t>
      </w:r>
    </w:p>
    <w:p>
      <w:pPr>
        <w:pStyle w:val="Style59"/>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&lt;3&gt;企业已将该商品实物转移到客户，即客户已实物占有该商品；</w:t>
      </w:r>
    </w:p>
    <w:p>
      <w:pPr>
        <w:pStyle w:val="Style59"/>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&lt;4&gt;企业已将该商品所有权上的主要风险和报酬转移给客户，即客户已取得该商品所有 权上的主要风险和报酬；</w:t>
      </w:r>
    </w:p>
    <w:p>
      <w:pPr>
        <w:pStyle w:val="Style59"/>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&lt;5&gt;客户已接受该商品；</w:t>
      </w:r>
    </w:p>
    <w:p>
      <w:pPr>
        <w:pStyle w:val="Style59"/>
        <w:keepNext w:val="0"/>
        <w:keepLines w:val="0"/>
        <w:widowControl w:val="0"/>
        <w:shd w:val="clear" w:color="auto" w:fill="auto"/>
        <w:bidi w:val="0"/>
        <w:spacing w:before="0" w:after="460" w:line="469" w:lineRule="exact"/>
        <w:ind w:left="0" w:right="0" w:firstLine="480"/>
        <w:jc w:val="both"/>
      </w:pPr>
      <w:r>
        <w:rPr>
          <w:color w:val="000000"/>
          <w:spacing w:val="0"/>
          <w:w w:val="100"/>
          <w:position w:val="0"/>
          <w:sz w:val="24"/>
          <w:szCs w:val="24"/>
        </w:rPr>
        <w:t>&lt;6&gt;其他表明客户已取得商品控制权的迹象。</w:t>
      </w:r>
    </w:p>
    <w:p>
      <w:pPr>
        <w:pStyle w:val="Style59"/>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（2）根据上述原则，根据公司不同的业务类型确认收入的具体标准如下：</w:t>
      </w:r>
    </w:p>
    <w:p>
      <w:pPr>
        <w:pStyle w:val="Style59"/>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①软件及技术开发服务</w:t>
      </w:r>
    </w:p>
    <w:p>
      <w:pPr>
        <w:pStyle w:val="Style59"/>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公司销售自主知识产权的软件产品，在公司将产品交付给客户并取得客户确认时，客户 取得软件控制权，公司进行收入确认。</w:t>
      </w:r>
    </w:p>
    <w:p>
      <w:pPr>
        <w:pStyle w:val="Style59"/>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技术开发服务是受客户委托对软件产品进行定制化开发服务，在按客户要求将开发成果 交付给客户并取得客户确认时，客户取得开发成果的控制权，公司进行收入确认。</w:t>
      </w:r>
    </w:p>
    <w:p>
      <w:pPr>
        <w:pStyle w:val="Style59"/>
        <w:keepNext w:val="0"/>
        <w:keepLines w:val="0"/>
        <w:widowControl w:val="0"/>
        <w:numPr>
          <w:ilvl w:val="0"/>
          <w:numId w:val="101"/>
        </w:numPr>
        <w:shd w:val="clear" w:color="auto" w:fill="auto"/>
        <w:tabs>
          <w:tab w:pos="921" w:val="left"/>
        </w:tabs>
        <w:bidi w:val="0"/>
        <w:spacing w:before="0" w:after="0" w:line="240" w:lineRule="auto"/>
        <w:ind w:left="0" w:right="0" w:firstLine="500"/>
        <w:jc w:val="both"/>
      </w:pPr>
      <w:bookmarkStart w:id="1069" w:name="bookmark1069"/>
      <w:bookmarkEnd w:id="1069"/>
      <w:r>
        <w:rPr>
          <w:color w:val="000000"/>
          <w:spacing w:val="0"/>
          <w:w w:val="100"/>
          <w:position w:val="0"/>
          <w:sz w:val="24"/>
          <w:szCs w:val="24"/>
        </w:rPr>
        <w:t>系统集成业务</w:t>
      </w:r>
    </w:p>
    <w:p>
      <w:pPr>
        <w:pStyle w:val="Style59"/>
        <w:keepNext w:val="0"/>
        <w:keepLines w:val="0"/>
        <w:widowControl w:val="0"/>
        <w:shd w:val="clear" w:color="auto" w:fill="auto"/>
        <w:bidi w:val="0"/>
        <w:spacing w:before="0" w:after="0" w:line="477" w:lineRule="exact"/>
        <w:ind w:left="0" w:right="0" w:firstLine="500"/>
        <w:jc w:val="both"/>
      </w:pPr>
      <w:r>
        <w:rPr>
          <w:color w:val="000000"/>
          <w:spacing w:val="0"/>
          <w:w w:val="100"/>
          <w:position w:val="0"/>
          <w:sz w:val="24"/>
          <w:szCs w:val="24"/>
        </w:rPr>
        <w:t>公司与客户签署的信息化系统建设合同，公司向客户提供合同约定功能的信息系统解决 方案，解决方案中包括软件、硬件以及技术服务等多项承诺组合。公司根据合同约定，拆分 软件、硬件及技术服务等每一类业务的单项履约义务，在每一单项履约义务完成交付并分别 取得客户确认时，客户取得控制权，公司进行收入确认。对于无法区分单项履约义务的信息 化系统建设合同，以项目验收作为收入确认条件。</w:t>
      </w:r>
    </w:p>
    <w:p>
      <w:pPr>
        <w:pStyle w:val="Style59"/>
        <w:keepNext w:val="0"/>
        <w:keepLines w:val="0"/>
        <w:widowControl w:val="0"/>
        <w:numPr>
          <w:ilvl w:val="0"/>
          <w:numId w:val="101"/>
        </w:numPr>
        <w:shd w:val="clear" w:color="auto" w:fill="auto"/>
        <w:tabs>
          <w:tab w:pos="921" w:val="left"/>
        </w:tabs>
        <w:bidi w:val="0"/>
        <w:spacing w:before="0" w:after="0" w:line="477" w:lineRule="exact"/>
        <w:ind w:left="0" w:right="0" w:firstLine="500"/>
        <w:jc w:val="both"/>
      </w:pPr>
      <w:bookmarkStart w:id="1070" w:name="bookmark1070"/>
      <w:bookmarkEnd w:id="1070"/>
      <w:r>
        <w:rPr>
          <w:color w:val="000000"/>
          <w:spacing w:val="0"/>
          <w:w w:val="100"/>
          <w:position w:val="0"/>
          <w:sz w:val="24"/>
          <w:szCs w:val="24"/>
        </w:rPr>
        <w:t>采集业务</w:t>
      </w:r>
    </w:p>
    <w:p>
      <w:pPr>
        <w:pStyle w:val="Style59"/>
        <w:keepNext w:val="0"/>
        <w:keepLines w:val="0"/>
        <w:widowControl w:val="0"/>
        <w:shd w:val="clear" w:color="auto" w:fill="auto"/>
        <w:bidi w:val="0"/>
        <w:spacing w:before="0" w:after="0" w:line="477" w:lineRule="exact"/>
        <w:ind w:left="0" w:right="0" w:firstLine="500"/>
        <w:jc w:val="both"/>
      </w:pPr>
      <w:r>
        <w:rPr>
          <w:color w:val="000000"/>
          <w:spacing w:val="0"/>
          <w:w w:val="100"/>
          <w:position w:val="0"/>
          <w:sz w:val="24"/>
          <w:szCs w:val="24"/>
        </w:rPr>
        <w:t>采集业务是公司为客户提供的信息采集服务，根据业务特点，在约定的服务期内按直线 法分期确认收入。</w:t>
      </w:r>
    </w:p>
    <w:p>
      <w:pPr>
        <w:pStyle w:val="Style59"/>
        <w:keepNext w:val="0"/>
        <w:keepLines w:val="0"/>
        <w:widowControl w:val="0"/>
        <w:numPr>
          <w:ilvl w:val="0"/>
          <w:numId w:val="101"/>
        </w:numPr>
        <w:shd w:val="clear" w:color="auto" w:fill="auto"/>
        <w:tabs>
          <w:tab w:pos="921" w:val="left"/>
        </w:tabs>
        <w:bidi w:val="0"/>
        <w:spacing w:before="0" w:after="0" w:line="477" w:lineRule="exact"/>
        <w:ind w:left="0" w:right="0" w:firstLine="500"/>
        <w:jc w:val="both"/>
      </w:pPr>
      <w:bookmarkStart w:id="1071" w:name="bookmark1071"/>
      <w:bookmarkEnd w:id="1071"/>
      <w:r>
        <w:rPr>
          <w:color w:val="000000"/>
          <w:spacing w:val="0"/>
          <w:w w:val="100"/>
          <w:position w:val="0"/>
          <w:sz w:val="24"/>
          <w:szCs w:val="24"/>
        </w:rPr>
        <w:t>管线及排水类业务</w:t>
      </w:r>
    </w:p>
    <w:p>
      <w:pPr>
        <w:pStyle w:val="Style59"/>
        <w:keepNext w:val="0"/>
        <w:keepLines w:val="0"/>
        <w:widowControl w:val="0"/>
        <w:shd w:val="clear" w:color="auto" w:fill="auto"/>
        <w:bidi w:val="0"/>
        <w:spacing w:before="0" w:after="400" w:line="477" w:lineRule="exact"/>
        <w:ind w:left="0" w:right="0" w:firstLine="500"/>
        <w:jc w:val="both"/>
      </w:pPr>
      <w:r>
        <w:rPr>
          <w:color w:val="000000"/>
          <w:spacing w:val="0"/>
          <w:w w:val="100"/>
          <w:position w:val="0"/>
          <w:sz w:val="24"/>
          <w:szCs w:val="24"/>
        </w:rPr>
        <w:t>管线及排水类业务指子公司保定金迪开展的管道探测、管网检测、排水检测修复等业务， 以完成合同约定工作量并取得客户确认时作为收入确认条件。</w:t>
      </w:r>
    </w:p>
    <w:p>
      <w:pPr>
        <w:pStyle w:val="Style24"/>
        <w:keepNext/>
        <w:keepLines/>
        <w:widowControl w:val="0"/>
        <w:shd w:val="clear" w:color="auto" w:fill="auto"/>
        <w:bidi w:val="0"/>
        <w:spacing w:before="0" w:after="240" w:line="240" w:lineRule="auto"/>
        <w:ind w:left="0" w:right="0" w:firstLine="0"/>
        <w:jc w:val="left"/>
      </w:pPr>
      <w:bookmarkStart w:id="1072" w:name="bookmark1072"/>
      <w:bookmarkStart w:id="1073" w:name="bookmark1073"/>
      <w:bookmarkStart w:id="1074" w:name="bookmark1074"/>
      <w:bookmarkStart w:id="1075" w:name="bookmark1075"/>
      <w:r>
        <w:rPr>
          <w:rFonts w:ascii="Times New Roman" w:eastAsia="Times New Roman" w:hAnsi="Times New Roman" w:cs="Times New Roman"/>
          <w:color w:val="000000"/>
          <w:spacing w:val="0"/>
          <w:w w:val="100"/>
          <w:position w:val="0"/>
        </w:rPr>
        <w:t>3</w:t>
      </w:r>
      <w:bookmarkEnd w:id="1074"/>
      <w:r>
        <w:rPr>
          <w:rFonts w:ascii="Times New Roman" w:eastAsia="Times New Roman" w:hAnsi="Times New Roman" w:cs="Times New Roman"/>
          <w:color w:val="000000"/>
          <w:spacing w:val="0"/>
          <w:w w:val="100"/>
          <w:position w:val="0"/>
        </w:rPr>
        <w:t>4</w:t>
      </w:r>
      <w:r>
        <w:rPr>
          <w:color w:val="000000"/>
          <w:spacing w:val="0"/>
          <w:w w:val="100"/>
          <w:position w:val="0"/>
        </w:rPr>
        <w:t>、政府补助</w:t>
      </w:r>
      <w:bookmarkEnd w:id="1072"/>
      <w:bookmarkEnd w:id="1073"/>
      <w:bookmarkEnd w:id="1075"/>
    </w:p>
    <w:p>
      <w:pPr>
        <w:pStyle w:val="Style59"/>
        <w:keepNext w:val="0"/>
        <w:keepLines w:val="0"/>
        <w:widowControl w:val="0"/>
        <w:shd w:val="clear" w:color="auto" w:fill="auto"/>
        <w:bidi w:val="0"/>
        <w:spacing w:before="0" w:after="440" w:line="470" w:lineRule="exact"/>
        <w:ind w:left="0" w:right="0" w:firstLine="500"/>
        <w:jc w:val="both"/>
      </w:pPr>
      <w:r>
        <w:rPr>
          <w:color w:val="000000"/>
          <w:spacing w:val="0"/>
          <w:w w:val="100"/>
          <w:position w:val="0"/>
          <w:sz w:val="24"/>
          <w:szCs w:val="24"/>
        </w:rPr>
        <w:t>政府补助，是公司从政府无偿取得的货币性资产与非货币性资产。分为与资产相关的政 府补助和与收益相关的政府补助。</w:t>
      </w:r>
    </w:p>
    <w:p>
      <w:pPr>
        <w:pStyle w:val="Style59"/>
        <w:keepNext w:val="0"/>
        <w:keepLines w:val="0"/>
        <w:widowControl w:val="0"/>
        <w:numPr>
          <w:ilvl w:val="0"/>
          <w:numId w:val="103"/>
        </w:numPr>
        <w:shd w:val="clear" w:color="auto" w:fill="auto"/>
        <w:tabs>
          <w:tab w:pos="954" w:val="left"/>
        </w:tabs>
        <w:bidi w:val="0"/>
        <w:spacing w:before="0" w:after="0" w:line="472" w:lineRule="exact"/>
        <w:ind w:left="0" w:right="0" w:firstLine="500"/>
        <w:jc w:val="left"/>
      </w:pPr>
      <w:bookmarkStart w:id="1076" w:name="bookmark1076"/>
      <w:bookmarkEnd w:id="1076"/>
      <w:r>
        <w:rPr>
          <w:color w:val="000000"/>
          <w:spacing w:val="0"/>
          <w:w w:val="100"/>
          <w:position w:val="0"/>
          <w:sz w:val="24"/>
          <w:szCs w:val="24"/>
        </w:rPr>
        <w:t>与资产相关的政府补助判断依据及会计处理方法</w:t>
      </w:r>
    </w:p>
    <w:p>
      <w:pPr>
        <w:pStyle w:val="Style59"/>
        <w:keepNext w:val="0"/>
        <w:keepLines w:val="0"/>
        <w:widowControl w:val="0"/>
        <w:shd w:val="clear" w:color="auto" w:fill="auto"/>
        <w:bidi w:val="0"/>
        <w:spacing w:before="0" w:after="0" w:line="472" w:lineRule="exact"/>
        <w:ind w:left="0" w:right="0" w:firstLine="500"/>
        <w:jc w:val="both"/>
      </w:pPr>
      <w:r>
        <w:rPr>
          <w:color w:val="000000"/>
          <w:spacing w:val="0"/>
          <w:w w:val="100"/>
          <w:position w:val="0"/>
          <w:sz w:val="24"/>
          <w:szCs w:val="24"/>
        </w:rPr>
        <w:t>与资产相关的政府补助，是指企业取得的、用于购建或以其他方式形成长期资产的政府 补助。</w:t>
      </w:r>
    </w:p>
    <w:p>
      <w:pPr>
        <w:pStyle w:val="Style59"/>
        <w:keepNext w:val="0"/>
        <w:keepLines w:val="0"/>
        <w:widowControl w:val="0"/>
        <w:shd w:val="clear" w:color="auto" w:fill="auto"/>
        <w:bidi w:val="0"/>
        <w:spacing w:before="0" w:after="0" w:line="472" w:lineRule="exact"/>
        <w:ind w:left="0" w:right="0" w:firstLine="500"/>
        <w:jc w:val="both"/>
      </w:pPr>
      <w:r>
        <w:rPr>
          <w:color w:val="000000"/>
          <w:spacing w:val="0"/>
          <w:w w:val="100"/>
          <w:position w:val="0"/>
          <w:sz w:val="24"/>
          <w:szCs w:val="24"/>
        </w:rPr>
        <w:t>与资产相关的政府补助，应当确认为递延收益。与资产相关的政府补助确认为递延收益 的，应当在相关资产使用寿命内按照合理、系统的方法分期计入损益。按照名义金额计量的 政府补助，直接计入当期损益。</w:t>
      </w:r>
    </w:p>
    <w:p>
      <w:pPr>
        <w:pStyle w:val="Style59"/>
        <w:keepNext w:val="0"/>
        <w:keepLines w:val="0"/>
        <w:widowControl w:val="0"/>
        <w:shd w:val="clear" w:color="auto" w:fill="auto"/>
        <w:bidi w:val="0"/>
        <w:spacing w:before="0" w:after="0" w:line="472" w:lineRule="exact"/>
        <w:ind w:left="0" w:right="0" w:firstLine="500"/>
        <w:jc w:val="both"/>
      </w:pPr>
      <w:r>
        <w:rPr>
          <w:color w:val="000000"/>
          <w:spacing w:val="0"/>
          <w:w w:val="100"/>
          <w:position w:val="0"/>
          <w:sz w:val="24"/>
          <w:szCs w:val="24"/>
        </w:rPr>
        <w:t>相关资产在使用寿命结束前被出售、转让、报废或发生毁损的，应当将尚未分配的相关 递延收益余额转入资产处置当期的损益。</w:t>
      </w:r>
    </w:p>
    <w:p>
      <w:pPr>
        <w:pStyle w:val="Style59"/>
        <w:keepNext w:val="0"/>
        <w:keepLines w:val="0"/>
        <w:widowControl w:val="0"/>
        <w:shd w:val="clear" w:color="auto" w:fill="auto"/>
        <w:bidi w:val="0"/>
        <w:spacing w:before="0" w:after="440" w:line="472" w:lineRule="exact"/>
        <w:ind w:left="0" w:right="0" w:firstLine="500"/>
        <w:jc w:val="both"/>
      </w:pPr>
      <w:r>
        <w:rPr>
          <w:color w:val="000000"/>
          <w:spacing w:val="0"/>
          <w:w w:val="100"/>
          <w:position w:val="0"/>
          <w:sz w:val="24"/>
          <w:szCs w:val="24"/>
        </w:rPr>
        <w:t>与公司日常活动相关的政府补助，应当按照经济业务实质，计入其他收益。与公司日常 活动无关的政府补助，应当计入营业外收支。</w:t>
      </w:r>
    </w:p>
    <w:p>
      <w:pPr>
        <w:pStyle w:val="Style59"/>
        <w:keepNext w:val="0"/>
        <w:keepLines w:val="0"/>
        <w:widowControl w:val="0"/>
        <w:numPr>
          <w:ilvl w:val="0"/>
          <w:numId w:val="103"/>
        </w:numPr>
        <w:shd w:val="clear" w:color="auto" w:fill="auto"/>
        <w:tabs>
          <w:tab w:pos="954" w:val="left"/>
        </w:tabs>
        <w:bidi w:val="0"/>
        <w:spacing w:before="0" w:after="0" w:line="474" w:lineRule="exact"/>
        <w:ind w:left="0" w:right="0" w:firstLine="500"/>
        <w:jc w:val="both"/>
      </w:pPr>
      <w:bookmarkStart w:id="1077" w:name="bookmark1077"/>
      <w:bookmarkEnd w:id="1077"/>
      <w:r>
        <w:rPr>
          <w:color w:val="000000"/>
          <w:spacing w:val="0"/>
          <w:w w:val="100"/>
          <w:position w:val="0"/>
          <w:sz w:val="24"/>
          <w:szCs w:val="24"/>
        </w:rPr>
        <w:t>与收益相关的政府补助判断依据及会计处理方法</w:t>
      </w:r>
    </w:p>
    <w:p>
      <w:pPr>
        <w:pStyle w:val="Style59"/>
        <w:keepNext w:val="0"/>
        <w:keepLines w:val="0"/>
        <w:widowControl w:val="0"/>
        <w:shd w:val="clear" w:color="auto" w:fill="auto"/>
        <w:bidi w:val="0"/>
        <w:spacing w:before="0" w:after="420" w:line="474" w:lineRule="exact"/>
        <w:ind w:left="0" w:right="0" w:firstLine="500"/>
        <w:jc w:val="left"/>
      </w:pPr>
      <w:r>
        <w:rPr>
          <w:color w:val="000000"/>
          <w:spacing w:val="0"/>
          <w:w w:val="100"/>
          <w:position w:val="0"/>
          <w:sz w:val="24"/>
          <w:szCs w:val="24"/>
        </w:rPr>
        <w:t>与收益相关的政府补助，是指除与资产相关的政府补助之外的政府补助。</w:t>
      </w:r>
    </w:p>
    <w:p>
      <w:pPr>
        <w:pStyle w:val="Style59"/>
        <w:keepNext w:val="0"/>
        <w:keepLines w:val="0"/>
        <w:widowControl w:val="0"/>
        <w:shd w:val="clear" w:color="auto" w:fill="auto"/>
        <w:bidi w:val="0"/>
        <w:spacing w:before="0" w:after="0" w:line="472" w:lineRule="exact"/>
        <w:ind w:left="0" w:right="0" w:firstLine="500"/>
        <w:jc w:val="both"/>
      </w:pPr>
      <w:r>
        <w:rPr>
          <w:color w:val="000000"/>
          <w:spacing w:val="0"/>
          <w:w w:val="100"/>
          <w:position w:val="0"/>
          <w:sz w:val="24"/>
          <w:szCs w:val="24"/>
        </w:rPr>
        <w:t>企业对于综合性项目的政府补助，需要将其分解为与资产相关的部分和与收益相关的部 分，分别进行会计处理；难以区分的，应当整体归类为与收益相关的政府补助。</w:t>
      </w:r>
    </w:p>
    <w:p>
      <w:pPr>
        <w:pStyle w:val="Style59"/>
        <w:keepNext w:val="0"/>
        <w:keepLines w:val="0"/>
        <w:widowControl w:val="0"/>
        <w:shd w:val="clear" w:color="auto" w:fill="auto"/>
        <w:bidi w:val="0"/>
        <w:spacing w:before="0" w:after="0" w:line="472" w:lineRule="exact"/>
        <w:ind w:left="0" w:right="0" w:firstLine="500"/>
        <w:jc w:val="both"/>
      </w:pPr>
      <w:r>
        <w:rPr>
          <w:color w:val="000000"/>
          <w:spacing w:val="0"/>
          <w:w w:val="100"/>
          <w:position w:val="0"/>
          <w:sz w:val="24"/>
          <w:szCs w:val="24"/>
        </w:rPr>
        <w:t>与收益相关的政府补助，用于补偿企业以后期间的相关费用或损失的，取得时确认为递 延收益，并在确认相关成本费用或损失的期间，计入当期损益；用于补偿企业已发生的相关 费用或损失的，直接计入当期损益。</w:t>
      </w:r>
    </w:p>
    <w:p>
      <w:pPr>
        <w:pStyle w:val="Style59"/>
        <w:keepNext w:val="0"/>
        <w:keepLines w:val="0"/>
        <w:widowControl w:val="0"/>
        <w:shd w:val="clear" w:color="auto" w:fill="auto"/>
        <w:bidi w:val="0"/>
        <w:spacing w:before="0" w:after="0" w:line="472" w:lineRule="exact"/>
        <w:ind w:left="0" w:right="0" w:firstLine="500"/>
        <w:jc w:val="both"/>
      </w:pPr>
      <w:r>
        <w:rPr>
          <w:color w:val="000000"/>
          <w:spacing w:val="0"/>
          <w:w w:val="100"/>
          <w:position w:val="0"/>
          <w:sz w:val="24"/>
          <w:szCs w:val="24"/>
        </w:rPr>
        <w:t>与公司日常活动相关的政府补助，应当按照经济业务实质，计入其他收益。与公司日常 活动无关的政府补助，应当计入营业外收支。</w:t>
      </w:r>
    </w:p>
    <w:p>
      <w:pPr>
        <w:pStyle w:val="Style59"/>
        <w:keepNext w:val="0"/>
        <w:keepLines w:val="0"/>
        <w:widowControl w:val="0"/>
        <w:shd w:val="clear" w:color="auto" w:fill="auto"/>
        <w:bidi w:val="0"/>
        <w:spacing w:before="0" w:after="0" w:line="472" w:lineRule="exact"/>
        <w:ind w:left="0" w:right="0" w:firstLine="500"/>
        <w:jc w:val="both"/>
      </w:pPr>
      <w:r>
        <w:rPr>
          <w:color w:val="000000"/>
          <w:spacing w:val="0"/>
          <w:w w:val="100"/>
          <w:position w:val="0"/>
          <w:sz w:val="24"/>
          <w:szCs w:val="24"/>
        </w:rPr>
        <w:t>企业取得政策性优惠贷款贴息的，应当区分财政将贴息资金拨付给贷款银行和财政将贴 息资金直接拨付给企业两种情况：</w:t>
      </w:r>
    </w:p>
    <w:p>
      <w:pPr>
        <w:pStyle w:val="Style59"/>
        <w:keepNext w:val="0"/>
        <w:keepLines w:val="0"/>
        <w:widowControl w:val="0"/>
        <w:shd w:val="clear" w:color="auto" w:fill="auto"/>
        <w:bidi w:val="0"/>
        <w:spacing w:before="0" w:after="0" w:line="472" w:lineRule="exact"/>
        <w:ind w:left="0" w:right="0" w:firstLine="500"/>
        <w:jc w:val="both"/>
      </w:pPr>
      <w:r>
        <w:rPr>
          <w:color w:val="000000"/>
          <w:spacing w:val="0"/>
          <w:w w:val="100"/>
          <w:position w:val="0"/>
          <w:sz w:val="24"/>
          <w:szCs w:val="24"/>
        </w:rPr>
        <w:t>财政将贴息资金拨付给贷款银行，由贷款银行以政策性优惠利率向企业提供贷款的，企 业可以选择下列方法之一进行会计处理：</w:t>
      </w:r>
    </w:p>
    <w:p>
      <w:pPr>
        <w:pStyle w:val="Style59"/>
        <w:keepNext w:val="0"/>
        <w:keepLines w:val="0"/>
        <w:widowControl w:val="0"/>
        <w:numPr>
          <w:ilvl w:val="0"/>
          <w:numId w:val="105"/>
        </w:numPr>
        <w:shd w:val="clear" w:color="auto" w:fill="auto"/>
        <w:tabs>
          <w:tab w:pos="901" w:val="left"/>
        </w:tabs>
        <w:bidi w:val="0"/>
        <w:spacing w:before="0" w:after="0" w:line="472" w:lineRule="exact"/>
        <w:ind w:left="0" w:right="0" w:firstLine="500"/>
        <w:jc w:val="both"/>
      </w:pPr>
      <w:bookmarkStart w:id="1078" w:name="bookmark1078"/>
      <w:bookmarkEnd w:id="1078"/>
      <w:r>
        <w:rPr>
          <w:color w:val="000000"/>
          <w:spacing w:val="0"/>
          <w:w w:val="100"/>
          <w:position w:val="0"/>
          <w:sz w:val="24"/>
          <w:szCs w:val="24"/>
        </w:rPr>
        <w:t>以实际收到的借款金额作为借款的入账价值，按照借款本金和该政策性优惠利率计算 相关借款费用。</w:t>
      </w:r>
    </w:p>
    <w:p>
      <w:pPr>
        <w:pStyle w:val="Style59"/>
        <w:keepNext w:val="0"/>
        <w:keepLines w:val="0"/>
        <w:widowControl w:val="0"/>
        <w:numPr>
          <w:ilvl w:val="0"/>
          <w:numId w:val="105"/>
        </w:numPr>
        <w:shd w:val="clear" w:color="auto" w:fill="auto"/>
        <w:tabs>
          <w:tab w:pos="901" w:val="left"/>
        </w:tabs>
        <w:bidi w:val="0"/>
        <w:spacing w:before="0" w:after="0" w:line="472" w:lineRule="exact"/>
        <w:ind w:left="0" w:right="0" w:firstLine="500"/>
        <w:jc w:val="both"/>
      </w:pPr>
      <w:bookmarkStart w:id="1079" w:name="bookmark1079"/>
      <w:bookmarkEnd w:id="1079"/>
      <w:r>
        <w:rPr>
          <w:color w:val="000000"/>
          <w:spacing w:val="0"/>
          <w:w w:val="100"/>
          <w:position w:val="0"/>
          <w:sz w:val="24"/>
          <w:szCs w:val="24"/>
        </w:rPr>
        <w:t>以借款的公允价值作为借款的入账价值并按照实际利率法计算借款费用，实际收到的 金额与借款公允价值之间的差额确认为递延收益。递延收益在借款存续期内采用实际利率法 摊销，冲减相关借款费用。</w:t>
      </w:r>
    </w:p>
    <w:p>
      <w:pPr>
        <w:pStyle w:val="Style59"/>
        <w:keepNext w:val="0"/>
        <w:keepLines w:val="0"/>
        <w:widowControl w:val="0"/>
        <w:shd w:val="clear" w:color="auto" w:fill="auto"/>
        <w:bidi w:val="0"/>
        <w:spacing w:before="0" w:after="460" w:line="472" w:lineRule="exact"/>
        <w:ind w:left="0" w:right="0" w:firstLine="500"/>
        <w:jc w:val="both"/>
      </w:pPr>
      <w:r>
        <w:rPr>
          <w:color w:val="000000"/>
          <w:spacing w:val="0"/>
          <w:w w:val="100"/>
          <w:position w:val="0"/>
          <w:sz w:val="24"/>
          <w:szCs w:val="24"/>
        </w:rPr>
        <w:t>财政将贴息资金直接拨付给企业，企业应当将对应的贴息冲减相关借款费用。</w:t>
      </w:r>
    </w:p>
    <w:p>
      <w:pPr>
        <w:pStyle w:val="Style59"/>
        <w:keepNext w:val="0"/>
        <w:keepLines w:val="0"/>
        <w:widowControl w:val="0"/>
        <w:numPr>
          <w:ilvl w:val="0"/>
          <w:numId w:val="103"/>
        </w:numPr>
        <w:shd w:val="clear" w:color="auto" w:fill="auto"/>
        <w:bidi w:val="0"/>
        <w:spacing w:before="0" w:after="0" w:line="467" w:lineRule="exact"/>
        <w:ind w:left="0" w:right="0" w:firstLine="500"/>
        <w:jc w:val="both"/>
      </w:pPr>
      <w:bookmarkStart w:id="1080" w:name="bookmark1080"/>
      <w:bookmarkEnd w:id="1080"/>
      <w:r>
        <w:rPr>
          <w:color w:val="000000"/>
          <w:spacing w:val="0"/>
          <w:w w:val="100"/>
          <w:position w:val="0"/>
          <w:sz w:val="24"/>
          <w:szCs w:val="24"/>
        </w:rPr>
        <w:t>政府补助的确认时点</w:t>
      </w:r>
    </w:p>
    <w:p>
      <w:pPr>
        <w:pStyle w:val="Style59"/>
        <w:keepNext w:val="0"/>
        <w:keepLines w:val="0"/>
        <w:widowControl w:val="0"/>
        <w:shd w:val="clear" w:color="auto" w:fill="auto"/>
        <w:bidi w:val="0"/>
        <w:spacing w:before="0" w:after="0" w:line="467" w:lineRule="exact"/>
        <w:ind w:left="0" w:right="0" w:firstLine="500"/>
        <w:jc w:val="both"/>
      </w:pPr>
      <w:r>
        <w:rPr>
          <w:color w:val="000000"/>
          <w:spacing w:val="0"/>
          <w:w w:val="100"/>
          <w:position w:val="0"/>
          <w:sz w:val="24"/>
          <w:szCs w:val="24"/>
        </w:rPr>
        <w:t>政府补助为货币性资产的，应当按照应收的金额计量。按照应收金额计量的政府补助， 在期末有确凿证据表明能够符合财政扶持政策规定的相关条件且预计能够收到财政扶持资金 时予以确认；政府补助为非货币性资产的，应当按照取得非货币性资产所有权风险和报酬转 移时确认政府补助实现。其中非货币性资产按公允价值计量；公允价值不能可靠取得的，按 照名义金额计量。</w:t>
      </w:r>
    </w:p>
    <w:p>
      <w:pPr>
        <w:pStyle w:val="Style59"/>
        <w:keepNext w:val="0"/>
        <w:keepLines w:val="0"/>
        <w:widowControl w:val="0"/>
        <w:shd w:val="clear" w:color="auto" w:fill="auto"/>
        <w:bidi w:val="0"/>
        <w:spacing w:before="0" w:after="400" w:line="467" w:lineRule="exact"/>
        <w:ind w:left="0" w:right="0" w:firstLine="500"/>
        <w:jc w:val="both"/>
      </w:pPr>
      <w:r>
        <w:rPr>
          <w:color w:val="000000"/>
          <w:spacing w:val="0"/>
          <w:w w:val="100"/>
          <w:position w:val="0"/>
          <w:sz w:val="24"/>
          <w:szCs w:val="24"/>
        </w:rPr>
        <w:t>已确认的政府补助需要返还时，存在相关递延收益余额的，冲减相关递延收益账面余额， 超出部分计入当期损益；不存在相关递延收益的，直接计入当期损益。</w:t>
      </w:r>
    </w:p>
    <w:p>
      <w:pPr>
        <w:pStyle w:val="Style24"/>
        <w:keepNext/>
        <w:keepLines/>
        <w:widowControl w:val="0"/>
        <w:shd w:val="clear" w:color="auto" w:fill="auto"/>
        <w:bidi w:val="0"/>
        <w:spacing w:before="0" w:after="220" w:line="240" w:lineRule="auto"/>
        <w:ind w:left="0" w:right="0" w:firstLine="0"/>
        <w:jc w:val="left"/>
      </w:pPr>
      <w:bookmarkStart w:id="1081" w:name="bookmark1081"/>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rPr>
        <w:t>3</w:t>
      </w:r>
      <w:bookmarkEnd w:id="1083"/>
      <w:r>
        <w:rPr>
          <w:rFonts w:ascii="Times New Roman" w:eastAsia="Times New Roman" w:hAnsi="Times New Roman" w:cs="Times New Roman"/>
          <w:color w:val="000000"/>
          <w:spacing w:val="0"/>
          <w:w w:val="100"/>
          <w:position w:val="0"/>
        </w:rPr>
        <w:t>5</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81"/>
      <w:bookmarkEnd w:id="1082"/>
      <w:bookmarkEnd w:id="1084"/>
    </w:p>
    <w:p>
      <w:pPr>
        <w:pStyle w:val="Style59"/>
        <w:keepNext w:val="0"/>
        <w:keepLines w:val="0"/>
        <w:widowControl w:val="0"/>
        <w:shd w:val="clear" w:color="auto" w:fill="auto"/>
        <w:bidi w:val="0"/>
        <w:spacing w:before="0" w:after="0" w:line="475" w:lineRule="exact"/>
        <w:ind w:left="0" w:right="0" w:firstLine="500"/>
        <w:jc w:val="both"/>
      </w:pPr>
      <w:r>
        <w:rPr>
          <w:color w:val="000000"/>
          <w:spacing w:val="0"/>
          <w:w w:val="100"/>
          <w:position w:val="0"/>
          <w:sz w:val="24"/>
          <w:szCs w:val="24"/>
        </w:rPr>
        <w:t xml:space="preserve">所得税采用资产负债表债务法进行核算。于资产负债表日，分析比较资产、负债的账面 价值与其计税基础，两者之间存在差异的，确认递延所得税资产、递延所得税负债及相应的 </w:t>
      </w:r>
      <w:r>
        <w:rPr>
          <w:color w:val="000000"/>
          <w:spacing w:val="0"/>
          <w:w w:val="100"/>
          <w:position w:val="0"/>
          <w:sz w:val="24"/>
          <w:szCs w:val="24"/>
        </w:rPr>
        <w:t>递延所得税费用（或收益）。在计算确定当期所得税（即当期应交所得税）以及递延所得税费用 （或收益）的基础上，将两者之和确认为利润表中的所得税费用（或收益），但不包括直接计入 所有者权益的交易或事项的所得税影响。</w:t>
      </w:r>
    </w:p>
    <w:p>
      <w:pPr>
        <w:pStyle w:val="Style59"/>
        <w:keepNext w:val="0"/>
        <w:keepLines w:val="0"/>
        <w:widowControl w:val="0"/>
        <w:shd w:val="clear" w:color="auto" w:fill="auto"/>
        <w:bidi w:val="0"/>
        <w:spacing w:before="0" w:after="400" w:line="466" w:lineRule="exact"/>
        <w:ind w:left="0" w:right="0" w:firstLine="500"/>
        <w:jc w:val="both"/>
      </w:pPr>
      <w:r>
        <w:rPr>
          <w:color w:val="000000"/>
          <w:spacing w:val="0"/>
          <w:w w:val="100"/>
          <w:position w:val="0"/>
          <w:sz w:val="24"/>
          <w:szCs w:val="24"/>
        </w:rPr>
        <w:t>资产负债表日，对递延所得税资产的账面价值进行复核。如果未来期间很可能无法获得 足够的应纳税所得额用以抵扣递延所得税资产的利益，应当减记递延所得税资产的账面价值。</w:t>
      </w:r>
    </w:p>
    <w:p>
      <w:pPr>
        <w:pStyle w:val="Style24"/>
        <w:keepNext/>
        <w:keepLines/>
        <w:widowControl w:val="0"/>
        <w:shd w:val="clear" w:color="auto" w:fill="auto"/>
        <w:bidi w:val="0"/>
        <w:spacing w:before="0" w:line="240" w:lineRule="auto"/>
        <w:ind w:left="0" w:right="0" w:firstLine="0"/>
        <w:jc w:val="both"/>
      </w:pPr>
      <w:bookmarkStart w:id="1085" w:name="bookmark1085"/>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rPr>
        <w:t>3</w:t>
      </w:r>
      <w:bookmarkEnd w:id="1087"/>
      <w:r>
        <w:rPr>
          <w:rFonts w:ascii="Times New Roman" w:eastAsia="Times New Roman" w:hAnsi="Times New Roman" w:cs="Times New Roman"/>
          <w:color w:val="000000"/>
          <w:spacing w:val="0"/>
          <w:w w:val="100"/>
          <w:position w:val="0"/>
        </w:rPr>
        <w:t>6</w:t>
      </w:r>
      <w:r>
        <w:rPr>
          <w:color w:val="000000"/>
          <w:spacing w:val="0"/>
          <w:w w:val="100"/>
          <w:position w:val="0"/>
        </w:rPr>
        <w:t>、租赁</w:t>
      </w:r>
      <w:bookmarkEnd w:id="1085"/>
      <w:bookmarkEnd w:id="1086"/>
      <w:bookmarkEnd w:id="1088"/>
    </w:p>
    <w:p>
      <w:pPr>
        <w:pStyle w:val="Style102"/>
        <w:keepNext/>
        <w:keepLines/>
        <w:widowControl w:val="0"/>
        <w:shd w:val="clear" w:color="auto" w:fill="auto"/>
        <w:bidi w:val="0"/>
        <w:spacing w:before="0" w:after="340" w:line="240" w:lineRule="auto"/>
        <w:ind w:left="0" w:right="0" w:firstLine="0"/>
        <w:jc w:val="both"/>
      </w:pPr>
      <w:bookmarkStart w:id="1089" w:name="bookmark1089"/>
      <w:bookmarkStart w:id="1090" w:name="bookmark1090"/>
      <w:bookmarkStart w:id="1091" w:name="bookmark1091"/>
      <w:bookmarkStart w:id="1092" w:name="bookmark1092"/>
      <w:r>
        <w:rPr>
          <w:color w:val="000000"/>
          <w:spacing w:val="0"/>
          <w:w w:val="100"/>
          <w:position w:val="0"/>
        </w:rPr>
        <w:t>（</w:t>
      </w:r>
      <w:bookmarkEnd w:id="1091"/>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89"/>
      <w:bookmarkEnd w:id="1090"/>
      <w:bookmarkEnd w:id="1092"/>
    </w:p>
    <w:p>
      <w:pPr>
        <w:pStyle w:val="Style129"/>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日前适用）</w:t>
      </w:r>
    </w:p>
    <w:p>
      <w:pPr>
        <w:pStyle w:val="Style59"/>
        <w:keepNext w:val="0"/>
        <w:keepLines w:val="0"/>
        <w:widowControl w:val="0"/>
        <w:numPr>
          <w:ilvl w:val="0"/>
          <w:numId w:val="107"/>
        </w:numPr>
        <w:shd w:val="clear" w:color="auto" w:fill="auto"/>
        <w:tabs>
          <w:tab w:pos="921" w:val="left"/>
        </w:tabs>
        <w:bidi w:val="0"/>
        <w:spacing w:before="0" w:after="0" w:line="469" w:lineRule="exact"/>
        <w:ind w:left="0" w:right="0" w:firstLine="500"/>
        <w:jc w:val="both"/>
      </w:pPr>
      <w:bookmarkStart w:id="1093" w:name="bookmark1093"/>
      <w:bookmarkEnd w:id="1093"/>
      <w:r>
        <w:rPr>
          <w:color w:val="000000"/>
          <w:spacing w:val="0"/>
          <w:w w:val="100"/>
          <w:position w:val="0"/>
          <w:sz w:val="24"/>
          <w:szCs w:val="24"/>
        </w:rPr>
        <w:t>公司作为承租人对经营租赁的处理</w:t>
      </w:r>
    </w:p>
    <w:p>
      <w:pPr>
        <w:pStyle w:val="Style59"/>
        <w:keepNext w:val="0"/>
        <w:keepLines w:val="0"/>
        <w:widowControl w:val="0"/>
        <w:shd w:val="clear" w:color="auto" w:fill="auto"/>
        <w:tabs>
          <w:tab w:pos="892" w:val="left"/>
        </w:tabs>
        <w:bidi w:val="0"/>
        <w:spacing w:before="0" w:after="0" w:line="469" w:lineRule="exact"/>
        <w:ind w:left="0" w:right="0" w:firstLine="500"/>
        <w:jc w:val="both"/>
      </w:pPr>
      <w:bookmarkStart w:id="1094" w:name="bookmark1094"/>
      <w:r>
        <w:rPr>
          <w:color w:val="000000"/>
          <w:spacing w:val="0"/>
          <w:w w:val="100"/>
          <w:position w:val="0"/>
          <w:sz w:val="24"/>
          <w:szCs w:val="24"/>
        </w:rPr>
        <w:t>1</w:t>
      </w:r>
      <w:bookmarkEnd w:id="1094"/>
      <w:r>
        <w:rPr>
          <w:color w:val="000000"/>
          <w:spacing w:val="0"/>
          <w:w w:val="100"/>
          <w:position w:val="0"/>
          <w:sz w:val="24"/>
          <w:szCs w:val="24"/>
        </w:rPr>
        <w:t>）</w:t>
        <w:tab/>
        <w:t>租金的处理</w:t>
      </w:r>
    </w:p>
    <w:p>
      <w:pPr>
        <w:pStyle w:val="Style59"/>
        <w:keepNext w:val="0"/>
        <w:keepLines w:val="0"/>
        <w:widowControl w:val="0"/>
        <w:shd w:val="clear" w:color="auto" w:fill="auto"/>
        <w:bidi w:val="0"/>
        <w:spacing w:before="0" w:after="0" w:line="469" w:lineRule="exact"/>
        <w:ind w:left="0" w:right="0" w:firstLine="500"/>
        <w:jc w:val="both"/>
      </w:pPr>
      <w:r>
        <w:rPr>
          <w:color w:val="000000"/>
          <w:spacing w:val="0"/>
          <w:w w:val="100"/>
          <w:position w:val="0"/>
          <w:sz w:val="24"/>
          <w:szCs w:val="24"/>
        </w:rPr>
        <w:t>在经营租赁下需将支付或应付的租金计入相关资产成本或当期损益。</w:t>
      </w:r>
    </w:p>
    <w:p>
      <w:pPr>
        <w:pStyle w:val="Style59"/>
        <w:keepNext w:val="0"/>
        <w:keepLines w:val="0"/>
        <w:widowControl w:val="0"/>
        <w:shd w:val="clear" w:color="auto" w:fill="auto"/>
        <w:tabs>
          <w:tab w:pos="906" w:val="left"/>
        </w:tabs>
        <w:bidi w:val="0"/>
        <w:spacing w:before="0" w:after="0" w:line="469" w:lineRule="exact"/>
        <w:ind w:left="0" w:right="0" w:firstLine="500"/>
        <w:jc w:val="both"/>
      </w:pPr>
      <w:bookmarkStart w:id="1095" w:name="bookmark1095"/>
      <w:r>
        <w:rPr>
          <w:color w:val="000000"/>
          <w:spacing w:val="0"/>
          <w:w w:val="100"/>
          <w:position w:val="0"/>
          <w:sz w:val="24"/>
          <w:szCs w:val="24"/>
        </w:rPr>
        <w:t>2</w:t>
      </w:r>
      <w:bookmarkEnd w:id="1095"/>
      <w:r>
        <w:rPr>
          <w:color w:val="000000"/>
          <w:spacing w:val="0"/>
          <w:w w:val="100"/>
          <w:position w:val="0"/>
          <w:sz w:val="24"/>
          <w:szCs w:val="24"/>
        </w:rPr>
        <w:t>）</w:t>
        <w:tab/>
        <w:t>初始直接费用的处理</w:t>
      </w:r>
    </w:p>
    <w:p>
      <w:pPr>
        <w:pStyle w:val="Style59"/>
        <w:keepNext w:val="0"/>
        <w:keepLines w:val="0"/>
        <w:widowControl w:val="0"/>
        <w:shd w:val="clear" w:color="auto" w:fill="auto"/>
        <w:bidi w:val="0"/>
        <w:spacing w:before="0" w:after="0" w:line="469" w:lineRule="exact"/>
        <w:ind w:left="0" w:right="0" w:firstLine="500"/>
        <w:jc w:val="both"/>
      </w:pPr>
      <w:r>
        <w:rPr>
          <w:color w:val="000000"/>
          <w:spacing w:val="0"/>
          <w:w w:val="100"/>
          <w:position w:val="0"/>
          <w:sz w:val="24"/>
          <w:szCs w:val="24"/>
        </w:rPr>
        <w:t>对于承租人在经营租赁中发生的初始直接费用，计入当期损益。</w:t>
      </w:r>
    </w:p>
    <w:p>
      <w:pPr>
        <w:pStyle w:val="Style59"/>
        <w:keepNext w:val="0"/>
        <w:keepLines w:val="0"/>
        <w:widowControl w:val="0"/>
        <w:shd w:val="clear" w:color="auto" w:fill="auto"/>
        <w:tabs>
          <w:tab w:pos="906" w:val="left"/>
        </w:tabs>
        <w:bidi w:val="0"/>
        <w:spacing w:before="0" w:after="0" w:line="469" w:lineRule="exact"/>
        <w:ind w:left="0" w:right="0" w:firstLine="500"/>
        <w:jc w:val="both"/>
      </w:pPr>
      <w:bookmarkStart w:id="1096" w:name="bookmark1096"/>
      <w:r>
        <w:rPr>
          <w:color w:val="000000"/>
          <w:spacing w:val="0"/>
          <w:w w:val="100"/>
          <w:position w:val="0"/>
          <w:sz w:val="24"/>
          <w:szCs w:val="24"/>
        </w:rPr>
        <w:t>3</w:t>
      </w:r>
      <w:bookmarkEnd w:id="1096"/>
      <w:r>
        <w:rPr>
          <w:color w:val="000000"/>
          <w:spacing w:val="0"/>
          <w:w w:val="100"/>
          <w:position w:val="0"/>
          <w:sz w:val="24"/>
          <w:szCs w:val="24"/>
        </w:rPr>
        <w:t>）</w:t>
        <w:tab/>
        <w:t>或有租金的处理</w:t>
      </w:r>
    </w:p>
    <w:p>
      <w:pPr>
        <w:pStyle w:val="Style59"/>
        <w:keepNext w:val="0"/>
        <w:keepLines w:val="0"/>
        <w:widowControl w:val="0"/>
        <w:shd w:val="clear" w:color="auto" w:fill="auto"/>
        <w:bidi w:val="0"/>
        <w:spacing w:before="0" w:after="0" w:line="469" w:lineRule="exact"/>
        <w:ind w:left="0" w:right="0" w:firstLine="500"/>
        <w:jc w:val="both"/>
      </w:pPr>
      <w:r>
        <w:rPr>
          <w:color w:val="000000"/>
          <w:spacing w:val="0"/>
          <w:w w:val="100"/>
          <w:position w:val="0"/>
          <w:sz w:val="24"/>
          <w:szCs w:val="24"/>
        </w:rPr>
        <w:t>在经营租赁下，承租人对或有租金在实际发生时计入当期损益。</w:t>
      </w:r>
    </w:p>
    <w:p>
      <w:pPr>
        <w:pStyle w:val="Style59"/>
        <w:keepNext w:val="0"/>
        <w:keepLines w:val="0"/>
        <w:widowControl w:val="0"/>
        <w:shd w:val="clear" w:color="auto" w:fill="auto"/>
        <w:tabs>
          <w:tab w:pos="911" w:val="left"/>
        </w:tabs>
        <w:bidi w:val="0"/>
        <w:spacing w:before="0" w:after="0" w:line="469" w:lineRule="exact"/>
        <w:ind w:left="0" w:right="0" w:firstLine="500"/>
        <w:jc w:val="both"/>
      </w:pPr>
      <w:bookmarkStart w:id="1097" w:name="bookmark1097"/>
      <w:r>
        <w:rPr>
          <w:color w:val="000000"/>
          <w:spacing w:val="0"/>
          <w:w w:val="100"/>
          <w:position w:val="0"/>
          <w:sz w:val="24"/>
          <w:szCs w:val="24"/>
        </w:rPr>
        <w:t>4</w:t>
      </w:r>
      <w:bookmarkEnd w:id="1097"/>
      <w:r>
        <w:rPr>
          <w:color w:val="000000"/>
          <w:spacing w:val="0"/>
          <w:w w:val="100"/>
          <w:position w:val="0"/>
          <w:sz w:val="24"/>
          <w:szCs w:val="24"/>
        </w:rPr>
        <w:t>）</w:t>
        <w:tab/>
        <w:t>出租人提供激励措施的处理</w:t>
      </w:r>
    </w:p>
    <w:p>
      <w:pPr>
        <w:pStyle w:val="Style59"/>
        <w:keepNext w:val="0"/>
        <w:keepLines w:val="0"/>
        <w:widowControl w:val="0"/>
        <w:shd w:val="clear" w:color="auto" w:fill="auto"/>
        <w:bidi w:val="0"/>
        <w:spacing w:before="0" w:after="440" w:line="469" w:lineRule="exact"/>
        <w:ind w:left="0" w:right="0" w:firstLine="500"/>
        <w:jc w:val="both"/>
      </w:pPr>
      <w:r>
        <w:rPr>
          <w:color w:val="000000"/>
          <w:spacing w:val="0"/>
          <w:w w:val="100"/>
          <w:position w:val="0"/>
          <w:sz w:val="24"/>
          <w:szCs w:val="24"/>
        </w:rPr>
        <w:t>出租人提供免租期的，承租人应将租金总额在不扣除免租期的整个租赁期内，按直线法 或其他合理的方法进行分摊，免租期内应当确认租金费用及相应的负债。出租人承担了承租 人某些费用的，承租人将该费用从租金费用总额中扣除，按扣除后的租金费用余额在租赁期 内进行分摊。</w:t>
      </w:r>
    </w:p>
    <w:p>
      <w:pPr>
        <w:pStyle w:val="Style59"/>
        <w:keepNext w:val="0"/>
        <w:keepLines w:val="0"/>
        <w:widowControl w:val="0"/>
        <w:numPr>
          <w:ilvl w:val="0"/>
          <w:numId w:val="107"/>
        </w:numPr>
        <w:shd w:val="clear" w:color="auto" w:fill="auto"/>
        <w:tabs>
          <w:tab w:pos="921" w:val="left"/>
        </w:tabs>
        <w:bidi w:val="0"/>
        <w:spacing w:before="0" w:after="0" w:line="470" w:lineRule="exact"/>
        <w:ind w:left="0" w:right="0" w:firstLine="500"/>
        <w:jc w:val="both"/>
      </w:pPr>
      <w:bookmarkStart w:id="1098" w:name="bookmark1098"/>
      <w:bookmarkEnd w:id="1098"/>
      <w:r>
        <w:rPr>
          <w:color w:val="000000"/>
          <w:spacing w:val="0"/>
          <w:w w:val="100"/>
          <w:position w:val="0"/>
          <w:sz w:val="24"/>
          <w:szCs w:val="24"/>
        </w:rPr>
        <w:t>公司作为出租人对经营租赁的处理</w:t>
      </w:r>
    </w:p>
    <w:p>
      <w:pPr>
        <w:pStyle w:val="Style59"/>
        <w:keepNext w:val="0"/>
        <w:keepLines w:val="0"/>
        <w:widowControl w:val="0"/>
        <w:shd w:val="clear" w:color="auto" w:fill="auto"/>
        <w:tabs>
          <w:tab w:pos="892" w:val="left"/>
        </w:tabs>
        <w:bidi w:val="0"/>
        <w:spacing w:before="0" w:after="0" w:line="470" w:lineRule="exact"/>
        <w:ind w:left="0" w:right="0" w:firstLine="500"/>
        <w:jc w:val="both"/>
      </w:pPr>
      <w:bookmarkStart w:id="1099" w:name="bookmark1099"/>
      <w:r>
        <w:rPr>
          <w:color w:val="000000"/>
          <w:spacing w:val="0"/>
          <w:w w:val="100"/>
          <w:position w:val="0"/>
          <w:sz w:val="24"/>
          <w:szCs w:val="24"/>
        </w:rPr>
        <w:t>1</w:t>
      </w:r>
      <w:bookmarkEnd w:id="1099"/>
      <w:r>
        <w:rPr>
          <w:color w:val="000000"/>
          <w:spacing w:val="0"/>
          <w:w w:val="100"/>
          <w:position w:val="0"/>
          <w:sz w:val="24"/>
          <w:szCs w:val="24"/>
        </w:rPr>
        <w:t>）</w:t>
        <w:tab/>
        <w:t>租金的处理</w:t>
      </w:r>
    </w:p>
    <w:p>
      <w:pPr>
        <w:pStyle w:val="Style59"/>
        <w:keepNext w:val="0"/>
        <w:keepLines w:val="0"/>
        <w:widowControl w:val="0"/>
        <w:shd w:val="clear" w:color="auto" w:fill="auto"/>
        <w:bidi w:val="0"/>
        <w:spacing w:before="0" w:after="0" w:line="470" w:lineRule="exact"/>
        <w:ind w:left="0" w:right="0" w:firstLine="500"/>
        <w:jc w:val="both"/>
      </w:pPr>
      <w:r>
        <w:rPr>
          <w:color w:val="000000"/>
          <w:spacing w:val="0"/>
          <w:w w:val="100"/>
          <w:position w:val="0"/>
          <w:sz w:val="24"/>
          <w:szCs w:val="24"/>
        </w:rPr>
        <w:t>出租人应采用直线法将收到的租金在租赁期内确认为收益。</w:t>
      </w:r>
    </w:p>
    <w:p>
      <w:pPr>
        <w:pStyle w:val="Style59"/>
        <w:keepNext w:val="0"/>
        <w:keepLines w:val="0"/>
        <w:widowControl w:val="0"/>
        <w:shd w:val="clear" w:color="auto" w:fill="auto"/>
        <w:tabs>
          <w:tab w:pos="906" w:val="left"/>
        </w:tabs>
        <w:bidi w:val="0"/>
        <w:spacing w:before="0" w:after="0" w:line="470" w:lineRule="exact"/>
        <w:ind w:left="0" w:right="0" w:firstLine="500"/>
        <w:jc w:val="both"/>
      </w:pPr>
      <w:bookmarkStart w:id="1100" w:name="bookmark1100"/>
      <w:r>
        <w:rPr>
          <w:color w:val="000000"/>
          <w:spacing w:val="0"/>
          <w:w w:val="100"/>
          <w:position w:val="0"/>
          <w:sz w:val="24"/>
          <w:szCs w:val="24"/>
        </w:rPr>
        <w:t>2</w:t>
      </w:r>
      <w:bookmarkEnd w:id="1100"/>
      <w:r>
        <w:rPr>
          <w:color w:val="000000"/>
          <w:spacing w:val="0"/>
          <w:w w:val="100"/>
          <w:position w:val="0"/>
          <w:sz w:val="24"/>
          <w:szCs w:val="24"/>
        </w:rPr>
        <w:t>）</w:t>
        <w:tab/>
        <w:t>初始直接费用的处理</w:t>
      </w:r>
    </w:p>
    <w:p>
      <w:pPr>
        <w:pStyle w:val="Style59"/>
        <w:keepNext w:val="0"/>
        <w:keepLines w:val="0"/>
        <w:widowControl w:val="0"/>
        <w:shd w:val="clear" w:color="auto" w:fill="auto"/>
        <w:bidi w:val="0"/>
        <w:spacing w:before="0" w:after="120" w:line="470" w:lineRule="exact"/>
        <w:ind w:left="0" w:right="0" w:firstLine="500"/>
        <w:jc w:val="both"/>
      </w:pPr>
      <w:r>
        <w:rPr>
          <w:color w:val="000000"/>
          <w:spacing w:val="0"/>
          <w:w w:val="100"/>
          <w:position w:val="0"/>
          <w:sz w:val="24"/>
          <w:szCs w:val="24"/>
        </w:rPr>
        <w:t>经营租赁中出租人发生的初始直接费用，是指在租赁谈判和签订租赁合同的过程中发生 的可归属于租赁项目的手续费、律师费、差旅费、印花税等，计入当期损益。金额较大的应 当资本化，在整个经营租赁期内按照与确认租金收入相同的基础分期计入当期损益。</w:t>
      </w:r>
    </w:p>
    <w:p>
      <w:pPr>
        <w:pStyle w:val="Style59"/>
        <w:keepNext w:val="0"/>
        <w:keepLines w:val="0"/>
        <w:widowControl w:val="0"/>
        <w:shd w:val="clear" w:color="auto" w:fill="auto"/>
        <w:tabs>
          <w:tab w:pos="906" w:val="left"/>
        </w:tabs>
        <w:bidi w:val="0"/>
        <w:spacing w:before="0" w:after="0" w:line="472" w:lineRule="exact"/>
        <w:ind w:left="0" w:right="0" w:firstLine="500"/>
        <w:jc w:val="both"/>
      </w:pPr>
      <w:bookmarkStart w:id="1101" w:name="bookmark1101"/>
      <w:r>
        <w:rPr>
          <w:color w:val="000000"/>
          <w:spacing w:val="0"/>
          <w:w w:val="100"/>
          <w:position w:val="0"/>
          <w:sz w:val="24"/>
          <w:szCs w:val="24"/>
        </w:rPr>
        <w:t>3</w:t>
      </w:r>
      <w:bookmarkEnd w:id="1101"/>
      <w:r>
        <w:rPr>
          <w:color w:val="000000"/>
          <w:spacing w:val="0"/>
          <w:w w:val="100"/>
          <w:position w:val="0"/>
          <w:sz w:val="24"/>
          <w:szCs w:val="24"/>
        </w:rPr>
        <w:t>）</w:t>
        <w:tab/>
        <w:t>租赁资产折旧的计提</w:t>
      </w:r>
    </w:p>
    <w:p>
      <w:pPr>
        <w:pStyle w:val="Style59"/>
        <w:keepNext w:val="0"/>
        <w:keepLines w:val="0"/>
        <w:widowControl w:val="0"/>
        <w:shd w:val="clear" w:color="auto" w:fill="auto"/>
        <w:bidi w:val="0"/>
        <w:spacing w:before="0" w:after="0" w:line="472" w:lineRule="exact"/>
        <w:ind w:left="0" w:right="0" w:firstLine="500"/>
        <w:jc w:val="both"/>
      </w:pPr>
      <w:r>
        <w:rPr>
          <w:color w:val="000000"/>
          <w:spacing w:val="0"/>
          <w:w w:val="100"/>
          <w:position w:val="0"/>
          <w:sz w:val="24"/>
          <w:szCs w:val="24"/>
        </w:rPr>
        <w:t>对于经营租赁资产中的固定资产，采用出租人对类似应折旧资产通常所采用的折旧政策 计提折旧。</w:t>
      </w:r>
    </w:p>
    <w:p>
      <w:pPr>
        <w:pStyle w:val="Style59"/>
        <w:keepNext w:val="0"/>
        <w:keepLines w:val="0"/>
        <w:widowControl w:val="0"/>
        <w:shd w:val="clear" w:color="auto" w:fill="auto"/>
        <w:tabs>
          <w:tab w:pos="911" w:val="left"/>
        </w:tabs>
        <w:bidi w:val="0"/>
        <w:spacing w:before="0" w:after="0" w:line="472" w:lineRule="exact"/>
        <w:ind w:left="0" w:right="0" w:firstLine="500"/>
        <w:jc w:val="both"/>
      </w:pPr>
      <w:bookmarkStart w:id="1102" w:name="bookmark1102"/>
      <w:r>
        <w:rPr>
          <w:color w:val="000000"/>
          <w:spacing w:val="0"/>
          <w:w w:val="100"/>
          <w:position w:val="0"/>
          <w:sz w:val="24"/>
          <w:szCs w:val="24"/>
        </w:rPr>
        <w:t>4</w:t>
      </w:r>
      <w:bookmarkEnd w:id="1102"/>
      <w:r>
        <w:rPr>
          <w:color w:val="000000"/>
          <w:spacing w:val="0"/>
          <w:w w:val="100"/>
          <w:position w:val="0"/>
          <w:sz w:val="24"/>
          <w:szCs w:val="24"/>
        </w:rPr>
        <w:t>）</w:t>
        <w:tab/>
        <w:t>或有租金的处理</w:t>
      </w:r>
    </w:p>
    <w:p>
      <w:pPr>
        <w:pStyle w:val="Style59"/>
        <w:keepNext w:val="0"/>
        <w:keepLines w:val="0"/>
        <w:widowControl w:val="0"/>
        <w:shd w:val="clear" w:color="auto" w:fill="auto"/>
        <w:bidi w:val="0"/>
        <w:spacing w:before="0" w:after="0" w:line="472" w:lineRule="exact"/>
        <w:ind w:left="0" w:right="0" w:firstLine="500"/>
        <w:jc w:val="both"/>
      </w:pPr>
      <w:r>
        <w:rPr>
          <w:color w:val="000000"/>
          <w:spacing w:val="0"/>
          <w:w w:val="100"/>
          <w:position w:val="0"/>
          <w:sz w:val="24"/>
          <w:szCs w:val="24"/>
        </w:rPr>
        <w:t>在实际发生时计入当期收益。</w:t>
      </w:r>
    </w:p>
    <w:p>
      <w:pPr>
        <w:pStyle w:val="Style59"/>
        <w:keepNext w:val="0"/>
        <w:keepLines w:val="0"/>
        <w:widowControl w:val="0"/>
        <w:shd w:val="clear" w:color="auto" w:fill="auto"/>
        <w:tabs>
          <w:tab w:pos="911" w:val="left"/>
        </w:tabs>
        <w:bidi w:val="0"/>
        <w:spacing w:before="0" w:after="0" w:line="472" w:lineRule="exact"/>
        <w:ind w:left="0" w:right="0" w:firstLine="500"/>
        <w:jc w:val="both"/>
      </w:pPr>
      <w:bookmarkStart w:id="1103" w:name="bookmark1103"/>
      <w:r>
        <w:rPr>
          <w:color w:val="000000"/>
          <w:spacing w:val="0"/>
          <w:w w:val="100"/>
          <w:position w:val="0"/>
          <w:sz w:val="24"/>
          <w:szCs w:val="24"/>
        </w:rPr>
        <w:t>5</w:t>
      </w:r>
      <w:bookmarkEnd w:id="1103"/>
      <w:r>
        <w:rPr>
          <w:color w:val="000000"/>
          <w:spacing w:val="0"/>
          <w:w w:val="100"/>
          <w:position w:val="0"/>
          <w:sz w:val="24"/>
          <w:szCs w:val="24"/>
        </w:rPr>
        <w:t>）</w:t>
        <w:tab/>
        <w:t>出租人对经营租赁提供激励措施的处理</w:t>
      </w:r>
    </w:p>
    <w:p>
      <w:pPr>
        <w:pStyle w:val="Style59"/>
        <w:keepNext w:val="0"/>
        <w:keepLines w:val="0"/>
        <w:widowControl w:val="0"/>
        <w:shd w:val="clear" w:color="auto" w:fill="auto"/>
        <w:bidi w:val="0"/>
        <w:spacing w:before="0" w:after="0" w:line="472" w:lineRule="exact"/>
        <w:ind w:left="0" w:right="0" w:firstLine="500"/>
        <w:jc w:val="both"/>
      </w:pPr>
      <w:r>
        <w:rPr>
          <w:color w:val="000000"/>
          <w:spacing w:val="0"/>
          <w:w w:val="100"/>
          <w:position w:val="0"/>
          <w:sz w:val="24"/>
          <w:szCs w:val="24"/>
        </w:rPr>
        <w:t>出租人提供免租期的，出租人将租金总额在不扣除免租期的整个租赁期内，按直线法或 其他合理的方法进行分配，免租期内出租人确认租金收入。出租人承担了承租人某些费用的， 出租人将该费用自租金收入总额中扣除，按扣除后的租金收入余额在租赁期内进行分配。</w:t>
      </w:r>
    </w:p>
    <w:p>
      <w:pPr>
        <w:pStyle w:val="Style59"/>
        <w:keepNext w:val="0"/>
        <w:keepLines w:val="0"/>
        <w:widowControl w:val="0"/>
        <w:shd w:val="clear" w:color="auto" w:fill="auto"/>
        <w:tabs>
          <w:tab w:pos="911" w:val="left"/>
        </w:tabs>
        <w:bidi w:val="0"/>
        <w:spacing w:before="0" w:after="0" w:line="472" w:lineRule="exact"/>
        <w:ind w:left="0" w:right="0" w:firstLine="500"/>
        <w:jc w:val="both"/>
      </w:pPr>
      <w:bookmarkStart w:id="1104" w:name="bookmark1104"/>
      <w:r>
        <w:rPr>
          <w:color w:val="000000"/>
          <w:spacing w:val="0"/>
          <w:w w:val="100"/>
          <w:position w:val="0"/>
          <w:sz w:val="24"/>
          <w:szCs w:val="24"/>
        </w:rPr>
        <w:t>6</w:t>
      </w:r>
      <w:bookmarkEnd w:id="1104"/>
      <w:r>
        <w:rPr>
          <w:color w:val="000000"/>
          <w:spacing w:val="0"/>
          <w:w w:val="100"/>
          <w:position w:val="0"/>
          <w:sz w:val="24"/>
          <w:szCs w:val="24"/>
        </w:rPr>
        <w:t>）</w:t>
        <w:tab/>
        <w:t>经营租赁资产在财务报表中的处理</w:t>
      </w:r>
    </w:p>
    <w:p>
      <w:pPr>
        <w:pStyle w:val="Style59"/>
        <w:keepNext w:val="0"/>
        <w:keepLines w:val="0"/>
        <w:widowControl w:val="0"/>
        <w:shd w:val="clear" w:color="auto" w:fill="auto"/>
        <w:bidi w:val="0"/>
        <w:spacing w:before="0" w:after="400" w:line="472" w:lineRule="exact"/>
        <w:ind w:left="0" w:right="0" w:firstLine="500"/>
        <w:jc w:val="both"/>
      </w:pPr>
      <w:r>
        <w:rPr>
          <w:color w:val="000000"/>
          <w:spacing w:val="0"/>
          <w:w w:val="100"/>
          <w:position w:val="0"/>
          <w:sz w:val="24"/>
          <w:szCs w:val="24"/>
        </w:rPr>
        <w:t>在经营租赁下，与资产所有权有关的主要风险和报酬仍然留在出租人一方，因此出租人 将出租资产作为自身拥有的资产在资产负债表中列示，如果出租资产属于固定资产，则列在 资产负债表固定资产项下，如果出租资产属于流动资产，则列在资产负债表有关流动资产项 下。</w:t>
      </w:r>
    </w:p>
    <w:p>
      <w:pPr>
        <w:pStyle w:val="Style102"/>
        <w:keepNext/>
        <w:keepLines/>
        <w:widowControl w:val="0"/>
        <w:shd w:val="clear" w:color="auto" w:fill="auto"/>
        <w:bidi w:val="0"/>
        <w:spacing w:before="0" w:line="240" w:lineRule="auto"/>
        <w:ind w:left="0" w:right="0" w:firstLine="0"/>
        <w:jc w:val="left"/>
      </w:pPr>
      <w:bookmarkStart w:id="1105" w:name="bookmark1105"/>
      <w:bookmarkStart w:id="1106" w:name="bookmark1106"/>
      <w:bookmarkStart w:id="1107" w:name="bookmark1107"/>
      <w:bookmarkStart w:id="1108" w:name="bookmark1108"/>
      <w:r>
        <w:rPr>
          <w:color w:val="000000"/>
          <w:spacing w:val="0"/>
          <w:w w:val="100"/>
          <w:position w:val="0"/>
        </w:rPr>
        <w:t>（</w:t>
      </w:r>
      <w:bookmarkEnd w:id="1107"/>
      <w:r>
        <w:rPr>
          <w:rFonts w:ascii="Times New Roman" w:eastAsia="Times New Roman" w:hAnsi="Times New Roman" w:cs="Times New Roman"/>
          <w:color w:val="000000"/>
          <w:spacing w:val="0"/>
          <w:w w:val="100"/>
          <w:position w:val="0"/>
        </w:rPr>
        <w:t>2</w:t>
      </w:r>
      <w:r>
        <w:rPr>
          <w:color w:val="000000"/>
          <w:spacing w:val="0"/>
          <w:w w:val="100"/>
          <w:position w:val="0"/>
        </w:rPr>
        <w:t>）执行新租赁准则</w:t>
      </w:r>
      <w:bookmarkEnd w:id="1105"/>
      <w:bookmarkEnd w:id="1106"/>
      <w:bookmarkEnd w:id="1108"/>
    </w:p>
    <w:p>
      <w:pPr>
        <w:pStyle w:val="Style1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（自</w:t>
      </w: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日起适用）</w:t>
      </w:r>
    </w:p>
    <w:p>
      <w:pPr>
        <w:pStyle w:val="Style59"/>
        <w:keepNext w:val="0"/>
        <w:keepLines w:val="0"/>
        <w:widowControl w:val="0"/>
        <w:shd w:val="clear" w:color="auto" w:fill="auto"/>
        <w:bidi w:val="0"/>
        <w:spacing w:before="0" w:after="0" w:line="469" w:lineRule="exact"/>
        <w:ind w:left="0" w:right="0" w:firstLine="500"/>
        <w:jc w:val="both"/>
      </w:pPr>
      <w:r>
        <w:rPr>
          <w:color w:val="000000"/>
          <w:spacing w:val="0"/>
          <w:w w:val="100"/>
          <w:position w:val="0"/>
          <w:sz w:val="24"/>
          <w:szCs w:val="24"/>
        </w:rPr>
        <w:t>租赁是指让渡或取得了在一定期间内控制一项或多项已识别资产使用的权利以换取或支 付对价的合同。在一项合同开始日，评估合同是否为租赁或包含租赁。</w:t>
      </w:r>
    </w:p>
    <w:p>
      <w:pPr>
        <w:pStyle w:val="Style59"/>
        <w:keepNext w:val="0"/>
        <w:keepLines w:val="0"/>
        <w:widowControl w:val="0"/>
        <w:shd w:val="clear" w:color="auto" w:fill="auto"/>
        <w:bidi w:val="0"/>
        <w:spacing w:before="0" w:after="0" w:line="469" w:lineRule="exact"/>
        <w:ind w:left="0" w:right="0" w:firstLine="500"/>
        <w:jc w:val="both"/>
      </w:pPr>
      <w:r>
        <w:rPr>
          <w:color w:val="000000"/>
          <w:spacing w:val="0"/>
          <w:w w:val="100"/>
          <w:position w:val="0"/>
          <w:sz w:val="24"/>
          <w:szCs w:val="24"/>
        </w:rPr>
        <w:t>①公司作为承租人</w:t>
      </w:r>
    </w:p>
    <w:p>
      <w:pPr>
        <w:pStyle w:val="Style59"/>
        <w:keepNext w:val="0"/>
        <w:keepLines w:val="0"/>
        <w:widowControl w:val="0"/>
        <w:shd w:val="clear" w:color="auto" w:fill="auto"/>
        <w:bidi w:val="0"/>
        <w:spacing w:before="0" w:after="0" w:line="469" w:lineRule="exact"/>
        <w:ind w:left="0" w:right="0" w:firstLine="500"/>
        <w:jc w:val="both"/>
      </w:pPr>
      <w:r>
        <w:rPr>
          <w:color w:val="000000"/>
          <w:spacing w:val="0"/>
          <w:w w:val="100"/>
          <w:position w:val="0"/>
          <w:sz w:val="24"/>
          <w:szCs w:val="24"/>
        </w:rPr>
        <w:t>租赁资产的类别主要为房屋及建筑物。</w:t>
      </w:r>
    </w:p>
    <w:p>
      <w:pPr>
        <w:pStyle w:val="Style59"/>
        <w:keepNext w:val="0"/>
        <w:keepLines w:val="0"/>
        <w:widowControl w:val="0"/>
        <w:shd w:val="clear" w:color="auto" w:fill="auto"/>
        <w:tabs>
          <w:tab w:pos="860" w:val="left"/>
        </w:tabs>
        <w:bidi w:val="0"/>
        <w:spacing w:before="0" w:after="0" w:line="469" w:lineRule="exact"/>
        <w:ind w:left="0" w:right="0" w:firstLine="500"/>
        <w:jc w:val="both"/>
      </w:pPr>
      <w:bookmarkStart w:id="1109" w:name="bookmark1109"/>
      <w:r>
        <w:rPr>
          <w:color w:val="000000"/>
          <w:spacing w:val="0"/>
          <w:w w:val="100"/>
          <w:position w:val="0"/>
          <w:sz w:val="24"/>
          <w:szCs w:val="24"/>
        </w:rPr>
        <w:t>1</w:t>
      </w:r>
      <w:bookmarkEnd w:id="1109"/>
      <w:r>
        <w:rPr>
          <w:color w:val="000000"/>
          <w:spacing w:val="0"/>
          <w:w w:val="100"/>
          <w:position w:val="0"/>
          <w:sz w:val="24"/>
          <w:szCs w:val="24"/>
        </w:rPr>
        <w:t>）</w:t>
        <w:tab/>
        <w:t>初始计量</w:t>
      </w:r>
    </w:p>
    <w:p>
      <w:pPr>
        <w:pStyle w:val="Style59"/>
        <w:keepNext w:val="0"/>
        <w:keepLines w:val="0"/>
        <w:widowControl w:val="0"/>
        <w:shd w:val="clear" w:color="auto" w:fill="auto"/>
        <w:bidi w:val="0"/>
        <w:spacing w:before="0" w:after="0" w:line="469" w:lineRule="exact"/>
        <w:ind w:left="0" w:right="0" w:firstLine="500"/>
        <w:jc w:val="both"/>
      </w:pPr>
      <w:r>
        <w:rPr>
          <w:color w:val="000000"/>
          <w:spacing w:val="0"/>
          <w:w w:val="100"/>
          <w:position w:val="0"/>
          <w:sz w:val="24"/>
          <w:szCs w:val="24"/>
        </w:rPr>
        <w:t>在租赁期开始日，将可在租赁期内使用租赁资产的权利确认为使用权资产，将尚未支付 的租赁付款额的现值确认为租赁负债。在计算租赁付款额的现值时，采用租赁内含利率作为 折现率；无法确定租赁内含利率的，采用承租人增量借款利率作为折现率。</w:t>
      </w:r>
    </w:p>
    <w:p>
      <w:pPr>
        <w:pStyle w:val="Style59"/>
        <w:keepNext w:val="0"/>
        <w:keepLines w:val="0"/>
        <w:widowControl w:val="0"/>
        <w:shd w:val="clear" w:color="auto" w:fill="auto"/>
        <w:tabs>
          <w:tab w:pos="873" w:val="left"/>
        </w:tabs>
        <w:bidi w:val="0"/>
        <w:spacing w:before="0" w:after="0" w:line="472" w:lineRule="exact"/>
        <w:ind w:left="0" w:right="0" w:firstLine="500"/>
        <w:jc w:val="both"/>
      </w:pPr>
      <w:bookmarkStart w:id="1110" w:name="bookmark1110"/>
      <w:r>
        <w:rPr>
          <w:color w:val="000000"/>
          <w:spacing w:val="0"/>
          <w:w w:val="100"/>
          <w:position w:val="0"/>
          <w:sz w:val="24"/>
          <w:szCs w:val="24"/>
        </w:rPr>
        <w:t>2</w:t>
      </w:r>
      <w:bookmarkEnd w:id="1110"/>
      <w:r>
        <w:rPr>
          <w:color w:val="000000"/>
          <w:spacing w:val="0"/>
          <w:w w:val="100"/>
          <w:position w:val="0"/>
          <w:sz w:val="24"/>
          <w:szCs w:val="24"/>
        </w:rPr>
        <w:t>）</w:t>
        <w:tab/>
        <w:t>后续计量</w:t>
      </w:r>
    </w:p>
    <w:p>
      <w:pPr>
        <w:pStyle w:val="Style59"/>
        <w:keepNext w:val="0"/>
        <w:keepLines w:val="0"/>
        <w:widowControl w:val="0"/>
        <w:shd w:val="clear" w:color="auto" w:fill="auto"/>
        <w:bidi w:val="0"/>
        <w:spacing w:before="0" w:after="0" w:line="472" w:lineRule="exact"/>
        <w:ind w:left="0" w:right="0" w:firstLine="500"/>
        <w:jc w:val="both"/>
      </w:pPr>
      <w:r>
        <w:rPr>
          <w:color w:val="000000"/>
          <w:spacing w:val="0"/>
          <w:w w:val="100"/>
          <w:position w:val="0"/>
          <w:sz w:val="24"/>
          <w:szCs w:val="24"/>
        </w:rPr>
        <w:t>参照《企业会计准则第4号一固定资产》有关折旧规定对使用权资产计提折旧（详见本附 注五、24 “使用权资产”），能够合理确定租赁期届满时取得租赁资产所有权的，在租赁资 产剩余使用寿命内计提折旧。无法合理确定租赁期届满时能够取得租赁资产所有权的，在租 赁期与租赁资产剩余使用寿命两者孰短的期间内计提折旧。</w:t>
      </w:r>
    </w:p>
    <w:p>
      <w:pPr>
        <w:pStyle w:val="Style59"/>
        <w:keepNext w:val="0"/>
        <w:keepLines w:val="0"/>
        <w:widowControl w:val="0"/>
        <w:shd w:val="clear" w:color="auto" w:fill="auto"/>
        <w:bidi w:val="0"/>
        <w:spacing w:before="0" w:after="0" w:line="472" w:lineRule="exact"/>
        <w:ind w:left="0" w:right="0" w:firstLine="500"/>
        <w:jc w:val="left"/>
      </w:pPr>
      <w:r>
        <w:rPr>
          <w:color w:val="000000"/>
          <w:spacing w:val="0"/>
          <w:w w:val="100"/>
          <w:position w:val="0"/>
          <w:sz w:val="24"/>
          <w:szCs w:val="24"/>
        </w:rPr>
        <w:t>对于租赁负债，按照固定的周期性利率计算其在租赁期内各期间的利息费用，计入当期 损益或计入相关资产成本。未纳入租赁负债计量的可变租赁付款额在实际发生时计入当期损 益或相关资产成本。</w:t>
      </w:r>
    </w:p>
    <w:p>
      <w:pPr>
        <w:pStyle w:val="Style59"/>
        <w:keepNext w:val="0"/>
        <w:keepLines w:val="0"/>
        <w:widowControl w:val="0"/>
        <w:shd w:val="clear" w:color="auto" w:fill="auto"/>
        <w:tabs>
          <w:tab w:pos="856" w:val="left"/>
        </w:tabs>
        <w:bidi w:val="0"/>
        <w:spacing w:before="0" w:after="0" w:line="472" w:lineRule="exact"/>
        <w:ind w:left="0" w:right="0" w:firstLine="500"/>
        <w:jc w:val="left"/>
      </w:pPr>
      <w:bookmarkStart w:id="1111" w:name="bookmark1111"/>
      <w:r>
        <w:rPr>
          <w:color w:val="000000"/>
          <w:spacing w:val="0"/>
          <w:w w:val="100"/>
          <w:position w:val="0"/>
          <w:sz w:val="24"/>
          <w:szCs w:val="24"/>
        </w:rPr>
        <w:t>3</w:t>
      </w:r>
      <w:bookmarkEnd w:id="1111"/>
      <w:r>
        <w:rPr>
          <w:color w:val="000000"/>
          <w:spacing w:val="0"/>
          <w:w w:val="100"/>
          <w:position w:val="0"/>
          <w:sz w:val="24"/>
          <w:szCs w:val="24"/>
        </w:rPr>
        <w:t>）</w:t>
        <w:tab/>
        <w:t>租赁期开始日后，当实质固定付款额发生变动、担保余值预计的应付金额发生变化、 用于确定租赁付款额的指数或比率发生变动、购买选择权、续租选择权或终止选择权的评估 结果或实际行权情况发生变化时，本集团按照变动后的租赁付款额的现值重新计量租赁负债， 并相应调整使用权资产的账面价值。使用权资产账面价值已调减至零，但租赁负债仍需进一 步调减的，将剩余金额计入当期损益。</w:t>
      </w:r>
    </w:p>
    <w:p>
      <w:pPr>
        <w:pStyle w:val="Style59"/>
        <w:keepNext w:val="0"/>
        <w:keepLines w:val="0"/>
        <w:widowControl w:val="0"/>
        <w:shd w:val="clear" w:color="auto" w:fill="auto"/>
        <w:tabs>
          <w:tab w:pos="876" w:val="left"/>
        </w:tabs>
        <w:bidi w:val="0"/>
        <w:spacing w:before="0" w:after="0" w:line="472" w:lineRule="exact"/>
        <w:ind w:left="0" w:right="0" w:firstLine="500"/>
        <w:jc w:val="both"/>
      </w:pPr>
      <w:bookmarkStart w:id="1112" w:name="bookmark1112"/>
      <w:r>
        <w:rPr>
          <w:color w:val="000000"/>
          <w:spacing w:val="0"/>
          <w:w w:val="100"/>
          <w:position w:val="0"/>
          <w:sz w:val="24"/>
          <w:szCs w:val="24"/>
        </w:rPr>
        <w:t>4</w:t>
      </w:r>
      <w:bookmarkEnd w:id="1112"/>
      <w:r>
        <w:rPr>
          <w:color w:val="000000"/>
          <w:spacing w:val="0"/>
          <w:w w:val="100"/>
          <w:position w:val="0"/>
          <w:sz w:val="24"/>
          <w:szCs w:val="24"/>
        </w:rPr>
        <w:t>）</w:t>
        <w:tab/>
        <w:t>短期租赁和低价值资产租赁</w:t>
      </w:r>
    </w:p>
    <w:p>
      <w:pPr>
        <w:pStyle w:val="Style59"/>
        <w:keepNext w:val="0"/>
        <w:keepLines w:val="0"/>
        <w:widowControl w:val="0"/>
        <w:shd w:val="clear" w:color="auto" w:fill="auto"/>
        <w:bidi w:val="0"/>
        <w:spacing w:before="0" w:after="460" w:line="472" w:lineRule="exact"/>
        <w:ind w:left="0" w:right="0" w:firstLine="500"/>
        <w:jc w:val="both"/>
      </w:pPr>
      <w:r>
        <w:rPr>
          <w:color w:val="000000"/>
          <w:spacing w:val="0"/>
          <w:w w:val="100"/>
          <w:position w:val="0"/>
          <w:sz w:val="24"/>
          <w:szCs w:val="24"/>
        </w:rPr>
        <w:t>对于短期租赁（在租赁开始日租赁期不超过12个月的租赁）和低价值资产租赁，采取简 化处理方法，不确认使用权资产和租赁负债，而在租赁期内各个期间按照直线法或其他系统 合理的方法将租赁付款额计入相关资产成本或当期损益。</w:t>
      </w:r>
    </w:p>
    <w:p>
      <w:pPr>
        <w:pStyle w:val="Style59"/>
        <w:keepNext w:val="0"/>
        <w:keepLines w:val="0"/>
        <w:widowControl w:val="0"/>
        <w:shd w:val="clear" w:color="auto" w:fill="auto"/>
        <w:bidi w:val="0"/>
        <w:spacing w:before="0" w:after="0" w:line="469" w:lineRule="exact"/>
        <w:ind w:left="0" w:right="0" w:firstLine="500"/>
        <w:jc w:val="both"/>
      </w:pPr>
      <w:r>
        <w:rPr>
          <w:color w:val="000000"/>
          <w:spacing w:val="0"/>
          <w:w w:val="100"/>
          <w:position w:val="0"/>
          <w:sz w:val="24"/>
          <w:szCs w:val="24"/>
        </w:rPr>
        <w:t>②公司作为出租人</w:t>
      </w:r>
    </w:p>
    <w:p>
      <w:pPr>
        <w:pStyle w:val="Style59"/>
        <w:keepNext w:val="0"/>
        <w:keepLines w:val="0"/>
        <w:widowControl w:val="0"/>
        <w:shd w:val="clear" w:color="auto" w:fill="auto"/>
        <w:bidi w:val="0"/>
        <w:spacing w:before="0" w:after="0" w:line="469" w:lineRule="exact"/>
        <w:ind w:left="0" w:right="0" w:firstLine="500"/>
        <w:jc w:val="both"/>
      </w:pPr>
      <w:r>
        <w:rPr>
          <w:color w:val="000000"/>
          <w:spacing w:val="0"/>
          <w:w w:val="100"/>
          <w:position w:val="0"/>
          <w:sz w:val="24"/>
          <w:szCs w:val="24"/>
        </w:rPr>
        <w:t>在租赁开始日，基于交易的实质，将租赁分为融资租赁和经营租赁。融资租赁是指实质 上转移了与租赁资产所有权有关的几乎全部风险和报酬的租赁。经营租赁是指除融资租赁以 外的其他租赁。</w:t>
      </w:r>
    </w:p>
    <w:p>
      <w:pPr>
        <w:pStyle w:val="Style59"/>
        <w:keepNext w:val="0"/>
        <w:keepLines w:val="0"/>
        <w:widowControl w:val="0"/>
        <w:shd w:val="clear" w:color="auto" w:fill="auto"/>
        <w:bidi w:val="0"/>
        <w:spacing w:before="0" w:after="0" w:line="469" w:lineRule="exact"/>
        <w:ind w:left="0" w:right="0" w:firstLine="500"/>
        <w:jc w:val="both"/>
      </w:pPr>
      <w:r>
        <w:rPr>
          <w:color w:val="000000"/>
          <w:spacing w:val="0"/>
          <w:w w:val="100"/>
          <w:position w:val="0"/>
          <w:sz w:val="24"/>
          <w:szCs w:val="24"/>
        </w:rPr>
        <w:t>1） 经营租赁</w:t>
      </w:r>
    </w:p>
    <w:p>
      <w:pPr>
        <w:pStyle w:val="Style59"/>
        <w:keepNext w:val="0"/>
        <w:keepLines w:val="0"/>
        <w:widowControl w:val="0"/>
        <w:shd w:val="clear" w:color="auto" w:fill="auto"/>
        <w:bidi w:val="0"/>
        <w:spacing w:before="0" w:after="720" w:line="469" w:lineRule="exact"/>
        <w:ind w:left="0" w:right="0" w:firstLine="500"/>
        <w:jc w:val="both"/>
      </w:pPr>
      <w:r>
        <w:rPr>
          <w:color w:val="000000"/>
          <w:spacing w:val="0"/>
          <w:w w:val="100"/>
          <w:position w:val="0"/>
          <w:sz w:val="24"/>
          <w:szCs w:val="24"/>
        </w:rPr>
        <w:t>采用直线法将经营租赁的租赁收款额确认为租赁期内各期间的租金收入。与经营租赁有 关的未计入租赁收款额的可变租赁付款额，于实际发生时计入当期损益。</w:t>
      </w:r>
    </w:p>
    <w:p>
      <w:pPr>
        <w:pStyle w:val="Style102"/>
        <w:keepNext/>
        <w:keepLines/>
        <w:widowControl w:val="0"/>
        <w:shd w:val="clear" w:color="auto" w:fill="auto"/>
        <w:bidi w:val="0"/>
        <w:spacing w:before="0" w:after="240" w:line="240" w:lineRule="auto"/>
        <w:ind w:left="0" w:right="0" w:firstLine="0"/>
        <w:jc w:val="left"/>
      </w:pPr>
      <w:bookmarkStart w:id="1113" w:name="bookmark1113"/>
      <w:bookmarkStart w:id="1114" w:name="bookmark1114"/>
      <w:bookmarkStart w:id="1115" w:name="bookmark1115"/>
      <w:bookmarkStart w:id="1116" w:name="bookmark1116"/>
      <w:r>
        <w:rPr>
          <w:color w:val="000000"/>
          <w:spacing w:val="0"/>
          <w:w w:val="100"/>
          <w:position w:val="0"/>
        </w:rPr>
        <w:t>（</w:t>
      </w:r>
      <w:bookmarkEnd w:id="1115"/>
      <w:r>
        <w:rPr>
          <w:rFonts w:ascii="Times New Roman" w:eastAsia="Times New Roman" w:hAnsi="Times New Roman" w:cs="Times New Roman"/>
          <w:color w:val="000000"/>
          <w:spacing w:val="0"/>
          <w:w w:val="100"/>
          <w:position w:val="0"/>
        </w:rPr>
        <w:t>3</w:t>
      </w:r>
      <w:r>
        <w:rPr>
          <w:color w:val="000000"/>
          <w:spacing w:val="0"/>
          <w:w w:val="100"/>
          <w:position w:val="0"/>
        </w:rPr>
        <w:t>）融资租赁的会计处理方法</w:t>
      </w:r>
      <w:bookmarkEnd w:id="1113"/>
      <w:bookmarkEnd w:id="1114"/>
      <w:bookmarkEnd w:id="1116"/>
    </w:p>
    <w:p>
      <w:pPr>
        <w:pStyle w:val="Style59"/>
        <w:keepNext w:val="0"/>
        <w:keepLines w:val="0"/>
        <w:widowControl w:val="0"/>
        <w:shd w:val="clear" w:color="auto" w:fill="auto"/>
        <w:bidi w:val="0"/>
        <w:spacing w:before="0" w:after="380" w:line="469" w:lineRule="exact"/>
        <w:ind w:left="0" w:right="0" w:firstLine="500"/>
        <w:jc w:val="both"/>
      </w:pPr>
      <w:r>
        <w:rPr>
          <w:color w:val="000000"/>
          <w:spacing w:val="0"/>
          <w:w w:val="100"/>
          <w:position w:val="0"/>
          <w:sz w:val="24"/>
          <w:szCs w:val="24"/>
        </w:rPr>
        <w:t>于租赁期开始日，确认应收融资租赁款，并终止确认融资租赁资产。应收融资租赁款以 租赁投资净额（未担保余值和租赁期开始日尚未收到的租赁收款额按照租赁内含利率折现的 现值之和）进行初始计量，并按照固定的周期性利率计算确认租赁期内的利息收入。取得的 未纳入租赁投资净额计量的可变租赁付款额在实际发生时计入当期损益。</w:t>
      </w:r>
    </w:p>
    <w:p>
      <w:pPr>
        <w:pStyle w:val="Style24"/>
        <w:keepNext/>
        <w:keepLines/>
        <w:widowControl w:val="0"/>
        <w:shd w:val="clear" w:color="auto" w:fill="auto"/>
        <w:bidi w:val="0"/>
        <w:spacing w:before="0" w:after="380" w:line="240" w:lineRule="auto"/>
        <w:ind w:left="0" w:right="0" w:firstLine="0"/>
        <w:jc w:val="left"/>
      </w:pPr>
      <w:bookmarkStart w:id="1117" w:name="bookmark1117"/>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rPr>
        <w:t>3</w:t>
      </w:r>
      <w:bookmarkEnd w:id="1119"/>
      <w:r>
        <w:rPr>
          <w:rFonts w:ascii="Times New Roman" w:eastAsia="Times New Roman" w:hAnsi="Times New Roman" w:cs="Times New Roman"/>
          <w:color w:val="000000"/>
          <w:spacing w:val="0"/>
          <w:w w:val="100"/>
          <w:position w:val="0"/>
        </w:rPr>
        <w:t>7</w:t>
      </w:r>
      <w:r>
        <w:rPr>
          <w:color w:val="000000"/>
          <w:spacing w:val="0"/>
          <w:w w:val="100"/>
          <w:position w:val="0"/>
        </w:rPr>
        <w:t>、其他重要的会计政策和会计估计</w:t>
      </w:r>
      <w:bookmarkEnd w:id="1117"/>
      <w:bookmarkEnd w:id="1118"/>
      <w:bookmarkEnd w:id="1120"/>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60" w:line="240" w:lineRule="auto"/>
        <w:ind w:left="0" w:right="0" w:firstLine="0"/>
        <w:jc w:val="left"/>
      </w:pPr>
      <w:bookmarkStart w:id="1121" w:name="bookmark1121"/>
      <w:bookmarkStart w:id="1122" w:name="bookmark1122"/>
      <w:bookmarkStart w:id="1123" w:name="bookmark1123"/>
      <w:bookmarkStart w:id="1124" w:name="bookmark1124"/>
      <w:r>
        <w:rPr>
          <w:rFonts w:ascii="Times New Roman" w:eastAsia="Times New Roman" w:hAnsi="Times New Roman" w:cs="Times New Roman"/>
          <w:color w:val="000000"/>
          <w:spacing w:val="0"/>
          <w:w w:val="100"/>
          <w:position w:val="0"/>
        </w:rPr>
        <w:t>3</w:t>
      </w:r>
      <w:bookmarkEnd w:id="1123"/>
      <w:r>
        <w:rPr>
          <w:rFonts w:ascii="Times New Roman" w:eastAsia="Times New Roman" w:hAnsi="Times New Roman" w:cs="Times New Roman"/>
          <w:color w:val="000000"/>
          <w:spacing w:val="0"/>
          <w:w w:val="100"/>
          <w:position w:val="0"/>
        </w:rPr>
        <w:t>8</w:t>
      </w:r>
      <w:r>
        <w:rPr>
          <w:color w:val="000000"/>
          <w:spacing w:val="0"/>
          <w:w w:val="100"/>
          <w:position w:val="0"/>
        </w:rPr>
        <w:t>、重要会计政策和会计估计变更</w:t>
      </w:r>
      <w:bookmarkEnd w:id="1121"/>
      <w:bookmarkEnd w:id="1122"/>
      <w:bookmarkEnd w:id="1124"/>
    </w:p>
    <w:p>
      <w:pPr>
        <w:pStyle w:val="Style102"/>
        <w:keepNext/>
        <w:keepLines/>
        <w:widowControl w:val="0"/>
        <w:shd w:val="clear" w:color="auto" w:fill="auto"/>
        <w:bidi w:val="0"/>
        <w:spacing w:before="0" w:line="240" w:lineRule="auto"/>
        <w:ind w:left="0" w:right="0" w:firstLine="0"/>
        <w:jc w:val="left"/>
      </w:pPr>
      <w:bookmarkStart w:id="1125" w:name="bookmark1125"/>
      <w:bookmarkStart w:id="1126" w:name="bookmark1126"/>
      <w:bookmarkStart w:id="1127" w:name="bookmark1127"/>
      <w:bookmarkStart w:id="1128" w:name="bookmark1128"/>
      <w:r>
        <w:rPr>
          <w:color w:val="000000"/>
          <w:spacing w:val="0"/>
          <w:w w:val="100"/>
          <w:position w:val="0"/>
        </w:rPr>
        <w:t>（</w:t>
      </w:r>
      <w:bookmarkEnd w:id="1127"/>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25"/>
      <w:bookmarkEnd w:id="1126"/>
      <w:bookmarkEnd w:id="1128"/>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133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xml:space="preserve">日起执行财政部于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日发布的《企业会计准则 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号——租赁（</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年修订）》（财 会</w:t>
            </w:r>
            <w:r>
              <w:rPr>
                <w:rFonts w:ascii="Times New Roman" w:eastAsia="Times New Roman" w:hAnsi="Times New Roman" w:cs="Times New Roman"/>
                <w:color w:val="000000"/>
                <w:spacing w:val="0"/>
                <w:w w:val="100"/>
                <w:position w:val="0"/>
                <w:sz w:val="18"/>
                <w:szCs w:val="18"/>
              </w:rPr>
              <w:t>[2018]35</w:t>
            </w:r>
            <w:r>
              <w:rPr>
                <w:color w:val="000000"/>
                <w:spacing w:val="0"/>
                <w:w w:val="100"/>
                <w:position w:val="0"/>
                <w:sz w:val="18"/>
                <w:szCs w:val="18"/>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新租赁准则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第五届董事会第二次会议决议于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日决议通过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详见注</w:t>
            </w:r>
          </w:p>
        </w:tc>
      </w:tr>
    </w:tbl>
    <w:p>
      <w:pPr>
        <w:pStyle w:val="Style59"/>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注：根据新租赁准则的规定，对于首次执行日前已存在的合同，公司选择不重新评估其 是否为租赁或者包含租赁。对作为承租人的租赁合同，公司选择仅对2021年1月1日尚未完成 的租赁合同的累计影响数进行调整。首次执行的累积影响金额调整首次执行当期期初（即2021 年1月1日）的留存收益及财务报表其他相关项目金额，对可比期间信息不予调整。其中，对 首次执行日的融资租赁，公司作为承租人按照融资租入资产和应付融资租赁款的原账面价值， 分别计量使用权资产和租赁负债；对首次执行日的经营租赁，作为承租人根据剩余租赁付款 额按首次执行日的增量借款利率折现的现值计量租赁负债；原租赁准则下按照权责发生制计 提的应付未付租金，纳入剩余租赁付款额中。</w:t>
      </w:r>
    </w:p>
    <w:p>
      <w:pPr>
        <w:pStyle w:val="Style59"/>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公司根据每项租赁选择按照下列两者之一计量使用权资产：</w:t>
      </w:r>
      <w:r>
        <w:rPr>
          <w:color w:val="000000"/>
          <w:spacing w:val="0"/>
          <w:w w:val="100"/>
          <w:position w:val="0"/>
          <w:sz w:val="24"/>
          <w:szCs w:val="24"/>
        </w:rPr>
        <w:t>A、</w:t>
      </w:r>
      <w:r>
        <w:rPr>
          <w:color w:val="000000"/>
          <w:spacing w:val="0"/>
          <w:w w:val="100"/>
          <w:position w:val="0"/>
          <w:sz w:val="24"/>
          <w:szCs w:val="24"/>
        </w:rPr>
        <w:t>假设自租赁期开始日即采 用新租赁准则的账面价值（采用首次执行日的增量借款利率作为折现率）</w:t>
      </w:r>
      <w:r>
        <w:rPr>
          <w:color w:val="000000"/>
          <w:spacing w:val="0"/>
          <w:w w:val="100"/>
          <w:position w:val="0"/>
          <w:sz w:val="24"/>
          <w:szCs w:val="24"/>
        </w:rPr>
        <w:t>；B、</w:t>
      </w:r>
      <w:r>
        <w:rPr>
          <w:color w:val="000000"/>
          <w:spacing w:val="0"/>
          <w:w w:val="100"/>
          <w:position w:val="0"/>
          <w:sz w:val="24"/>
          <w:szCs w:val="24"/>
        </w:rPr>
        <w:t>与租赁负债相 等的金额，并根据预付租金进行必要调整。并按照《企业会计准则第8号</w:t>
      </w:r>
      <w:r>
        <w:rPr>
          <w:color w:val="000000"/>
          <w:spacing w:val="0"/>
          <w:w w:val="100"/>
          <w:position w:val="0"/>
          <w:sz w:val="24"/>
          <w:szCs w:val="24"/>
        </w:rPr>
        <w:t>一一</w:t>
      </w:r>
      <w:r>
        <w:rPr>
          <w:color w:val="000000"/>
          <w:spacing w:val="0"/>
          <w:w w:val="100"/>
          <w:position w:val="0"/>
          <w:sz w:val="24"/>
          <w:szCs w:val="24"/>
        </w:rPr>
        <w:t>资产减值》的规 定，对使用权资产进行减值测试并进行相应会计处理。</w:t>
      </w:r>
    </w:p>
    <w:p>
      <w:pPr>
        <w:pStyle w:val="Style59"/>
        <w:keepNext w:val="0"/>
        <w:keepLines w:val="0"/>
        <w:widowControl w:val="0"/>
        <w:shd w:val="clear" w:color="auto" w:fill="auto"/>
        <w:bidi w:val="0"/>
        <w:spacing w:before="0" w:after="400" w:line="469" w:lineRule="exact"/>
        <w:ind w:left="0" w:right="0" w:firstLine="480"/>
        <w:jc w:val="both"/>
      </w:pPr>
      <w:r>
        <w:rPr>
          <w:color w:val="000000"/>
          <w:spacing w:val="0"/>
          <w:w w:val="100"/>
          <w:position w:val="0"/>
          <w:sz w:val="24"/>
          <w:szCs w:val="24"/>
        </w:rPr>
        <w:t>执行新租赁准则对2021年1月1日财务报表相关项目无影响。</w:t>
      </w:r>
    </w:p>
    <w:p>
      <w:pPr>
        <w:pStyle w:val="Style102"/>
        <w:keepNext/>
        <w:keepLines/>
        <w:widowControl w:val="0"/>
        <w:shd w:val="clear" w:color="auto" w:fill="auto"/>
        <w:tabs>
          <w:tab w:pos="493" w:val="left"/>
        </w:tabs>
        <w:bidi w:val="0"/>
        <w:spacing w:before="0" w:line="240" w:lineRule="auto"/>
        <w:ind w:left="0" w:right="0" w:firstLine="0"/>
        <w:jc w:val="left"/>
      </w:pPr>
      <w:bookmarkStart w:id="1129" w:name="bookmark1129"/>
      <w:bookmarkStart w:id="1130" w:name="bookmark1130"/>
      <w:bookmarkStart w:id="1131" w:name="bookmark1131"/>
      <w:bookmarkStart w:id="1132" w:name="bookmark1132"/>
      <w:r>
        <w:rPr>
          <w:color w:val="000000"/>
          <w:spacing w:val="0"/>
          <w:w w:val="100"/>
          <w:position w:val="0"/>
        </w:rPr>
        <w:t>（</w:t>
      </w:r>
      <w:bookmarkEnd w:id="1131"/>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129"/>
      <w:bookmarkEnd w:id="1130"/>
      <w:bookmarkEnd w:id="1132"/>
    </w:p>
    <w:p>
      <w:pPr>
        <w:pStyle w:val="Style14"/>
        <w:keepNext w:val="0"/>
        <w:keepLines w:val="0"/>
        <w:widowControl w:val="0"/>
        <w:shd w:val="clear" w:color="auto" w:fill="auto"/>
        <w:bidi w:val="0"/>
        <w:spacing w:before="0" w:after="200" w:line="413"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02"/>
        <w:keepNext/>
        <w:keepLines/>
        <w:widowControl w:val="0"/>
        <w:shd w:val="clear" w:color="auto" w:fill="auto"/>
        <w:tabs>
          <w:tab w:pos="493" w:val="left"/>
        </w:tabs>
        <w:bidi w:val="0"/>
        <w:spacing w:before="0" w:line="240" w:lineRule="auto"/>
        <w:ind w:left="0" w:right="0" w:firstLine="0"/>
        <w:jc w:val="left"/>
      </w:pPr>
      <w:bookmarkStart w:id="1133" w:name="bookmark1133"/>
      <w:bookmarkStart w:id="1134" w:name="bookmark1134"/>
      <w:bookmarkStart w:id="1135" w:name="bookmark1135"/>
      <w:bookmarkStart w:id="1136" w:name="bookmark1136"/>
      <w:r>
        <w:rPr>
          <w:color w:val="000000"/>
          <w:spacing w:val="0"/>
          <w:w w:val="100"/>
          <w:position w:val="0"/>
        </w:rPr>
        <w:t>（</w:t>
      </w:r>
      <w:bookmarkEnd w:id="1135"/>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133"/>
      <w:bookmarkEnd w:id="1134"/>
      <w:bookmarkEnd w:id="1136"/>
    </w:p>
    <w:p>
      <w:pPr>
        <w:pStyle w:val="Style14"/>
        <w:keepNext w:val="0"/>
        <w:keepLines w:val="0"/>
        <w:widowControl w:val="0"/>
        <w:shd w:val="clear" w:color="auto" w:fill="auto"/>
        <w:bidi w:val="0"/>
        <w:spacing w:before="0" w:after="0" w:line="413"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4"/>
        <w:keepNext w:val="0"/>
        <w:keepLines w:val="0"/>
        <w:widowControl w:val="0"/>
        <w:shd w:val="clear" w:color="auto" w:fill="auto"/>
        <w:bidi w:val="0"/>
        <w:spacing w:before="0" w:line="355" w:lineRule="exact"/>
        <w:ind w:left="0" w:right="0" w:firstLine="0"/>
        <w:jc w:val="left"/>
      </w:pPr>
      <w:r>
        <w:rPr>
          <w:color w:val="000000"/>
          <w:spacing w:val="0"/>
          <w:w w:val="100"/>
          <w:position w:val="0"/>
        </w:rPr>
        <w:t>是否需要调整年初资产负债表科目</w:t>
      </w:r>
    </w:p>
    <w:p>
      <w:pPr>
        <w:pStyle w:val="Style14"/>
        <w:keepNext w:val="0"/>
        <w:keepLines w:val="0"/>
        <w:widowControl w:val="0"/>
        <w:shd w:val="clear" w:color="auto" w:fill="auto"/>
        <w:bidi w:val="0"/>
        <w:spacing w:before="0" w:after="0" w:line="413"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4"/>
        <w:keepNext w:val="0"/>
        <w:keepLines w:val="0"/>
        <w:widowControl w:val="0"/>
        <w:shd w:val="clear" w:color="auto" w:fill="auto"/>
        <w:bidi w:val="0"/>
        <w:spacing w:before="0" w:after="360" w:line="355" w:lineRule="exact"/>
        <w:ind w:left="0" w:right="0" w:firstLine="0"/>
        <w:jc w:val="left"/>
      </w:pPr>
      <w:r>
        <w:rPr>
          <w:color w:val="000000"/>
          <w:spacing w:val="0"/>
          <w:w w:val="100"/>
          <w:position w:val="0"/>
        </w:rPr>
        <w:t>不需要调整年初资产负债表科目的原因说明 报告期初公司不存在租赁业务。</w:t>
      </w:r>
    </w:p>
    <w:p>
      <w:pPr>
        <w:pStyle w:val="Style102"/>
        <w:keepNext/>
        <w:keepLines/>
        <w:widowControl w:val="0"/>
        <w:numPr>
          <w:ilvl w:val="0"/>
          <w:numId w:val="103"/>
        </w:numPr>
        <w:shd w:val="clear" w:color="auto" w:fill="auto"/>
        <w:tabs>
          <w:tab w:pos="489" w:val="left"/>
        </w:tabs>
        <w:bidi w:val="0"/>
        <w:spacing w:before="0" w:line="240" w:lineRule="auto"/>
        <w:ind w:left="0" w:right="0" w:firstLine="0"/>
        <w:jc w:val="both"/>
      </w:pPr>
      <w:bookmarkStart w:id="1137" w:name="bookmark1137"/>
      <w:bookmarkStart w:id="1138" w:name="bookmark1138"/>
      <w:bookmarkStart w:id="1139" w:name="bookmark1139"/>
      <w:bookmarkStart w:id="1140" w:name="bookmark1140"/>
      <w:bookmarkEnd w:id="1139"/>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137"/>
      <w:bookmarkEnd w:id="1138"/>
      <w:bookmarkEnd w:id="1140"/>
    </w:p>
    <w:p>
      <w:pPr>
        <w:pStyle w:val="Style1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240" w:line="240" w:lineRule="auto"/>
        <w:ind w:left="0" w:right="0" w:firstLine="0"/>
        <w:jc w:val="both"/>
      </w:pPr>
      <w:bookmarkStart w:id="1141" w:name="bookmark1141"/>
      <w:bookmarkStart w:id="1142" w:name="bookmark1142"/>
      <w:bookmarkStart w:id="1143" w:name="bookmark1143"/>
      <w:bookmarkStart w:id="1144" w:name="bookmark1144"/>
      <w:r>
        <w:rPr>
          <w:rFonts w:ascii="Times New Roman" w:eastAsia="Times New Roman" w:hAnsi="Times New Roman" w:cs="Times New Roman"/>
          <w:color w:val="000000"/>
          <w:spacing w:val="0"/>
          <w:w w:val="100"/>
          <w:position w:val="0"/>
        </w:rPr>
        <w:t>3</w:t>
      </w:r>
      <w:bookmarkEnd w:id="1143"/>
      <w:r>
        <w:rPr>
          <w:rFonts w:ascii="Times New Roman" w:eastAsia="Times New Roman" w:hAnsi="Times New Roman" w:cs="Times New Roman"/>
          <w:color w:val="000000"/>
          <w:spacing w:val="0"/>
          <w:w w:val="100"/>
          <w:position w:val="0"/>
        </w:rPr>
        <w:t>9</w:t>
      </w:r>
      <w:r>
        <w:rPr>
          <w:color w:val="000000"/>
          <w:spacing w:val="0"/>
          <w:w w:val="100"/>
          <w:position w:val="0"/>
        </w:rPr>
        <w:t>、其他</w:t>
      </w:r>
      <w:bookmarkEnd w:id="1141"/>
      <w:bookmarkEnd w:id="1142"/>
      <w:bookmarkEnd w:id="1144"/>
    </w:p>
    <w:p>
      <w:pPr>
        <w:pStyle w:val="Style59"/>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重大会计判断和估计</w:t>
      </w:r>
    </w:p>
    <w:p>
      <w:pPr>
        <w:pStyle w:val="Style59"/>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公司在运用会计政策过程中，由于经营活动内在的不确定性，公司需要对无法准确计量 的报表项目的账面价值进行判断、估计和假设。这些判断、估计和假设是基于公司管理层过 去的历史经验，并在考虑其他相关因素的基础上做出的。这些判断、估计和假设会影响收入、 费用、资产和负债的报告金额以及资产负债表日或有负债的披露。然而，这些估计的不确定 性所导致的实际结果可能与公司管理层当前的估计存在差异，进而造成对未来受影响的资产 或负债的账面金额进行重大调整。</w:t>
      </w:r>
    </w:p>
    <w:p>
      <w:pPr>
        <w:pStyle w:val="Style59"/>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公司对前述判断、估计和假设在持续经营的基础上进行定期复核，会计估计的变更仅影 响变更当期的，其影响数在变更当期予以确认；既影响变更当期又影响未来期间的，其影响 数在变更当期和未来期间予以确认。</w:t>
      </w:r>
    </w:p>
    <w:p>
      <w:pPr>
        <w:pStyle w:val="Style59"/>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于资产负债表日，公司需对财务报表项目金额进行判断、估计和假设的重要领域如下：</w:t>
      </w:r>
    </w:p>
    <w:p>
      <w:pPr>
        <w:pStyle w:val="Style59"/>
        <w:keepNext w:val="0"/>
        <w:keepLines w:val="0"/>
        <w:widowControl w:val="0"/>
        <w:numPr>
          <w:ilvl w:val="0"/>
          <w:numId w:val="109"/>
        </w:numPr>
        <w:shd w:val="clear" w:color="auto" w:fill="auto"/>
        <w:tabs>
          <w:tab w:pos="951" w:val="left"/>
        </w:tabs>
        <w:bidi w:val="0"/>
        <w:spacing w:before="0" w:after="0" w:line="468" w:lineRule="exact"/>
        <w:ind w:left="0" w:right="0" w:firstLine="500"/>
        <w:jc w:val="both"/>
      </w:pPr>
      <w:bookmarkStart w:id="1145" w:name="bookmark1145"/>
      <w:bookmarkEnd w:id="1145"/>
      <w:r>
        <w:rPr>
          <w:color w:val="000000"/>
          <w:spacing w:val="0"/>
          <w:w w:val="100"/>
          <w:position w:val="0"/>
          <w:sz w:val="24"/>
          <w:szCs w:val="24"/>
        </w:rPr>
        <w:t>金融工具减值</w:t>
      </w:r>
    </w:p>
    <w:p>
      <w:pPr>
        <w:pStyle w:val="Style59"/>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公司采用预期信用损失模型对金融工具的减值进行评估，应用预期信用损失模型需要做 出重大判断和估计，需考虑所有合理且有依据的信息，包括前瞻性信息。在做出该等判断和 估计时，公司根据历史还款数据结合经济政策、宏观经济指标、行业风险等因素推断债务人 信用风险的预期变动。</w:t>
      </w:r>
    </w:p>
    <w:p>
      <w:pPr>
        <w:pStyle w:val="Style59"/>
        <w:keepNext w:val="0"/>
        <w:keepLines w:val="0"/>
        <w:widowControl w:val="0"/>
        <w:numPr>
          <w:ilvl w:val="0"/>
          <w:numId w:val="109"/>
        </w:numPr>
        <w:shd w:val="clear" w:color="auto" w:fill="auto"/>
        <w:tabs>
          <w:tab w:pos="951" w:val="left"/>
        </w:tabs>
        <w:bidi w:val="0"/>
        <w:spacing w:before="0" w:after="0" w:line="468" w:lineRule="exact"/>
        <w:ind w:left="0" w:right="0" w:firstLine="500"/>
        <w:jc w:val="both"/>
      </w:pPr>
      <w:bookmarkStart w:id="1146" w:name="bookmark1146"/>
      <w:bookmarkEnd w:id="1146"/>
      <w:r>
        <w:rPr>
          <w:color w:val="000000"/>
          <w:spacing w:val="0"/>
          <w:w w:val="100"/>
          <w:position w:val="0"/>
          <w:sz w:val="24"/>
          <w:szCs w:val="24"/>
        </w:rPr>
        <w:t>存货跌价准备</w:t>
      </w:r>
    </w:p>
    <w:p>
      <w:pPr>
        <w:pStyle w:val="Style59"/>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公司根据存货会计政策，按照成本与可变现净值孰低计量，对成本高于可变现净值及陈 旧和滞销的存货，计提存货跌价准备。存货减值至可变现净值是基于评估存货的可售性及其 可变现净值。鉴定存货减值要求管理层在取得确凿证据，并且考虑持有存货的目的、资产负 债表日后事项的影响等因素的基础上作出判断和估计。实际的结果与原先估计的差异将在估 计被改变的期间影响存货的账面价值及存货跌价准备的计提或转回。</w:t>
      </w:r>
    </w:p>
    <w:p>
      <w:pPr>
        <w:pStyle w:val="Style59"/>
        <w:keepNext w:val="0"/>
        <w:keepLines w:val="0"/>
        <w:widowControl w:val="0"/>
        <w:numPr>
          <w:ilvl w:val="0"/>
          <w:numId w:val="109"/>
        </w:numPr>
        <w:shd w:val="clear" w:color="auto" w:fill="auto"/>
        <w:tabs>
          <w:tab w:pos="951" w:val="left"/>
        </w:tabs>
        <w:bidi w:val="0"/>
        <w:spacing w:before="0" w:after="0" w:line="468" w:lineRule="exact"/>
        <w:ind w:left="0" w:right="0" w:firstLine="500"/>
        <w:jc w:val="both"/>
      </w:pPr>
      <w:bookmarkStart w:id="1147" w:name="bookmark1147"/>
      <w:bookmarkEnd w:id="1147"/>
      <w:r>
        <w:rPr>
          <w:color w:val="000000"/>
          <w:spacing w:val="0"/>
          <w:w w:val="100"/>
          <w:position w:val="0"/>
          <w:sz w:val="24"/>
          <w:szCs w:val="24"/>
        </w:rPr>
        <w:t>金融工具公允价值</w:t>
      </w:r>
    </w:p>
    <w:p>
      <w:pPr>
        <w:pStyle w:val="Style59"/>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 xml:space="preserve">对不存在活跃交易市场的金融工具，公司通过各种估值方法确定其公允价值。这些估值 方法包括贴现现金流模型分析等。估值时公司需对未来现金流量、信用风险、市场波动率和 相关性等方面进行估计，并选择适当的折现率。这些相关假设具有不确定性，其变化会对金 </w:t>
      </w:r>
      <w:r>
        <w:rPr>
          <w:color w:val="000000"/>
          <w:spacing w:val="0"/>
          <w:w w:val="100"/>
          <w:position w:val="0"/>
          <w:sz w:val="24"/>
          <w:szCs w:val="24"/>
        </w:rPr>
        <w:t>融工具的公允价值产生影响。</w:t>
      </w:r>
    </w:p>
    <w:p>
      <w:pPr>
        <w:pStyle w:val="Style59"/>
        <w:keepNext w:val="0"/>
        <w:keepLines w:val="0"/>
        <w:widowControl w:val="0"/>
        <w:numPr>
          <w:ilvl w:val="0"/>
          <w:numId w:val="109"/>
        </w:numPr>
        <w:shd w:val="clear" w:color="auto" w:fill="auto"/>
        <w:tabs>
          <w:tab w:pos="954" w:val="left"/>
        </w:tabs>
        <w:bidi w:val="0"/>
        <w:spacing w:before="0" w:after="0" w:line="468" w:lineRule="exact"/>
        <w:ind w:left="0" w:right="0" w:firstLine="500"/>
        <w:jc w:val="both"/>
      </w:pPr>
      <w:bookmarkStart w:id="1148" w:name="bookmark1148"/>
      <w:bookmarkEnd w:id="1148"/>
      <w:r>
        <w:rPr>
          <w:color w:val="000000"/>
          <w:spacing w:val="0"/>
          <w:w w:val="100"/>
          <w:position w:val="0"/>
          <w:sz w:val="24"/>
          <w:szCs w:val="24"/>
        </w:rPr>
        <w:t>长期资产减值准备</w:t>
      </w:r>
    </w:p>
    <w:p>
      <w:pPr>
        <w:pStyle w:val="Style59"/>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公司于资产负债表日对除金融资产之外的非流动资产判断是否存在可能发生减值的迹 象。对使用寿命不确定的无形资产，除每年进行的减值测试外，当其存在减值迹象时，也进 行减值测试。其他除金融资产之外的非流动资产，当存在迹象表明其账面金额不可收回时， 进行减值测试。</w:t>
      </w:r>
    </w:p>
    <w:p>
      <w:pPr>
        <w:pStyle w:val="Style59"/>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当资产或资产组的账面价值高于可收回金额，即公允价值减去处置费用后的净额和预计 未来现金流量的现值中的较高者，表明发生了减值。</w:t>
      </w:r>
    </w:p>
    <w:p>
      <w:pPr>
        <w:pStyle w:val="Style59"/>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公允价值减去处置费用后的净额，参考公平交易中类似资产的销售协议价格或可观察到 的市场价格，减去可直接归属于该资产处置的增量成本确定。</w:t>
      </w:r>
    </w:p>
    <w:p>
      <w:pPr>
        <w:pStyle w:val="Style59"/>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在预计未来现金流量现值时，需要对该资产(或资产组)的产量、售价、相关经营成本 以及计算现值时使用的折现率等作出重大判断。公司在估计可收回金额时会采用所有能够获 得的相关资料，包括根据合理和可支持的假设所作出有关产量、售价和相关经营成本的预测。</w:t>
      </w:r>
    </w:p>
    <w:p>
      <w:pPr>
        <w:pStyle w:val="Style59"/>
        <w:keepNext w:val="0"/>
        <w:keepLines w:val="0"/>
        <w:widowControl w:val="0"/>
        <w:numPr>
          <w:ilvl w:val="0"/>
          <w:numId w:val="109"/>
        </w:numPr>
        <w:shd w:val="clear" w:color="auto" w:fill="auto"/>
        <w:tabs>
          <w:tab w:pos="954" w:val="left"/>
        </w:tabs>
        <w:bidi w:val="0"/>
        <w:spacing w:before="0" w:after="0" w:line="468" w:lineRule="exact"/>
        <w:ind w:left="0" w:right="0" w:firstLine="500"/>
        <w:jc w:val="both"/>
      </w:pPr>
      <w:bookmarkStart w:id="1149" w:name="bookmark1149"/>
      <w:bookmarkEnd w:id="1149"/>
      <w:r>
        <w:rPr>
          <w:color w:val="000000"/>
          <w:spacing w:val="0"/>
          <w:w w:val="100"/>
          <w:position w:val="0"/>
          <w:sz w:val="24"/>
          <w:szCs w:val="24"/>
        </w:rPr>
        <w:t>商誉减值准备</w:t>
      </w:r>
    </w:p>
    <w:p>
      <w:pPr>
        <w:pStyle w:val="Style59"/>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在对商誉进行减值测试时，需计算包含商誉的相关资产组或者资产组组合的预计未来现 金流量现值，并需要对该资产组或资产组组合的未来现金流量进行预计，同时确定一个适当 地反映当前市场货币时间价值和资产特定风险的税前利率。</w:t>
      </w:r>
    </w:p>
    <w:p>
      <w:pPr>
        <w:pStyle w:val="Style59"/>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如果管理层对资产组和资产组组合未来现金流量计算中采用的毛利率进行修订，修订后 的毛利率低于目前采用的毛利率，需对商誉增加计提减值准备。</w:t>
      </w:r>
    </w:p>
    <w:p>
      <w:pPr>
        <w:pStyle w:val="Style59"/>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如果管理层对应用于现金流量折现的税前折现率进行重新修订，修订后的税前折现率高 于目前采用的折现率，需对商誉增加计提减值准备。</w:t>
      </w:r>
    </w:p>
    <w:p>
      <w:pPr>
        <w:pStyle w:val="Style59"/>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如果实际毛利率或税前折现率高于或低于管理层的估计，不能转回原已计提的商誉减值 损失。</w:t>
      </w:r>
    </w:p>
    <w:p>
      <w:pPr>
        <w:pStyle w:val="Style59"/>
        <w:keepNext w:val="0"/>
        <w:keepLines w:val="0"/>
        <w:widowControl w:val="0"/>
        <w:numPr>
          <w:ilvl w:val="0"/>
          <w:numId w:val="109"/>
        </w:numPr>
        <w:shd w:val="clear" w:color="auto" w:fill="auto"/>
        <w:tabs>
          <w:tab w:pos="954" w:val="left"/>
        </w:tabs>
        <w:bidi w:val="0"/>
        <w:spacing w:before="0" w:after="0" w:line="468" w:lineRule="exact"/>
        <w:ind w:left="0" w:right="0" w:firstLine="500"/>
        <w:jc w:val="both"/>
      </w:pPr>
      <w:bookmarkStart w:id="1150" w:name="bookmark1150"/>
      <w:bookmarkEnd w:id="1150"/>
      <w:r>
        <w:rPr>
          <w:color w:val="000000"/>
          <w:spacing w:val="0"/>
          <w:w w:val="100"/>
          <w:position w:val="0"/>
          <w:sz w:val="24"/>
          <w:szCs w:val="24"/>
        </w:rPr>
        <w:t>递延所得税资产</w:t>
      </w:r>
    </w:p>
    <w:p>
      <w:pPr>
        <w:pStyle w:val="Style59"/>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在很有可能有足够的应纳税利润来抵扣亏损的限度内，公司就所有未利用的税务亏损确 认递延所得税资产。这需要公司管理层运用大量的判断来估计未来应纳税利润发生的时间和 金额，结合纳税筹划策略，以决定应确认的递延所得税资产的金额。</w:t>
      </w:r>
    </w:p>
    <w:p>
      <w:pPr>
        <w:pStyle w:val="Style59"/>
        <w:keepNext w:val="0"/>
        <w:keepLines w:val="0"/>
        <w:widowControl w:val="0"/>
        <w:numPr>
          <w:ilvl w:val="0"/>
          <w:numId w:val="109"/>
        </w:numPr>
        <w:shd w:val="clear" w:color="auto" w:fill="auto"/>
        <w:tabs>
          <w:tab w:pos="954" w:val="left"/>
        </w:tabs>
        <w:bidi w:val="0"/>
        <w:spacing w:before="0" w:after="0" w:line="468" w:lineRule="exact"/>
        <w:ind w:left="0" w:right="0" w:firstLine="500"/>
        <w:jc w:val="left"/>
      </w:pPr>
      <w:bookmarkStart w:id="1151" w:name="bookmark1151"/>
      <w:bookmarkEnd w:id="1151"/>
      <w:r>
        <w:rPr>
          <w:color w:val="000000"/>
          <w:spacing w:val="0"/>
          <w:w w:val="100"/>
          <w:position w:val="0"/>
          <w:sz w:val="24"/>
          <w:szCs w:val="24"/>
        </w:rPr>
        <w:t>所得税</w:t>
      </w:r>
    </w:p>
    <w:p>
      <w:pPr>
        <w:pStyle w:val="Style59"/>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 xml:space="preserve">公司在正常的经营活动中，有部分交易其最终的税务处理和计算存在一定的不确定性。 </w:t>
      </w:r>
      <w:r>
        <w:rPr>
          <w:color w:val="000000"/>
          <w:spacing w:val="0"/>
          <w:w w:val="100"/>
          <w:position w:val="0"/>
          <w:sz w:val="24"/>
          <w:szCs w:val="24"/>
        </w:rPr>
        <w:t>部分项目是否能够在税前列支需要税收主管机关的审批。如果这些税务事项的最终认定结果 同最初估计的金额存在差异，则该差异将对其最终认定期间的当期所得税和递延所得税产生 影响。</w:t>
      </w:r>
    </w:p>
    <w:p>
      <w:pPr>
        <w:pStyle w:val="Style59"/>
        <w:keepNext w:val="0"/>
        <w:keepLines w:val="0"/>
        <w:widowControl w:val="0"/>
        <w:numPr>
          <w:ilvl w:val="0"/>
          <w:numId w:val="109"/>
        </w:numPr>
        <w:shd w:val="clear" w:color="auto" w:fill="auto"/>
        <w:tabs>
          <w:tab w:pos="944" w:val="left"/>
        </w:tabs>
        <w:bidi w:val="0"/>
        <w:spacing w:before="0" w:after="0" w:line="468" w:lineRule="exact"/>
        <w:ind w:left="0" w:right="0" w:firstLine="500"/>
        <w:jc w:val="both"/>
      </w:pPr>
      <w:bookmarkStart w:id="1152" w:name="bookmark1152"/>
      <w:bookmarkEnd w:id="1152"/>
      <w:r>
        <w:rPr>
          <w:color w:val="000000"/>
          <w:spacing w:val="0"/>
          <w:w w:val="100"/>
          <w:position w:val="0"/>
          <w:sz w:val="24"/>
          <w:szCs w:val="24"/>
        </w:rPr>
        <w:t>预计负债</w:t>
      </w:r>
    </w:p>
    <w:p>
      <w:pPr>
        <w:pStyle w:val="Style59"/>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公司根据合约条款、现有知识及历史经验，对产品质量保证、预计合同亏损、延迟交货 违约金等估计并计提相应准备。在该等或有事项已经形成一项现时义务，且履行该等现时义 务很可能导致经济利益流出公司的情况下，公司对或有事项按履行相关现时义务所需支出的 最佳估计数确认为预计负债。预计负债的确认和计量在很大程度上依赖于管理层的判断。在 进行判断过程中公司需评估该等或有事项相关的风险、不确定性及货币时间价值等因素。</w:t>
      </w:r>
    </w:p>
    <w:p>
      <w:pPr>
        <w:pStyle w:val="Style59"/>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其中，公司会就出售、维修及改造所售商品向客户提供的售后质量维修承诺预计负债。 预计负债时已考虑公司近期的维修经验数据，但近期的维修经验可能无法反映将来的维修情 况。这项准备的任何增加或减少，均可能影响未来年度的损益。</w:t>
      </w:r>
    </w:p>
    <w:p>
      <w:pPr>
        <w:pStyle w:val="Style59"/>
        <w:keepNext w:val="0"/>
        <w:keepLines w:val="0"/>
        <w:widowControl w:val="0"/>
        <w:numPr>
          <w:ilvl w:val="0"/>
          <w:numId w:val="109"/>
        </w:numPr>
        <w:shd w:val="clear" w:color="auto" w:fill="auto"/>
        <w:tabs>
          <w:tab w:pos="944" w:val="left"/>
        </w:tabs>
        <w:bidi w:val="0"/>
        <w:spacing w:before="0" w:after="0" w:line="468" w:lineRule="exact"/>
        <w:ind w:left="0" w:right="0" w:firstLine="500"/>
        <w:jc w:val="both"/>
      </w:pPr>
      <w:bookmarkStart w:id="1153" w:name="bookmark1153"/>
      <w:bookmarkEnd w:id="1153"/>
      <w:r>
        <w:rPr>
          <w:color w:val="000000"/>
          <w:spacing w:val="0"/>
          <w:w w:val="100"/>
          <w:position w:val="0"/>
          <w:sz w:val="24"/>
          <w:szCs w:val="24"/>
        </w:rPr>
        <w:t>公允价值计量</w:t>
      </w:r>
    </w:p>
    <w:p>
      <w:pPr>
        <w:pStyle w:val="Style59"/>
        <w:keepNext w:val="0"/>
        <w:keepLines w:val="0"/>
        <w:widowControl w:val="0"/>
        <w:shd w:val="clear" w:color="auto" w:fill="auto"/>
        <w:bidi w:val="0"/>
        <w:spacing w:before="0" w:after="420" w:line="468" w:lineRule="exact"/>
        <w:ind w:left="0" w:right="0" w:firstLine="500"/>
        <w:jc w:val="both"/>
      </w:pPr>
      <w:r>
        <w:rPr>
          <w:color w:val="000000"/>
          <w:spacing w:val="0"/>
          <w:w w:val="100"/>
          <w:position w:val="0"/>
          <w:sz w:val="24"/>
          <w:szCs w:val="24"/>
        </w:rPr>
        <w:t>公司的某些资产和负债在财务报表中按公允价值计量。公司的董事会已成立估价委员会 (该估价委员会由公司的首席财务官领导)，以便为公允价值计量确定适当的估值技术和输 入值。在对某项资产或负债的公允价值作出估计时，公司采用可获得的可观察市场数据。如 果无法获得第一层次输入值，公司会聘用第三方有资质的评估师来执行估价。估价委员会与 有资质的外部估价师紧密合作，以确定适当的估值技术和相关模型的输入值。首席财务官每 季度向公司董事会呈报估价委员会的发现，以说明导致相关资产和负债的公允价值发生波动 的原因。在确定各类资产和负债的公允价值的过程中所采用的估值技术和输入值的相关信息 在附注十、公允价值的披露中披露。</w:t>
      </w:r>
    </w:p>
    <w:p>
      <w:pPr>
        <w:pStyle w:val="Style19"/>
        <w:keepNext/>
        <w:keepLines/>
        <w:widowControl w:val="0"/>
        <w:shd w:val="clear" w:color="auto" w:fill="auto"/>
        <w:bidi w:val="0"/>
        <w:spacing w:before="0" w:after="360" w:line="240" w:lineRule="auto"/>
        <w:ind w:left="0" w:right="0" w:firstLine="0"/>
        <w:jc w:val="left"/>
      </w:pPr>
      <w:bookmarkStart w:id="1154" w:name="bookmark1154"/>
      <w:bookmarkStart w:id="1155" w:name="bookmark1155"/>
      <w:bookmarkStart w:id="1156" w:name="bookmark1156"/>
      <w:bookmarkStart w:id="1157" w:name="bookmark1157"/>
      <w:r>
        <w:rPr>
          <w:color w:val="000000"/>
          <w:spacing w:val="0"/>
          <w:w w:val="100"/>
          <w:position w:val="0"/>
          <w:sz w:val="24"/>
          <w:szCs w:val="24"/>
        </w:rPr>
        <w:t>六</w:t>
      </w:r>
      <w:bookmarkEnd w:id="1156"/>
      <w:r>
        <w:rPr>
          <w:color w:val="000000"/>
          <w:spacing w:val="0"/>
          <w:w w:val="100"/>
          <w:position w:val="0"/>
          <w:sz w:val="24"/>
          <w:szCs w:val="24"/>
        </w:rPr>
        <w:t>、税项</w:t>
      </w:r>
      <w:bookmarkEnd w:id="1154"/>
      <w:bookmarkEnd w:id="1155"/>
      <w:bookmarkEnd w:id="1157"/>
    </w:p>
    <w:p>
      <w:pPr>
        <w:pStyle w:val="Style21"/>
        <w:keepNext w:val="0"/>
        <w:keepLines w:val="0"/>
        <w:widowControl w:val="0"/>
        <w:shd w:val="clear" w:color="auto" w:fill="auto"/>
        <w:bidi w:val="0"/>
        <w:spacing w:before="0" w:after="0" w:line="240" w:lineRule="auto"/>
        <w:ind w:left="0" w:right="0" w:firstLine="0"/>
        <w:jc w:val="left"/>
        <w:rPr>
          <w:sz w:val="20"/>
          <w:szCs w:val="20"/>
        </w:rPr>
      </w:pPr>
      <w:bookmarkStart w:id="1158" w:name="bookmark1158"/>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、主要税种及税率</w:t>
      </w:r>
      <w:bookmarkEnd w:id="1158"/>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税率</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应纳税增值额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应纳税额按应纳税销售额 乘以适用税率扣除当期允许抵扣的进项 税后的余额计算</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应纳税所得额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详见下表</w:t>
            </w:r>
          </w:p>
        </w:tc>
      </w:tr>
    </w:tbl>
    <w:p>
      <w:pPr>
        <w:widowControl w:val="0"/>
        <w:spacing w:line="1" w:lineRule="exact"/>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地方教育附加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应缴流转税税额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北京数字政通科技股份有限公司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北京数字智通科技有限公司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北京数字政通数据科技有限公司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上海政通信息科技有限公司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政通智慧城市运营科技有限公司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保定金迪地下管线探测工程有限公司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保定市金迪科技开发有限公司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保定金迪科学仪器有限公司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保定金迪知电管道检测技术开发有限公司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保定市金迪双维管道内衬技术有限公司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保定金迪益捷管道技术开发有限公司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焦作市市民健康促进服务有限责任公司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江西政通城运科技有限公司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湖北政通智慧城市科技有限公司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保定政运恒通信息技术有限责任公司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长沙政通康拓科技有限责任公司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福建政通城运信息科技有限公司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慧政博通信息科技有限公司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安徽数字展通信息科技有限公司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天津数字政通科技有限公司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成都数字政通科技有限公司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河南数字政通科技有限公司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长春数字政通科技有限公司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河南数字智通科技有限公司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bl>
    <w:p>
      <w:pPr>
        <w:widowControl w:val="0"/>
        <w:spacing w:after="299" w:line="1" w:lineRule="exact"/>
      </w:pPr>
    </w:p>
    <w:p>
      <w:pPr>
        <w:pStyle w:val="Style24"/>
        <w:keepNext/>
        <w:keepLines/>
        <w:widowControl w:val="0"/>
        <w:shd w:val="clear" w:color="auto" w:fill="auto"/>
        <w:bidi w:val="0"/>
        <w:spacing w:before="0" w:after="240" w:line="240" w:lineRule="auto"/>
        <w:ind w:left="0" w:right="0" w:firstLine="0"/>
        <w:jc w:val="left"/>
      </w:pPr>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159"/>
      <w:bookmarkEnd w:id="1160"/>
      <w:bookmarkEnd w:id="1161"/>
    </w:p>
    <w:p>
      <w:pPr>
        <w:pStyle w:val="Style59"/>
        <w:keepNext w:val="0"/>
        <w:keepLines w:val="0"/>
        <w:widowControl w:val="0"/>
        <w:shd w:val="clear" w:color="auto" w:fill="auto"/>
        <w:bidi w:val="0"/>
        <w:spacing w:before="0" w:after="0" w:line="461" w:lineRule="exact"/>
        <w:ind w:left="0" w:right="0" w:firstLine="500"/>
        <w:jc w:val="left"/>
      </w:pPr>
      <w:r>
        <w:rPr>
          <w:color w:val="000000"/>
          <w:spacing w:val="0"/>
          <w:w w:val="100"/>
          <w:position w:val="0"/>
          <w:sz w:val="24"/>
          <w:szCs w:val="24"/>
        </w:rPr>
        <w:t>（1）北京数字政通科技股份有限公司</w:t>
      </w:r>
    </w:p>
    <w:p>
      <w:pPr>
        <w:pStyle w:val="Style59"/>
        <w:keepNext w:val="0"/>
        <w:keepLines w:val="0"/>
        <w:widowControl w:val="0"/>
        <w:shd w:val="clear" w:color="auto" w:fill="auto"/>
        <w:bidi w:val="0"/>
        <w:spacing w:before="0" w:after="0" w:line="461" w:lineRule="exact"/>
        <w:ind w:left="0" w:right="0" w:firstLine="500"/>
        <w:jc w:val="left"/>
      </w:pPr>
      <w:r>
        <w:rPr>
          <w:color w:val="000000"/>
          <w:spacing w:val="0"/>
          <w:w w:val="100"/>
          <w:position w:val="0"/>
          <w:sz w:val="24"/>
          <w:szCs w:val="24"/>
        </w:rPr>
        <w:t xml:space="preserve">根据国务院下发的《关于鼓励软件产业和集成电路产业若干政策的通知》（国发[2011]4 号）和财政部、国家税务总局下发的《关于软件产品增值税政策的通知》（财税[2011]100 </w:t>
      </w:r>
      <w:r>
        <w:rPr>
          <w:color w:val="000000"/>
          <w:spacing w:val="0"/>
          <w:w w:val="100"/>
          <w:position w:val="0"/>
          <w:sz w:val="24"/>
          <w:szCs w:val="24"/>
        </w:rPr>
        <w:t>号），销售自行开发生产的软件产品，按16%的法定税率缴纳增值税后（2019年4月开始执行13% 税率），享受增值税实际税负超过3%的部分即征即退的税收优惠。</w:t>
      </w:r>
    </w:p>
    <w:p>
      <w:pPr>
        <w:pStyle w:val="Style59"/>
        <w:keepNext w:val="0"/>
        <w:keepLines w:val="0"/>
        <w:widowControl w:val="0"/>
        <w:shd w:val="clear" w:color="auto" w:fill="auto"/>
        <w:bidi w:val="0"/>
        <w:spacing w:before="0" w:after="0" w:line="464" w:lineRule="exact"/>
        <w:ind w:left="0" w:right="0" w:firstLine="500"/>
        <w:jc w:val="both"/>
      </w:pPr>
      <w:r>
        <w:rPr>
          <w:color w:val="000000"/>
          <w:spacing w:val="0"/>
          <w:w w:val="100"/>
          <w:position w:val="0"/>
          <w:sz w:val="24"/>
          <w:szCs w:val="24"/>
        </w:rPr>
        <w:t>根据《高新技术企业认定管理办法》（国科发火[2008]172号）和《高新技术企业认定管 理工作指引》（国科发火[2008]362号）的有关规定，2020年7月3日，北京市科学技术委员会 向本公司颁发了编号为</w:t>
      </w:r>
      <w:r>
        <w:rPr>
          <w:color w:val="000000"/>
          <w:spacing w:val="0"/>
          <w:w w:val="100"/>
          <w:position w:val="0"/>
          <w:sz w:val="24"/>
          <w:szCs w:val="24"/>
        </w:rPr>
        <w:t>GR202011000229</w:t>
      </w:r>
      <w:r>
        <w:rPr>
          <w:color w:val="000000"/>
          <w:spacing w:val="0"/>
          <w:w w:val="100"/>
          <w:position w:val="0"/>
          <w:sz w:val="24"/>
          <w:szCs w:val="24"/>
        </w:rPr>
        <w:t>的《高新技术企业证书》，有效期3年。根据国家税务 局下发的国税函[2009]203号文，本公司2021年适用所得税税率为15%。</w:t>
      </w:r>
    </w:p>
    <w:p>
      <w:pPr>
        <w:pStyle w:val="Style59"/>
        <w:keepNext w:val="0"/>
        <w:keepLines w:val="0"/>
        <w:widowControl w:val="0"/>
        <w:shd w:val="clear" w:color="auto" w:fill="auto"/>
        <w:bidi w:val="0"/>
        <w:spacing w:before="0" w:after="460" w:line="468" w:lineRule="exact"/>
        <w:ind w:left="0" w:right="0" w:firstLine="500"/>
        <w:jc w:val="both"/>
      </w:pPr>
      <w:r>
        <w:rPr>
          <w:color w:val="000000"/>
          <w:spacing w:val="0"/>
          <w:w w:val="100"/>
          <w:position w:val="0"/>
          <w:sz w:val="24"/>
          <w:szCs w:val="24"/>
        </w:rPr>
        <w:t>根据《财政部税务总局关于促进集成电路产业和软件产业高质量发展企业所得税政策的 公告》（财税〔2020〕45号）规定，国家鼓励的重点集成电路设计企业和软件企业，自获利 年度起，第一年至第五年免征企业所得税，接续年度减按10%的税率征收企业所得税。本公司 在报告期按15%税率计算所得税，汇算清缴完成后，将税率影响的所得税差额在下一报告期进 行调整。</w:t>
      </w:r>
    </w:p>
    <w:p>
      <w:pPr>
        <w:pStyle w:val="Style59"/>
        <w:keepNext w:val="0"/>
        <w:keepLines w:val="0"/>
        <w:widowControl w:val="0"/>
        <w:shd w:val="clear" w:color="auto" w:fill="auto"/>
        <w:tabs>
          <w:tab w:pos="978" w:val="left"/>
        </w:tabs>
        <w:bidi w:val="0"/>
        <w:spacing w:before="0" w:after="0" w:line="466" w:lineRule="exact"/>
        <w:ind w:left="0" w:right="0" w:firstLine="500"/>
        <w:jc w:val="both"/>
      </w:pPr>
      <w:bookmarkStart w:id="1162" w:name="bookmark1162"/>
      <w:r>
        <w:rPr>
          <w:color w:val="000000"/>
          <w:spacing w:val="0"/>
          <w:w w:val="100"/>
          <w:position w:val="0"/>
          <w:sz w:val="24"/>
          <w:szCs w:val="24"/>
        </w:rPr>
        <w:t>（</w:t>
      </w:r>
      <w:bookmarkEnd w:id="1162"/>
      <w:r>
        <w:rPr>
          <w:color w:val="000000"/>
          <w:spacing w:val="0"/>
          <w:w w:val="100"/>
          <w:position w:val="0"/>
          <w:sz w:val="24"/>
          <w:szCs w:val="24"/>
        </w:rPr>
        <w:t>2）</w:t>
        <w:tab/>
        <w:t>北京数字智通科技有限公司</w:t>
      </w:r>
    </w:p>
    <w:p>
      <w:pPr>
        <w:pStyle w:val="Style59"/>
        <w:keepNext w:val="0"/>
        <w:keepLines w:val="0"/>
        <w:widowControl w:val="0"/>
        <w:shd w:val="clear" w:color="auto" w:fill="auto"/>
        <w:bidi w:val="0"/>
        <w:spacing w:before="0" w:after="0" w:line="466" w:lineRule="exact"/>
        <w:ind w:left="0" w:right="0" w:firstLine="500"/>
        <w:jc w:val="both"/>
      </w:pPr>
      <w:r>
        <w:rPr>
          <w:color w:val="000000"/>
          <w:spacing w:val="0"/>
          <w:w w:val="100"/>
          <w:position w:val="0"/>
          <w:sz w:val="24"/>
          <w:szCs w:val="24"/>
        </w:rPr>
        <w:t>根据国务院下发的《关于鼓励软件产业和集成电路产业若干政策的通知》（国发[2011]4 号）和财政部、国家税务总局下发的《关于软件产品增值税政策的通知》（财税[2011]100 号），销售自行开发生产的软件产品，按16%的法定税率缴纳增值税后（2019年4月开始执行13% 税率），享受增值税实际税负超过3%的部分即征即退的税收优惠。</w:t>
      </w:r>
    </w:p>
    <w:p>
      <w:pPr>
        <w:pStyle w:val="Style59"/>
        <w:keepNext w:val="0"/>
        <w:keepLines w:val="0"/>
        <w:widowControl w:val="0"/>
        <w:shd w:val="clear" w:color="auto" w:fill="auto"/>
        <w:bidi w:val="0"/>
        <w:spacing w:before="0" w:after="460" w:line="466" w:lineRule="exact"/>
        <w:ind w:left="0" w:right="0" w:firstLine="500"/>
        <w:jc w:val="both"/>
      </w:pPr>
      <w:r>
        <w:rPr>
          <w:color w:val="000000"/>
          <w:spacing w:val="0"/>
          <w:w w:val="100"/>
          <w:position w:val="0"/>
          <w:sz w:val="24"/>
          <w:szCs w:val="24"/>
        </w:rPr>
        <w:t>根据《高新技术企业认定管理办法》（国科发火[2008]172号）和《高新技术企业认定管 理工作指引》（国科发火[2008]36 2号）的有关规定，2019年10月15日，北京市科学技术委员 会向公司颁发了编号为</w:t>
      </w:r>
      <w:r>
        <w:rPr>
          <w:color w:val="000000"/>
          <w:spacing w:val="0"/>
          <w:w w:val="100"/>
          <w:position w:val="0"/>
          <w:sz w:val="24"/>
          <w:szCs w:val="24"/>
        </w:rPr>
        <w:t>GR201911001243</w:t>
      </w:r>
      <w:r>
        <w:rPr>
          <w:color w:val="000000"/>
          <w:spacing w:val="0"/>
          <w:w w:val="100"/>
          <w:position w:val="0"/>
          <w:sz w:val="24"/>
          <w:szCs w:val="24"/>
        </w:rPr>
        <w:t>的《高新技术企业证书》，有效期3年。根据国家税务 局下发的国税函[2009]203号文，公司2021年适用所得税税率为15%。</w:t>
      </w:r>
    </w:p>
    <w:p>
      <w:pPr>
        <w:pStyle w:val="Style59"/>
        <w:keepNext w:val="0"/>
        <w:keepLines w:val="0"/>
        <w:widowControl w:val="0"/>
        <w:shd w:val="clear" w:color="auto" w:fill="auto"/>
        <w:tabs>
          <w:tab w:pos="978" w:val="left"/>
        </w:tabs>
        <w:bidi w:val="0"/>
        <w:spacing w:before="0" w:after="0" w:line="468" w:lineRule="exact"/>
        <w:ind w:left="0" w:right="0" w:firstLine="500"/>
        <w:jc w:val="both"/>
      </w:pPr>
      <w:bookmarkStart w:id="1163" w:name="bookmark1163"/>
      <w:r>
        <w:rPr>
          <w:color w:val="000000"/>
          <w:spacing w:val="0"/>
          <w:w w:val="100"/>
          <w:position w:val="0"/>
          <w:sz w:val="24"/>
          <w:szCs w:val="24"/>
        </w:rPr>
        <w:t>（</w:t>
      </w:r>
      <w:bookmarkEnd w:id="1163"/>
      <w:r>
        <w:rPr>
          <w:color w:val="000000"/>
          <w:spacing w:val="0"/>
          <w:w w:val="100"/>
          <w:position w:val="0"/>
          <w:sz w:val="24"/>
          <w:szCs w:val="24"/>
        </w:rPr>
        <w:t>3）</w:t>
        <w:tab/>
        <w:t>保定金迪地下管线探测工程有限公司</w:t>
      </w:r>
    </w:p>
    <w:p>
      <w:pPr>
        <w:pStyle w:val="Style59"/>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根据《财政部、国家税务总局关于软件产品增值税政策的通知》（财税[2011]100号）等 相关规定，当期嵌入式软件产品增值税应纳税额按16%税率（2019年4月开始执行13%税率）征 收，对于超过当期嵌入式软件产品销售额3%的部分实行即征即退政策。</w:t>
      </w:r>
    </w:p>
    <w:p>
      <w:pPr>
        <w:pStyle w:val="Style59"/>
        <w:keepNext w:val="0"/>
        <w:keepLines w:val="0"/>
        <w:widowControl w:val="0"/>
        <w:shd w:val="clear" w:color="auto" w:fill="auto"/>
        <w:bidi w:val="0"/>
        <w:spacing w:before="0" w:after="480" w:line="468" w:lineRule="exact"/>
        <w:ind w:left="0" w:right="0" w:firstLine="500"/>
        <w:jc w:val="both"/>
      </w:pPr>
      <w:r>
        <w:rPr>
          <w:color w:val="000000"/>
          <w:spacing w:val="0"/>
          <w:w w:val="100"/>
          <w:position w:val="0"/>
          <w:sz w:val="24"/>
          <w:szCs w:val="24"/>
        </w:rPr>
        <w:t>根据《高新技术企业认定管理办法》（国科发火[2008]172号）和《高新技术企业认定管 理工作指引》（国科发火[2008]362号）的有关规定，2019年9月10日，河北省科学技术厅向 公司颁发了编号为</w:t>
      </w:r>
      <w:r>
        <w:rPr>
          <w:color w:val="000000"/>
          <w:spacing w:val="0"/>
          <w:w w:val="100"/>
          <w:position w:val="0"/>
          <w:sz w:val="24"/>
          <w:szCs w:val="24"/>
        </w:rPr>
        <w:t>GR201913000554</w:t>
      </w:r>
      <w:r>
        <w:rPr>
          <w:color w:val="000000"/>
          <w:spacing w:val="0"/>
          <w:w w:val="100"/>
          <w:position w:val="0"/>
          <w:sz w:val="24"/>
          <w:szCs w:val="24"/>
        </w:rPr>
        <w:t xml:space="preserve">的《高新技术企业证书》，有效期3年。根据国家税务局下 </w:t>
      </w:r>
      <w:r>
        <w:rPr>
          <w:color w:val="000000"/>
          <w:spacing w:val="0"/>
          <w:w w:val="100"/>
          <w:position w:val="0"/>
          <w:sz w:val="24"/>
          <w:szCs w:val="24"/>
        </w:rPr>
        <w:t>发的国税函[2009]203号文，公司2021年适用所得税税率为15%。</w:t>
      </w:r>
    </w:p>
    <w:p>
      <w:pPr>
        <w:pStyle w:val="Style59"/>
        <w:keepNext w:val="0"/>
        <w:keepLines w:val="0"/>
        <w:widowControl w:val="0"/>
        <w:shd w:val="clear" w:color="auto" w:fill="auto"/>
        <w:tabs>
          <w:tab w:pos="1016" w:val="left"/>
        </w:tabs>
        <w:bidi w:val="0"/>
        <w:spacing w:before="0" w:after="0" w:line="466" w:lineRule="exact"/>
        <w:ind w:left="0" w:right="0" w:firstLine="500"/>
        <w:jc w:val="both"/>
      </w:pPr>
      <w:bookmarkStart w:id="1164" w:name="bookmark1164"/>
      <w:r>
        <w:rPr>
          <w:color w:val="000000"/>
          <w:spacing w:val="0"/>
          <w:w w:val="100"/>
          <w:position w:val="0"/>
          <w:sz w:val="24"/>
          <w:szCs w:val="24"/>
        </w:rPr>
        <w:t>（</w:t>
      </w:r>
      <w:bookmarkEnd w:id="1164"/>
      <w:r>
        <w:rPr>
          <w:color w:val="000000"/>
          <w:spacing w:val="0"/>
          <w:w w:val="100"/>
          <w:position w:val="0"/>
          <w:sz w:val="24"/>
          <w:szCs w:val="24"/>
        </w:rPr>
        <w:t>4）</w:t>
        <w:tab/>
        <w:t>保定金迪科学仪器有限公司</w:t>
      </w:r>
    </w:p>
    <w:p>
      <w:pPr>
        <w:pStyle w:val="Style59"/>
        <w:keepNext w:val="0"/>
        <w:keepLines w:val="0"/>
        <w:widowControl w:val="0"/>
        <w:shd w:val="clear" w:color="auto" w:fill="auto"/>
        <w:bidi w:val="0"/>
        <w:spacing w:before="0" w:after="0" w:line="466" w:lineRule="exact"/>
        <w:ind w:left="0" w:right="0" w:firstLine="500"/>
        <w:jc w:val="both"/>
      </w:pPr>
      <w:r>
        <w:rPr>
          <w:color w:val="000000"/>
          <w:spacing w:val="0"/>
          <w:w w:val="100"/>
          <w:position w:val="0"/>
          <w:sz w:val="24"/>
          <w:szCs w:val="24"/>
        </w:rPr>
        <w:t>根据《财政部、国家税务总局关于软件产品增值税政策的通知》（财税[2011]100号）等 相关规定，当期嵌入式软件产品增值税应纳税额按16%税率（2019年4月开始执行13%税率）征 收，对于超过当期嵌入式软件产品销售额3%的部分实行即征即退政策。</w:t>
      </w:r>
    </w:p>
    <w:p>
      <w:pPr>
        <w:pStyle w:val="Style59"/>
        <w:keepNext w:val="0"/>
        <w:keepLines w:val="0"/>
        <w:widowControl w:val="0"/>
        <w:shd w:val="clear" w:color="auto" w:fill="auto"/>
        <w:bidi w:val="0"/>
        <w:spacing w:before="0" w:after="480" w:line="466" w:lineRule="exact"/>
        <w:ind w:left="0" w:right="0" w:firstLine="500"/>
        <w:jc w:val="both"/>
      </w:pPr>
      <w:r>
        <w:rPr>
          <w:color w:val="000000"/>
          <w:spacing w:val="0"/>
          <w:w w:val="100"/>
          <w:position w:val="0"/>
          <w:sz w:val="24"/>
          <w:szCs w:val="24"/>
        </w:rPr>
        <w:t>根据《高新技术企业认定管理办法》（国科发火[2008]172号）和《高新技术企业认定管 理工作指引》（国科发火[2008]362号）的有关规定，2020年9月27日，河北省科学技术厅向 公司颁发了编号为</w:t>
      </w:r>
      <w:r>
        <w:rPr>
          <w:color w:val="000000"/>
          <w:spacing w:val="0"/>
          <w:w w:val="100"/>
          <w:position w:val="0"/>
          <w:sz w:val="24"/>
          <w:szCs w:val="24"/>
        </w:rPr>
        <w:t>GR202013000189</w:t>
      </w:r>
      <w:r>
        <w:rPr>
          <w:color w:val="000000"/>
          <w:spacing w:val="0"/>
          <w:w w:val="100"/>
          <w:position w:val="0"/>
          <w:sz w:val="24"/>
          <w:szCs w:val="24"/>
        </w:rPr>
        <w:t>的《高新技术企业证书》，有效期3年。根据国家税务局下 发的国税函[2009]203号文，公司2021年适用所得税税率为15%。</w:t>
      </w:r>
    </w:p>
    <w:p>
      <w:pPr>
        <w:pStyle w:val="Style59"/>
        <w:keepNext w:val="0"/>
        <w:keepLines w:val="0"/>
        <w:widowControl w:val="0"/>
        <w:shd w:val="clear" w:color="auto" w:fill="auto"/>
        <w:tabs>
          <w:tab w:pos="1016" w:val="left"/>
        </w:tabs>
        <w:bidi w:val="0"/>
        <w:spacing w:before="0" w:after="0" w:line="466" w:lineRule="exact"/>
        <w:ind w:left="0" w:right="0" w:firstLine="500"/>
        <w:jc w:val="both"/>
      </w:pPr>
      <w:bookmarkStart w:id="1165" w:name="bookmark1165"/>
      <w:r>
        <w:rPr>
          <w:color w:val="000000"/>
          <w:spacing w:val="0"/>
          <w:w w:val="100"/>
          <w:position w:val="0"/>
          <w:sz w:val="24"/>
          <w:szCs w:val="24"/>
        </w:rPr>
        <w:t>（</w:t>
      </w:r>
      <w:bookmarkEnd w:id="1165"/>
      <w:r>
        <w:rPr>
          <w:color w:val="000000"/>
          <w:spacing w:val="0"/>
          <w:w w:val="100"/>
          <w:position w:val="0"/>
          <w:sz w:val="24"/>
          <w:szCs w:val="24"/>
        </w:rPr>
        <w:t>5）</w:t>
        <w:tab/>
        <w:t>小型微利企业优惠政策</w:t>
      </w:r>
    </w:p>
    <w:p>
      <w:pPr>
        <w:pStyle w:val="Style59"/>
        <w:keepNext w:val="0"/>
        <w:keepLines w:val="0"/>
        <w:widowControl w:val="0"/>
        <w:shd w:val="clear" w:color="auto" w:fill="auto"/>
        <w:bidi w:val="0"/>
        <w:spacing w:before="0" w:after="480" w:line="466" w:lineRule="exact"/>
        <w:ind w:left="0" w:right="0" w:firstLine="500"/>
        <w:jc w:val="both"/>
      </w:pPr>
      <w:r>
        <w:rPr>
          <w:color w:val="000000"/>
          <w:spacing w:val="0"/>
          <w:w w:val="100"/>
          <w:position w:val="0"/>
          <w:sz w:val="24"/>
          <w:szCs w:val="24"/>
        </w:rPr>
        <w:t>根据《财政部税务总局关于实施小微企业和个体工商户所得税优惠政策的公告》（财税 〔2021） 12号）及《财政部税务总局关于实施小微企业普惠性税收减免政策的通知》（财税 〔2019） 13号）有关规定，对小型微利企业年应纳税所得额不超过100万元的部分，减按</w:t>
      </w:r>
      <w:r>
        <w:rPr>
          <w:color w:val="000000"/>
          <w:spacing w:val="0"/>
          <w:w w:val="100"/>
          <w:position w:val="0"/>
          <w:sz w:val="24"/>
          <w:szCs w:val="24"/>
        </w:rPr>
        <w:t xml:space="preserve">12. </w:t>
      </w:r>
      <w:r>
        <w:rPr>
          <w:color w:val="000000"/>
          <w:spacing w:val="0"/>
          <w:w w:val="100"/>
          <w:position w:val="0"/>
          <w:sz w:val="24"/>
          <w:szCs w:val="24"/>
        </w:rPr>
        <w:t>5% 计入应纳税所得额，按20%的税率缴纳企业所得税；对年应纳税所得额超过100万元但不超过 300万元的部分，减按50%计入应纳税所得额，按20%的税率缴纳企业所得税。根据此政策本年 度北京数字政通数据科技有限公司、上海政通信息科技有限公司、湖北政通智慧城市科技有 限公司、保定政运恒通信息技术有限责任公司、长沙政通康拓科技有限责任公司、慧政博通 信息科技有限公司、保定金迪知电管道检测技术开发有限公司、保定市金迪双维管道内衬技 术有限公司、保定金迪益捷管道技术开发有限公司实际适用2.5%企业所得税税率。</w:t>
      </w:r>
    </w:p>
    <w:p>
      <w:pPr>
        <w:pStyle w:val="Style1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24"/>
        <w:keepNext/>
        <w:keepLines/>
        <w:widowControl w:val="0"/>
        <w:shd w:val="clear" w:color="auto" w:fill="auto"/>
        <w:bidi w:val="0"/>
        <w:spacing w:before="0" w:after="160" w:line="240" w:lineRule="auto"/>
        <w:ind w:left="0" w:right="0" w:firstLine="0"/>
        <w:jc w:val="left"/>
      </w:pPr>
      <w:bookmarkStart w:id="1166" w:name="bookmark1166"/>
      <w:bookmarkStart w:id="1167" w:name="bookmark1167"/>
      <w:bookmarkStart w:id="1168" w:name="bookmark1168"/>
      <w:bookmarkStart w:id="1169" w:name="bookmark1169"/>
      <w:r>
        <w:rPr>
          <w:rFonts w:ascii="Times New Roman" w:eastAsia="Times New Roman" w:hAnsi="Times New Roman" w:cs="Times New Roman"/>
          <w:color w:val="000000"/>
          <w:spacing w:val="0"/>
          <w:w w:val="100"/>
          <w:position w:val="0"/>
        </w:rPr>
        <w:t>3</w:t>
      </w:r>
      <w:bookmarkEnd w:id="1168"/>
      <w:r>
        <w:rPr>
          <w:color w:val="000000"/>
          <w:spacing w:val="0"/>
          <w:w w:val="100"/>
          <w:position w:val="0"/>
        </w:rPr>
        <w:t>、其他</w:t>
      </w:r>
      <w:bookmarkEnd w:id="1166"/>
      <w:bookmarkEnd w:id="1167"/>
      <w:bookmarkEnd w:id="1169"/>
    </w:p>
    <w:p>
      <w:pPr>
        <w:pStyle w:val="Style19"/>
        <w:keepNext/>
        <w:keepLines/>
        <w:widowControl w:val="0"/>
        <w:shd w:val="clear" w:color="auto" w:fill="auto"/>
        <w:bidi w:val="0"/>
        <w:spacing w:before="0" w:after="340" w:line="466" w:lineRule="exact"/>
        <w:ind w:left="0" w:right="0" w:firstLine="0"/>
        <w:jc w:val="left"/>
      </w:pPr>
      <w:bookmarkStart w:id="1170" w:name="bookmark1170"/>
      <w:bookmarkStart w:id="1171" w:name="bookmark1171"/>
      <w:bookmarkStart w:id="1172" w:name="bookmark1172"/>
      <w:bookmarkStart w:id="1173" w:name="bookmark1173"/>
      <w:r>
        <w:rPr>
          <w:color w:val="000000"/>
          <w:spacing w:val="0"/>
          <w:w w:val="100"/>
          <w:position w:val="0"/>
          <w:sz w:val="24"/>
          <w:szCs w:val="24"/>
        </w:rPr>
        <w:t>七</w:t>
      </w:r>
      <w:bookmarkEnd w:id="1172"/>
      <w:r>
        <w:rPr>
          <w:color w:val="000000"/>
          <w:spacing w:val="0"/>
          <w:w w:val="100"/>
          <w:position w:val="0"/>
          <w:sz w:val="24"/>
          <w:szCs w:val="24"/>
        </w:rPr>
        <w:t>、合并财务报表项目注释</w:t>
      </w:r>
      <w:bookmarkEnd w:id="1170"/>
      <w:bookmarkEnd w:id="1171"/>
      <w:bookmarkEnd w:id="1173"/>
    </w:p>
    <w:p>
      <w:pPr>
        <w:pStyle w:val="Style24"/>
        <w:keepNext/>
        <w:keepLines/>
        <w:widowControl w:val="0"/>
        <w:shd w:val="clear" w:color="auto" w:fill="auto"/>
        <w:bidi w:val="0"/>
        <w:spacing w:before="0" w:line="240" w:lineRule="auto"/>
        <w:ind w:left="0" w:right="0" w:firstLine="0"/>
        <w:jc w:val="left"/>
      </w:pPr>
      <w:bookmarkStart w:id="1174" w:name="bookmark1174"/>
      <w:bookmarkStart w:id="1175" w:name="bookmark1175"/>
      <w:bookmarkStart w:id="1176" w:name="bookmark1176"/>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74"/>
      <w:bookmarkEnd w:id="1175"/>
      <w:bookmarkEnd w:id="117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129,539.52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188,926.03</w:t>
            </w:r>
          </w:p>
        </w:tc>
      </w:tr>
    </w:tbl>
    <w:p>
      <w:pPr>
        <w:widowControl w:val="0"/>
        <w:spacing w:line="1" w:lineRule="exact"/>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1,445,862,654.21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1,568,326,021.59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15,271,282.86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12,350,369.90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1,461,263,476.59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1,580,865,317.52</w:t>
            </w:r>
          </w:p>
        </w:tc>
      </w:tr>
    </w:tbl>
    <w:p>
      <w:pPr>
        <w:widowControl w:val="0"/>
        <w:spacing w:after="99" w:line="1" w:lineRule="exact"/>
      </w:pP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注：受限货币资金详见附注六、</w:t>
      </w:r>
      <w:r>
        <w:rPr>
          <w:rFonts w:ascii="Times New Roman" w:eastAsia="Times New Roman" w:hAnsi="Times New Roman" w:cs="Times New Roman"/>
          <w:color w:val="000000"/>
          <w:spacing w:val="0"/>
          <w:w w:val="100"/>
          <w:position w:val="0"/>
        </w:rPr>
        <w:t>57</w:t>
      </w:r>
      <w:r>
        <w:rPr>
          <w:color w:val="000000"/>
          <w:spacing w:val="0"/>
          <w:w w:val="100"/>
          <w:position w:val="0"/>
        </w:rPr>
        <w:t>所有权或使用权受限的资产。</w:t>
      </w:r>
    </w:p>
    <w:p>
      <w:pPr>
        <w:pStyle w:val="Style24"/>
        <w:keepNext/>
        <w:keepLines/>
        <w:widowControl w:val="0"/>
        <w:shd w:val="clear" w:color="auto" w:fill="auto"/>
        <w:bidi w:val="0"/>
        <w:spacing w:before="0" w:line="240" w:lineRule="auto"/>
        <w:ind w:left="0" w:right="0" w:firstLine="0"/>
        <w:jc w:val="left"/>
      </w:pPr>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177"/>
      <w:bookmarkEnd w:id="1178"/>
      <w:bookmarkEnd w:id="1179"/>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以公允价值计量且其变动计入当期损益</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202,877,579.18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10,169,742.06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委托理财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202,877,579.18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10,169,742.06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202,877,579.18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10,169,742.06</w:t>
            </w:r>
          </w:p>
        </w:tc>
      </w:tr>
    </w:tbl>
    <w:p>
      <w:pPr>
        <w:widowControl w:val="0"/>
        <w:spacing w:after="659" w:line="1" w:lineRule="exact"/>
      </w:pPr>
    </w:p>
    <w:p>
      <w:pPr>
        <w:pStyle w:val="Style24"/>
        <w:keepNext/>
        <w:keepLines/>
        <w:widowControl w:val="0"/>
        <w:shd w:val="clear" w:color="auto" w:fill="auto"/>
        <w:bidi w:val="0"/>
        <w:spacing w:before="0" w:line="240" w:lineRule="auto"/>
        <w:ind w:left="0" w:right="0" w:firstLine="0"/>
        <w:jc w:val="left"/>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3</w:t>
      </w:r>
      <w:bookmarkEnd w:id="1182"/>
      <w:r>
        <w:rPr>
          <w:color w:val="000000"/>
          <w:spacing w:val="0"/>
          <w:w w:val="100"/>
          <w:position w:val="0"/>
        </w:rPr>
        <w:t>、应收票据</w:t>
      </w:r>
      <w:bookmarkEnd w:id="1180"/>
      <w:bookmarkEnd w:id="1181"/>
      <w:bookmarkEnd w:id="1183"/>
    </w:p>
    <w:p>
      <w:pPr>
        <w:pStyle w:val="Style102"/>
        <w:keepNext/>
        <w:keepLines/>
        <w:widowControl w:val="0"/>
        <w:shd w:val="clear" w:color="auto" w:fill="auto"/>
        <w:bidi w:val="0"/>
        <w:spacing w:before="0" w:after="340" w:line="240" w:lineRule="auto"/>
        <w:ind w:left="0" w:right="0" w:firstLine="0"/>
        <w:jc w:val="left"/>
      </w:pPr>
      <w:bookmarkStart w:id="1184" w:name="bookmark1184"/>
      <w:bookmarkStart w:id="1185" w:name="bookmark1185"/>
      <w:bookmarkStart w:id="1186" w:name="bookmark1186"/>
      <w:bookmarkStart w:id="1187" w:name="bookmark1187"/>
      <w:r>
        <w:rPr>
          <w:color w:val="000000"/>
          <w:spacing w:val="0"/>
          <w:w w:val="100"/>
          <w:position w:val="0"/>
        </w:rPr>
        <w:t>（</w:t>
      </w:r>
      <w:bookmarkEnd w:id="1186"/>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84"/>
      <w:bookmarkEnd w:id="1185"/>
      <w:bookmarkEnd w:id="1187"/>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1,055,809.95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2,959,706.28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4,015,516.23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755,000.00</w:t>
            </w:r>
          </w:p>
        </w:tc>
      </w:tr>
    </w:tbl>
    <w:p>
      <w:pPr>
        <w:widowControl w:val="0"/>
        <w:spacing w:after="339" w:line="1" w:lineRule="exact"/>
      </w:pPr>
    </w:p>
    <w:p>
      <w:pPr>
        <w:pStyle w:val="Style24"/>
        <w:keepNext/>
        <w:keepLines/>
        <w:widowControl w:val="0"/>
        <w:shd w:val="clear" w:color="auto" w:fill="auto"/>
        <w:bidi w:val="0"/>
        <w:spacing w:before="0" w:line="240" w:lineRule="auto"/>
        <w:ind w:left="0" w:right="0" w:firstLine="0"/>
        <w:jc w:val="left"/>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4</w:t>
      </w:r>
      <w:bookmarkEnd w:id="1190"/>
      <w:r>
        <w:rPr>
          <w:color w:val="000000"/>
          <w:spacing w:val="0"/>
          <w:w w:val="100"/>
          <w:position w:val="0"/>
        </w:rPr>
        <w:t>、应收账款</w:t>
      </w:r>
      <w:bookmarkEnd w:id="1188"/>
      <w:bookmarkEnd w:id="1189"/>
      <w:bookmarkEnd w:id="1191"/>
    </w:p>
    <w:p>
      <w:pPr>
        <w:pStyle w:val="Style102"/>
        <w:keepNext/>
        <w:keepLines/>
        <w:widowControl w:val="0"/>
        <w:shd w:val="clear" w:color="auto" w:fill="auto"/>
        <w:bidi w:val="0"/>
        <w:spacing w:before="0" w:after="340" w:line="240" w:lineRule="auto"/>
        <w:ind w:left="0" w:right="0" w:firstLine="0"/>
        <w:jc w:val="left"/>
      </w:pPr>
      <w:bookmarkStart w:id="1192" w:name="bookmark1192"/>
      <w:bookmarkStart w:id="1193" w:name="bookmark1193"/>
      <w:bookmarkStart w:id="1194" w:name="bookmark1194"/>
      <w:bookmarkStart w:id="1195" w:name="bookmark1195"/>
      <w:r>
        <w:rPr>
          <w:color w:val="000000"/>
          <w:spacing w:val="0"/>
          <w:w w:val="100"/>
          <w:position w:val="0"/>
        </w:rPr>
        <w:t>（</w:t>
      </w:r>
      <w:bookmarkEnd w:id="1194"/>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92"/>
      <w:bookmarkEnd w:id="1193"/>
      <w:bookmarkEnd w:id="1195"/>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58"/>
        <w:gridCol w:w="763"/>
        <w:gridCol w:w="792"/>
        <w:gridCol w:w="773"/>
        <w:gridCol w:w="797"/>
        <w:gridCol w:w="802"/>
        <w:gridCol w:w="787"/>
        <w:gridCol w:w="93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计提比例</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42"/>
        <w:gridCol w:w="763"/>
        <w:gridCol w:w="763"/>
        <w:gridCol w:w="758"/>
        <w:gridCol w:w="763"/>
        <w:gridCol w:w="792"/>
        <w:gridCol w:w="773"/>
        <w:gridCol w:w="797"/>
        <w:gridCol w:w="802"/>
        <w:gridCol w:w="787"/>
        <w:gridCol w:w="93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按组合计提坏账准</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1,510,70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0,142.65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237,364,</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731.20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1,273,335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1,261,807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189,390,3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1,072,417,0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政府及运营商组合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914,265,</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822.43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130,874,</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029.78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783,391,7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838,726,3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98,420,23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740,306,15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31,741,1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1,587,05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30,154,05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36,681,09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1,834,054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34,847,036.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564,693,</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104,903,</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645.75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459,789,5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386,399,8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89,136,02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297,263,86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1,510,70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0,142.65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237,364,</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731.20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1,273,335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1,261,807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189,390,3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1,072,417,0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57.32</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按组合计提坏账准备：政府及运营商组合</w:t>
      </w:r>
    </w:p>
    <w:p>
      <w:pPr>
        <w:widowControl w:val="0"/>
        <w:spacing w:after="11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457,929,350.42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13,737,880.51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190,299,213.84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13,320,944.97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93,601,797.05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14,040,269.56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76,640,140.02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19,160,035.01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39,002,223.15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19,501,111.58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56,793,097.95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51,113,788.15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914,265,822.43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130,874,029.78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政府及运营商</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按组合计提坏账准备：关联方组合</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31,741,113.18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1,587,055.67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31,741,113.18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1,587,055.67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关联方</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按组合计提坏账准备：其他组合</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计提比例</w:t>
            </w:r>
          </w:p>
        </w:tc>
      </w:tr>
    </w:tbl>
    <w:p>
      <w:pPr>
        <w:widowControl w:val="0"/>
        <w:spacing w:line="1" w:lineRule="exact"/>
      </w:pPr>
      <w:r>
        <w:br w:type="page"/>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349,529,202.17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20,971,752.14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90,670,484.33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10,880,458.13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47,069,594.74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14,120,878.41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19,961,374.56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9,980,687.29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13,832,131.78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9,682,492.26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43,630,419.46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39,267,377.52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564,693,207.04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104,903,645.75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除政府、运营商、关联方外的其他客户</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806,558,070.86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284,311,325.43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163,748,685.15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256,082,061.21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102,824,188.87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52,834,354.93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100,423,517.41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1,510,700,142.65</w:t>
            </w:r>
          </w:p>
        </w:tc>
      </w:tr>
    </w:tbl>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widowControl w:val="0"/>
        <w:spacing w:after="319" w:line="1" w:lineRule="exact"/>
      </w:pPr>
    </w:p>
    <w:p>
      <w:pPr>
        <w:pStyle w:val="Style102"/>
        <w:keepNext/>
        <w:keepLines/>
        <w:widowControl w:val="0"/>
        <w:shd w:val="clear" w:color="auto" w:fill="auto"/>
        <w:bidi w:val="0"/>
        <w:spacing w:before="0" w:after="380" w:line="240" w:lineRule="auto"/>
        <w:ind w:left="0" w:right="0" w:firstLine="0"/>
        <w:jc w:val="left"/>
      </w:pPr>
      <w:bookmarkStart w:id="1196" w:name="bookmark1196"/>
      <w:bookmarkStart w:id="1197" w:name="bookmark1197"/>
      <w:bookmarkStart w:id="1198" w:name="bookmark1198"/>
      <w:bookmarkStart w:id="1199" w:name="bookmark1199"/>
      <w:r>
        <w:rPr>
          <w:color w:val="000000"/>
          <w:spacing w:val="0"/>
          <w:w w:val="100"/>
          <w:position w:val="0"/>
        </w:rPr>
        <w:t>（</w:t>
      </w:r>
      <w:bookmarkEnd w:id="1198"/>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96"/>
      <w:bookmarkEnd w:id="1197"/>
      <w:bookmarkEnd w:id="1199"/>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按组合计提坏账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189,390,322.39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49,316,681.33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1,342,272.52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237,364,731.20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189,390,322.39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49,316,681.33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1,342,272.52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237,364,731.20</w:t>
            </w:r>
          </w:p>
        </w:tc>
      </w:tr>
    </w:tbl>
    <w:p>
      <w:pPr>
        <w:widowControl w:val="0"/>
        <w:spacing w:after="11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其中本期坏账准备收回或转回金额重要的：</w:t>
      </w:r>
    </w:p>
    <w:p>
      <w:pPr>
        <w:pStyle w:val="Style1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本报告期无坏账准备转回或收回金额重要的应收账款。</w:t>
      </w:r>
    </w:p>
    <w:p>
      <w:pPr>
        <w:pStyle w:val="Style102"/>
        <w:keepNext/>
        <w:keepLines/>
        <w:widowControl w:val="0"/>
        <w:shd w:val="clear" w:color="auto" w:fill="auto"/>
        <w:bidi w:val="0"/>
        <w:spacing w:before="0" w:after="340" w:line="240" w:lineRule="auto"/>
        <w:ind w:left="0" w:right="0" w:firstLine="0"/>
        <w:jc w:val="both"/>
      </w:pPr>
      <w:bookmarkStart w:id="1200" w:name="bookmark1200"/>
      <w:bookmarkStart w:id="1201" w:name="bookmark1201"/>
      <w:bookmarkStart w:id="1202" w:name="bookmark1202"/>
      <w:bookmarkStart w:id="1203" w:name="bookmark1203"/>
      <w:r>
        <w:rPr>
          <w:color w:val="000000"/>
          <w:spacing w:val="0"/>
          <w:w w:val="100"/>
          <w:position w:val="0"/>
        </w:rPr>
        <w:t>（</w:t>
      </w:r>
      <w:bookmarkEnd w:id="1202"/>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200"/>
      <w:bookmarkEnd w:id="1201"/>
      <w:bookmarkEnd w:id="1203"/>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1,342,272.52</w:t>
            </w:r>
          </w:p>
        </w:tc>
      </w:tr>
    </w:tbl>
    <w:p>
      <w:pPr>
        <w:widowControl w:val="0"/>
        <w:spacing w:after="339" w:line="1" w:lineRule="exact"/>
      </w:pPr>
    </w:p>
    <w:p>
      <w:pPr>
        <w:pStyle w:val="Style102"/>
        <w:keepNext/>
        <w:keepLines/>
        <w:widowControl w:val="0"/>
        <w:shd w:val="clear" w:color="auto" w:fill="auto"/>
        <w:bidi w:val="0"/>
        <w:spacing w:before="0" w:after="220" w:line="240" w:lineRule="auto"/>
        <w:ind w:left="0" w:right="0" w:firstLine="0"/>
        <w:jc w:val="both"/>
      </w:pPr>
      <w:bookmarkStart w:id="1204" w:name="bookmark1204"/>
      <w:bookmarkStart w:id="1205" w:name="bookmark1205"/>
      <w:bookmarkStart w:id="1206" w:name="bookmark1206"/>
      <w:bookmarkStart w:id="1207" w:name="bookmark1207"/>
      <w:r>
        <w:rPr>
          <w:color w:val="000000"/>
          <w:spacing w:val="0"/>
          <w:w w:val="100"/>
          <w:position w:val="0"/>
        </w:rPr>
        <w:t>（</w:t>
      </w:r>
      <w:bookmarkEnd w:id="1206"/>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204"/>
      <w:bookmarkEnd w:id="1205"/>
      <w:bookmarkEnd w:id="1207"/>
    </w:p>
    <w:p>
      <w:pPr>
        <w:pStyle w:val="Style59"/>
        <w:keepNext w:val="0"/>
        <w:keepLines w:val="0"/>
        <w:widowControl w:val="0"/>
        <w:shd w:val="clear" w:color="auto" w:fill="auto"/>
        <w:bidi w:val="0"/>
        <w:spacing w:before="0" w:after="400" w:line="468" w:lineRule="exact"/>
        <w:ind w:left="0" w:right="0" w:firstLine="500"/>
        <w:jc w:val="both"/>
      </w:pPr>
      <w:r>
        <w:rPr>
          <w:color w:val="000000"/>
          <w:spacing w:val="0"/>
          <w:w w:val="100"/>
          <w:position w:val="0"/>
          <w:sz w:val="24"/>
          <w:szCs w:val="24"/>
        </w:rPr>
        <w:t xml:space="preserve">本报告期按欠款方归集的期末余额前五名应收账款汇总金额204, 653, </w:t>
      </w:r>
      <w:r>
        <w:rPr>
          <w:color w:val="000000"/>
          <w:spacing w:val="0"/>
          <w:w w:val="100"/>
          <w:position w:val="0"/>
          <w:sz w:val="24"/>
          <w:szCs w:val="24"/>
        </w:rPr>
        <w:t xml:space="preserve">079. </w:t>
      </w:r>
      <w:r>
        <w:rPr>
          <w:color w:val="000000"/>
          <w:spacing w:val="0"/>
          <w:w w:val="100"/>
          <w:position w:val="0"/>
          <w:sz w:val="24"/>
          <w:szCs w:val="24"/>
        </w:rPr>
        <w:t>31元，占应收 账款期末余额合计数的比例</w:t>
      </w:r>
      <w:r>
        <w:rPr>
          <w:color w:val="000000"/>
          <w:spacing w:val="0"/>
          <w:w w:val="100"/>
          <w:position w:val="0"/>
          <w:sz w:val="24"/>
          <w:szCs w:val="24"/>
        </w:rPr>
        <w:t xml:space="preserve">13. </w:t>
      </w:r>
      <w:r>
        <w:rPr>
          <w:color w:val="000000"/>
          <w:spacing w:val="0"/>
          <w:w w:val="100"/>
          <w:position w:val="0"/>
          <w:sz w:val="24"/>
          <w:szCs w:val="24"/>
        </w:rPr>
        <w:t>54%，相应计提的坏账准备期末余额汇总金额</w:t>
      </w:r>
      <w:r>
        <w:rPr>
          <w:color w:val="000000"/>
          <w:spacing w:val="0"/>
          <w:w w:val="100"/>
          <w:position w:val="0"/>
          <w:sz w:val="24"/>
          <w:szCs w:val="24"/>
        </w:rPr>
        <w:t xml:space="preserve">12,281,163.45 </w:t>
      </w:r>
      <w:r>
        <w:rPr>
          <w:color w:val="000000"/>
          <w:spacing w:val="0"/>
          <w:w w:val="100"/>
          <w:position w:val="0"/>
          <w:sz w:val="24"/>
          <w:szCs w:val="24"/>
        </w:rPr>
        <w:t>元。</w:t>
      </w:r>
    </w:p>
    <w:p>
      <w:pPr>
        <w:pStyle w:val="Style24"/>
        <w:keepNext/>
        <w:keepLines/>
        <w:widowControl w:val="0"/>
        <w:shd w:val="clear" w:color="auto" w:fill="auto"/>
        <w:bidi w:val="0"/>
        <w:spacing w:before="0" w:line="240" w:lineRule="auto"/>
        <w:ind w:left="0" w:right="0" w:firstLine="0"/>
        <w:jc w:val="both"/>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5</w:t>
      </w:r>
      <w:bookmarkEnd w:id="1210"/>
      <w:r>
        <w:rPr>
          <w:color w:val="000000"/>
          <w:spacing w:val="0"/>
          <w:w w:val="100"/>
          <w:position w:val="0"/>
        </w:rPr>
        <w:t>、应收款项融资</w:t>
      </w:r>
      <w:bookmarkEnd w:id="1208"/>
      <w:bookmarkEnd w:id="1209"/>
      <w:bookmarkEnd w:id="1211"/>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1,277,900.00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3,572,269.00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1,277,900.00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3,572,269.00</w:t>
            </w:r>
          </w:p>
        </w:tc>
      </w:tr>
    </w:tbl>
    <w:p>
      <w:pPr>
        <w:widowControl w:val="0"/>
        <w:spacing w:after="99" w:line="1" w:lineRule="exact"/>
      </w:pP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应收款项融资本期增减变动及公允价值变动情况</w:t>
      </w:r>
    </w:p>
    <w:p>
      <w:pPr>
        <w:pStyle w:val="Style1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如是按照预期信用损失一般模型计提应收款项融资减值准备，请参照其他应收款的披露方式披露减值准备的相关信息:</w:t>
      </w:r>
    </w:p>
    <w:p>
      <w:pPr>
        <w:pStyle w:val="Style1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24"/>
        <w:keepNext/>
        <w:keepLines/>
        <w:widowControl w:val="0"/>
        <w:shd w:val="clear" w:color="auto" w:fill="auto"/>
        <w:bidi w:val="0"/>
        <w:spacing w:before="0" w:line="240" w:lineRule="auto"/>
        <w:ind w:left="0" w:right="0" w:firstLine="0"/>
        <w:jc w:val="both"/>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6</w:t>
      </w:r>
      <w:bookmarkEnd w:id="1214"/>
      <w:r>
        <w:rPr>
          <w:color w:val="000000"/>
          <w:spacing w:val="0"/>
          <w:w w:val="100"/>
          <w:position w:val="0"/>
        </w:rPr>
        <w:t>、预付款项</w:t>
      </w:r>
      <w:bookmarkEnd w:id="1212"/>
      <w:bookmarkEnd w:id="1213"/>
      <w:bookmarkEnd w:id="1215"/>
    </w:p>
    <w:p>
      <w:pPr>
        <w:pStyle w:val="Style102"/>
        <w:keepNext/>
        <w:keepLines/>
        <w:widowControl w:val="0"/>
        <w:shd w:val="clear" w:color="auto" w:fill="auto"/>
        <w:bidi w:val="0"/>
        <w:spacing w:before="0" w:after="340" w:line="240" w:lineRule="auto"/>
        <w:ind w:left="0" w:right="0" w:firstLine="0"/>
        <w:jc w:val="both"/>
      </w:pPr>
      <w:bookmarkStart w:id="1216" w:name="bookmark1216"/>
      <w:bookmarkStart w:id="1217" w:name="bookmark1217"/>
      <w:bookmarkStart w:id="1218" w:name="bookmark1218"/>
      <w:bookmarkStart w:id="1219" w:name="bookmark1219"/>
      <w:r>
        <w:rPr>
          <w:color w:val="000000"/>
          <w:spacing w:val="0"/>
          <w:w w:val="100"/>
          <w:position w:val="0"/>
        </w:rPr>
        <w:t>（</w:t>
      </w:r>
      <w:bookmarkEnd w:id="1218"/>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16"/>
      <w:bookmarkEnd w:id="1217"/>
      <w:bookmarkEnd w:id="1219"/>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4,032,700.46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3,168,931.15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151,713.53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4,121,945.79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3,800,995.08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75,104.44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373,536.96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298,432.52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8,358,946.03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7,664,413.90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pStyle w:val="Style129"/>
        <w:keepNext w:val="0"/>
        <w:keepLines w:val="0"/>
        <w:widowControl w:val="0"/>
        <w:shd w:val="clear" w:color="auto" w:fill="auto"/>
        <w:bidi w:val="0"/>
        <w:spacing w:before="0" w:after="280" w:line="240" w:lineRule="auto"/>
        <w:ind w:left="0" w:right="0" w:firstLine="0"/>
        <w:jc w:val="both"/>
      </w:pPr>
      <w:r>
        <w:rPr>
          <w:color w:val="000000"/>
          <w:spacing w:val="0"/>
          <w:w w:val="100"/>
          <w:position w:val="0"/>
        </w:rPr>
        <w:t>本公司预付款由于相关项目未到结算期，至今尚未办理款项结算。</w:t>
      </w:r>
      <w:r>
        <w:br w:type="page"/>
      </w:r>
    </w:p>
    <w:p>
      <w:pPr>
        <w:pStyle w:val="Style102"/>
        <w:keepNext/>
        <w:keepLines/>
        <w:widowControl w:val="0"/>
        <w:shd w:val="clear" w:color="auto" w:fill="auto"/>
        <w:bidi w:val="0"/>
        <w:spacing w:before="0" w:after="200" w:line="240" w:lineRule="auto"/>
        <w:ind w:left="0" w:right="0" w:firstLine="0"/>
        <w:jc w:val="left"/>
      </w:pPr>
      <w:bookmarkStart w:id="1220" w:name="bookmark1220"/>
      <w:bookmarkStart w:id="1221" w:name="bookmark1221"/>
      <w:bookmarkStart w:id="1222" w:name="bookmark1222"/>
      <w:bookmarkStart w:id="1223" w:name="bookmark1223"/>
      <w:r>
        <w:rPr>
          <w:color w:val="000000"/>
          <w:spacing w:val="0"/>
          <w:w w:val="100"/>
          <w:position w:val="0"/>
        </w:rPr>
        <w:t>（</w:t>
      </w:r>
      <w:bookmarkEnd w:id="1222"/>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20"/>
      <w:bookmarkEnd w:id="1221"/>
      <w:bookmarkEnd w:id="1223"/>
    </w:p>
    <w:p>
      <w:pPr>
        <w:pStyle w:val="Style59"/>
        <w:keepNext w:val="0"/>
        <w:keepLines w:val="0"/>
        <w:widowControl w:val="0"/>
        <w:shd w:val="clear" w:color="auto" w:fill="auto"/>
        <w:bidi w:val="0"/>
        <w:spacing w:before="0" w:after="200" w:line="466" w:lineRule="exact"/>
        <w:ind w:left="0" w:right="0" w:firstLine="480"/>
        <w:jc w:val="both"/>
      </w:pPr>
      <w:r>
        <w:rPr>
          <w:color w:val="000000"/>
          <w:spacing w:val="0"/>
          <w:w w:val="100"/>
          <w:position w:val="0"/>
          <w:sz w:val="24"/>
          <w:szCs w:val="24"/>
        </w:rPr>
        <w:t xml:space="preserve">本报告期按预付对象归集的期末余额前五名预付款项汇总金额5, 508, </w:t>
      </w:r>
      <w:r>
        <w:rPr>
          <w:color w:val="000000"/>
          <w:spacing w:val="0"/>
          <w:w w:val="100"/>
          <w:position w:val="0"/>
          <w:sz w:val="24"/>
          <w:szCs w:val="24"/>
        </w:rPr>
        <w:t xml:space="preserve">037. </w:t>
      </w:r>
      <w:r>
        <w:rPr>
          <w:color w:val="000000"/>
          <w:spacing w:val="0"/>
          <w:w w:val="100"/>
          <w:position w:val="0"/>
          <w:sz w:val="24"/>
          <w:szCs w:val="24"/>
        </w:rPr>
        <w:t>08元，占预付 款项期末余额合计数的比例</w:t>
      </w:r>
      <w:r>
        <w:rPr>
          <w:color w:val="000000"/>
          <w:spacing w:val="0"/>
          <w:w w:val="100"/>
          <w:position w:val="0"/>
          <w:sz w:val="24"/>
          <w:szCs w:val="24"/>
        </w:rPr>
        <w:t xml:space="preserve">65. </w:t>
      </w:r>
      <w:r>
        <w:rPr>
          <w:color w:val="000000"/>
          <w:spacing w:val="0"/>
          <w:w w:val="100"/>
          <w:position w:val="0"/>
          <w:sz w:val="24"/>
          <w:szCs w:val="24"/>
        </w:rPr>
        <w:t>89%。</w:t>
      </w:r>
    </w:p>
    <w:p>
      <w:pPr>
        <w:pStyle w:val="Style1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4"/>
        <w:keepNext/>
        <w:keepLines/>
        <w:widowControl w:val="0"/>
        <w:shd w:val="clear" w:color="auto" w:fill="auto"/>
        <w:bidi w:val="0"/>
        <w:spacing w:before="0" w:after="360" w:line="240" w:lineRule="auto"/>
        <w:ind w:left="0" w:right="0" w:firstLine="0"/>
        <w:jc w:val="both"/>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7</w:t>
      </w:r>
      <w:bookmarkEnd w:id="1226"/>
      <w:r>
        <w:rPr>
          <w:color w:val="000000"/>
          <w:spacing w:val="0"/>
          <w:w w:val="100"/>
          <w:position w:val="0"/>
        </w:rPr>
        <w:t>、其他应收款</w:t>
      </w:r>
      <w:bookmarkEnd w:id="1224"/>
      <w:bookmarkEnd w:id="1225"/>
      <w:bookmarkEnd w:id="1227"/>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102,334,129.66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97,635,501.26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102,334,129.66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97,635,501.26</w:t>
            </w:r>
          </w:p>
        </w:tc>
      </w:tr>
    </w:tbl>
    <w:p>
      <w:pPr>
        <w:widowControl w:val="0"/>
        <w:spacing w:after="299" w:line="1" w:lineRule="exact"/>
      </w:pPr>
    </w:p>
    <w:p>
      <w:pPr>
        <w:pStyle w:val="Style102"/>
        <w:keepNext/>
        <w:keepLines/>
        <w:widowControl w:val="0"/>
        <w:shd w:val="clear" w:color="auto" w:fill="auto"/>
        <w:bidi w:val="0"/>
        <w:spacing w:before="0" w:after="300" w:line="240" w:lineRule="auto"/>
        <w:ind w:left="0" w:right="0" w:firstLine="0"/>
        <w:jc w:val="both"/>
      </w:pPr>
      <w:bookmarkStart w:id="1228" w:name="bookmark1228"/>
      <w:bookmarkStart w:id="1229" w:name="bookmark1229"/>
      <w:bookmarkStart w:id="1230" w:name="bookmark1230"/>
      <w:bookmarkStart w:id="1231" w:name="bookmark1231"/>
      <w:r>
        <w:rPr>
          <w:color w:val="000000"/>
          <w:spacing w:val="0"/>
          <w:w w:val="100"/>
          <w:position w:val="0"/>
        </w:rPr>
        <w:t>（</w:t>
      </w:r>
      <w:bookmarkEnd w:id="1230"/>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228"/>
      <w:bookmarkEnd w:id="1229"/>
      <w:bookmarkEnd w:id="1231"/>
    </w:p>
    <w:p>
      <w:pPr>
        <w:pStyle w:val="Style136"/>
        <w:keepNext/>
        <w:keepLines/>
        <w:widowControl w:val="0"/>
        <w:shd w:val="clear" w:color="auto" w:fill="auto"/>
        <w:bidi w:val="0"/>
        <w:spacing w:before="0" w:after="360" w:line="240" w:lineRule="auto"/>
        <w:ind w:left="0" w:right="0" w:firstLine="0"/>
        <w:jc w:val="both"/>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1</w:t>
      </w:r>
      <w:bookmarkEnd w:id="1234"/>
      <w:r>
        <w:rPr>
          <w:color w:val="000000"/>
          <w:spacing w:val="0"/>
          <w:w w:val="100"/>
          <w:position w:val="0"/>
        </w:rPr>
        <w:t>）其他应收款按款项性质分类情况</w:t>
      </w:r>
      <w:bookmarkEnd w:id="1232"/>
      <w:bookmarkEnd w:id="1233"/>
      <w:bookmarkEnd w:id="1235"/>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押金、备用金、保证金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74,777,661.55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95,703,064.36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5,505,039.05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4,651,348.47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应收股权激励行权款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28,992,674.40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5,390,566.46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130,488.98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2,582.59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109,405,863.98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105,747,561.88</w:t>
            </w:r>
          </w:p>
        </w:tc>
      </w:tr>
    </w:tbl>
    <w:p>
      <w:pPr>
        <w:widowControl w:val="0"/>
        <w:spacing w:after="299" w:line="1" w:lineRule="exact"/>
      </w:pPr>
    </w:p>
    <w:p>
      <w:pPr>
        <w:pStyle w:val="Style136"/>
        <w:keepNext/>
        <w:keepLines/>
        <w:widowControl w:val="0"/>
        <w:shd w:val="clear" w:color="auto" w:fill="auto"/>
        <w:bidi w:val="0"/>
        <w:spacing w:before="0" w:after="360" w:line="240" w:lineRule="auto"/>
        <w:ind w:left="0" w:right="0" w:firstLine="0"/>
        <w:jc w:val="both"/>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2</w:t>
      </w:r>
      <w:bookmarkEnd w:id="1238"/>
      <w:r>
        <w:rPr>
          <w:color w:val="000000"/>
          <w:spacing w:val="0"/>
          <w:w w:val="100"/>
          <w:position w:val="0"/>
        </w:rPr>
        <w:t>）坏账准备计提情况</w:t>
      </w:r>
      <w:bookmarkEnd w:id="1236"/>
      <w:bookmarkEnd w:id="1237"/>
      <w:bookmarkEnd w:id="1239"/>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5,198,144.40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2,913,916.22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8,112,060.62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-999,607.94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-40,718.36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-1,040,326.30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4,198,536.46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2,873,197.86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7,071,734.32</w:t>
            </w:r>
          </w:p>
        </w:tc>
      </w:tr>
    </w:tbl>
    <w:p>
      <w:pPr>
        <w:widowControl w:val="0"/>
        <w:spacing w:after="99" w:line="1" w:lineRule="exact"/>
      </w:pP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损失准备本期变动金额重大的账面余额变动情况</w:t>
      </w:r>
    </w:p>
    <w:p>
      <w:pPr>
        <w:pStyle w:val="Style14"/>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64,982,802.73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12,776,402.80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9,874,311.31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21,772,347.14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9,270,910.90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3,813,900.31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8,687,535.93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109,405,863.98</w:t>
            </w:r>
          </w:p>
        </w:tc>
      </w:tr>
    </w:tbl>
    <w:p>
      <w:pPr>
        <w:widowControl w:val="0"/>
        <w:spacing w:after="299" w:line="1" w:lineRule="exact"/>
      </w:pPr>
    </w:p>
    <w:p>
      <w:pPr>
        <w:pStyle w:val="Style136"/>
        <w:keepNext/>
        <w:keepLines/>
        <w:widowControl w:val="0"/>
        <w:shd w:val="clear" w:color="auto" w:fill="auto"/>
        <w:bidi w:val="0"/>
        <w:spacing w:before="0" w:after="380" w:line="240" w:lineRule="auto"/>
        <w:ind w:left="0" w:right="0" w:firstLine="0"/>
        <w:jc w:val="left"/>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3</w:t>
      </w:r>
      <w:bookmarkEnd w:id="1242"/>
      <w:r>
        <w:rPr>
          <w:color w:val="000000"/>
          <w:spacing w:val="0"/>
          <w:w w:val="100"/>
          <w:position w:val="0"/>
        </w:rPr>
        <w:t>）本期计提、收回或转回的坏账准备情况</w:t>
      </w:r>
      <w:bookmarkEnd w:id="1240"/>
      <w:bookmarkEnd w:id="1241"/>
      <w:bookmarkEnd w:id="1243"/>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1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099"/>
        <w:gridCol w:w="1339"/>
        <w:gridCol w:w="1330"/>
        <w:gridCol w:w="1334"/>
        <w:gridCol w:w="1325"/>
        <w:gridCol w:w="172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按账龄分类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8,112,060.62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-1,040,326.30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7,071,734.32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8,112,060.62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-1,040,326.30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7,071,734.32</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本报告期无转回或收回金额重要的坏账准备情况。</w:t>
      </w:r>
    </w:p>
    <w:p>
      <w:pPr>
        <w:widowControl w:val="0"/>
        <w:spacing w:after="379" w:line="1" w:lineRule="exact"/>
      </w:pPr>
    </w:p>
    <w:p>
      <w:pPr>
        <w:pStyle w:val="Style136"/>
        <w:keepNext/>
        <w:keepLines/>
        <w:widowControl w:val="0"/>
        <w:shd w:val="clear" w:color="auto" w:fill="auto"/>
        <w:bidi w:val="0"/>
        <w:spacing w:before="0" w:after="380" w:line="240" w:lineRule="auto"/>
        <w:ind w:left="0" w:right="0" w:firstLine="0"/>
        <w:jc w:val="left"/>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4</w:t>
      </w:r>
      <w:bookmarkEnd w:id="1246"/>
      <w:r>
        <w:rPr>
          <w:color w:val="000000"/>
          <w:spacing w:val="0"/>
          <w:w w:val="100"/>
          <w:position w:val="0"/>
        </w:rPr>
        <w:t>）按欠款方归集的期末余额前五名的其他应收款情况</w:t>
      </w:r>
      <w:bookmarkEnd w:id="1244"/>
      <w:bookmarkEnd w:id="1245"/>
      <w:bookmarkEnd w:id="1247"/>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rPr>
                <w:sz w:val="18"/>
                <w:szCs w:val="18"/>
              </w:rPr>
            </w:pPr>
            <w:r>
              <w:rPr>
                <w:color w:val="000000"/>
                <w:spacing w:val="0"/>
                <w:w w:val="100"/>
                <w:position w:val="0"/>
                <w:sz w:val="18"/>
                <w:szCs w:val="18"/>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1,957,652.64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1,957,652.64</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租房押金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1,904,574.96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 xml:space="preserve">年以内 </w:t>
            </w:r>
            <w:r>
              <w:rPr>
                <w:rFonts w:ascii="Times New Roman" w:eastAsia="Times New Roman" w:hAnsi="Times New Roman" w:cs="Times New Roman"/>
                <w:color w:val="000000"/>
                <w:spacing w:val="0"/>
                <w:w w:val="100"/>
                <w:position w:val="0"/>
                <w:sz w:val="18"/>
                <w:szCs w:val="18"/>
              </w:rPr>
              <w:t>417903.10</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1486671.86 </w:t>
            </w: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95,228.75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1,868,830.00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93,441.50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1,836,649.05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91,832.45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1,637,385.70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81,869.29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9,205,092.35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2,320,024.63</w:t>
            </w:r>
          </w:p>
        </w:tc>
      </w:tr>
    </w:tbl>
    <w:p>
      <w:pPr>
        <w:spacing w:lineRule="exact" w:line="1"/>
        <w:rPr>
          <w:sz w:val="2"/>
          <w:szCs w:val="2"/>
        </w:rPr>
      </w:pPr>
      <w:r>
        <w:br w:type="page"/>
      </w:r>
    </w:p>
    <w:p>
      <w:pPr>
        <w:pStyle w:val="Style24"/>
        <w:keepNext/>
        <w:keepLines/>
        <w:widowControl w:val="0"/>
        <w:shd w:val="clear" w:color="auto" w:fill="auto"/>
        <w:bidi w:val="0"/>
        <w:spacing w:before="0" w:after="220" w:line="240" w:lineRule="auto"/>
        <w:ind w:left="0" w:right="0" w:firstLine="0"/>
        <w:jc w:val="left"/>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8</w:t>
      </w:r>
      <w:bookmarkEnd w:id="1250"/>
      <w:r>
        <w:rPr>
          <w:color w:val="000000"/>
          <w:spacing w:val="0"/>
          <w:w w:val="100"/>
          <w:position w:val="0"/>
        </w:rPr>
        <w:t>、存货</w:t>
      </w:r>
      <w:bookmarkEnd w:id="1248"/>
      <w:bookmarkEnd w:id="1249"/>
      <w:bookmarkEnd w:id="1251"/>
    </w:p>
    <w:p>
      <w:pPr>
        <w:pStyle w:val="Style14"/>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公司是否需要遵守房地产行业的披露要求 否</w:t>
      </w:r>
    </w:p>
    <w:p>
      <w:pPr>
        <w:pStyle w:val="Style102"/>
        <w:keepNext/>
        <w:keepLines/>
        <w:widowControl w:val="0"/>
        <w:shd w:val="clear" w:color="auto" w:fill="auto"/>
        <w:bidi w:val="0"/>
        <w:spacing w:before="0" w:line="240" w:lineRule="auto"/>
        <w:ind w:left="0" w:right="0" w:firstLine="0"/>
        <w:jc w:val="left"/>
      </w:pPr>
      <w:bookmarkStart w:id="1252" w:name="bookmark1252"/>
      <w:bookmarkStart w:id="1253" w:name="bookmark1253"/>
      <w:bookmarkStart w:id="1254" w:name="bookmark1254"/>
      <w:bookmarkStart w:id="1255" w:name="bookmark1255"/>
      <w:r>
        <w:rPr>
          <w:color w:val="000000"/>
          <w:spacing w:val="0"/>
          <w:w w:val="100"/>
          <w:position w:val="0"/>
        </w:rPr>
        <w:t>（</w:t>
      </w:r>
      <w:bookmarkEnd w:id="1254"/>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52"/>
      <w:bookmarkEnd w:id="1253"/>
      <w:bookmarkEnd w:id="1255"/>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存货跌价准备或</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合同履约成本减</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color w:val="000000"/>
                <w:spacing w:val="0"/>
                <w:w w:val="100"/>
                <w:position w:val="0"/>
                <w:sz w:val="18"/>
                <w:szCs w:val="18"/>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存货跌价准备或</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合同履约成本减</w:t>
            </w:r>
          </w:p>
          <w:p>
            <w:pPr>
              <w:pStyle w:val="Style2"/>
              <w:keepNext w:val="0"/>
              <w:keepLines w:val="0"/>
              <w:widowControl w:val="0"/>
              <w:shd w:val="clear" w:color="auto" w:fill="auto"/>
              <w:bidi w:val="0"/>
              <w:spacing w:before="0" w:after="80" w:line="240" w:lineRule="auto"/>
              <w:ind w:left="0" w:right="0" w:firstLine="380"/>
              <w:jc w:val="left"/>
              <w:rPr>
                <w:sz w:val="18"/>
                <w:szCs w:val="18"/>
              </w:rPr>
            </w:pPr>
            <w:r>
              <w:rPr>
                <w:color w:val="000000"/>
                <w:spacing w:val="0"/>
                <w:w w:val="100"/>
                <w:position w:val="0"/>
                <w:sz w:val="18"/>
                <w:szCs w:val="18"/>
              </w:rPr>
              <w:t>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1,363,571.18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256,671.63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1,106,899.55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1,316,771.66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368,808.86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947,962.80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10,260,294.31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2,864,138.97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7,396,155.34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11,787,758.40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1,881,580.40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9,906,178.00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145,597.77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145,597.77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987,307.86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987,307.86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204,376,874.92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8,934,444.21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195,442,430.71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223,712,106.14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8,934,444.21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214,777,661.93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216,146,338.18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12,055,254.81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204,091,083.37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237,803,944.06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11,184,833.47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226,619,110.59</w:t>
            </w:r>
          </w:p>
        </w:tc>
      </w:tr>
    </w:tbl>
    <w:p>
      <w:pPr>
        <w:widowControl w:val="0"/>
        <w:spacing w:after="299" w:line="1" w:lineRule="exact"/>
      </w:pPr>
    </w:p>
    <w:p>
      <w:pPr>
        <w:pStyle w:val="Style102"/>
        <w:keepNext/>
        <w:keepLines/>
        <w:widowControl w:val="0"/>
        <w:shd w:val="clear" w:color="auto" w:fill="auto"/>
        <w:bidi w:val="0"/>
        <w:spacing w:before="0" w:line="240" w:lineRule="auto"/>
        <w:ind w:left="0" w:right="0" w:firstLine="0"/>
        <w:jc w:val="left"/>
      </w:pPr>
      <w:bookmarkStart w:id="1256" w:name="bookmark1256"/>
      <w:bookmarkStart w:id="1257" w:name="bookmark1257"/>
      <w:bookmarkStart w:id="1258" w:name="bookmark1258"/>
      <w:bookmarkStart w:id="1259" w:name="bookmark1259"/>
      <w:r>
        <w:rPr>
          <w:color w:val="000000"/>
          <w:spacing w:val="0"/>
          <w:w w:val="100"/>
          <w:position w:val="0"/>
        </w:rPr>
        <w:t>（</w:t>
      </w:r>
      <w:bookmarkEnd w:id="1258"/>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56"/>
      <w:bookmarkEnd w:id="1257"/>
      <w:bookmarkEnd w:id="1259"/>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368,808.86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112,137.23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256,671.63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1,881,580.40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982,558.57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2,864,138.97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8,934,444.21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8,934,444.21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11,184,833.47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982,558.57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112,137.23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12,055,254.81</w:t>
            </w: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9</w:t>
      </w:r>
      <w:bookmarkEnd w:id="1262"/>
      <w:r>
        <w:rPr>
          <w:color w:val="000000"/>
          <w:spacing w:val="0"/>
          <w:w w:val="100"/>
          <w:position w:val="0"/>
        </w:rPr>
        <w:t>、合同资产</w:t>
      </w:r>
      <w:bookmarkEnd w:id="1260"/>
      <w:bookmarkEnd w:id="1261"/>
      <w:bookmarkEnd w:id="1263"/>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200"/>
        <w:gridCol w:w="1325"/>
        <w:gridCol w:w="1195"/>
        <w:gridCol w:w="1200"/>
        <w:gridCol w:w="1195"/>
        <w:gridCol w:w="1330"/>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未到期质保款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60,564,941.05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4,593,631.60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55,971,309.45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33,225,705.14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1,924,449.85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31,301,255.29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60,564,941.05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4,593,631.60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55,971,309.45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33,225,705.14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1,924,449.85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31,301,255.29</w:t>
            </w:r>
          </w:p>
        </w:tc>
      </w:tr>
    </w:tbl>
    <w:p>
      <w:pPr>
        <w:widowControl w:val="0"/>
        <w:spacing w:after="11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1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本期合同资产计提减值准备情况</w:t>
      </w:r>
    </w:p>
    <w:p>
      <w:pPr>
        <w:pStyle w:val="Style14"/>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2,669,181.75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2,669,181.75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659" w:line="1" w:lineRule="exact"/>
      </w:pPr>
    </w:p>
    <w:p>
      <w:pPr>
        <w:pStyle w:val="Style24"/>
        <w:keepNext/>
        <w:keepLines/>
        <w:widowControl w:val="0"/>
        <w:shd w:val="clear" w:color="auto" w:fill="auto"/>
        <w:bidi w:val="0"/>
        <w:spacing w:before="0" w:line="240" w:lineRule="auto"/>
        <w:ind w:left="0" w:right="0" w:firstLine="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1</w:t>
      </w:r>
      <w:bookmarkEnd w:id="1266"/>
      <w:r>
        <w:rPr>
          <w:rFonts w:ascii="Times New Roman" w:eastAsia="Times New Roman" w:hAnsi="Times New Roman" w:cs="Times New Roman"/>
          <w:color w:val="000000"/>
          <w:spacing w:val="0"/>
          <w:w w:val="100"/>
          <w:position w:val="0"/>
        </w:rPr>
        <w:t>0</w:t>
      </w:r>
      <w:r>
        <w:rPr>
          <w:color w:val="000000"/>
          <w:spacing w:val="0"/>
          <w:w w:val="100"/>
          <w:position w:val="0"/>
        </w:rPr>
        <w:t>、一年内到期的非流动资产</w:t>
      </w:r>
      <w:bookmarkEnd w:id="1264"/>
      <w:bookmarkEnd w:id="1265"/>
      <w:bookmarkEnd w:id="1267"/>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20,647,473.23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34,851,980.81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20,647,473.23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34,851,980.81</w:t>
            </w:r>
          </w:p>
        </w:tc>
      </w:tr>
    </w:tbl>
    <w:p>
      <w:pPr>
        <w:widowControl w:val="0"/>
        <w:spacing w:after="339" w:line="1" w:lineRule="exact"/>
      </w:pPr>
    </w:p>
    <w:p>
      <w:pPr>
        <w:pStyle w:val="Style24"/>
        <w:keepNext/>
        <w:keepLines/>
        <w:widowControl w:val="0"/>
        <w:shd w:val="clear" w:color="auto" w:fill="auto"/>
        <w:bidi w:val="0"/>
        <w:spacing w:before="0" w:line="240" w:lineRule="auto"/>
        <w:ind w:left="0" w:right="0" w:firstLine="0"/>
        <w:jc w:val="left"/>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1</w:t>
      </w:r>
      <w:bookmarkEnd w:id="1270"/>
      <w:r>
        <w:rPr>
          <w:rFonts w:ascii="Times New Roman" w:eastAsia="Times New Roman" w:hAnsi="Times New Roman" w:cs="Times New Roman"/>
          <w:color w:val="000000"/>
          <w:spacing w:val="0"/>
          <w:w w:val="100"/>
          <w:position w:val="0"/>
        </w:rPr>
        <w:t>1</w:t>
      </w:r>
      <w:r>
        <w:rPr>
          <w:color w:val="000000"/>
          <w:spacing w:val="0"/>
          <w:w w:val="100"/>
          <w:position w:val="0"/>
        </w:rPr>
        <w:t>、其他流动资产</w:t>
      </w:r>
      <w:bookmarkEnd w:id="1268"/>
      <w:bookmarkEnd w:id="1269"/>
      <w:bookmarkEnd w:id="1271"/>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待抵扣进项税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6,130,329.35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7,321,903.82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待抵扣企业所得税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5,581,976.19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6,136,188.63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12,903,880.01</w:t>
            </w:r>
          </w:p>
        </w:tc>
      </w:tr>
    </w:tbl>
    <w:p>
      <w:pPr>
        <w:widowControl w:val="0"/>
        <w:spacing w:after="659" w:line="1" w:lineRule="exact"/>
      </w:pPr>
    </w:p>
    <w:p>
      <w:pPr>
        <w:pStyle w:val="Style24"/>
        <w:keepNext/>
        <w:keepLines/>
        <w:widowControl w:val="0"/>
        <w:shd w:val="clear" w:color="auto" w:fill="auto"/>
        <w:bidi w:val="0"/>
        <w:spacing w:before="0" w:line="240" w:lineRule="auto"/>
        <w:ind w:left="0" w:right="0" w:firstLine="0"/>
        <w:jc w:val="left"/>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1</w:t>
      </w:r>
      <w:bookmarkEnd w:id="1274"/>
      <w:r>
        <w:rPr>
          <w:rFonts w:ascii="Times New Roman" w:eastAsia="Times New Roman" w:hAnsi="Times New Roman" w:cs="Times New Roman"/>
          <w:color w:val="000000"/>
          <w:spacing w:val="0"/>
          <w:w w:val="100"/>
          <w:position w:val="0"/>
        </w:rPr>
        <w:t>2</w:t>
      </w:r>
      <w:r>
        <w:rPr>
          <w:color w:val="000000"/>
          <w:spacing w:val="0"/>
          <w:w w:val="100"/>
          <w:position w:val="0"/>
        </w:rPr>
        <w:t>、长期应收款</w:t>
      </w:r>
      <w:bookmarkEnd w:id="1272"/>
      <w:bookmarkEnd w:id="1273"/>
      <w:bookmarkEnd w:id="1275"/>
    </w:p>
    <w:p>
      <w:pPr>
        <w:pStyle w:val="Style102"/>
        <w:keepNext/>
        <w:keepLines/>
        <w:widowControl w:val="0"/>
        <w:shd w:val="clear" w:color="auto" w:fill="auto"/>
        <w:bidi w:val="0"/>
        <w:spacing w:before="0" w:after="340" w:line="240" w:lineRule="auto"/>
        <w:ind w:left="0" w:right="0" w:firstLine="0"/>
        <w:jc w:val="left"/>
      </w:pPr>
      <w:bookmarkStart w:id="1276" w:name="bookmark1276"/>
      <w:bookmarkStart w:id="1277" w:name="bookmark1277"/>
      <w:bookmarkStart w:id="1278" w:name="bookmark12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76"/>
      <w:bookmarkEnd w:id="1277"/>
      <w:bookmarkEnd w:id="127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166"/>
        <w:gridCol w:w="1166"/>
        <w:gridCol w:w="1166"/>
        <w:gridCol w:w="1166"/>
        <w:gridCol w:w="1166"/>
        <w:gridCol w:w="1166"/>
        <w:gridCol w:w="1171"/>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折现率区间</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账面价值</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分期收款提供劳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148,324,059.0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148,324,059.0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183,042,097.2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183,042,097.2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-20,647,473.23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-20,647,473.23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-34,851,980.81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-34,851,980.81</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127,676,585.8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127,676,585.8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148,190,116.4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148,190,116.4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1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1</w:t>
      </w:r>
      <w:bookmarkEnd w:id="1281"/>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1279"/>
      <w:bookmarkEnd w:id="1280"/>
      <w:bookmarkEnd w:id="1282"/>
    </w:p>
    <w:p>
      <w:pPr>
        <w:pStyle w:val="Style14"/>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期初余额</w:t>
            </w:r>
          </w:p>
          <w:p>
            <w:pPr>
              <w:pStyle w:val="Style2"/>
              <w:keepNext w:val="0"/>
              <w:keepLines w:val="0"/>
              <w:widowControl w:val="0"/>
              <w:shd w:val="clear" w:color="auto" w:fill="auto"/>
              <w:bidi w:val="0"/>
              <w:spacing w:before="0" w:after="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账面价</w:t>
            </w:r>
          </w:p>
          <w:p>
            <w:pPr>
              <w:pStyle w:val="Style2"/>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 xml:space="preserve">期末余额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减值准备</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权益法下</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确认的投</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其他综合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宣告发放</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现金股利</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二、联营企业</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rPr>
                <w:sz w:val="18"/>
                <w:szCs w:val="18"/>
              </w:rPr>
            </w:pPr>
            <w:r>
              <w:rPr>
                <w:color w:val="000000"/>
                <w:spacing w:val="0"/>
                <w:w w:val="100"/>
                <w:position w:val="0"/>
                <w:sz w:val="18"/>
                <w:szCs w:val="18"/>
              </w:rPr>
              <w:t>北京华易 政通城市 管理技术 研究院有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450,186.6</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-11,366.4</w:t>
            </w:r>
          </w:p>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438,820.2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8"/>
                <w:szCs w:val="18"/>
              </w:rPr>
            </w:pPr>
            <w:r>
              <w:rPr>
                <w:color w:val="000000"/>
                <w:spacing w:val="0"/>
                <w:w w:val="100"/>
                <w:position w:val="0"/>
                <w:sz w:val="18"/>
                <w:szCs w:val="18"/>
              </w:rPr>
              <w:t>赣州顺浩</w:t>
            </w:r>
          </w:p>
          <w:p>
            <w:pPr>
              <w:pStyle w:val="Style2"/>
              <w:keepNext w:val="0"/>
              <w:keepLines w:val="0"/>
              <w:widowControl w:val="0"/>
              <w:shd w:val="clear" w:color="auto" w:fill="auto"/>
              <w:bidi w:val="0"/>
              <w:spacing w:before="0" w:after="0" w:line="298" w:lineRule="exact"/>
              <w:ind w:left="0" w:right="0" w:firstLine="0"/>
              <w:jc w:val="both"/>
              <w:rPr>
                <w:sz w:val="18"/>
                <w:szCs w:val="18"/>
              </w:rPr>
            </w:pPr>
            <w:r>
              <w:rPr>
                <w:color w:val="000000"/>
                <w:spacing w:val="0"/>
                <w:w w:val="100"/>
                <w:position w:val="0"/>
                <w:sz w:val="18"/>
                <w:szCs w:val="18"/>
              </w:rPr>
              <w:t>智慧科技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1,383,163</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四川省数 聚汇智科 技有限责 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596,548.5</w:t>
            </w:r>
          </w:p>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721,548.5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both"/>
              <w:rPr>
                <w:sz w:val="18"/>
                <w:szCs w:val="18"/>
              </w:rPr>
            </w:pPr>
            <w:r>
              <w:rPr>
                <w:color w:val="000000"/>
                <w:spacing w:val="0"/>
                <w:w w:val="100"/>
                <w:position w:val="0"/>
                <w:sz w:val="18"/>
                <w:szCs w:val="18"/>
              </w:rPr>
              <w:t>智慧（沂 源）城市 建设运营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2,450,416</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8"/>
                <w:szCs w:val="18"/>
              </w:rPr>
              <w:t>深圳润物 智城运营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450,186.6</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4,075,000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468,761.6</w:t>
            </w:r>
          </w:p>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4,993,948</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450,186.6</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4,075,000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468,761.6</w:t>
            </w:r>
          </w:p>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4,993,948</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4"/>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其他说明</w:t>
      </w:r>
    </w:p>
    <w:p>
      <w:pPr>
        <w:pStyle w:val="Style129"/>
        <w:keepNext w:val="0"/>
        <w:keepLines w:val="0"/>
        <w:widowControl w:val="0"/>
        <w:shd w:val="clear" w:color="auto" w:fill="auto"/>
        <w:bidi w:val="0"/>
        <w:spacing w:before="0" w:after="360" w:line="326" w:lineRule="exact"/>
        <w:ind w:left="0" w:right="0" w:firstLine="0"/>
        <w:jc w:val="left"/>
      </w:pPr>
      <w:r>
        <w:rPr>
          <w:color w:val="000000"/>
          <w:spacing w:val="0"/>
          <w:w w:val="100"/>
          <w:position w:val="0"/>
        </w:rPr>
        <w:t>注：深圳润物智城运营有限公司成立于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日本公司尚未缴纳出资，深圳 润物智城运营有限公司也未开展经营。</w:t>
      </w:r>
    </w:p>
    <w:p>
      <w:pPr>
        <w:pStyle w:val="Style24"/>
        <w:keepNext/>
        <w:keepLines/>
        <w:widowControl w:val="0"/>
        <w:shd w:val="clear" w:color="auto" w:fill="auto"/>
        <w:bidi w:val="0"/>
        <w:spacing w:before="0" w:after="360" w:line="240" w:lineRule="auto"/>
        <w:ind w:left="0" w:right="0" w:firstLine="0"/>
        <w:jc w:val="left"/>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1</w:t>
      </w:r>
      <w:bookmarkEnd w:id="1285"/>
      <w:r>
        <w:rPr>
          <w:rFonts w:ascii="Times New Roman" w:eastAsia="Times New Roman" w:hAnsi="Times New Roman" w:cs="Times New Roman"/>
          <w:color w:val="000000"/>
          <w:spacing w:val="0"/>
          <w:w w:val="100"/>
          <w:position w:val="0"/>
        </w:rPr>
        <w:t>4</w:t>
      </w:r>
      <w:r>
        <w:rPr>
          <w:color w:val="000000"/>
          <w:spacing w:val="0"/>
          <w:w w:val="100"/>
          <w:position w:val="0"/>
        </w:rPr>
        <w:t>、其他权益工具投资</w:t>
      </w:r>
      <w:bookmarkEnd w:id="1283"/>
      <w:bookmarkEnd w:id="1284"/>
      <w:bookmarkEnd w:id="128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重庆小爱科技有限公司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北京天健源达科技股份有限公司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北京通通易联科技有限公司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2,115,915.78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2,115,915.78</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河北保定农村商业银行股份有限公司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重庆盈科数创私募股权投资基金合伙企 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55,135,915.78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45,135,915.78</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11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确认的股利收入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累计利得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累计损失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其他综合收益转</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入留存收益的金</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指定为以公允价 值计量且其变动 计入其他综合收 益的原因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其他综合收益转</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入留存收益的原</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重庆小爱科技有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战略性投资</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北京天健源达科 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战略性投资</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北京通通易联科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计划长期持有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河北保定农村商</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业银行股份有限</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计划长期持有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8"/>
                <w:szCs w:val="18"/>
              </w:rPr>
              <w:t>重庆盈科数创私 募股权投资基金 合伙企业（有限 合伙）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战略性投资</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59" w:line="1" w:lineRule="exact"/>
      </w:pPr>
    </w:p>
    <w:p>
      <w:pPr>
        <w:pStyle w:val="Style24"/>
        <w:keepNext/>
        <w:keepLines/>
        <w:widowControl w:val="0"/>
        <w:shd w:val="clear" w:color="auto" w:fill="auto"/>
        <w:bidi w:val="0"/>
        <w:spacing w:before="0" w:line="240" w:lineRule="auto"/>
        <w:ind w:left="0" w:right="0" w:firstLine="0"/>
        <w:jc w:val="left"/>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1</w:t>
      </w:r>
      <w:bookmarkEnd w:id="1289"/>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1287"/>
      <w:bookmarkEnd w:id="1288"/>
      <w:bookmarkEnd w:id="1290"/>
    </w:p>
    <w:p>
      <w:pPr>
        <w:pStyle w:val="Style102"/>
        <w:keepNext/>
        <w:keepLines/>
        <w:widowControl w:val="0"/>
        <w:shd w:val="clear" w:color="auto" w:fill="auto"/>
        <w:bidi w:val="0"/>
        <w:spacing w:before="0" w:after="340" w:line="240" w:lineRule="auto"/>
        <w:ind w:left="0" w:right="0" w:firstLine="0"/>
        <w:jc w:val="left"/>
      </w:pPr>
      <w:bookmarkStart w:id="1291" w:name="bookmark1291"/>
      <w:bookmarkStart w:id="1292" w:name="bookmark1292"/>
      <w:bookmarkStart w:id="1293" w:name="bookmark12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291"/>
      <w:bookmarkEnd w:id="1292"/>
      <w:bookmarkEnd w:id="1293"/>
    </w:p>
    <w:p>
      <w:pPr>
        <w:pStyle w:val="Style1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76,481,996.52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76,481,996.52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30,980,562.48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30,980,562.48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）外购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30,980,562.48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30,980,562.48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3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固定资产</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）企业合并增加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5,839,558.78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5,839,558.78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）其他转出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5,839,558.78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5,839,558.78</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101,623,000.22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101,623,000.22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24,721,087.51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24,721,087.51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2,845,390.17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2,845,390.17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2,845,390.17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2,845,390.17</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581,250.41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581,250.41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）其他转出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581,250.41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581,250.41</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26,985,227.27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26,985,227.27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74,637,772.95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74,637,772.95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51,760,909.01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51,760,909.01</w:t>
            </w: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1</w:t>
      </w:r>
      <w:bookmarkEnd w:id="1296"/>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1294"/>
      <w:bookmarkEnd w:id="1295"/>
      <w:bookmarkEnd w:id="1297"/>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bl>
    <w:p>
      <w:pPr>
        <w:widowControl w:val="0"/>
        <w:spacing w:line="1" w:lineRule="exact"/>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103,023,332.39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94,089,754.12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103,023,332.39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94,089,754.12</w:t>
            </w:r>
          </w:p>
        </w:tc>
      </w:tr>
    </w:tbl>
    <w:p>
      <w:pPr>
        <w:widowControl w:val="0"/>
        <w:spacing w:after="299" w:line="1" w:lineRule="exact"/>
      </w:pPr>
    </w:p>
    <w:p>
      <w:pPr>
        <w:pStyle w:val="Style102"/>
        <w:keepNext/>
        <w:keepLines/>
        <w:widowControl w:val="0"/>
        <w:shd w:val="clear" w:color="auto" w:fill="auto"/>
        <w:bidi w:val="0"/>
        <w:spacing w:before="0" w:line="240" w:lineRule="auto"/>
        <w:ind w:left="0" w:right="0" w:firstLine="0"/>
        <w:jc w:val="left"/>
      </w:pPr>
      <w:bookmarkStart w:id="1298" w:name="bookmark1298"/>
      <w:bookmarkStart w:id="1299" w:name="bookmark1299"/>
      <w:bookmarkStart w:id="1300" w:name="bookmark13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98"/>
      <w:bookmarkEnd w:id="1299"/>
      <w:bookmarkEnd w:id="1300"/>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500" w:firstLine="0"/>
              <w:jc w:val="right"/>
              <w:rPr>
                <w:sz w:val="18"/>
                <w:szCs w:val="18"/>
              </w:rPr>
            </w:pPr>
            <w:r>
              <w:rPr>
                <w:color w:val="000000"/>
                <w:spacing w:val="0"/>
                <w:w w:val="100"/>
                <w:position w:val="0"/>
                <w:sz w:val="18"/>
                <w:szCs w:val="18"/>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88,887,527.39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27,626,304.83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28,082,920.56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22,557,380.76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6,418,211.77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173,572,345.31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5,839,558.78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3,727,726.77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7,919,705.59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3,827,518.38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340,846.20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21,655,355.72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3,727,726.77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7,919,705.59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3,827,518.38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340,846.20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15,815,796.94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投资性房地产转 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5,839,558.78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5,839,558.78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501,475.78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749,397.00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48,801.00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1,299,673.78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501,475.78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749,397.00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48,801.00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1,299,673.78</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94,727,086.17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31,354,031.60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35,501,150.37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25,635,502.14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6,710,256.97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193,928,027.25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16,477,702.60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18,948,467.93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19,573,317.57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18,529,870.16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5,953,232.93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79,482,591.19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3,005,601.15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4,004,548.56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3,502,477.42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1,980,972.61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175,935.93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12,669,535.67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2,424,350.74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4,004,548.56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3,502,477.42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1,980,972.61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175,935.93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12,088,285.26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581,250.41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581,250.41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480,727.14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719,543.10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47,161.76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1,247,432.00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480,727.14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719,543.10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47,161.76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1,247,432.00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19,483,303.75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22,953,016.49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22,595,067.85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19,791,299.67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6,082,007.10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90,904,694.86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75,243,782.42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8,401,015.11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12,906,082.52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5,844,202.47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628,249.87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103,023,332.39</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72,409,824.79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8,677,836.90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8,509,602.99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4,027,510.60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464,978.84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94,089,754.12</w:t>
            </w:r>
          </w:p>
        </w:tc>
      </w:tr>
    </w:tbl>
    <w:p>
      <w:pPr>
        <w:widowControl w:val="0"/>
        <w:spacing w:after="299" w:line="1" w:lineRule="exact"/>
      </w:pPr>
    </w:p>
    <w:p>
      <w:pPr>
        <w:pStyle w:val="Style24"/>
        <w:keepNext/>
        <w:keepLines/>
        <w:widowControl w:val="0"/>
        <w:shd w:val="clear" w:color="auto" w:fill="auto"/>
        <w:bidi w:val="0"/>
        <w:spacing w:before="0" w:after="380" w:line="240" w:lineRule="auto"/>
        <w:ind w:left="0" w:right="0" w:firstLine="0"/>
        <w:jc w:val="left"/>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1</w:t>
      </w:r>
      <w:bookmarkEnd w:id="1303"/>
      <w:r>
        <w:rPr>
          <w:rFonts w:ascii="Times New Roman" w:eastAsia="Times New Roman" w:hAnsi="Times New Roman" w:cs="Times New Roman"/>
          <w:color w:val="000000"/>
          <w:spacing w:val="0"/>
          <w:w w:val="100"/>
          <w:position w:val="0"/>
        </w:rPr>
        <w:t>7</w:t>
      </w:r>
      <w:r>
        <w:rPr>
          <w:color w:val="000000"/>
          <w:spacing w:val="0"/>
          <w:w w:val="100"/>
          <w:position w:val="0"/>
        </w:rPr>
        <w:t>、使用权资产</w:t>
      </w:r>
      <w:bookmarkEnd w:id="1301"/>
      <w:bookmarkEnd w:id="1302"/>
      <w:bookmarkEnd w:id="1304"/>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房屋及建筑物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20,152,261.67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20,152,261.67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20,152,261.67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20,152,261.67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20,152,261.67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20,152,261.67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6,717,420.56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6,717,420.56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6,717,420.56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6,717,420.56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6,717,420.56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6,717,420.56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13,434,841.11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13,434,841.11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59" w:line="1" w:lineRule="exact"/>
      </w:pPr>
    </w:p>
    <w:p>
      <w:pPr>
        <w:pStyle w:val="Style24"/>
        <w:keepNext/>
        <w:keepLines/>
        <w:widowControl w:val="0"/>
        <w:shd w:val="clear" w:color="auto" w:fill="auto"/>
        <w:bidi w:val="0"/>
        <w:spacing w:before="0" w:after="360" w:line="240" w:lineRule="auto"/>
        <w:ind w:left="0" w:right="0" w:firstLine="0"/>
        <w:jc w:val="left"/>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1</w:t>
      </w:r>
      <w:bookmarkEnd w:id="1307"/>
      <w:r>
        <w:rPr>
          <w:rFonts w:ascii="Times New Roman" w:eastAsia="Times New Roman" w:hAnsi="Times New Roman" w:cs="Times New Roman"/>
          <w:color w:val="000000"/>
          <w:spacing w:val="0"/>
          <w:w w:val="100"/>
          <w:position w:val="0"/>
        </w:rPr>
        <w:t>8</w:t>
      </w:r>
      <w:r>
        <w:rPr>
          <w:color w:val="000000"/>
          <w:spacing w:val="0"/>
          <w:w w:val="100"/>
          <w:position w:val="0"/>
        </w:rPr>
        <w:t>、无形资产</w:t>
      </w:r>
      <w:bookmarkEnd w:id="1305"/>
      <w:bookmarkEnd w:id="1306"/>
      <w:bookmarkEnd w:id="1308"/>
    </w:p>
    <w:p>
      <w:pPr>
        <w:pStyle w:val="Style102"/>
        <w:keepNext/>
        <w:keepLines/>
        <w:widowControl w:val="0"/>
        <w:shd w:val="clear" w:color="auto" w:fill="auto"/>
        <w:bidi w:val="0"/>
        <w:spacing w:before="0" w:line="240" w:lineRule="auto"/>
        <w:ind w:left="0" w:right="0" w:firstLine="0"/>
        <w:jc w:val="left"/>
      </w:pPr>
      <w:bookmarkStart w:id="1309" w:name="bookmark1309"/>
      <w:bookmarkStart w:id="1310" w:name="bookmark1310"/>
      <w:bookmarkStart w:id="1311" w:name="bookmark13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09"/>
      <w:bookmarkEnd w:id="1310"/>
      <w:bookmarkEnd w:id="1311"/>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软件著作权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9,971,717.33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15,323,814.82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333,628,023.39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5,873,077.71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364,796,633.25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34,836,417.13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248,000.00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35,084,417.13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248,000.00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）内部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34,836,417.13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34,836,417.13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9,971,717.33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15,323,814.82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368,464,440.52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6,121,077.71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399,881,050.38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二、累计摊销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1,799,118.03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12,894,539.48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241,702,469.74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3,172,675.67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259,568,802.92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124,592.00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808,387.68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40,773,410.60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564,998.97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42,271,389.25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124,592.00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808,387.68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40,773,410.60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564,998.97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42,271,389.25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1,923,710.03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13,702,927.16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282,475,880.34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3,737,674.64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301,840,192.17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期末账面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8,048,007.30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1,620,887.66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85,988,560.18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2,383,403.07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98,040,858.21</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期初账面 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8,172,599.30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2,429,275.34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91,925,553.65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2,700,402.04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105,227,830.33</w:t>
            </w:r>
          </w:p>
        </w:tc>
      </w:tr>
    </w:tbl>
    <w:p>
      <w:pPr>
        <w:widowControl w:val="0"/>
        <w:spacing w:after="59" w:line="1" w:lineRule="exact"/>
      </w:pPr>
    </w:p>
    <w:p>
      <w:pPr>
        <w:pStyle w:val="Style1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92.15%</w:t>
      </w:r>
      <w:r>
        <w:rPr>
          <w:color w:val="000000"/>
          <w:spacing w:val="0"/>
          <w:w w:val="100"/>
          <w:position w:val="0"/>
        </w:rPr>
        <w:t>。</w:t>
      </w:r>
    </w:p>
    <w:p>
      <w:pPr>
        <w:pStyle w:val="Style24"/>
        <w:keepNext/>
        <w:keepLines/>
        <w:widowControl w:val="0"/>
        <w:shd w:val="clear" w:color="auto" w:fill="auto"/>
        <w:bidi w:val="0"/>
        <w:spacing w:before="0" w:after="360" w:line="240" w:lineRule="auto"/>
        <w:ind w:left="0" w:right="0" w:firstLine="0"/>
        <w:jc w:val="left"/>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1</w:t>
      </w:r>
      <w:bookmarkEnd w:id="1314"/>
      <w:r>
        <w:rPr>
          <w:rFonts w:ascii="Times New Roman" w:eastAsia="Times New Roman" w:hAnsi="Times New Roman" w:cs="Times New Roman"/>
          <w:color w:val="000000"/>
          <w:spacing w:val="0"/>
          <w:w w:val="100"/>
          <w:position w:val="0"/>
        </w:rPr>
        <w:t>9</w:t>
      </w:r>
      <w:r>
        <w:rPr>
          <w:color w:val="000000"/>
          <w:spacing w:val="0"/>
          <w:w w:val="100"/>
          <w:position w:val="0"/>
        </w:rPr>
        <w:t>、开发支出</w:t>
      </w:r>
      <w:bookmarkEnd w:id="1312"/>
      <w:bookmarkEnd w:id="1313"/>
      <w:bookmarkEnd w:id="1315"/>
    </w:p>
    <w:p>
      <w:pPr>
        <w:pStyle w:val="Style1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1"/>
        <w:gridCol w:w="1066"/>
        <w:gridCol w:w="1066"/>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本期减少金额</w:t>
            </w: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项目</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内部开发支 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确认为无形</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转入当期损 益</w:t>
            </w:r>
          </w:p>
        </w:tc>
        <w:tc>
          <w:tcPr>
            <w:tcBorders>
              <w:top w:val="single" w:sz="4"/>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排水内业处</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理一体化工</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14,964,632.7</w:t>
            </w:r>
          </w:p>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12,254.50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14,976,887.2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1"/>
        <w:gridCol w:w="1066"/>
        <w:gridCol w:w="106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数字政通智 慧城市决策 分析平台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19,853,124.0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19,859,529.8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党建引领基</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层治理平台</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19,036,776.0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19,036,776.0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智慧排水综</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合监管平台</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20,382,629.4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20,382,629.4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城市网格化</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综合管理应</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用支撑平台</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与示范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12,838,212.1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12,838,212.1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省级城市综</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合管理服务</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19,663,058.6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19,663,058.6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市级城市综</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合管理服务</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31,173,195.8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31,173,195.8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34,817,756.7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103,112,532.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34,836,417.1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63,674,466.7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39,419,405.5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659" w:line="1" w:lineRule="exact"/>
      </w:pPr>
    </w:p>
    <w:p>
      <w:pPr>
        <w:pStyle w:val="Style24"/>
        <w:keepNext/>
        <w:keepLines/>
        <w:widowControl w:val="0"/>
        <w:shd w:val="clear" w:color="auto" w:fill="auto"/>
        <w:bidi w:val="0"/>
        <w:spacing w:before="0" w:after="320" w:line="240" w:lineRule="auto"/>
        <w:ind w:left="0" w:right="0" w:firstLine="0"/>
        <w:jc w:val="left"/>
      </w:pPr>
      <w:bookmarkStart w:id="1316" w:name="bookmark1316"/>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2</w:t>
      </w:r>
      <w:bookmarkEnd w:id="1318"/>
      <w:r>
        <w:rPr>
          <w:rFonts w:ascii="Times New Roman" w:eastAsia="Times New Roman" w:hAnsi="Times New Roman" w:cs="Times New Roman"/>
          <w:color w:val="000000"/>
          <w:spacing w:val="0"/>
          <w:w w:val="100"/>
          <w:position w:val="0"/>
        </w:rPr>
        <w:t>0</w:t>
      </w:r>
      <w:r>
        <w:rPr>
          <w:color w:val="000000"/>
          <w:spacing w:val="0"/>
          <w:w w:val="100"/>
          <w:position w:val="0"/>
        </w:rPr>
        <w:t>、商誉</w:t>
      </w:r>
      <w:bookmarkEnd w:id="1316"/>
      <w:bookmarkEnd w:id="1317"/>
      <w:bookmarkEnd w:id="1319"/>
    </w:p>
    <w:p>
      <w:pPr>
        <w:pStyle w:val="Style102"/>
        <w:keepNext/>
        <w:keepLines/>
        <w:widowControl w:val="0"/>
        <w:shd w:val="clear" w:color="auto" w:fill="auto"/>
        <w:bidi w:val="0"/>
        <w:spacing w:before="0" w:line="240" w:lineRule="auto"/>
        <w:ind w:left="0" w:right="0" w:firstLine="0"/>
        <w:jc w:val="left"/>
      </w:pPr>
      <w:bookmarkStart w:id="1320" w:name="bookmark1320"/>
      <w:bookmarkStart w:id="1321" w:name="bookmark1321"/>
      <w:bookmarkStart w:id="1322" w:name="bookmark13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20"/>
      <w:bookmarkEnd w:id="1321"/>
      <w:bookmarkEnd w:id="132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被投资单位名称 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保定金迪地下管 线探测工程有限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440,779,441.04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440,779,441.04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北京数字智通科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27,283,004.88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27,283,004.88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468,062,445.92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468,062,445.92</w:t>
            </w:r>
          </w:p>
        </w:tc>
      </w:tr>
    </w:tbl>
    <w:p>
      <w:pPr>
        <w:widowControl w:val="0"/>
        <w:spacing w:after="319" w:line="1" w:lineRule="exact"/>
      </w:pPr>
    </w:p>
    <w:p>
      <w:pPr>
        <w:pStyle w:val="Style102"/>
        <w:keepNext/>
        <w:keepLines/>
        <w:widowControl w:val="0"/>
        <w:numPr>
          <w:ilvl w:val="0"/>
          <w:numId w:val="111"/>
        </w:numPr>
        <w:shd w:val="clear" w:color="auto" w:fill="auto"/>
        <w:bidi w:val="0"/>
        <w:spacing w:before="0" w:line="240" w:lineRule="auto"/>
        <w:ind w:left="0" w:right="0" w:firstLine="0"/>
        <w:jc w:val="left"/>
      </w:pPr>
      <w:bookmarkStart w:id="1323" w:name="bookmark1323"/>
      <w:bookmarkStart w:id="1324" w:name="bookmark1324"/>
      <w:bookmarkStart w:id="1325" w:name="bookmark1325"/>
      <w:bookmarkStart w:id="1326" w:name="bookmark1326"/>
      <w:bookmarkEnd w:id="1325"/>
      <w:r>
        <w:rPr>
          <w:color w:val="000000"/>
          <w:spacing w:val="0"/>
          <w:w w:val="100"/>
          <w:position w:val="0"/>
        </w:rPr>
        <w:t>商誉减值准备</w:t>
      </w:r>
      <w:bookmarkEnd w:id="1323"/>
      <w:bookmarkEnd w:id="1324"/>
      <w:bookmarkEnd w:id="1326"/>
    </w:p>
    <w:p>
      <w:pPr>
        <w:pStyle w:val="Style1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被投资单位名称 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保定金迪地下管 线探测工程有限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北京数字智通科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27,283,004.88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27,283,004.88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27,283,004.88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27,283,004.88</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59"/>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保定金迪地下管线探测工程有限公司：是公司并购保定金迪地下管线探测工程有限公司、 保定市金迪科技开发有限公司、保定金迪科学仪器有限公司时与商誉相关的资产组组合，该 资产组与购买日以及以前年度商誉减值测试时所确定的资产组组合一致，包括组成资产组的 固定资产、无形资产、其他。</w:t>
      </w:r>
    </w:p>
    <w:p>
      <w:pPr>
        <w:pStyle w:val="Style59"/>
        <w:keepNext w:val="0"/>
        <w:keepLines w:val="0"/>
        <w:widowControl w:val="0"/>
        <w:shd w:val="clear" w:color="auto" w:fill="auto"/>
        <w:bidi w:val="0"/>
        <w:spacing w:before="0" w:after="460" w:line="469" w:lineRule="exact"/>
        <w:ind w:left="0" w:right="0" w:firstLine="480"/>
        <w:jc w:val="both"/>
      </w:pPr>
      <w:r>
        <w:rPr>
          <w:color w:val="000000"/>
          <w:spacing w:val="0"/>
          <w:w w:val="100"/>
          <w:position w:val="0"/>
          <w:sz w:val="24"/>
          <w:szCs w:val="24"/>
        </w:rPr>
        <w:t>公司基于最初收购时的目的（能够产生良好的协同效益）对保定金迪地下管线探测工程 有限公司、保定市金迪科技开发有限公司、保定金迪科学仪器有限公司进行整合（即将保定 市金迪科技开发有限公司和保定金迪科学仪器有限公司从全资子公司变成全资孙公司），整 合好其资产组组合能够产生良好的协同效益，故将上述三家公司作为一个资产组组合予以认 定。</w:t>
      </w:r>
    </w:p>
    <w:p>
      <w:pPr>
        <w:pStyle w:val="Style59"/>
        <w:keepNext w:val="0"/>
        <w:keepLines w:val="0"/>
        <w:widowControl w:val="0"/>
        <w:shd w:val="clear" w:color="auto" w:fill="auto"/>
        <w:bidi w:val="0"/>
        <w:spacing w:before="0" w:after="460" w:line="470" w:lineRule="exact"/>
        <w:ind w:left="0" w:right="0" w:firstLine="480"/>
        <w:jc w:val="both"/>
      </w:pPr>
      <w:r>
        <w:rPr>
          <w:color w:val="000000"/>
          <w:spacing w:val="0"/>
          <w:w w:val="100"/>
          <w:position w:val="0"/>
          <w:sz w:val="24"/>
          <w:szCs w:val="24"/>
        </w:rPr>
        <w:t>北京数字智通科技有限公司：是公司并购北京数字智通科技有限公司形成商誉相关的资 产组，该资产组与购买日以及以前年度商誉减值测试时所确定的资产组一致，包括组成资产 组的固定资产、无形资产、其他。</w:t>
      </w:r>
    </w:p>
    <w:p>
      <w:pPr>
        <w:pStyle w:val="Style59"/>
        <w:keepNext w:val="0"/>
        <w:keepLines w:val="0"/>
        <w:widowControl w:val="0"/>
        <w:shd w:val="clear" w:color="auto" w:fill="auto"/>
        <w:bidi w:val="0"/>
        <w:spacing w:before="0" w:after="0" w:line="467" w:lineRule="exact"/>
        <w:ind w:left="0" w:right="0" w:firstLine="480"/>
        <w:jc w:val="both"/>
      </w:pPr>
      <w:r>
        <w:rPr>
          <w:color w:val="000000"/>
          <w:spacing w:val="0"/>
          <w:w w:val="100"/>
          <w:position w:val="0"/>
          <w:sz w:val="24"/>
          <w:szCs w:val="24"/>
        </w:rPr>
        <w:t>说明：上述资产组预计未来现金流量的现值（可收回金额）利用了北京中天华资产评估 有限责任公司出具的中天华资评报字</w:t>
      </w:r>
      <w:r>
        <w:rPr>
          <w:color w:val="000000"/>
          <w:spacing w:val="0"/>
          <w:w w:val="100"/>
          <w:position w:val="0"/>
          <w:sz w:val="24"/>
          <w:szCs w:val="24"/>
        </w:rPr>
        <w:t>［2022］</w:t>
      </w:r>
      <w:r>
        <w:rPr>
          <w:color w:val="000000"/>
          <w:spacing w:val="0"/>
          <w:w w:val="100"/>
          <w:position w:val="0"/>
          <w:sz w:val="24"/>
          <w:szCs w:val="24"/>
        </w:rPr>
        <w:t>第10397号《北京数字政通科技股份有限公司以财 务报告为目的的商誉减值测试所涉及的保定金迪地下管线探测工程有限公司相关资产组组合 可回收价值资产评估报告》的评估结果。</w:t>
      </w:r>
    </w:p>
    <w:p>
      <w:pPr>
        <w:pStyle w:val="Style59"/>
        <w:keepNext w:val="0"/>
        <w:keepLines w:val="0"/>
        <w:widowControl w:val="0"/>
        <w:shd w:val="clear" w:color="auto" w:fill="auto"/>
        <w:bidi w:val="0"/>
        <w:spacing w:before="0" w:after="0" w:line="467" w:lineRule="exact"/>
        <w:ind w:left="0" w:right="0" w:firstLine="480"/>
        <w:jc w:val="both"/>
      </w:pPr>
      <w:r>
        <w:rPr>
          <w:color w:val="000000"/>
          <w:spacing w:val="0"/>
          <w:w w:val="100"/>
          <w:position w:val="0"/>
          <w:sz w:val="24"/>
          <w:szCs w:val="24"/>
        </w:rPr>
        <w:t>说明商誉减值测试过程、关键参数（如预计未来现金流量现值时的预测期增长率、稳定 期增长率、利润率、折现率、预测期等）及商誉减值损失的确认方法：</w:t>
      </w:r>
    </w:p>
    <w:p>
      <w:pPr>
        <w:pStyle w:val="Style59"/>
        <w:keepNext w:val="0"/>
        <w:keepLines w:val="0"/>
        <w:widowControl w:val="0"/>
        <w:numPr>
          <w:ilvl w:val="0"/>
          <w:numId w:val="113"/>
        </w:numPr>
        <w:shd w:val="clear" w:color="auto" w:fill="auto"/>
        <w:bidi w:val="0"/>
        <w:spacing w:before="0" w:after="0" w:line="467" w:lineRule="exact"/>
        <w:ind w:left="0" w:right="0" w:firstLine="480"/>
        <w:jc w:val="both"/>
      </w:pPr>
      <w:bookmarkStart w:id="1327" w:name="bookmark1327"/>
      <w:bookmarkEnd w:id="1327"/>
      <w:r>
        <w:rPr>
          <w:color w:val="000000"/>
          <w:spacing w:val="0"/>
          <w:w w:val="100"/>
          <w:position w:val="0"/>
          <w:sz w:val="24"/>
          <w:szCs w:val="24"/>
        </w:rPr>
        <w:t>商誉减值测试过程</w:t>
      </w:r>
    </w:p>
    <w:p>
      <w:pPr>
        <w:pStyle w:val="Style59"/>
        <w:keepNext w:val="0"/>
        <w:keepLines w:val="0"/>
        <w:widowControl w:val="0"/>
        <w:shd w:val="clear" w:color="auto" w:fill="auto"/>
        <w:bidi w:val="0"/>
        <w:spacing w:before="0" w:after="760" w:line="469" w:lineRule="exact"/>
        <w:ind w:left="0" w:right="0" w:firstLine="480"/>
        <w:jc w:val="both"/>
      </w:pPr>
      <w:r>
        <w:rPr>
          <w:color w:val="000000"/>
          <w:spacing w:val="0"/>
          <w:w w:val="100"/>
          <w:position w:val="0"/>
          <w:sz w:val="24"/>
          <w:szCs w:val="24"/>
        </w:rPr>
        <w:t>截止2018年12月31日北京数字智通科技有限公司商誉已全额计提减值准备。本期末公司</w:t>
        <w:br w:type="page"/>
      </w:r>
      <w:r>
        <w:rPr>
          <w:color w:val="000000"/>
          <w:spacing w:val="0"/>
          <w:w w:val="100"/>
          <w:position w:val="0"/>
          <w:sz w:val="24"/>
          <w:szCs w:val="24"/>
        </w:rPr>
        <w:t>对与形成保定金迪地下管线探测工程有限公司商誉相关的各资产组进行了减值测试，首先将 该商誉及归属于少数股东权益的商誉包括在内，调整各资产组的账面价值，然后将调整后的 各资产组账面价值与其可收回金额进行比较，以确定各资产组（包括商誉）是否发生了减值。</w:t>
      </w:r>
    </w:p>
    <w:p>
      <w:pPr>
        <w:pStyle w:val="Style1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商誉减值测试情况如下：</w:t>
      </w:r>
    </w:p>
    <w:p>
      <w:pPr>
        <w:pStyle w:val="Style14"/>
        <w:keepNext w:val="0"/>
        <w:keepLines w:val="0"/>
        <w:widowControl w:val="0"/>
        <w:shd w:val="clear" w:color="auto" w:fill="auto"/>
        <w:bidi w:val="0"/>
        <w:spacing w:before="0" w:after="100" w:line="240" w:lineRule="auto"/>
        <w:ind w:left="0" w:right="0" w:firstLine="0"/>
        <w:jc w:val="left"/>
      </w:pPr>
      <w:r>
        <mc:AlternateContent>
          <mc:Choice Requires="wps">
            <w:drawing>
              <wp:anchor distT="0" distB="0" distL="114300" distR="114300" simplePos="0" relativeHeight="125829491" behindDoc="0" locked="0" layoutInCell="1" allowOverlap="1">
                <wp:simplePos x="0" y="0"/>
                <wp:positionH relativeFrom="page">
                  <wp:posOffset>4429125</wp:posOffset>
                </wp:positionH>
                <wp:positionV relativeFrom="paragraph">
                  <wp:posOffset>12700</wp:posOffset>
                </wp:positionV>
                <wp:extent cx="1852930" cy="1844040"/>
                <wp:wrapSquare wrapText="left"/>
                <wp:docPr id="162" name="Shape 162"/>
                <a:graphic xmlns:a="http://schemas.openxmlformats.org/drawingml/2006/main">
                  <a:graphicData uri="http://schemas.microsoft.com/office/word/2010/wordprocessingShape">
                    <wps:wsp>
                      <wps:cNvSpPr txBox="1"/>
                      <wps:spPr>
                        <a:xfrm>
                          <a:ext cx="1852930" cy="1844040"/>
                        </a:xfrm>
                        <a:prstGeom prst="rect"/>
                        <a:noFill/>
                      </wps:spPr>
                      <wps:txbx>
                        <w:txbxContent>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u w:val="single"/>
                              </w:rPr>
                              <w:t>保定金迪地下管线探测工程有限公司</w:t>
                            </w:r>
                          </w:p>
                          <w:p>
                            <w:pPr>
                              <w:pStyle w:val="Style124"/>
                              <w:keepNext w:val="0"/>
                              <w:keepLines w:val="0"/>
                              <w:widowControl w:val="0"/>
                              <w:shd w:val="clear" w:color="auto" w:fill="auto"/>
                              <w:bidi w:val="0"/>
                              <w:spacing w:before="0" w:line="240" w:lineRule="auto"/>
                              <w:ind w:right="0" w:firstLine="0"/>
                              <w:jc w:val="both"/>
                            </w:pPr>
                            <w:r>
                              <w:rPr>
                                <w:color w:val="000000"/>
                                <w:spacing w:val="0"/>
                                <w:w w:val="100"/>
                                <w:position w:val="0"/>
                              </w:rPr>
                              <w:t>440,779,441.04</w:t>
                            </w:r>
                          </w:p>
                          <w:p>
                            <w:pPr>
                              <w:pStyle w:val="Style124"/>
                              <w:keepNext w:val="0"/>
                              <w:keepLines w:val="0"/>
                              <w:widowControl w:val="0"/>
                              <w:shd w:val="clear" w:color="auto" w:fill="auto"/>
                              <w:bidi w:val="0"/>
                              <w:spacing w:before="0" w:line="240" w:lineRule="auto"/>
                              <w:ind w:left="0" w:right="0" w:firstLine="0"/>
                              <w:jc w:val="right"/>
                            </w:pPr>
                            <w:r>
                              <w:rPr>
                                <w:color w:val="000000"/>
                                <w:spacing w:val="0"/>
                                <w:w w:val="100"/>
                                <w:position w:val="0"/>
                              </w:rPr>
                              <w:t>-</w:t>
                            </w:r>
                          </w:p>
                          <w:p>
                            <w:pPr>
                              <w:pStyle w:val="Style124"/>
                              <w:keepNext w:val="0"/>
                              <w:keepLines w:val="0"/>
                              <w:widowControl w:val="0"/>
                              <w:shd w:val="clear" w:color="auto" w:fill="auto"/>
                              <w:bidi w:val="0"/>
                              <w:spacing w:before="0" w:line="240" w:lineRule="auto"/>
                              <w:ind w:right="0" w:firstLine="0"/>
                              <w:jc w:val="both"/>
                            </w:pPr>
                            <w:r>
                              <w:rPr>
                                <w:color w:val="000000"/>
                                <w:spacing w:val="0"/>
                                <w:w w:val="100"/>
                                <w:position w:val="0"/>
                              </w:rPr>
                              <w:t>440,779,441.04</w:t>
                            </w:r>
                          </w:p>
                          <w:p>
                            <w:pPr>
                              <w:pStyle w:val="Style124"/>
                              <w:keepNext w:val="0"/>
                              <w:keepLines w:val="0"/>
                              <w:widowControl w:val="0"/>
                              <w:shd w:val="clear" w:color="auto" w:fill="auto"/>
                              <w:bidi w:val="0"/>
                              <w:spacing w:before="0" w:line="240" w:lineRule="auto"/>
                              <w:ind w:right="0" w:firstLine="0"/>
                              <w:jc w:val="both"/>
                            </w:pPr>
                            <w:r>
                              <w:rPr>
                                <w:color w:val="000000"/>
                                <w:spacing w:val="0"/>
                                <w:w w:val="100"/>
                                <w:position w:val="0"/>
                              </w:rPr>
                              <w:t>146,926,480.35</w:t>
                            </w:r>
                          </w:p>
                          <w:p>
                            <w:pPr>
                              <w:pStyle w:val="Style124"/>
                              <w:keepNext w:val="0"/>
                              <w:keepLines w:val="0"/>
                              <w:widowControl w:val="0"/>
                              <w:shd w:val="clear" w:color="auto" w:fill="auto"/>
                              <w:bidi w:val="0"/>
                              <w:spacing w:before="0" w:line="240" w:lineRule="auto"/>
                              <w:ind w:right="0" w:firstLine="0"/>
                              <w:jc w:val="both"/>
                            </w:pPr>
                            <w:r>
                              <w:rPr>
                                <w:color w:val="000000"/>
                                <w:spacing w:val="0"/>
                                <w:w w:val="100"/>
                                <w:position w:val="0"/>
                              </w:rPr>
                              <w:t>587,705,921.39</w:t>
                            </w:r>
                          </w:p>
                          <w:p>
                            <w:pPr>
                              <w:pStyle w:val="Style124"/>
                              <w:keepNext w:val="0"/>
                              <w:keepLines w:val="0"/>
                              <w:widowControl w:val="0"/>
                              <w:shd w:val="clear" w:color="auto" w:fill="auto"/>
                              <w:bidi w:val="0"/>
                              <w:spacing w:before="0" w:line="240" w:lineRule="auto"/>
                              <w:ind w:right="0" w:firstLine="0"/>
                              <w:jc w:val="both"/>
                            </w:pPr>
                            <w:r>
                              <w:rPr>
                                <w:color w:val="000000"/>
                                <w:spacing w:val="0"/>
                                <w:w w:val="100"/>
                                <w:position w:val="0"/>
                              </w:rPr>
                              <w:t>442,698,656.55</w:t>
                            </w:r>
                          </w:p>
                          <w:p>
                            <w:pPr>
                              <w:pStyle w:val="Style124"/>
                              <w:keepNext w:val="0"/>
                              <w:keepLines w:val="0"/>
                              <w:widowControl w:val="0"/>
                              <w:shd w:val="clear" w:color="auto" w:fill="auto"/>
                              <w:bidi w:val="0"/>
                              <w:spacing w:before="0" w:line="240" w:lineRule="auto"/>
                              <w:ind w:left="0" w:right="0" w:firstLine="0"/>
                              <w:jc w:val="right"/>
                            </w:pPr>
                            <w:r>
                              <w:rPr>
                                <w:color w:val="000000"/>
                                <w:spacing w:val="0"/>
                                <w:w w:val="100"/>
                                <w:position w:val="0"/>
                              </w:rPr>
                              <w:t>1,030,404,577.94</w:t>
                            </w:r>
                          </w:p>
                          <w:p>
                            <w:pPr>
                              <w:pStyle w:val="Style124"/>
                              <w:keepNext w:val="0"/>
                              <w:keepLines w:val="0"/>
                              <w:widowControl w:val="0"/>
                              <w:shd w:val="clear" w:color="auto" w:fill="auto"/>
                              <w:bidi w:val="0"/>
                              <w:spacing w:before="0" w:line="240" w:lineRule="auto"/>
                              <w:ind w:left="0" w:right="0" w:firstLine="0"/>
                              <w:jc w:val="right"/>
                            </w:pPr>
                            <w:r>
                              <w:rPr>
                                <w:color w:val="000000"/>
                                <w:spacing w:val="0"/>
                                <w:w w:val="100"/>
                                <w:position w:val="0"/>
                              </w:rPr>
                              <w:t>1,049,466,653.82</w:t>
                            </w:r>
                          </w:p>
                        </w:txbxContent>
                      </wps:txbx>
                      <wps:bodyPr lIns="0" tIns="0" rIns="0" bIns="0">
                        <a:noAutoFit/>
                      </wps:bodyPr>
                    </wps:wsp>
                  </a:graphicData>
                </a:graphic>
              </wp:anchor>
            </w:drawing>
          </mc:Choice>
          <mc:Fallback>
            <w:pict>
              <v:shape id="_x0000_s1188" type="#_x0000_t202" style="position:absolute;margin-left:348.75pt;margin-top:1.pt;width:145.90000000000001pt;height:145.20000000000002pt;z-index:-125829262;mso-wrap-distance-left:9.pt;mso-wrap-distance-right:9.pt;mso-position-horizontal-relative:page" filled="f" stroked="f">
                <v:textbox inset="0,0,0,0">
                  <w:txbxContent>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u w:val="single"/>
                        </w:rPr>
                        <w:t>保定金迪地下管线探测工程有限公司</w:t>
                      </w:r>
                    </w:p>
                    <w:p>
                      <w:pPr>
                        <w:pStyle w:val="Style124"/>
                        <w:keepNext w:val="0"/>
                        <w:keepLines w:val="0"/>
                        <w:widowControl w:val="0"/>
                        <w:shd w:val="clear" w:color="auto" w:fill="auto"/>
                        <w:bidi w:val="0"/>
                        <w:spacing w:before="0" w:line="240" w:lineRule="auto"/>
                        <w:ind w:right="0" w:firstLine="0"/>
                        <w:jc w:val="both"/>
                      </w:pPr>
                      <w:r>
                        <w:rPr>
                          <w:color w:val="000000"/>
                          <w:spacing w:val="0"/>
                          <w:w w:val="100"/>
                          <w:position w:val="0"/>
                        </w:rPr>
                        <w:t>440,779,441.04</w:t>
                      </w:r>
                    </w:p>
                    <w:p>
                      <w:pPr>
                        <w:pStyle w:val="Style124"/>
                        <w:keepNext w:val="0"/>
                        <w:keepLines w:val="0"/>
                        <w:widowControl w:val="0"/>
                        <w:shd w:val="clear" w:color="auto" w:fill="auto"/>
                        <w:bidi w:val="0"/>
                        <w:spacing w:before="0" w:line="240" w:lineRule="auto"/>
                        <w:ind w:left="0" w:right="0" w:firstLine="0"/>
                        <w:jc w:val="right"/>
                      </w:pPr>
                      <w:r>
                        <w:rPr>
                          <w:color w:val="000000"/>
                          <w:spacing w:val="0"/>
                          <w:w w:val="100"/>
                          <w:position w:val="0"/>
                        </w:rPr>
                        <w:t>-</w:t>
                      </w:r>
                    </w:p>
                    <w:p>
                      <w:pPr>
                        <w:pStyle w:val="Style124"/>
                        <w:keepNext w:val="0"/>
                        <w:keepLines w:val="0"/>
                        <w:widowControl w:val="0"/>
                        <w:shd w:val="clear" w:color="auto" w:fill="auto"/>
                        <w:bidi w:val="0"/>
                        <w:spacing w:before="0" w:line="240" w:lineRule="auto"/>
                        <w:ind w:right="0" w:firstLine="0"/>
                        <w:jc w:val="both"/>
                      </w:pPr>
                      <w:r>
                        <w:rPr>
                          <w:color w:val="000000"/>
                          <w:spacing w:val="0"/>
                          <w:w w:val="100"/>
                          <w:position w:val="0"/>
                        </w:rPr>
                        <w:t>440,779,441.04</w:t>
                      </w:r>
                    </w:p>
                    <w:p>
                      <w:pPr>
                        <w:pStyle w:val="Style124"/>
                        <w:keepNext w:val="0"/>
                        <w:keepLines w:val="0"/>
                        <w:widowControl w:val="0"/>
                        <w:shd w:val="clear" w:color="auto" w:fill="auto"/>
                        <w:bidi w:val="0"/>
                        <w:spacing w:before="0" w:line="240" w:lineRule="auto"/>
                        <w:ind w:right="0" w:firstLine="0"/>
                        <w:jc w:val="both"/>
                      </w:pPr>
                      <w:r>
                        <w:rPr>
                          <w:color w:val="000000"/>
                          <w:spacing w:val="0"/>
                          <w:w w:val="100"/>
                          <w:position w:val="0"/>
                        </w:rPr>
                        <w:t>146,926,480.35</w:t>
                      </w:r>
                    </w:p>
                    <w:p>
                      <w:pPr>
                        <w:pStyle w:val="Style124"/>
                        <w:keepNext w:val="0"/>
                        <w:keepLines w:val="0"/>
                        <w:widowControl w:val="0"/>
                        <w:shd w:val="clear" w:color="auto" w:fill="auto"/>
                        <w:bidi w:val="0"/>
                        <w:spacing w:before="0" w:line="240" w:lineRule="auto"/>
                        <w:ind w:right="0" w:firstLine="0"/>
                        <w:jc w:val="both"/>
                      </w:pPr>
                      <w:r>
                        <w:rPr>
                          <w:color w:val="000000"/>
                          <w:spacing w:val="0"/>
                          <w:w w:val="100"/>
                          <w:position w:val="0"/>
                        </w:rPr>
                        <w:t>587,705,921.39</w:t>
                      </w:r>
                    </w:p>
                    <w:p>
                      <w:pPr>
                        <w:pStyle w:val="Style124"/>
                        <w:keepNext w:val="0"/>
                        <w:keepLines w:val="0"/>
                        <w:widowControl w:val="0"/>
                        <w:shd w:val="clear" w:color="auto" w:fill="auto"/>
                        <w:bidi w:val="0"/>
                        <w:spacing w:before="0" w:line="240" w:lineRule="auto"/>
                        <w:ind w:right="0" w:firstLine="0"/>
                        <w:jc w:val="both"/>
                      </w:pPr>
                      <w:r>
                        <w:rPr>
                          <w:color w:val="000000"/>
                          <w:spacing w:val="0"/>
                          <w:w w:val="100"/>
                          <w:position w:val="0"/>
                        </w:rPr>
                        <w:t>442,698,656.55</w:t>
                      </w:r>
                    </w:p>
                    <w:p>
                      <w:pPr>
                        <w:pStyle w:val="Style124"/>
                        <w:keepNext w:val="0"/>
                        <w:keepLines w:val="0"/>
                        <w:widowControl w:val="0"/>
                        <w:shd w:val="clear" w:color="auto" w:fill="auto"/>
                        <w:bidi w:val="0"/>
                        <w:spacing w:before="0" w:line="240" w:lineRule="auto"/>
                        <w:ind w:left="0" w:right="0" w:firstLine="0"/>
                        <w:jc w:val="right"/>
                      </w:pPr>
                      <w:r>
                        <w:rPr>
                          <w:color w:val="000000"/>
                          <w:spacing w:val="0"/>
                          <w:w w:val="100"/>
                          <w:position w:val="0"/>
                        </w:rPr>
                        <w:t>1,030,404,577.94</w:t>
                      </w:r>
                    </w:p>
                    <w:p>
                      <w:pPr>
                        <w:pStyle w:val="Style124"/>
                        <w:keepNext w:val="0"/>
                        <w:keepLines w:val="0"/>
                        <w:widowControl w:val="0"/>
                        <w:shd w:val="clear" w:color="auto" w:fill="auto"/>
                        <w:bidi w:val="0"/>
                        <w:spacing w:before="0" w:line="240" w:lineRule="auto"/>
                        <w:ind w:left="0" w:right="0" w:firstLine="0"/>
                        <w:jc w:val="right"/>
                      </w:pPr>
                      <w:r>
                        <w:rPr>
                          <w:color w:val="000000"/>
                          <w:spacing w:val="0"/>
                          <w:w w:val="100"/>
                          <w:position w:val="0"/>
                        </w:rPr>
                        <w:t>1,049,466,653.82</w:t>
                      </w:r>
                    </w:p>
                  </w:txbxContent>
                </v:textbox>
                <w10:wrap type="square" side="left" anchorx="page"/>
              </v:shape>
            </w:pict>
          </mc:Fallback>
        </mc:AlternateContent>
      </w:r>
      <w:r>
        <w:rPr>
          <w:color w:val="000000"/>
          <w:spacing w:val="0"/>
          <w:w w:val="100"/>
          <w:position w:val="0"/>
          <w:u w:val="single"/>
        </w:rPr>
        <w:t>项目</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商誉账面余额①</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商誉减值准备余额②</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商誉的账面价值③=①</w:t>
      </w:r>
      <w:r>
        <w:rPr>
          <w:rFonts w:ascii="Times New Roman" w:eastAsia="Times New Roman" w:hAnsi="Times New Roman" w:cs="Times New Roman"/>
          <w:color w:val="000000"/>
          <w:spacing w:val="0"/>
          <w:w w:val="100"/>
          <w:position w:val="0"/>
        </w:rPr>
        <w:t>-</w:t>
      </w:r>
      <w:r>
        <w:rPr>
          <w:color w:val="000000"/>
          <w:spacing w:val="0"/>
          <w:w w:val="100"/>
          <w:position w:val="0"/>
        </w:rPr>
        <w:t>②</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未确认归属于少数股东权益的商誉价值④</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包含未确认归属于少数股东权益的商誉价值⑤</w:t>
      </w:r>
      <w:r>
        <w:rPr>
          <w:rFonts w:ascii="Times New Roman" w:eastAsia="Times New Roman" w:hAnsi="Times New Roman" w:cs="Times New Roman"/>
          <w:color w:val="000000"/>
          <w:spacing w:val="0"/>
          <w:w w:val="100"/>
          <w:position w:val="0"/>
        </w:rPr>
        <w:t>=</w:t>
      </w:r>
      <w:r>
        <w:rPr>
          <w:color w:val="000000"/>
          <w:spacing w:val="0"/>
          <w:w w:val="100"/>
          <w:position w:val="0"/>
        </w:rPr>
        <w:t>④</w:t>
      </w:r>
      <w:r>
        <w:rPr>
          <w:rFonts w:ascii="Times New Roman" w:eastAsia="Times New Roman" w:hAnsi="Times New Roman" w:cs="Times New Roman"/>
          <w:color w:val="000000"/>
          <w:spacing w:val="0"/>
          <w:w w:val="100"/>
          <w:position w:val="0"/>
        </w:rPr>
        <w:t>+</w:t>
      </w:r>
      <w:r>
        <w:rPr>
          <w:color w:val="000000"/>
          <w:spacing w:val="0"/>
          <w:w w:val="100"/>
          <w:position w:val="0"/>
        </w:rPr>
        <w:t>③</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资产组的账面价值⑥</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包含整体商誉的资产组的公允价值⑦</w:t>
      </w:r>
      <w:r>
        <w:rPr>
          <w:color w:val="000000"/>
          <w:spacing w:val="0"/>
          <w:w w:val="100"/>
          <w:position w:val="0"/>
        </w:rPr>
        <w:t>二</w:t>
      </w:r>
      <w:r>
        <w:rPr>
          <w:color w:val="000000"/>
          <w:spacing w:val="0"/>
          <w:w w:val="100"/>
          <w:position w:val="0"/>
        </w:rPr>
        <w:t>⑤</w:t>
      </w:r>
      <w:r>
        <w:rPr>
          <w:rFonts w:ascii="Times New Roman" w:eastAsia="Times New Roman" w:hAnsi="Times New Roman" w:cs="Times New Roman"/>
          <w:color w:val="000000"/>
          <w:spacing w:val="0"/>
          <w:w w:val="100"/>
          <w:position w:val="0"/>
        </w:rPr>
        <w:t>+</w:t>
      </w:r>
      <w:r>
        <w:rPr>
          <w:color w:val="000000"/>
          <w:spacing w:val="0"/>
          <w:w w:val="100"/>
          <w:position w:val="0"/>
        </w:rPr>
        <w:t>⑥</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资产组预计未来现金流量的现值（可回收金额）⑧</w:t>
      </w:r>
    </w:p>
    <w:p>
      <w:pPr>
        <w:pStyle w:val="Style14"/>
        <w:keepNext w:val="0"/>
        <w:keepLines w:val="0"/>
        <w:widowControl w:val="0"/>
        <w:shd w:val="clear" w:color="auto" w:fill="auto"/>
        <w:bidi w:val="0"/>
        <w:spacing w:before="0" w:after="580" w:line="240" w:lineRule="auto"/>
        <w:ind w:left="0" w:right="0" w:firstLine="0"/>
        <w:jc w:val="left"/>
      </w:pPr>
      <w:r>
        <w:rPr>
          <w:color w:val="000000"/>
          <w:spacing w:val="0"/>
          <w:w w:val="100"/>
          <w:position w:val="0"/>
        </w:rPr>
        <w:t>商誉减值损失（大于</w:t>
      </w:r>
      <w:r>
        <w:rPr>
          <w:rFonts w:ascii="Times New Roman" w:eastAsia="Times New Roman" w:hAnsi="Times New Roman" w:cs="Times New Roman"/>
          <w:color w:val="000000"/>
          <w:spacing w:val="0"/>
          <w:w w:val="100"/>
          <w:position w:val="0"/>
        </w:rPr>
        <w:t>0</w:t>
      </w:r>
      <w:r>
        <w:rPr>
          <w:color w:val="000000"/>
          <w:spacing w:val="0"/>
          <w:w w:val="100"/>
          <w:position w:val="0"/>
        </w:rPr>
        <w:t>时）⑨</w:t>
      </w:r>
      <w:r>
        <w:rPr>
          <w:color w:val="000000"/>
          <w:spacing w:val="0"/>
          <w:w w:val="100"/>
          <w:position w:val="0"/>
        </w:rPr>
        <w:t>二</w:t>
      </w:r>
      <w:r>
        <w:rPr>
          <w:color w:val="000000"/>
          <w:spacing w:val="0"/>
          <w:w w:val="100"/>
          <w:position w:val="0"/>
        </w:rPr>
        <w:t>⑦</w:t>
      </w:r>
      <w:r>
        <w:rPr>
          <w:rFonts w:ascii="Times New Roman" w:eastAsia="Times New Roman" w:hAnsi="Times New Roman" w:cs="Times New Roman"/>
          <w:color w:val="000000"/>
          <w:spacing w:val="0"/>
          <w:w w:val="100"/>
          <w:position w:val="0"/>
        </w:rPr>
        <w:t>-</w:t>
      </w:r>
      <w:r>
        <w:rPr>
          <w:color w:val="000000"/>
          <w:spacing w:val="0"/>
          <w:w w:val="100"/>
          <w:position w:val="0"/>
        </w:rPr>
        <w:t>⑧</w:t>
      </w:r>
    </w:p>
    <w:p>
      <w:pPr>
        <w:pStyle w:val="Style59"/>
        <w:keepNext w:val="0"/>
        <w:keepLines w:val="0"/>
        <w:widowControl w:val="0"/>
        <w:numPr>
          <w:ilvl w:val="0"/>
          <w:numId w:val="113"/>
        </w:numPr>
        <w:shd w:val="clear" w:color="auto" w:fill="auto"/>
        <w:bidi w:val="0"/>
        <w:spacing w:before="0" w:after="0" w:line="469" w:lineRule="exact"/>
        <w:ind w:left="0" w:right="0" w:firstLine="620"/>
        <w:jc w:val="both"/>
      </w:pPr>
      <w:bookmarkStart w:id="1328" w:name="bookmark1328"/>
      <w:bookmarkEnd w:id="1328"/>
      <w:r>
        <w:rPr>
          <w:color w:val="000000"/>
          <w:spacing w:val="0"/>
          <w:w w:val="100"/>
          <w:position w:val="0"/>
          <w:sz w:val="24"/>
          <w:szCs w:val="24"/>
        </w:rPr>
        <w:t>重要假设及依据</w:t>
      </w:r>
    </w:p>
    <w:p>
      <w:pPr>
        <w:pStyle w:val="Style59"/>
        <w:keepNext w:val="0"/>
        <w:keepLines w:val="0"/>
        <w:widowControl w:val="0"/>
        <w:shd w:val="clear" w:color="auto" w:fill="auto"/>
        <w:tabs>
          <w:tab w:pos="858" w:val="left"/>
        </w:tabs>
        <w:bidi w:val="0"/>
        <w:spacing w:before="0" w:after="0" w:line="469" w:lineRule="exact"/>
        <w:ind w:left="0" w:right="0" w:firstLine="500"/>
        <w:jc w:val="both"/>
      </w:pPr>
      <w:bookmarkStart w:id="1329" w:name="bookmark1329"/>
      <w:r>
        <w:rPr>
          <w:color w:val="000000"/>
          <w:spacing w:val="0"/>
          <w:w w:val="100"/>
          <w:position w:val="0"/>
          <w:sz w:val="24"/>
          <w:szCs w:val="24"/>
        </w:rPr>
        <w:t>1</w:t>
      </w:r>
      <w:bookmarkEnd w:id="1329"/>
      <w:r>
        <w:rPr>
          <w:color w:val="000000"/>
          <w:spacing w:val="0"/>
          <w:w w:val="100"/>
          <w:position w:val="0"/>
          <w:sz w:val="24"/>
          <w:szCs w:val="24"/>
        </w:rPr>
        <w:t>）</w:t>
        <w:tab/>
        <w:t>假设保定金迪地下管线探测工程有限公司持续性经营，并在经营范围、销售模式和渠 道、管理层等影响到生产和经营的关键方面与目前情况无重大变化；</w:t>
      </w:r>
    </w:p>
    <w:p>
      <w:pPr>
        <w:pStyle w:val="Style59"/>
        <w:keepNext w:val="0"/>
        <w:keepLines w:val="0"/>
        <w:widowControl w:val="0"/>
        <w:shd w:val="clear" w:color="auto" w:fill="auto"/>
        <w:tabs>
          <w:tab w:pos="858" w:val="left"/>
        </w:tabs>
        <w:bidi w:val="0"/>
        <w:spacing w:before="0" w:after="0" w:line="469" w:lineRule="exact"/>
        <w:ind w:left="0" w:right="0" w:firstLine="500"/>
        <w:jc w:val="both"/>
      </w:pPr>
      <w:bookmarkStart w:id="1330" w:name="bookmark1330"/>
      <w:r>
        <w:rPr>
          <w:color w:val="000000"/>
          <w:spacing w:val="0"/>
          <w:w w:val="100"/>
          <w:position w:val="0"/>
          <w:sz w:val="24"/>
          <w:szCs w:val="24"/>
        </w:rPr>
        <w:t>2</w:t>
      </w:r>
      <w:bookmarkEnd w:id="1330"/>
      <w:r>
        <w:rPr>
          <w:color w:val="000000"/>
          <w:spacing w:val="0"/>
          <w:w w:val="100"/>
          <w:position w:val="0"/>
          <w:sz w:val="24"/>
          <w:szCs w:val="24"/>
        </w:rPr>
        <w:t>）</w:t>
        <w:tab/>
        <w:t>假设保定金迪地下管线探测工程有限公司所处的社会经济环境不产生较大的变化，国 家及公司所在的地区有关法律、法规、政策与现时无重大变化；</w:t>
      </w:r>
    </w:p>
    <w:p>
      <w:pPr>
        <w:pStyle w:val="Style59"/>
        <w:keepNext w:val="0"/>
        <w:keepLines w:val="0"/>
        <w:widowControl w:val="0"/>
        <w:shd w:val="clear" w:color="auto" w:fill="auto"/>
        <w:tabs>
          <w:tab w:pos="848" w:val="left"/>
        </w:tabs>
        <w:bidi w:val="0"/>
        <w:spacing w:before="0" w:after="0" w:line="469" w:lineRule="exact"/>
        <w:ind w:left="0" w:right="0" w:firstLine="500"/>
        <w:jc w:val="both"/>
      </w:pPr>
      <w:bookmarkStart w:id="1331" w:name="bookmark1331"/>
      <w:r>
        <w:rPr>
          <w:color w:val="000000"/>
          <w:spacing w:val="0"/>
          <w:w w:val="100"/>
          <w:position w:val="0"/>
          <w:sz w:val="24"/>
          <w:szCs w:val="24"/>
        </w:rPr>
        <w:t>3</w:t>
      </w:r>
      <w:bookmarkEnd w:id="1331"/>
      <w:r>
        <w:rPr>
          <w:color w:val="000000"/>
          <w:spacing w:val="0"/>
          <w:w w:val="100"/>
          <w:position w:val="0"/>
          <w:sz w:val="24"/>
          <w:szCs w:val="24"/>
        </w:rPr>
        <w:t>）</w:t>
        <w:tab/>
        <w:t>假设保定金迪地下管线探测工程有限公司经营范围、经营方式、管理模式等在保持一 贯性的基础上不断改进、不断完善；</w:t>
      </w:r>
    </w:p>
    <w:p>
      <w:pPr>
        <w:pStyle w:val="Style59"/>
        <w:keepNext w:val="0"/>
        <w:keepLines w:val="0"/>
        <w:widowControl w:val="0"/>
        <w:shd w:val="clear" w:color="auto" w:fill="auto"/>
        <w:tabs>
          <w:tab w:pos="832" w:val="left"/>
        </w:tabs>
        <w:bidi w:val="0"/>
        <w:spacing w:before="0" w:after="0" w:line="469" w:lineRule="exact"/>
        <w:ind w:left="0" w:right="0" w:firstLine="500"/>
        <w:jc w:val="both"/>
      </w:pPr>
      <w:bookmarkStart w:id="1332" w:name="bookmark1332"/>
      <w:r>
        <w:rPr>
          <w:color w:val="000000"/>
          <w:spacing w:val="0"/>
          <w:w w:val="100"/>
          <w:position w:val="0"/>
          <w:sz w:val="24"/>
          <w:szCs w:val="24"/>
        </w:rPr>
        <w:t>4</w:t>
      </w:r>
      <w:bookmarkEnd w:id="1332"/>
      <w:r>
        <w:rPr>
          <w:color w:val="000000"/>
          <w:spacing w:val="0"/>
          <w:w w:val="100"/>
          <w:position w:val="0"/>
          <w:sz w:val="24"/>
          <w:szCs w:val="24"/>
        </w:rPr>
        <w:t>）</w:t>
        <w:tab/>
        <w:t>假设保定金迪地下管线探测工程有限公司所提供的各种产品能适应市场需求，制定的 目标和措施能按预定的时间和进度如期实现，并取得预期效益；</w:t>
      </w:r>
    </w:p>
    <w:p>
      <w:pPr>
        <w:pStyle w:val="Style59"/>
        <w:keepNext w:val="0"/>
        <w:keepLines w:val="0"/>
        <w:widowControl w:val="0"/>
        <w:shd w:val="clear" w:color="auto" w:fill="auto"/>
        <w:tabs>
          <w:tab w:pos="878" w:val="left"/>
        </w:tabs>
        <w:bidi w:val="0"/>
        <w:spacing w:before="0" w:after="500" w:line="469" w:lineRule="exact"/>
        <w:ind w:left="0" w:right="0" w:firstLine="500"/>
        <w:jc w:val="left"/>
      </w:pPr>
      <w:bookmarkStart w:id="1333" w:name="bookmark1333"/>
      <w:r>
        <w:rPr>
          <w:color w:val="000000"/>
          <w:spacing w:val="0"/>
          <w:w w:val="100"/>
          <w:position w:val="0"/>
          <w:sz w:val="24"/>
          <w:szCs w:val="24"/>
        </w:rPr>
        <w:t>5</w:t>
      </w:r>
      <w:bookmarkEnd w:id="1333"/>
      <w:r>
        <w:rPr>
          <w:color w:val="000000"/>
          <w:spacing w:val="0"/>
          <w:w w:val="100"/>
          <w:position w:val="0"/>
          <w:sz w:val="24"/>
          <w:szCs w:val="24"/>
        </w:rPr>
        <w:t>）</w:t>
        <w:tab/>
        <w:t>假设利率、汇率、赋税基准及税率，在国家规定的正常范围内无重大变化等。</w:t>
      </w:r>
    </w:p>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关键参数</w:t>
      </w:r>
    </w:p>
    <w:tbl>
      <w:tblPr>
        <w:tblOverlap w:val="never"/>
        <w:jc w:val="left"/>
        <w:tblLayout w:type="fixed"/>
      </w:tblPr>
      <w:tblGrid>
        <w:gridCol w:w="2333"/>
        <w:gridCol w:w="1656"/>
        <w:gridCol w:w="2342"/>
        <w:gridCol w:w="2515"/>
      </w:tblGrid>
      <w:tr>
        <w:trPr>
          <w:trHeight w:val="283" w:hRule="exact"/>
        </w:trPr>
        <w:tc>
          <w:tcPr>
            <w:vMerge w:val="restart"/>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单位</w:t>
            </w:r>
          </w:p>
        </w:tc>
        <w:tc>
          <w:tcPr>
            <w:gridSpan w:val="3"/>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关键参数</w:t>
            </w:r>
          </w:p>
        </w:tc>
      </w:tr>
      <w:tr>
        <w:trPr>
          <w:trHeight w:val="662" w:hRule="exact"/>
        </w:trPr>
        <w:tc>
          <w:tcPr>
            <w:vMerge/>
            <w:tcBorders/>
            <w:shd w:val="clear" w:color="auto" w:fill="FFFFFF"/>
            <w:vAlign w:val="top"/>
          </w:tcPr>
          <w:p>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预测期</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预期增长率稳定期增长率</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680"/>
              <w:jc w:val="both"/>
              <w:rPr>
                <w:sz w:val="18"/>
                <w:szCs w:val="18"/>
              </w:rPr>
            </w:pPr>
            <w:r>
              <w:rPr>
                <w:color w:val="000000"/>
                <w:spacing w:val="0"/>
                <w:w w:val="100"/>
                <w:position w:val="0"/>
                <w:sz w:val="18"/>
                <w:szCs w:val="18"/>
              </w:rPr>
              <w:t>利润率折现率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加权平</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均资本成本</w:t>
            </w:r>
            <w:r>
              <w:rPr>
                <w:rFonts w:ascii="Times New Roman" w:eastAsia="Times New Roman" w:hAnsi="Times New Roman" w:cs="Times New Roman"/>
                <w:color w:val="000000"/>
                <w:spacing w:val="0"/>
                <w:w w:val="100"/>
                <w:position w:val="0"/>
                <w:sz w:val="18"/>
                <w:szCs w:val="18"/>
              </w:rPr>
              <w:t>）</w:t>
            </w:r>
          </w:p>
        </w:tc>
      </w:tr>
      <w:tr>
        <w:trPr>
          <w:trHeight w:val="331"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保定金迪地下管线探测工程</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sz w:val="18"/>
                <w:szCs w:val="18"/>
              </w:rPr>
              <w:t>年</w:t>
            </w:r>
          </w:p>
        </w:tc>
        <w:tc>
          <w:tcPr>
            <w:tcBorders>
              <w:top w:val="single" w:sz="4"/>
            </w:tcBorders>
            <w:shd w:val="clear" w:color="auto" w:fill="FFFFFF"/>
            <w:vAlign w:val="bottom"/>
          </w:tcPr>
          <w:p>
            <w:pPr>
              <w:pStyle w:val="Style2"/>
              <w:keepNext w:val="0"/>
              <w:keepLines w:val="0"/>
              <w:widowControl w:val="0"/>
              <w:shd w:val="clear" w:color="auto" w:fill="auto"/>
              <w:tabs>
                <w:tab w:pos="1152" w:val="left"/>
              </w:tabs>
              <w:bidi w:val="0"/>
              <w:spacing w:before="0" w:after="0" w:line="240" w:lineRule="auto"/>
              <w:ind w:left="0" w:right="0" w:firstLine="0"/>
              <w:jc w:val="right"/>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1</w:t>
              <w:tab/>
            </w:r>
            <w:r>
              <w:rPr>
                <w:color w:val="000000"/>
                <w:spacing w:val="0"/>
                <w:w w:val="100"/>
                <w:position w:val="0"/>
                <w:sz w:val="18"/>
                <w:szCs w:val="18"/>
              </w:rPr>
              <w:t>不增长</w:t>
            </w:r>
          </w:p>
        </w:tc>
        <w:tc>
          <w:tcPr>
            <w:tcBorders>
              <w:top w:val="single" w:sz="4"/>
            </w:tcBorders>
            <w:shd w:val="clear" w:color="auto" w:fill="FFFFFF"/>
            <w:vAlign w:val="bottom"/>
          </w:tcPr>
          <w:p>
            <w:pPr>
              <w:pStyle w:val="Style2"/>
              <w:keepNext w:val="0"/>
              <w:keepLines w:val="0"/>
              <w:widowControl w:val="0"/>
              <w:shd w:val="clear" w:color="auto" w:fill="auto"/>
              <w:tabs>
                <w:tab w:pos="1752" w:val="left"/>
              </w:tabs>
              <w:bidi w:val="0"/>
              <w:spacing w:before="0" w:after="0" w:line="240" w:lineRule="auto"/>
              <w:ind w:left="0" w:right="0" w:firstLine="0"/>
              <w:jc w:val="right"/>
              <w:rPr>
                <w:sz w:val="18"/>
                <w:szCs w:val="18"/>
              </w:rPr>
            </w:pPr>
            <w:r>
              <w:rPr>
                <w:color w:val="000000"/>
                <w:spacing w:val="0"/>
                <w:w w:val="100"/>
                <w:position w:val="0"/>
                <w:sz w:val="18"/>
                <w:szCs w:val="18"/>
              </w:rPr>
              <w:t>根据预测的收</w:t>
              <w:tab/>
            </w:r>
            <w:r>
              <w:rPr>
                <w:rFonts w:ascii="Times New Roman" w:eastAsia="Times New Roman" w:hAnsi="Times New Roman" w:cs="Times New Roman"/>
                <w:color w:val="000000"/>
                <w:spacing w:val="0"/>
                <w:w w:val="100"/>
                <w:position w:val="0"/>
                <w:sz w:val="18"/>
                <w:szCs w:val="18"/>
              </w:rPr>
              <w:t>11.41%</w:t>
            </w:r>
          </w:p>
        </w:tc>
      </w:tr>
      <w:tr>
        <w:trPr>
          <w:trHeight w:val="26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（后续为稳定期）</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入、成本、费用</w:t>
            </w:r>
          </w:p>
        </w:tc>
      </w:tr>
    </w:tbl>
    <w:p>
      <w:pPr>
        <w:pStyle w:val="Style21"/>
        <w:keepNext w:val="0"/>
        <w:keepLines w:val="0"/>
        <w:widowControl w:val="0"/>
        <w:shd w:val="clear" w:color="auto" w:fill="auto"/>
        <w:bidi w:val="0"/>
        <w:spacing w:before="0" w:after="0" w:line="240" w:lineRule="auto"/>
        <w:ind w:left="7003" w:right="0" w:firstLine="0"/>
        <w:jc w:val="left"/>
      </w:pPr>
      <w:r>
        <w:rPr>
          <w:color w:val="000000"/>
          <w:spacing w:val="0"/>
          <w:w w:val="100"/>
          <w:position w:val="0"/>
        </w:rPr>
        <w:t>等预算</w:t>
      </w:r>
    </w:p>
    <w:p>
      <w:pPr>
        <w:pStyle w:val="Style59"/>
        <w:keepNext w:val="0"/>
        <w:keepLines w:val="0"/>
        <w:widowControl w:val="0"/>
        <w:shd w:val="clear" w:color="auto" w:fill="auto"/>
        <w:bidi w:val="0"/>
        <w:spacing w:before="0" w:after="760" w:line="466" w:lineRule="exact"/>
        <w:ind w:left="0" w:right="0" w:firstLine="500"/>
        <w:jc w:val="both"/>
      </w:pPr>
      <w:r>
        <w:rPr>
          <w:color w:val="000000"/>
          <w:spacing w:val="0"/>
          <w:w w:val="100"/>
          <w:position w:val="0"/>
          <w:sz w:val="24"/>
          <w:szCs w:val="24"/>
        </w:rPr>
        <w:t>注1:根据保定金迪地下管线探测工程有限公司已签订的合同、历年经营趋势、市场竞争 等因素的综合分析，对未来五年的主营业务收入及其相关的成本、费用、利润忽略经营的波 动性进行预测，预计2022年至2026年的销售增长率分别为9%、7%、5%、3%、2%。</w:t>
      </w:r>
    </w:p>
    <w:p>
      <w:pPr>
        <w:pStyle w:val="Style24"/>
        <w:keepNext/>
        <w:keepLines/>
        <w:widowControl w:val="0"/>
        <w:shd w:val="clear" w:color="auto" w:fill="auto"/>
        <w:bidi w:val="0"/>
        <w:spacing w:before="0" w:after="360" w:line="240" w:lineRule="auto"/>
        <w:ind w:left="0" w:right="0" w:firstLine="0"/>
        <w:jc w:val="both"/>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2</w:t>
      </w:r>
      <w:bookmarkEnd w:id="1336"/>
      <w:r>
        <w:rPr>
          <w:rFonts w:ascii="Times New Roman" w:eastAsia="Times New Roman" w:hAnsi="Times New Roman" w:cs="Times New Roman"/>
          <w:color w:val="000000"/>
          <w:spacing w:val="0"/>
          <w:w w:val="100"/>
          <w:position w:val="0"/>
        </w:rPr>
        <w:t>1</w:t>
      </w:r>
      <w:r>
        <w:rPr>
          <w:color w:val="000000"/>
          <w:spacing w:val="0"/>
          <w:w w:val="100"/>
          <w:position w:val="0"/>
        </w:rPr>
        <w:t>、长期待摊费用</w:t>
      </w:r>
      <w:bookmarkEnd w:id="1334"/>
      <w:bookmarkEnd w:id="1335"/>
      <w:bookmarkEnd w:id="1337"/>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24,835.20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266,000.00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278,047.00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24,835.20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266,000.00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12,788.20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278,047.00</w:t>
            </w:r>
          </w:p>
        </w:tc>
      </w:tr>
    </w:tbl>
    <w:p>
      <w:pPr>
        <w:widowControl w:val="0"/>
        <w:spacing w:after="659" w:line="1" w:lineRule="exact"/>
      </w:pPr>
    </w:p>
    <w:p>
      <w:pPr>
        <w:pStyle w:val="Style24"/>
        <w:keepNext/>
        <w:keepLines/>
        <w:widowControl w:val="0"/>
        <w:shd w:val="clear" w:color="auto" w:fill="auto"/>
        <w:bidi w:val="0"/>
        <w:spacing w:before="0" w:after="320" w:line="240" w:lineRule="auto"/>
        <w:ind w:left="0" w:right="0" w:firstLine="0"/>
        <w:jc w:val="left"/>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2</w:t>
      </w:r>
      <w:bookmarkEnd w:id="1340"/>
      <w:r>
        <w:rPr>
          <w:rFonts w:ascii="Times New Roman" w:eastAsia="Times New Roman" w:hAnsi="Times New Roman" w:cs="Times New Roman"/>
          <w:color w:val="000000"/>
          <w:spacing w:val="0"/>
          <w:w w:val="100"/>
          <w:position w:val="0"/>
        </w:rPr>
        <w:t>2</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38"/>
      <w:bookmarkEnd w:id="1339"/>
      <w:bookmarkEnd w:id="1341"/>
    </w:p>
    <w:p>
      <w:pPr>
        <w:pStyle w:val="Style102"/>
        <w:keepNext/>
        <w:keepLines/>
        <w:widowControl w:val="0"/>
        <w:shd w:val="clear" w:color="auto" w:fill="auto"/>
        <w:bidi w:val="0"/>
        <w:spacing w:before="0" w:line="240" w:lineRule="auto"/>
        <w:ind w:left="0" w:right="0" w:firstLine="0"/>
        <w:jc w:val="left"/>
      </w:pPr>
      <w:bookmarkStart w:id="1342" w:name="bookmark1342"/>
      <w:bookmarkStart w:id="1343" w:name="bookmark1343"/>
      <w:bookmarkStart w:id="1344" w:name="bookmark13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42"/>
      <w:bookmarkEnd w:id="1343"/>
      <w:bookmarkEnd w:id="1344"/>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16,648,886.41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2,533,640.19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13,109,283.32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1,966,392.50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11,401,226.20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1,710,183.93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8,398,773.93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1,259,816.09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243,198,357.57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37,193,682.26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196,602,035.22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29,884,440.35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73,995,112.46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11,099,266.87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66,305,108.85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9,945,766.32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未实现融资收益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7,107,536.22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1,768,184.24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9,541,378.56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2,340,533.64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67,440,608.10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10,116,091.22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68,043,112.50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10,206,466.88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新租赁准则产生的税会 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277,619.33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41,642.90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16,482,000.00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2,472,300.00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16,225,000.00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2,433,750.00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436,551,346.29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66,934,991.61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378,224,692.38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58,037,165.78</w:t>
            </w:r>
          </w:p>
        </w:tc>
      </w:tr>
    </w:tbl>
    <w:p>
      <w:pPr>
        <w:widowControl w:val="0"/>
        <w:spacing w:after="319" w:line="1" w:lineRule="exact"/>
      </w:pPr>
    </w:p>
    <w:p>
      <w:pPr>
        <w:pStyle w:val="Style102"/>
        <w:keepNext/>
        <w:keepLines/>
        <w:widowControl w:val="0"/>
        <w:shd w:val="clear" w:color="auto" w:fill="auto"/>
        <w:bidi w:val="0"/>
        <w:spacing w:before="0" w:line="240" w:lineRule="auto"/>
        <w:ind w:left="0" w:right="0" w:firstLine="0"/>
        <w:jc w:val="left"/>
      </w:pPr>
      <w:bookmarkStart w:id="1345" w:name="bookmark1345"/>
      <w:bookmarkStart w:id="1346" w:name="bookmark1346"/>
      <w:bookmarkStart w:id="1347" w:name="bookmark1347"/>
      <w:bookmarkStart w:id="1348" w:name="bookmark1348"/>
      <w:r>
        <w:rPr>
          <w:color w:val="000000"/>
          <w:spacing w:val="0"/>
          <w:w w:val="100"/>
          <w:position w:val="0"/>
        </w:rPr>
        <w:t>（</w:t>
      </w:r>
      <w:bookmarkEnd w:id="1347"/>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45"/>
      <w:bookmarkEnd w:id="1346"/>
      <w:bookmarkEnd w:id="134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递延所得税负债</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非同一控制企业合并资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27,954,605.80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4,193,190.87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31,016,924.23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5,980,638.63</w:t>
            </w:r>
          </w:p>
        </w:tc>
      </w:tr>
    </w:tbl>
    <w:p>
      <w:pPr>
        <w:widowControl w:val="0"/>
        <w:spacing w:line="1" w:lineRule="exact"/>
      </w:pPr>
      <w:r>
        <w:br w:type="page"/>
      </w:r>
    </w:p>
    <w:tbl>
      <w:tblPr>
        <w:tblOverlap w:val="never"/>
        <w:jc w:val="center"/>
        <w:tblLayout w:type="fixed"/>
      </w:tblPr>
      <w:tblGrid>
        <w:gridCol w:w="1920"/>
        <w:gridCol w:w="1915"/>
        <w:gridCol w:w="1915"/>
        <w:gridCol w:w="1910"/>
        <w:gridCol w:w="1920"/>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产评估增值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交易性金融资产公允价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2,877,579.20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431,636.88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30,832,185.00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4,624,827.75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31,016,924.23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5,980,638.63</w:t>
            </w:r>
          </w:p>
        </w:tc>
      </w:tr>
    </w:tbl>
    <w:p>
      <w:pPr>
        <w:widowControl w:val="0"/>
        <w:spacing w:after="299" w:line="1" w:lineRule="exact"/>
      </w:pPr>
    </w:p>
    <w:p>
      <w:pPr>
        <w:pStyle w:val="Style102"/>
        <w:keepNext/>
        <w:keepLines/>
        <w:widowControl w:val="0"/>
        <w:shd w:val="clear" w:color="auto" w:fill="auto"/>
        <w:bidi w:val="0"/>
        <w:spacing w:before="0" w:line="240" w:lineRule="auto"/>
        <w:ind w:left="0" w:right="0" w:firstLine="0"/>
        <w:jc w:val="left"/>
      </w:pPr>
      <w:bookmarkStart w:id="1349" w:name="bookmark1349"/>
      <w:bookmarkStart w:id="1350" w:name="bookmark1350"/>
      <w:bookmarkStart w:id="1351" w:name="bookmark1351"/>
      <w:bookmarkStart w:id="1352" w:name="bookmark1352"/>
      <w:r>
        <w:rPr>
          <w:color w:val="000000"/>
          <w:spacing w:val="0"/>
          <w:w w:val="100"/>
          <w:position w:val="0"/>
        </w:rPr>
        <w:t>（</w:t>
      </w:r>
      <w:bookmarkEnd w:id="1351"/>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349"/>
      <w:bookmarkEnd w:id="1350"/>
      <w:bookmarkEnd w:id="135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66,934,991.61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58,037,165.78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4,624,827.75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5,980,638.63</w:t>
            </w:r>
          </w:p>
        </w:tc>
      </w:tr>
    </w:tbl>
    <w:p>
      <w:pPr>
        <w:widowControl w:val="0"/>
        <w:spacing w:after="299" w:line="1" w:lineRule="exact"/>
      </w:pPr>
    </w:p>
    <w:p>
      <w:pPr>
        <w:pStyle w:val="Style102"/>
        <w:keepNext/>
        <w:keepLines/>
        <w:widowControl w:val="0"/>
        <w:shd w:val="clear" w:color="auto" w:fill="auto"/>
        <w:bidi w:val="0"/>
        <w:spacing w:before="0" w:line="240" w:lineRule="auto"/>
        <w:ind w:left="0" w:right="0" w:firstLine="0"/>
        <w:jc w:val="left"/>
      </w:pPr>
      <w:bookmarkStart w:id="1353" w:name="bookmark1353"/>
      <w:bookmarkStart w:id="1354" w:name="bookmark1354"/>
      <w:bookmarkStart w:id="1355" w:name="bookmark1355"/>
      <w:bookmarkStart w:id="1356" w:name="bookmark1356"/>
      <w:r>
        <w:rPr>
          <w:color w:val="000000"/>
          <w:spacing w:val="0"/>
          <w:w w:val="100"/>
          <w:position w:val="0"/>
        </w:rPr>
        <w:t>（</w:t>
      </w:r>
      <w:bookmarkEnd w:id="1355"/>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353"/>
      <w:bookmarkEnd w:id="1354"/>
      <w:bookmarkEnd w:id="135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1,238,107.95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900,347.79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39,980,400.60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37,228,784.09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41,218,508.55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38,129,131.88</w:t>
            </w:r>
          </w:p>
        </w:tc>
      </w:tr>
    </w:tbl>
    <w:p>
      <w:pPr>
        <w:widowControl w:val="0"/>
        <w:spacing w:after="299" w:line="1" w:lineRule="exact"/>
      </w:pPr>
    </w:p>
    <w:p>
      <w:pPr>
        <w:pStyle w:val="Style102"/>
        <w:keepNext/>
        <w:keepLines/>
        <w:widowControl w:val="0"/>
        <w:shd w:val="clear" w:color="auto" w:fill="auto"/>
        <w:bidi w:val="0"/>
        <w:spacing w:before="0" w:line="240" w:lineRule="auto"/>
        <w:ind w:left="0" w:right="0" w:firstLine="0"/>
        <w:jc w:val="left"/>
      </w:pPr>
      <w:bookmarkStart w:id="1357" w:name="bookmark1357"/>
      <w:bookmarkStart w:id="1358" w:name="bookmark1358"/>
      <w:bookmarkStart w:id="1359" w:name="bookmark1359"/>
      <w:bookmarkStart w:id="1360" w:name="bookmark1360"/>
      <w:r>
        <w:rPr>
          <w:color w:val="000000"/>
          <w:spacing w:val="0"/>
          <w:w w:val="100"/>
          <w:position w:val="0"/>
        </w:rPr>
        <w:t>（</w:t>
      </w:r>
      <w:bookmarkEnd w:id="1359"/>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357"/>
      <w:bookmarkEnd w:id="1358"/>
      <w:bookmarkEnd w:id="1360"/>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595,684.21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24,141,316.30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29,476,101.02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879,625.03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879,625.03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5,412,844.16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5,412,844.16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9,546,615.11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39,980,400.60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36,364,254.42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659" w:line="1" w:lineRule="exact"/>
      </w:pPr>
    </w:p>
    <w:p>
      <w:pPr>
        <w:pStyle w:val="Style24"/>
        <w:keepNext/>
        <w:keepLines/>
        <w:widowControl w:val="0"/>
        <w:shd w:val="clear" w:color="auto" w:fill="auto"/>
        <w:bidi w:val="0"/>
        <w:spacing w:before="0" w:after="300" w:line="240" w:lineRule="auto"/>
        <w:ind w:left="0" w:right="0" w:firstLine="0"/>
        <w:jc w:val="left"/>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2</w:t>
      </w:r>
      <w:bookmarkEnd w:id="1363"/>
      <w:r>
        <w:rPr>
          <w:rFonts w:ascii="Times New Roman" w:eastAsia="Times New Roman" w:hAnsi="Times New Roman" w:cs="Times New Roman"/>
          <w:color w:val="000000"/>
          <w:spacing w:val="0"/>
          <w:w w:val="100"/>
          <w:position w:val="0"/>
        </w:rPr>
        <w:t>3</w:t>
      </w:r>
      <w:r>
        <w:rPr>
          <w:color w:val="000000"/>
          <w:spacing w:val="0"/>
          <w:w w:val="100"/>
          <w:position w:val="0"/>
        </w:rPr>
        <w:t>、短期借款</w:t>
      </w:r>
      <w:bookmarkEnd w:id="1361"/>
      <w:bookmarkEnd w:id="1362"/>
      <w:bookmarkEnd w:id="1364"/>
    </w:p>
    <w:p>
      <w:pPr>
        <w:pStyle w:val="Style102"/>
        <w:keepNext/>
        <w:keepLines/>
        <w:widowControl w:val="0"/>
        <w:shd w:val="clear" w:color="auto" w:fill="auto"/>
        <w:bidi w:val="0"/>
        <w:spacing w:before="0" w:line="240" w:lineRule="auto"/>
        <w:ind w:left="0" w:right="0" w:firstLine="0"/>
        <w:jc w:val="left"/>
      </w:pPr>
      <w:bookmarkStart w:id="1365" w:name="bookmark1365"/>
      <w:bookmarkStart w:id="1366" w:name="bookmark1366"/>
      <w:bookmarkStart w:id="1367" w:name="bookmark13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65"/>
      <w:bookmarkEnd w:id="1366"/>
      <w:bookmarkEnd w:id="1367"/>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r>
    </w:tbl>
    <w:p>
      <w:pPr>
        <w:widowControl w:val="0"/>
        <w:spacing w:after="659" w:line="1" w:lineRule="exact"/>
      </w:pPr>
    </w:p>
    <w:p>
      <w:pPr>
        <w:pStyle w:val="Style24"/>
        <w:keepNext/>
        <w:keepLines/>
        <w:widowControl w:val="0"/>
        <w:shd w:val="clear" w:color="auto" w:fill="auto"/>
        <w:bidi w:val="0"/>
        <w:spacing w:before="0" w:after="320" w:line="240" w:lineRule="auto"/>
        <w:ind w:left="0" w:right="0" w:firstLine="0"/>
        <w:jc w:val="both"/>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2</w:t>
      </w:r>
      <w:bookmarkEnd w:id="1370"/>
      <w:r>
        <w:rPr>
          <w:rFonts w:ascii="Times New Roman" w:eastAsia="Times New Roman" w:hAnsi="Times New Roman" w:cs="Times New Roman"/>
          <w:color w:val="000000"/>
          <w:spacing w:val="0"/>
          <w:w w:val="100"/>
          <w:position w:val="0"/>
        </w:rPr>
        <w:t>4</w:t>
      </w:r>
      <w:r>
        <w:rPr>
          <w:color w:val="000000"/>
          <w:spacing w:val="0"/>
          <w:w w:val="100"/>
          <w:position w:val="0"/>
        </w:rPr>
        <w:t>、应付账款</w:t>
      </w:r>
      <w:bookmarkEnd w:id="1368"/>
      <w:bookmarkEnd w:id="1369"/>
      <w:bookmarkEnd w:id="1371"/>
    </w:p>
    <w:p>
      <w:pPr>
        <w:pStyle w:val="Style102"/>
        <w:keepNext/>
        <w:keepLines/>
        <w:widowControl w:val="0"/>
        <w:shd w:val="clear" w:color="auto" w:fill="auto"/>
        <w:bidi w:val="0"/>
        <w:spacing w:before="0" w:line="240" w:lineRule="auto"/>
        <w:ind w:left="0" w:right="0" w:firstLine="0"/>
        <w:jc w:val="both"/>
      </w:pPr>
      <w:bookmarkStart w:id="1372" w:name="bookmark1372"/>
      <w:bookmarkStart w:id="1373" w:name="bookmark1373"/>
      <w:bookmarkStart w:id="1374" w:name="bookmark13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72"/>
      <w:bookmarkEnd w:id="1373"/>
      <w:bookmarkEnd w:id="1374"/>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应付采购款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189,704,783.13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179,448,667.20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项目服务费及数据款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241,643,855.73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211,014,459.30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431,348,638.86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390,463,126.50</w:t>
            </w:r>
          </w:p>
        </w:tc>
      </w:tr>
    </w:tbl>
    <w:p>
      <w:pPr>
        <w:widowControl w:val="0"/>
        <w:spacing w:after="319" w:line="1" w:lineRule="exact"/>
      </w:pPr>
    </w:p>
    <w:p>
      <w:pPr>
        <w:pStyle w:val="Style102"/>
        <w:keepNext/>
        <w:keepLines/>
        <w:widowControl w:val="0"/>
        <w:shd w:val="clear" w:color="auto" w:fill="auto"/>
        <w:bidi w:val="0"/>
        <w:spacing w:before="0" w:line="240" w:lineRule="auto"/>
        <w:ind w:left="0" w:right="0" w:firstLine="0"/>
        <w:jc w:val="both"/>
      </w:pPr>
      <w:bookmarkStart w:id="1375" w:name="bookmark1375"/>
      <w:bookmarkStart w:id="1376" w:name="bookmark1376"/>
      <w:bookmarkStart w:id="1377" w:name="bookmark1377"/>
      <w:bookmarkStart w:id="1378" w:name="bookmark1378"/>
      <w:r>
        <w:rPr>
          <w:color w:val="000000"/>
          <w:spacing w:val="0"/>
          <w:w w:val="100"/>
          <w:position w:val="0"/>
        </w:rPr>
        <w:t>（</w:t>
      </w:r>
      <w:bookmarkEnd w:id="1377"/>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75"/>
      <w:bookmarkEnd w:id="1376"/>
      <w:bookmarkEnd w:id="137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7,460,399.44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尚未结算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6,973,756.52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4,901,588.61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4,971,360.12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尚未结算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4,481,618.67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尚未结算</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28,788,723.36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659" w:line="1" w:lineRule="exact"/>
      </w:pPr>
    </w:p>
    <w:p>
      <w:pPr>
        <w:pStyle w:val="Style24"/>
        <w:keepNext/>
        <w:keepLines/>
        <w:widowControl w:val="0"/>
        <w:shd w:val="clear" w:color="auto" w:fill="auto"/>
        <w:bidi w:val="0"/>
        <w:spacing w:before="0" w:after="320" w:line="240" w:lineRule="auto"/>
        <w:ind w:left="0" w:right="0" w:firstLine="0"/>
        <w:jc w:val="both"/>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2</w:t>
      </w:r>
      <w:bookmarkEnd w:id="1381"/>
      <w:r>
        <w:rPr>
          <w:rFonts w:ascii="Times New Roman" w:eastAsia="Times New Roman" w:hAnsi="Times New Roman" w:cs="Times New Roman"/>
          <w:color w:val="000000"/>
          <w:spacing w:val="0"/>
          <w:w w:val="100"/>
          <w:position w:val="0"/>
        </w:rPr>
        <w:t>5</w:t>
      </w:r>
      <w:r>
        <w:rPr>
          <w:color w:val="000000"/>
          <w:spacing w:val="0"/>
          <w:w w:val="100"/>
          <w:position w:val="0"/>
        </w:rPr>
        <w:t>、预收款项</w:t>
      </w:r>
      <w:bookmarkEnd w:id="1379"/>
      <w:bookmarkEnd w:id="1380"/>
      <w:bookmarkEnd w:id="1382"/>
    </w:p>
    <w:p>
      <w:pPr>
        <w:pStyle w:val="Style102"/>
        <w:keepNext/>
        <w:keepLines/>
        <w:widowControl w:val="0"/>
        <w:shd w:val="clear" w:color="auto" w:fill="auto"/>
        <w:bidi w:val="0"/>
        <w:spacing w:before="0" w:line="240" w:lineRule="auto"/>
        <w:ind w:left="0" w:right="0" w:firstLine="0"/>
        <w:jc w:val="both"/>
      </w:pPr>
      <w:bookmarkStart w:id="1383" w:name="bookmark1383"/>
      <w:bookmarkStart w:id="1384" w:name="bookmark1384"/>
      <w:bookmarkStart w:id="1385" w:name="bookmark13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83"/>
      <w:bookmarkEnd w:id="1384"/>
      <w:bookmarkEnd w:id="1385"/>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276,435.67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276,435.67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4"/>
        <w:keepNext/>
        <w:keepLines/>
        <w:widowControl w:val="0"/>
        <w:shd w:val="clear" w:color="auto" w:fill="auto"/>
        <w:bidi w:val="0"/>
        <w:spacing w:before="0" w:after="360" w:line="240" w:lineRule="auto"/>
        <w:ind w:left="0" w:right="0" w:firstLine="0"/>
        <w:jc w:val="both"/>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2</w:t>
      </w:r>
      <w:bookmarkEnd w:id="1388"/>
      <w:r>
        <w:rPr>
          <w:rFonts w:ascii="Times New Roman" w:eastAsia="Times New Roman" w:hAnsi="Times New Roman" w:cs="Times New Roman"/>
          <w:color w:val="000000"/>
          <w:spacing w:val="0"/>
          <w:w w:val="100"/>
          <w:position w:val="0"/>
        </w:rPr>
        <w:t>6</w:t>
      </w:r>
      <w:r>
        <w:rPr>
          <w:color w:val="000000"/>
          <w:spacing w:val="0"/>
          <w:w w:val="100"/>
          <w:position w:val="0"/>
        </w:rPr>
        <w:t>、合同负债</w:t>
      </w:r>
      <w:bookmarkEnd w:id="1386"/>
      <w:bookmarkEnd w:id="1387"/>
      <w:bookmarkEnd w:id="1389"/>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预收货款及服务款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120,429,541.72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203,499,477.09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120,429,541.72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203,499,477.09</w:t>
            </w:r>
          </w:p>
        </w:tc>
      </w:tr>
    </w:tbl>
    <w:p>
      <w:pPr>
        <w:widowControl w:val="0"/>
        <w:spacing w:after="319" w:line="1" w:lineRule="exact"/>
      </w:pPr>
    </w:p>
    <w:p>
      <w:pPr>
        <w:pStyle w:val="Style24"/>
        <w:keepNext/>
        <w:keepLines/>
        <w:widowControl w:val="0"/>
        <w:shd w:val="clear" w:color="auto" w:fill="auto"/>
        <w:bidi w:val="0"/>
        <w:spacing w:before="0" w:after="360" w:line="240" w:lineRule="auto"/>
        <w:ind w:left="0" w:right="0" w:firstLine="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2</w:t>
      </w:r>
      <w:bookmarkEnd w:id="1392"/>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390"/>
      <w:bookmarkEnd w:id="1391"/>
      <w:bookmarkEnd w:id="1393"/>
    </w:p>
    <w:p>
      <w:pPr>
        <w:pStyle w:val="Style102"/>
        <w:keepNext/>
        <w:keepLines/>
        <w:widowControl w:val="0"/>
        <w:shd w:val="clear" w:color="auto" w:fill="auto"/>
        <w:bidi w:val="0"/>
        <w:spacing w:before="0" w:line="240" w:lineRule="auto"/>
        <w:ind w:left="0" w:right="0" w:firstLine="0"/>
        <w:jc w:val="left"/>
      </w:pPr>
      <w:bookmarkStart w:id="1394" w:name="bookmark1394"/>
      <w:bookmarkStart w:id="1395" w:name="bookmark1395"/>
      <w:bookmarkStart w:id="1396" w:name="bookmark13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94"/>
      <w:bookmarkEnd w:id="1395"/>
      <w:bookmarkEnd w:id="139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28,521,224.46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496,563,363.36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492,276,394.29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32,808,193.53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1,205,990.70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63,223,189.64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59,345,659.77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5,083,520.57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781,709.25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781,709.25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29,727,215.16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560,568,262.25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552,403,763.31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37,891,714.10</w:t>
            </w:r>
          </w:p>
        </w:tc>
      </w:tr>
    </w:tbl>
    <w:p>
      <w:pPr>
        <w:widowControl w:val="0"/>
        <w:spacing w:after="319" w:line="1" w:lineRule="exact"/>
      </w:pPr>
    </w:p>
    <w:p>
      <w:pPr>
        <w:pStyle w:val="Style102"/>
        <w:keepNext/>
        <w:keepLines/>
        <w:widowControl w:val="0"/>
        <w:shd w:val="clear" w:color="auto" w:fill="auto"/>
        <w:bidi w:val="0"/>
        <w:spacing w:before="0" w:line="240" w:lineRule="auto"/>
        <w:ind w:left="0" w:right="0" w:firstLine="0"/>
        <w:jc w:val="left"/>
      </w:pPr>
      <w:bookmarkStart w:id="1397" w:name="bookmark1397"/>
      <w:bookmarkStart w:id="1398" w:name="bookmark1398"/>
      <w:bookmarkStart w:id="1399" w:name="bookmark139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97"/>
      <w:bookmarkEnd w:id="1398"/>
      <w:bookmarkEnd w:id="1399"/>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25,811,854.25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432,685,193.29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430,341,900.30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28,155,147.24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9,905,113.82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9,902,339.86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2,773.96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1,635,763.60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34,606,094.07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33,111,543.74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3,130,313.93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1,295,843.12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31,827,019.25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30,721,040.31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2,401,822.06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111,331.95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1,601,056.68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1,333,044.71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379,343.92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228,588.53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1,164,847.15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1,045,033.94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348,401.74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42,090.54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18,429,903.12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17,567,192.79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904,800.87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950,735.92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825,286.49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1,197,304.94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578,717.47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80,780.15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111,772.57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156,112.66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36,440.06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28,521,224.46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496,563,363.36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492,276,394.29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32,808,193.53</w:t>
            </w:r>
          </w:p>
        </w:tc>
      </w:tr>
    </w:tbl>
    <w:p>
      <w:pPr>
        <w:widowControl w:val="0"/>
        <w:spacing w:after="319" w:line="1" w:lineRule="exact"/>
      </w:pPr>
    </w:p>
    <w:p>
      <w:pPr>
        <w:pStyle w:val="Style102"/>
        <w:keepNext/>
        <w:keepLines/>
        <w:widowControl w:val="0"/>
        <w:shd w:val="clear" w:color="auto" w:fill="auto"/>
        <w:bidi w:val="0"/>
        <w:spacing w:before="0" w:line="240" w:lineRule="auto"/>
        <w:ind w:left="0" w:right="0" w:firstLine="0"/>
        <w:jc w:val="left"/>
      </w:pPr>
      <w:bookmarkStart w:id="1400" w:name="bookmark1400"/>
      <w:bookmarkStart w:id="1401" w:name="bookmark1401"/>
      <w:bookmarkStart w:id="1402" w:name="bookmark1402"/>
      <w:bookmarkStart w:id="1403" w:name="bookmark1403"/>
      <w:r>
        <w:rPr>
          <w:color w:val="000000"/>
          <w:spacing w:val="0"/>
          <w:w w:val="100"/>
          <w:position w:val="0"/>
        </w:rPr>
        <w:t>（</w:t>
      </w:r>
      <w:bookmarkEnd w:id="1402"/>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400"/>
      <w:bookmarkEnd w:id="1401"/>
      <w:bookmarkEnd w:id="1403"/>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期末余额</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、基本养老保险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944,682.68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60,923,044.28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57,434,412.25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4,433,314.71</w:t>
            </w:r>
          </w:p>
        </w:tc>
      </w:tr>
    </w:tbl>
    <w:p>
      <w:pPr>
        <w:widowControl w:val="0"/>
        <w:spacing w:line="1" w:lineRule="exact"/>
      </w:pPr>
      <w:r>
        <w:br w:type="page"/>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261,308.02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2,300,145.36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1,911,247.52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650,205.86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1,205,990.70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63,223,189.64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59,345,659.77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5,083,520.57</w:t>
            </w:r>
          </w:p>
        </w:tc>
      </w:tr>
    </w:tbl>
    <w:p>
      <w:pPr>
        <w:widowControl w:val="0"/>
        <w:spacing w:after="659" w:line="1" w:lineRule="exact"/>
      </w:pPr>
    </w:p>
    <w:p>
      <w:pPr>
        <w:pStyle w:val="Style24"/>
        <w:keepNext/>
        <w:keepLines/>
        <w:widowControl w:val="0"/>
        <w:shd w:val="clear" w:color="auto" w:fill="auto"/>
        <w:bidi w:val="0"/>
        <w:spacing w:before="0" w:after="360" w:line="240" w:lineRule="auto"/>
        <w:ind w:left="0" w:right="0" w:firstLine="0"/>
        <w:jc w:val="both"/>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2</w:t>
      </w:r>
      <w:bookmarkEnd w:id="1406"/>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404"/>
      <w:bookmarkEnd w:id="1405"/>
      <w:bookmarkEnd w:id="1407"/>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18,642,730.28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16,611,523.04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23,369,582.73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7,228,842.13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384,688.70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308,284.90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2,467,964.50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2,330,652.55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1,060,745.05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999,039.42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706,608.65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670,730.38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66,344.56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6,527.89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21,665.15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23,451.40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46,720,329.62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28,179,051.71</w:t>
            </w:r>
          </w:p>
        </w:tc>
      </w:tr>
    </w:tbl>
    <w:p>
      <w:pPr>
        <w:widowControl w:val="0"/>
        <w:spacing w:after="659" w:line="1" w:lineRule="exact"/>
      </w:pPr>
    </w:p>
    <w:p>
      <w:pPr>
        <w:pStyle w:val="Style24"/>
        <w:keepNext/>
        <w:keepLines/>
        <w:widowControl w:val="0"/>
        <w:shd w:val="clear" w:color="auto" w:fill="auto"/>
        <w:bidi w:val="0"/>
        <w:spacing w:before="0" w:after="360" w:line="240" w:lineRule="auto"/>
        <w:ind w:left="0" w:right="0" w:firstLine="0"/>
        <w:jc w:val="both"/>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2</w:t>
      </w:r>
      <w:bookmarkEnd w:id="1410"/>
      <w:r>
        <w:rPr>
          <w:rFonts w:ascii="Times New Roman" w:eastAsia="Times New Roman" w:hAnsi="Times New Roman" w:cs="Times New Roman"/>
          <w:color w:val="000000"/>
          <w:spacing w:val="0"/>
          <w:w w:val="100"/>
          <w:position w:val="0"/>
        </w:rPr>
        <w:t>9</w:t>
      </w:r>
      <w:r>
        <w:rPr>
          <w:color w:val="000000"/>
          <w:spacing w:val="0"/>
          <w:w w:val="100"/>
          <w:position w:val="0"/>
        </w:rPr>
        <w:t>、其他应付款</w:t>
      </w:r>
      <w:bookmarkEnd w:id="1408"/>
      <w:bookmarkEnd w:id="1409"/>
      <w:bookmarkEnd w:id="1411"/>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7,356,790.00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7,356,790.00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66,422,011.98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113,223,433.60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73,778,801.98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120,620,223.60</w:t>
            </w:r>
          </w:p>
        </w:tc>
      </w:tr>
    </w:tbl>
    <w:p>
      <w:pPr>
        <w:widowControl w:val="0"/>
        <w:spacing w:after="299" w:line="1" w:lineRule="exact"/>
      </w:pPr>
    </w:p>
    <w:p>
      <w:pPr>
        <w:pStyle w:val="Style102"/>
        <w:keepNext/>
        <w:keepLines/>
        <w:widowControl w:val="0"/>
        <w:shd w:val="clear" w:color="auto" w:fill="auto"/>
        <w:bidi w:val="0"/>
        <w:spacing w:before="0" w:line="240" w:lineRule="auto"/>
        <w:ind w:left="0" w:right="0" w:firstLine="0"/>
        <w:jc w:val="both"/>
      </w:pPr>
      <w:bookmarkStart w:id="1412" w:name="bookmark1412"/>
      <w:bookmarkStart w:id="1413" w:name="bookmark1413"/>
      <w:bookmarkStart w:id="1414" w:name="bookmark14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412"/>
      <w:bookmarkEnd w:id="1413"/>
      <w:bookmarkEnd w:id="1414"/>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r>
    </w:tbl>
    <w:p>
      <w:pPr>
        <w:widowControl w:val="0"/>
        <w:spacing w:after="299" w:line="1" w:lineRule="exact"/>
      </w:pPr>
    </w:p>
    <w:p>
      <w:pPr>
        <w:pStyle w:val="Style102"/>
        <w:keepNext/>
        <w:keepLines/>
        <w:widowControl w:val="0"/>
        <w:shd w:val="clear" w:color="auto" w:fill="auto"/>
        <w:bidi w:val="0"/>
        <w:spacing w:before="0" w:line="240" w:lineRule="auto"/>
        <w:ind w:left="0" w:right="0" w:firstLine="0"/>
        <w:jc w:val="both"/>
      </w:pPr>
      <w:bookmarkStart w:id="1415" w:name="bookmark1415"/>
      <w:bookmarkStart w:id="1416" w:name="bookmark1416"/>
      <w:bookmarkStart w:id="1417" w:name="bookmark141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415"/>
      <w:bookmarkEnd w:id="1416"/>
      <w:bookmarkEnd w:id="1417"/>
    </w:p>
    <w:p>
      <w:pPr>
        <w:pStyle w:val="Style1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中国冶金地质总局地球物理勘查院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2,560,000.00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4,796,790.00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4,796,790.00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7,356,790.00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7,356,790.00</w:t>
            </w:r>
          </w:p>
        </w:tc>
      </w:tr>
    </w:tbl>
    <w:p>
      <w:pPr>
        <w:widowControl w:val="0"/>
        <w:spacing w:after="59" w:line="1" w:lineRule="exact"/>
      </w:pPr>
    </w:p>
    <w:p>
      <w:pPr>
        <w:pStyle w:val="Style1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w:t>
      </w:r>
    </w:p>
    <w:p>
      <w:pPr>
        <w:pStyle w:val="Style102"/>
        <w:keepNext/>
        <w:keepLines/>
        <w:widowControl w:val="0"/>
        <w:shd w:val="clear" w:color="auto" w:fill="auto"/>
        <w:bidi w:val="0"/>
        <w:spacing w:before="0" w:line="240" w:lineRule="auto"/>
        <w:ind w:left="0" w:right="0" w:firstLine="0"/>
        <w:jc w:val="both"/>
      </w:pPr>
      <w:bookmarkStart w:id="1418" w:name="bookmark1418"/>
      <w:bookmarkStart w:id="1419" w:name="bookmark1419"/>
      <w:bookmarkStart w:id="1420" w:name="bookmark1420"/>
      <w:bookmarkStart w:id="1421" w:name="bookmark1421"/>
      <w:r>
        <w:rPr>
          <w:color w:val="000000"/>
          <w:spacing w:val="0"/>
          <w:w w:val="100"/>
          <w:position w:val="0"/>
        </w:rPr>
        <w:t>（</w:t>
      </w:r>
      <w:bookmarkEnd w:id="1420"/>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418"/>
      <w:bookmarkEnd w:id="1419"/>
      <w:bookmarkEnd w:id="1421"/>
    </w:p>
    <w:p>
      <w:pPr>
        <w:pStyle w:val="Style136"/>
        <w:keepNext/>
        <w:keepLines/>
        <w:widowControl w:val="0"/>
        <w:shd w:val="clear" w:color="auto" w:fill="auto"/>
        <w:bidi w:val="0"/>
        <w:spacing w:before="0" w:after="360" w:line="240" w:lineRule="auto"/>
        <w:ind w:left="0" w:right="0" w:firstLine="0"/>
        <w:jc w:val="both"/>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1</w:t>
      </w:r>
      <w:bookmarkEnd w:id="1424"/>
      <w:r>
        <w:rPr>
          <w:color w:val="000000"/>
          <w:spacing w:val="0"/>
          <w:w w:val="100"/>
          <w:position w:val="0"/>
        </w:rPr>
        <w:t>）按款项性质列示其他应付款</w:t>
      </w:r>
      <w:bookmarkEnd w:id="1422"/>
      <w:bookmarkEnd w:id="1423"/>
      <w:bookmarkEnd w:id="1425"/>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应付股权投资款（注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33,759,025.73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36,417,146.21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股份支付回购义务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16,025,600.00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已报销未支付项目差旅费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7,714,191.63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26,978,550.86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备用金、押金及保证金等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9,646,217.33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15,613,402.30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代扣代缴款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5,221,706.41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4,618,090.08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5,593,298.16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4,613,887.36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应付房屋租赁费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代收代付款（注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3,423,445.68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7,176,216.31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914,127.04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1,630,540.48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66,422,011.98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113,223,433.60</w:t>
            </w:r>
          </w:p>
        </w:tc>
      </w:tr>
    </w:tbl>
    <w:p>
      <w:pPr>
        <w:widowControl w:val="0"/>
        <w:spacing w:after="299" w:line="1" w:lineRule="exact"/>
      </w:pPr>
    </w:p>
    <w:p>
      <w:pPr>
        <w:pStyle w:val="Style136"/>
        <w:keepNext/>
        <w:keepLines/>
        <w:widowControl w:val="0"/>
        <w:shd w:val="clear" w:color="auto" w:fill="auto"/>
        <w:bidi w:val="0"/>
        <w:spacing w:before="0" w:after="360" w:line="240" w:lineRule="auto"/>
        <w:ind w:left="0" w:right="0" w:firstLine="0"/>
        <w:jc w:val="both"/>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2</w:t>
      </w:r>
      <w:bookmarkEnd w:id="1428"/>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26"/>
      <w:bookmarkEnd w:id="1427"/>
      <w:bookmarkEnd w:id="1429"/>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未偿还或结转的原因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应付股权投资款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33,759,025.73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收购子公司少数股东股权款</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33,759,025.73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9"/>
        <w:keepNext w:val="0"/>
        <w:keepLines w:val="0"/>
        <w:widowControl w:val="0"/>
        <w:shd w:val="clear" w:color="auto" w:fill="auto"/>
        <w:bidi w:val="0"/>
        <w:spacing w:before="0" w:after="0" w:line="473" w:lineRule="exact"/>
        <w:ind w:left="0" w:right="0" w:firstLine="0"/>
        <w:jc w:val="both"/>
      </w:pPr>
      <w:r>
        <w:rPr>
          <w:color w:val="000000"/>
          <w:spacing w:val="0"/>
          <w:w w:val="100"/>
          <w:position w:val="0"/>
          <w:sz w:val="24"/>
          <w:szCs w:val="24"/>
        </w:rPr>
        <w:t>注1：应付股权投资款为公司2017年度收购保定金迪地下管线探测工程有限公司、保定市金迪 科技开发有限公司、保定金迪科学仪器有限公司少数股权时形成的按照收购协议分期支付的 收购款。</w:t>
      </w:r>
    </w:p>
    <w:p>
      <w:pPr>
        <w:pStyle w:val="Style59"/>
        <w:keepNext w:val="0"/>
        <w:keepLines w:val="0"/>
        <w:widowControl w:val="0"/>
        <w:shd w:val="clear" w:color="auto" w:fill="auto"/>
        <w:bidi w:val="0"/>
        <w:spacing w:before="0" w:after="360" w:line="485" w:lineRule="exact"/>
        <w:ind w:left="0" w:right="0" w:firstLine="0"/>
        <w:jc w:val="both"/>
      </w:pPr>
      <w:r>
        <w:rPr>
          <w:color w:val="000000"/>
          <w:spacing w:val="0"/>
          <w:w w:val="100"/>
          <w:position w:val="0"/>
          <w:sz w:val="24"/>
          <w:szCs w:val="24"/>
        </w:rPr>
        <w:t>注2：代收代付款是国家重点研发计划物联网与智慧城市关键技术及示范重点专项2020年度项 目收到的转交合作研发单位的政府补助。</w:t>
      </w:r>
      <w:r>
        <w:br w:type="page"/>
      </w:r>
    </w:p>
    <w:p>
      <w:pPr>
        <w:pStyle w:val="Style24"/>
        <w:keepNext/>
        <w:keepLines/>
        <w:widowControl w:val="0"/>
        <w:shd w:val="clear" w:color="auto" w:fill="auto"/>
        <w:bidi w:val="0"/>
        <w:spacing w:before="0" w:after="360" w:line="240" w:lineRule="auto"/>
        <w:ind w:left="0" w:right="0" w:firstLine="0"/>
        <w:jc w:val="left"/>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3</w:t>
      </w:r>
      <w:bookmarkEnd w:id="1432"/>
      <w:r>
        <w:rPr>
          <w:rFonts w:ascii="Times New Roman" w:eastAsia="Times New Roman" w:hAnsi="Times New Roman" w:cs="Times New Roman"/>
          <w:color w:val="000000"/>
          <w:spacing w:val="0"/>
          <w:w w:val="100"/>
          <w:position w:val="0"/>
        </w:rPr>
        <w:t>0</w:t>
      </w:r>
      <w:r>
        <w:rPr>
          <w:color w:val="000000"/>
          <w:spacing w:val="0"/>
          <w:w w:val="100"/>
          <w:position w:val="0"/>
        </w:rPr>
        <w:t>、一年内到期的非流动负债</w:t>
      </w:r>
      <w:bookmarkEnd w:id="1430"/>
      <w:bookmarkEnd w:id="1431"/>
      <w:bookmarkEnd w:id="1433"/>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6,609,031.65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6,609,031.65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4"/>
        <w:keepNext/>
        <w:keepLines/>
        <w:widowControl w:val="0"/>
        <w:shd w:val="clear" w:color="auto" w:fill="auto"/>
        <w:bidi w:val="0"/>
        <w:spacing w:before="0" w:after="360" w:line="240" w:lineRule="auto"/>
        <w:ind w:left="0" w:right="0" w:firstLine="0"/>
        <w:jc w:val="left"/>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3</w:t>
      </w:r>
      <w:bookmarkEnd w:id="1436"/>
      <w:r>
        <w:rPr>
          <w:rFonts w:ascii="Times New Roman" w:eastAsia="Times New Roman" w:hAnsi="Times New Roman" w:cs="Times New Roman"/>
          <w:color w:val="000000"/>
          <w:spacing w:val="0"/>
          <w:w w:val="100"/>
          <w:position w:val="0"/>
        </w:rPr>
        <w:t>1</w:t>
      </w:r>
      <w:r>
        <w:rPr>
          <w:color w:val="000000"/>
          <w:spacing w:val="0"/>
          <w:w w:val="100"/>
          <w:position w:val="0"/>
        </w:rPr>
        <w:t>、其他流动负债</w:t>
      </w:r>
      <w:bookmarkEnd w:id="1434"/>
      <w:bookmarkEnd w:id="1435"/>
      <w:bookmarkEnd w:id="1437"/>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增值税待结转销项税额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24,525,630.96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21,614,309.66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24,525,630.96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21,614,309.66</w:t>
            </w:r>
          </w:p>
        </w:tc>
      </w:tr>
    </w:tbl>
    <w:p>
      <w:pPr>
        <w:widowControl w:val="0"/>
        <w:spacing w:after="319" w:line="1" w:lineRule="exact"/>
      </w:pPr>
    </w:p>
    <w:p>
      <w:pPr>
        <w:pStyle w:val="Style24"/>
        <w:keepNext/>
        <w:keepLines/>
        <w:widowControl w:val="0"/>
        <w:shd w:val="clear" w:color="auto" w:fill="auto"/>
        <w:bidi w:val="0"/>
        <w:spacing w:before="0" w:after="360" w:line="240" w:lineRule="auto"/>
        <w:ind w:left="0" w:right="0" w:firstLine="0"/>
        <w:jc w:val="left"/>
      </w:pPr>
      <w:bookmarkStart w:id="1438" w:name="bookmark1438"/>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3</w:t>
      </w:r>
      <w:bookmarkEnd w:id="1440"/>
      <w:r>
        <w:rPr>
          <w:rFonts w:ascii="Times New Roman" w:eastAsia="Times New Roman" w:hAnsi="Times New Roman" w:cs="Times New Roman"/>
          <w:color w:val="000000"/>
          <w:spacing w:val="0"/>
          <w:w w:val="100"/>
          <w:position w:val="0"/>
        </w:rPr>
        <w:t>2</w:t>
      </w:r>
      <w:r>
        <w:rPr>
          <w:color w:val="000000"/>
          <w:spacing w:val="0"/>
          <w:w w:val="100"/>
          <w:position w:val="0"/>
        </w:rPr>
        <w:t>、租赁负债</w:t>
      </w:r>
      <w:bookmarkEnd w:id="1438"/>
      <w:bookmarkEnd w:id="1439"/>
      <w:bookmarkEnd w:id="1441"/>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13,712,460.45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-6,609,031.65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7,103,428.80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4"/>
        <w:keepNext/>
        <w:keepLines/>
        <w:widowControl w:val="0"/>
        <w:shd w:val="clear" w:color="auto" w:fill="auto"/>
        <w:bidi w:val="0"/>
        <w:spacing w:before="0" w:after="360" w:line="240" w:lineRule="auto"/>
        <w:ind w:left="0" w:right="0" w:firstLine="0"/>
        <w:jc w:val="left"/>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3</w:t>
      </w:r>
      <w:bookmarkEnd w:id="1444"/>
      <w:r>
        <w:rPr>
          <w:rFonts w:ascii="Times New Roman" w:eastAsia="Times New Roman" w:hAnsi="Times New Roman" w:cs="Times New Roman"/>
          <w:color w:val="000000"/>
          <w:spacing w:val="0"/>
          <w:w w:val="100"/>
          <w:position w:val="0"/>
        </w:rPr>
        <w:t>3</w:t>
      </w:r>
      <w:r>
        <w:rPr>
          <w:color w:val="000000"/>
          <w:spacing w:val="0"/>
          <w:w w:val="100"/>
          <w:position w:val="0"/>
        </w:rPr>
        <w:t>、预计负债</w:t>
      </w:r>
      <w:bookmarkEnd w:id="1442"/>
      <w:bookmarkEnd w:id="1443"/>
      <w:bookmarkEnd w:id="1445"/>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产品质量保证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16,482,000.00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维保费</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16,482,000.00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16,225,000.00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其他说明，包括重要预计负债的相关重要假设、估计说明：</w:t>
      </w:r>
    </w:p>
    <w:p>
      <w:pPr>
        <w:pStyle w:val="Style1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本期计提维保费人民币</w:t>
      </w:r>
      <w:r>
        <w:rPr>
          <w:rFonts w:ascii="Times New Roman" w:eastAsia="Times New Roman" w:hAnsi="Times New Roman" w:cs="Times New Roman"/>
          <w:color w:val="000000"/>
          <w:spacing w:val="0"/>
          <w:w w:val="100"/>
          <w:position w:val="0"/>
        </w:rPr>
        <w:t>257,000.00</w:t>
      </w:r>
      <w:r>
        <w:rPr>
          <w:color w:val="000000"/>
          <w:spacing w:val="0"/>
          <w:w w:val="100"/>
          <w:position w:val="0"/>
        </w:rPr>
        <w:t>元，计入销售费用中的维保及维修费项目。</w:t>
      </w:r>
    </w:p>
    <w:p>
      <w:pPr>
        <w:pStyle w:val="Style24"/>
        <w:keepNext/>
        <w:keepLines/>
        <w:widowControl w:val="0"/>
        <w:shd w:val="clear" w:color="auto" w:fill="auto"/>
        <w:bidi w:val="0"/>
        <w:spacing w:before="0" w:after="360" w:line="240" w:lineRule="auto"/>
        <w:ind w:left="0" w:right="0" w:firstLine="0"/>
        <w:jc w:val="left"/>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3</w:t>
      </w:r>
      <w:bookmarkEnd w:id="1448"/>
      <w:r>
        <w:rPr>
          <w:rFonts w:ascii="Times New Roman" w:eastAsia="Times New Roman" w:hAnsi="Times New Roman" w:cs="Times New Roman"/>
          <w:color w:val="000000"/>
          <w:spacing w:val="0"/>
          <w:w w:val="100"/>
          <w:position w:val="0"/>
        </w:rPr>
        <w:t>4</w:t>
      </w:r>
      <w:r>
        <w:rPr>
          <w:color w:val="000000"/>
          <w:spacing w:val="0"/>
          <w:w w:val="100"/>
          <w:position w:val="0"/>
        </w:rPr>
        <w:t>、递延收益</w:t>
      </w:r>
      <w:bookmarkEnd w:id="1446"/>
      <w:bookmarkEnd w:id="1447"/>
      <w:bookmarkEnd w:id="1449"/>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3,374,968.69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2,822,556.31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1,141,255.71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5,056,269.29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3,374,968.69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2,822,556.31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1,141,255.71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5,056,269.29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14"/>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018"/>
        <w:gridCol w:w="1248"/>
        <w:gridCol w:w="1013"/>
        <w:gridCol w:w="1008"/>
        <w:gridCol w:w="1013"/>
        <w:gridCol w:w="1008"/>
        <w:gridCol w:w="1008"/>
        <w:gridCol w:w="1248"/>
        <w:gridCol w:w="101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本期新增补</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本期计入营</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业外收入金</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本期计入其 他收益金额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本期冲减成</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本费用金额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与收益相关</w:t>
            </w:r>
          </w:p>
        </w:tc>
      </w:tr>
      <w:tr>
        <w:trPr>
          <w:trHeight w:val="352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 xml:space="preserve">工业和信息 化部产业发 展促进中心 关于国家重 点研发计划 物联网与智 慧城市关键 技术及示范 重点专项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年度项 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3,374,968.69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2,822,556.31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1,141,255.71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5,056,269.29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4"/>
        <w:keepNext/>
        <w:keepLines/>
        <w:widowControl w:val="0"/>
        <w:shd w:val="clear" w:color="auto" w:fill="auto"/>
        <w:bidi w:val="0"/>
        <w:spacing w:before="0" w:after="360" w:line="240" w:lineRule="auto"/>
        <w:ind w:left="0" w:right="0" w:firstLine="0"/>
        <w:jc w:val="left"/>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3</w:t>
      </w:r>
      <w:bookmarkEnd w:id="1452"/>
      <w:r>
        <w:rPr>
          <w:rFonts w:ascii="Times New Roman" w:eastAsia="Times New Roman" w:hAnsi="Times New Roman" w:cs="Times New Roman"/>
          <w:color w:val="000000"/>
          <w:spacing w:val="0"/>
          <w:w w:val="100"/>
          <w:position w:val="0"/>
        </w:rPr>
        <w:t>5</w:t>
      </w:r>
      <w:r>
        <w:rPr>
          <w:color w:val="000000"/>
          <w:spacing w:val="0"/>
          <w:w w:val="100"/>
          <w:position w:val="0"/>
        </w:rPr>
        <w:t>、其他非流动负债</w:t>
      </w:r>
      <w:bookmarkEnd w:id="1450"/>
      <w:bookmarkEnd w:id="1451"/>
      <w:bookmarkEnd w:id="1453"/>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增值税待结转销项税额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10,928,562.71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13,398,332.92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大余路灯</w:t>
            </w:r>
            <w:r>
              <w:rPr>
                <w:rFonts w:ascii="Times New Roman" w:eastAsia="Times New Roman" w:hAnsi="Times New Roman" w:cs="Times New Roman"/>
                <w:color w:val="000000"/>
                <w:spacing w:val="0"/>
                <w:w w:val="100"/>
                <w:position w:val="0"/>
                <w:sz w:val="18"/>
                <w:szCs w:val="18"/>
              </w:rPr>
              <w:t>PPP</w:t>
            </w:r>
            <w:r>
              <w:rPr>
                <w:color w:val="000000"/>
                <w:spacing w:val="0"/>
                <w:w w:val="100"/>
                <w:position w:val="0"/>
                <w:sz w:val="18"/>
                <w:szCs w:val="18"/>
              </w:rPr>
              <w:t>项目融资款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86,958,000.00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82,980,000.00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97,886,562.71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96,378,332.92</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79" w:line="1" w:lineRule="exact"/>
      </w:pPr>
    </w:p>
    <w:p>
      <w:pPr>
        <w:pStyle w:val="Style59"/>
        <w:keepNext w:val="0"/>
        <w:keepLines w:val="0"/>
        <w:widowControl w:val="0"/>
        <w:shd w:val="clear" w:color="auto" w:fill="auto"/>
        <w:bidi w:val="0"/>
        <w:spacing w:before="0" w:after="180" w:line="240" w:lineRule="auto"/>
        <w:ind w:left="0" w:right="0" w:firstLine="500"/>
        <w:jc w:val="left"/>
      </w:pPr>
      <w:r>
        <w:rPr>
          <w:color w:val="000000"/>
          <w:spacing w:val="0"/>
          <w:w w:val="100"/>
          <w:position w:val="0"/>
          <w:sz w:val="24"/>
          <w:szCs w:val="24"/>
        </w:rPr>
        <w:t xml:space="preserve">江西省大余县智慧亮化路灯节能改造项目向社会资本方融资78, 300, </w:t>
      </w:r>
      <w:r>
        <w:rPr>
          <w:color w:val="000000"/>
          <w:spacing w:val="0"/>
          <w:w w:val="100"/>
          <w:position w:val="0"/>
          <w:sz w:val="24"/>
          <w:szCs w:val="24"/>
        </w:rPr>
        <w:t xml:space="preserve">000. </w:t>
      </w:r>
      <w:r>
        <w:rPr>
          <w:color w:val="000000"/>
          <w:spacing w:val="0"/>
          <w:w w:val="100"/>
          <w:position w:val="0"/>
          <w:sz w:val="24"/>
          <w:szCs w:val="24"/>
        </w:rPr>
        <w:t>00元，应计利息</w:t>
      </w:r>
    </w:p>
    <w:p>
      <w:pPr>
        <w:pStyle w:val="Style59"/>
        <w:keepNext w:val="0"/>
        <w:keepLines w:val="0"/>
        <w:widowControl w:val="0"/>
        <w:numPr>
          <w:ilvl w:val="0"/>
          <w:numId w:val="115"/>
        </w:numPr>
        <w:shd w:val="clear" w:color="auto" w:fill="auto"/>
        <w:tabs>
          <w:tab w:pos="358" w:val="left"/>
        </w:tabs>
        <w:bidi w:val="0"/>
        <w:spacing w:before="0" w:after="420" w:line="240" w:lineRule="auto"/>
        <w:ind w:left="0" w:right="0" w:firstLine="0"/>
        <w:jc w:val="left"/>
      </w:pPr>
      <w:bookmarkStart w:id="1454" w:name="bookmark1454"/>
      <w:bookmarkEnd w:id="1454"/>
      <w:r>
        <w:rPr>
          <w:color w:val="000000"/>
          <w:spacing w:val="0"/>
          <w:w w:val="100"/>
          <w:position w:val="0"/>
          <w:sz w:val="24"/>
          <w:szCs w:val="24"/>
        </w:rPr>
        <w:t xml:space="preserve">658, </w:t>
      </w:r>
      <w:r>
        <w:rPr>
          <w:color w:val="000000"/>
          <w:spacing w:val="0"/>
          <w:w w:val="100"/>
          <w:position w:val="0"/>
          <w:sz w:val="24"/>
          <w:szCs w:val="24"/>
        </w:rPr>
        <w:t xml:space="preserve">000. </w:t>
      </w:r>
      <w:r>
        <w:rPr>
          <w:color w:val="000000"/>
          <w:spacing w:val="0"/>
          <w:w w:val="100"/>
          <w:position w:val="0"/>
          <w:sz w:val="24"/>
          <w:szCs w:val="24"/>
        </w:rPr>
        <w:t xml:space="preserve">00元，合计86, 958, </w:t>
      </w:r>
      <w:r>
        <w:rPr>
          <w:color w:val="000000"/>
          <w:spacing w:val="0"/>
          <w:w w:val="100"/>
          <w:position w:val="0"/>
          <w:sz w:val="24"/>
          <w:szCs w:val="24"/>
        </w:rPr>
        <w:t xml:space="preserve">000. </w:t>
      </w:r>
      <w:r>
        <w:rPr>
          <w:color w:val="000000"/>
          <w:spacing w:val="0"/>
          <w:w w:val="100"/>
          <w:position w:val="0"/>
          <w:sz w:val="24"/>
          <w:szCs w:val="24"/>
        </w:rPr>
        <w:t>00元。</w:t>
      </w:r>
    </w:p>
    <w:p>
      <w:pPr>
        <w:pStyle w:val="Style24"/>
        <w:keepNext/>
        <w:keepLines/>
        <w:widowControl w:val="0"/>
        <w:shd w:val="clear" w:color="auto" w:fill="auto"/>
        <w:bidi w:val="0"/>
        <w:spacing w:before="0" w:after="360" w:line="240" w:lineRule="auto"/>
        <w:ind w:left="0" w:right="0" w:firstLine="0"/>
        <w:jc w:val="left"/>
      </w:pPr>
      <w:bookmarkStart w:id="1455" w:name="bookmark1455"/>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3</w:t>
      </w:r>
      <w:bookmarkEnd w:id="1457"/>
      <w:r>
        <w:rPr>
          <w:rFonts w:ascii="Times New Roman" w:eastAsia="Times New Roman" w:hAnsi="Times New Roman" w:cs="Times New Roman"/>
          <w:color w:val="000000"/>
          <w:spacing w:val="0"/>
          <w:w w:val="100"/>
          <w:position w:val="0"/>
        </w:rPr>
        <w:t>6</w:t>
      </w:r>
      <w:r>
        <w:rPr>
          <w:color w:val="000000"/>
          <w:spacing w:val="0"/>
          <w:w w:val="100"/>
          <w:position w:val="0"/>
        </w:rPr>
        <w:t>、股本</w:t>
      </w:r>
      <w:bookmarkEnd w:id="1455"/>
      <w:bookmarkEnd w:id="1456"/>
      <w:bookmarkEnd w:id="145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481,770,055.00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12,815,611.00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12,495,611.00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494,265,666.00</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9"/>
        <w:keepNext w:val="0"/>
        <w:keepLines w:val="0"/>
        <w:widowControl w:val="0"/>
        <w:shd w:val="clear" w:color="auto" w:fill="auto"/>
        <w:bidi w:val="0"/>
        <w:spacing w:before="0" w:after="0" w:line="470" w:lineRule="exact"/>
        <w:ind w:left="0" w:right="0" w:firstLine="500"/>
        <w:jc w:val="both"/>
      </w:pPr>
      <w:r>
        <w:rPr>
          <w:color w:val="000000"/>
          <w:spacing w:val="0"/>
          <w:w w:val="100"/>
          <w:position w:val="0"/>
          <w:sz w:val="24"/>
          <w:szCs w:val="24"/>
        </w:rPr>
        <w:t>注1： 2021年公司股权激励对象累计行权12,815,611股，行权金额</w:t>
      </w:r>
      <w:r>
        <w:rPr>
          <w:color w:val="000000"/>
          <w:spacing w:val="0"/>
          <w:w w:val="100"/>
          <w:position w:val="0"/>
          <w:sz w:val="24"/>
          <w:szCs w:val="24"/>
        </w:rPr>
        <w:t>132,206,944.14</w:t>
      </w:r>
      <w:r>
        <w:rPr>
          <w:color w:val="000000"/>
          <w:spacing w:val="0"/>
          <w:w w:val="100"/>
          <w:position w:val="0"/>
          <w:sz w:val="24"/>
          <w:szCs w:val="24"/>
        </w:rPr>
        <w:t xml:space="preserve">元，其 中增加股本12, 815, </w:t>
      </w:r>
      <w:r>
        <w:rPr>
          <w:color w:val="000000"/>
          <w:spacing w:val="0"/>
          <w:w w:val="100"/>
          <w:position w:val="0"/>
          <w:sz w:val="24"/>
          <w:szCs w:val="24"/>
        </w:rPr>
        <w:t xml:space="preserve">611. </w:t>
      </w:r>
      <w:r>
        <w:rPr>
          <w:color w:val="000000"/>
          <w:spacing w:val="0"/>
          <w:w w:val="100"/>
          <w:position w:val="0"/>
          <w:sz w:val="24"/>
          <w:szCs w:val="24"/>
        </w:rPr>
        <w:t xml:space="preserve">00元，增加资本公积119, 391, </w:t>
      </w:r>
      <w:r>
        <w:rPr>
          <w:color w:val="000000"/>
          <w:spacing w:val="0"/>
          <w:w w:val="100"/>
          <w:position w:val="0"/>
          <w:sz w:val="24"/>
          <w:szCs w:val="24"/>
        </w:rPr>
        <w:t xml:space="preserve">333. </w:t>
      </w:r>
      <w:r>
        <w:rPr>
          <w:color w:val="000000"/>
          <w:spacing w:val="0"/>
          <w:w w:val="100"/>
          <w:position w:val="0"/>
          <w:sz w:val="24"/>
          <w:szCs w:val="24"/>
        </w:rPr>
        <w:t>14元。</w:t>
      </w:r>
    </w:p>
    <w:p>
      <w:pPr>
        <w:pStyle w:val="Style59"/>
        <w:keepNext w:val="0"/>
        <w:keepLines w:val="0"/>
        <w:widowControl w:val="0"/>
        <w:shd w:val="clear" w:color="auto" w:fill="auto"/>
        <w:bidi w:val="0"/>
        <w:spacing w:before="0" w:after="360" w:line="470" w:lineRule="exact"/>
        <w:ind w:left="0" w:right="0" w:firstLine="500"/>
        <w:jc w:val="both"/>
      </w:pPr>
      <w:r>
        <w:rPr>
          <w:color w:val="000000"/>
          <w:spacing w:val="0"/>
          <w:w w:val="100"/>
          <w:position w:val="0"/>
          <w:sz w:val="24"/>
          <w:szCs w:val="24"/>
        </w:rPr>
        <w:t>注2： 2021年公司20名获授《2018年股票期权与限制性股票激励计划》限制性股票的激励 对象因离职，已不符合股权激励对象的要求，回购注销的限制性股票数量合计为320,000股，</w:t>
      </w:r>
    </w:p>
    <w:p>
      <w:pPr>
        <w:pStyle w:val="Style59"/>
        <w:keepNext w:val="0"/>
        <w:keepLines w:val="0"/>
        <w:widowControl w:val="0"/>
        <w:shd w:val="clear" w:color="auto" w:fill="auto"/>
        <w:bidi w:val="0"/>
        <w:spacing w:before="0" w:after="440" w:line="240" w:lineRule="auto"/>
        <w:ind w:left="0" w:right="0" w:firstLine="0"/>
        <w:jc w:val="left"/>
      </w:pPr>
      <w:r>
        <w:rPr>
          <w:color w:val="000000"/>
          <w:spacing w:val="0"/>
          <w:w w:val="100"/>
          <w:position w:val="0"/>
          <w:sz w:val="24"/>
          <w:szCs w:val="24"/>
        </w:rPr>
        <w:t>回购金额</w:t>
      </w:r>
      <w:r>
        <w:rPr>
          <w:color w:val="000000"/>
          <w:spacing w:val="0"/>
          <w:w w:val="100"/>
          <w:position w:val="0"/>
          <w:sz w:val="24"/>
          <w:szCs w:val="24"/>
        </w:rPr>
        <w:t>1,782,400.00</w:t>
      </w:r>
      <w:r>
        <w:rPr>
          <w:color w:val="000000"/>
          <w:spacing w:val="0"/>
          <w:w w:val="100"/>
          <w:position w:val="0"/>
          <w:sz w:val="24"/>
          <w:szCs w:val="24"/>
        </w:rPr>
        <w:t xml:space="preserve">元，其中减少股本320, </w:t>
      </w:r>
      <w:r>
        <w:rPr>
          <w:color w:val="000000"/>
          <w:spacing w:val="0"/>
          <w:w w:val="100"/>
          <w:position w:val="0"/>
          <w:sz w:val="24"/>
          <w:szCs w:val="24"/>
        </w:rPr>
        <w:t xml:space="preserve">000. </w:t>
      </w:r>
      <w:r>
        <w:rPr>
          <w:color w:val="000000"/>
          <w:spacing w:val="0"/>
          <w:w w:val="100"/>
          <w:position w:val="0"/>
          <w:sz w:val="24"/>
          <w:szCs w:val="24"/>
        </w:rPr>
        <w:t>00元，减少资本公积</w:t>
      </w:r>
      <w:r>
        <w:rPr>
          <w:color w:val="000000"/>
          <w:spacing w:val="0"/>
          <w:w w:val="100"/>
          <w:position w:val="0"/>
          <w:sz w:val="24"/>
          <w:szCs w:val="24"/>
        </w:rPr>
        <w:t>1,462,400.00</w:t>
      </w:r>
      <w:r>
        <w:rPr>
          <w:color w:val="000000"/>
          <w:spacing w:val="0"/>
          <w:w w:val="100"/>
          <w:position w:val="0"/>
          <w:sz w:val="24"/>
          <w:szCs w:val="24"/>
        </w:rPr>
        <w:t>元。</w:t>
      </w:r>
    </w:p>
    <w:p>
      <w:pPr>
        <w:pStyle w:val="Style24"/>
        <w:keepNext/>
        <w:keepLines/>
        <w:widowControl w:val="0"/>
        <w:shd w:val="clear" w:color="auto" w:fill="auto"/>
        <w:bidi w:val="0"/>
        <w:spacing w:before="0" w:after="380" w:line="240" w:lineRule="auto"/>
        <w:ind w:left="0" w:right="0" w:firstLine="0"/>
        <w:jc w:val="left"/>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3</w:t>
      </w:r>
      <w:bookmarkEnd w:id="1461"/>
      <w:r>
        <w:rPr>
          <w:rFonts w:ascii="Times New Roman" w:eastAsia="Times New Roman" w:hAnsi="Times New Roman" w:cs="Times New Roman"/>
          <w:color w:val="000000"/>
          <w:spacing w:val="0"/>
          <w:w w:val="100"/>
          <w:position w:val="0"/>
        </w:rPr>
        <w:t>7</w:t>
      </w:r>
      <w:r>
        <w:rPr>
          <w:color w:val="000000"/>
          <w:spacing w:val="0"/>
          <w:w w:val="100"/>
          <w:position w:val="0"/>
        </w:rPr>
        <w:t>、资本公积</w:t>
      </w:r>
      <w:bookmarkEnd w:id="1459"/>
      <w:bookmarkEnd w:id="1460"/>
      <w:bookmarkEnd w:id="146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1,559,827,580.74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165,523,475.04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1,723,888,655.78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96,084,310.62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45,342,500.00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46,132,141.90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95,294,668.72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1,655,911,891.36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210,865,975.04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47,594,541.90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1,819,183,324.50</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59"/>
        <w:keepNext w:val="0"/>
        <w:keepLines w:val="0"/>
        <w:widowControl w:val="0"/>
        <w:shd w:val="clear" w:color="auto" w:fill="auto"/>
        <w:bidi w:val="0"/>
        <w:spacing w:before="0" w:after="0" w:line="472" w:lineRule="exact"/>
        <w:ind w:left="0" w:right="0" w:firstLine="500"/>
        <w:jc w:val="both"/>
      </w:pPr>
      <w:r>
        <w:rPr>
          <w:color w:val="000000"/>
          <w:spacing w:val="0"/>
          <w:w w:val="100"/>
          <w:position w:val="0"/>
          <w:sz w:val="24"/>
          <w:szCs w:val="24"/>
        </w:rPr>
        <w:t>注1：</w:t>
      </w:r>
    </w:p>
    <w:p>
      <w:pPr>
        <w:pStyle w:val="Style59"/>
        <w:keepNext w:val="0"/>
        <w:keepLines w:val="0"/>
        <w:widowControl w:val="0"/>
        <w:shd w:val="clear" w:color="auto" w:fill="auto"/>
        <w:bidi w:val="0"/>
        <w:spacing w:before="0" w:after="440" w:line="472" w:lineRule="exact"/>
        <w:ind w:left="0" w:right="0" w:firstLine="500"/>
        <w:jc w:val="left"/>
      </w:pPr>
      <w:r>
        <w:rPr>
          <w:color w:val="000000"/>
          <w:spacing w:val="0"/>
          <w:w w:val="100"/>
          <w:position w:val="0"/>
          <w:sz w:val="24"/>
          <w:szCs w:val="24"/>
        </w:rPr>
        <w:t xml:space="preserve">（1）2021年公司股权激励对象累计行权12, 815, 611股增加资本公积119, 391, </w:t>
      </w:r>
      <w:r>
        <w:rPr>
          <w:color w:val="000000"/>
          <w:spacing w:val="0"/>
          <w:w w:val="100"/>
          <w:position w:val="0"/>
          <w:sz w:val="24"/>
          <w:szCs w:val="24"/>
        </w:rPr>
        <w:t xml:space="preserve">333. </w:t>
      </w:r>
      <w:r>
        <w:rPr>
          <w:color w:val="000000"/>
          <w:spacing w:val="0"/>
          <w:w w:val="100"/>
          <w:position w:val="0"/>
          <w:sz w:val="24"/>
          <w:szCs w:val="24"/>
        </w:rPr>
        <w:t xml:space="preserve">14元。见 股本注1。（2） 2021年公司《2018年股票期权与限制性股票激励计划》第二期可行权/解除限 售条件和《2020年股票期权与限制性股票激励计划》第一期可行权/解除限售条件成就达成， 从资本公积（其他资本公积）转入资本公积价（股本溢价）金额合计46,132, </w:t>
      </w:r>
      <w:r>
        <w:rPr>
          <w:color w:val="000000"/>
          <w:spacing w:val="0"/>
          <w:w w:val="100"/>
          <w:position w:val="0"/>
          <w:sz w:val="24"/>
          <w:szCs w:val="24"/>
        </w:rPr>
        <w:t>141.9</w:t>
      </w:r>
      <w:r>
        <w:rPr>
          <w:color w:val="000000"/>
          <w:spacing w:val="0"/>
          <w:w w:val="100"/>
          <w:position w:val="0"/>
          <w:sz w:val="24"/>
          <w:szCs w:val="24"/>
        </w:rPr>
        <w:t>0元。</w:t>
      </w:r>
    </w:p>
    <w:p>
      <w:pPr>
        <w:pStyle w:val="Style59"/>
        <w:keepNext w:val="0"/>
        <w:keepLines w:val="0"/>
        <w:widowControl w:val="0"/>
        <w:shd w:val="clear" w:color="auto" w:fill="auto"/>
        <w:bidi w:val="0"/>
        <w:spacing w:before="0" w:after="440" w:line="470" w:lineRule="exact"/>
        <w:ind w:left="0" w:right="0" w:firstLine="500"/>
        <w:jc w:val="left"/>
      </w:pPr>
      <w:r>
        <w:rPr>
          <w:color w:val="000000"/>
          <w:spacing w:val="0"/>
          <w:w w:val="100"/>
          <w:position w:val="0"/>
          <w:sz w:val="24"/>
          <w:szCs w:val="24"/>
        </w:rPr>
        <w:t xml:space="preserve">注2： 2021年公司20名获授《2018年股票期权与限制性股票激励计划》限制性股票的激励 对象因离职冲减资本公积1, 462, </w:t>
      </w:r>
      <w:r>
        <w:rPr>
          <w:color w:val="000000"/>
          <w:spacing w:val="0"/>
          <w:w w:val="100"/>
          <w:position w:val="0"/>
          <w:sz w:val="24"/>
          <w:szCs w:val="24"/>
        </w:rPr>
        <w:t xml:space="preserve">400. </w:t>
      </w:r>
      <w:r>
        <w:rPr>
          <w:color w:val="000000"/>
          <w:spacing w:val="0"/>
          <w:w w:val="100"/>
          <w:position w:val="0"/>
          <w:sz w:val="24"/>
          <w:szCs w:val="24"/>
        </w:rPr>
        <w:t>00元。见股本注2。</w:t>
      </w:r>
    </w:p>
    <w:p>
      <w:pPr>
        <w:pStyle w:val="Style59"/>
        <w:keepNext w:val="0"/>
        <w:keepLines w:val="0"/>
        <w:widowControl w:val="0"/>
        <w:shd w:val="clear" w:color="auto" w:fill="auto"/>
        <w:bidi w:val="0"/>
        <w:spacing w:before="0" w:after="440" w:line="467" w:lineRule="exact"/>
        <w:ind w:left="0" w:right="0" w:firstLine="500"/>
        <w:jc w:val="left"/>
      </w:pPr>
      <w:r>
        <w:rPr>
          <w:color w:val="000000"/>
          <w:spacing w:val="0"/>
          <w:w w:val="100"/>
          <w:position w:val="0"/>
          <w:sz w:val="24"/>
          <w:szCs w:val="24"/>
        </w:rPr>
        <w:t>注3：根据《企业会计准则第11号</w:t>
      </w:r>
      <w:r>
        <w:rPr>
          <w:color w:val="000000"/>
          <w:spacing w:val="0"/>
          <w:w w:val="100"/>
          <w:position w:val="0"/>
          <w:sz w:val="24"/>
          <w:szCs w:val="24"/>
        </w:rPr>
        <w:t>一一</w:t>
      </w:r>
      <w:r>
        <w:rPr>
          <w:color w:val="000000"/>
          <w:spacing w:val="0"/>
          <w:w w:val="100"/>
          <w:position w:val="0"/>
          <w:sz w:val="24"/>
          <w:szCs w:val="24"/>
        </w:rPr>
        <w:t xml:space="preserve">股份支付》应用指南规定：“等待期内每个资产负 债表日，企业应当根据最新取得的可行权职工人数变动等后续信息做出最佳估计，修正预计 可行权的权益工具数量。在可行权日，最终预计可行权权益工具的数量应当与实际可行权工 具的数量一致。根据上述权益工具的公允价值和预计可行权的权益工具数量，计算截止当期 累计应确认的成本费用金额，再减去前期累计已确认金额，作为当期应确认的成本费用金额。 2021年确认管理费用为45, 342, </w:t>
      </w:r>
      <w:r>
        <w:rPr>
          <w:color w:val="000000"/>
          <w:spacing w:val="0"/>
          <w:w w:val="100"/>
          <w:position w:val="0"/>
          <w:sz w:val="24"/>
          <w:szCs w:val="24"/>
        </w:rPr>
        <w:t xml:space="preserve">500. </w:t>
      </w:r>
      <w:r>
        <w:rPr>
          <w:color w:val="000000"/>
          <w:spacing w:val="0"/>
          <w:w w:val="100"/>
          <w:position w:val="0"/>
          <w:sz w:val="24"/>
          <w:szCs w:val="24"/>
        </w:rPr>
        <w:t xml:space="preserve">00元，增加资本公积45, 342, </w:t>
      </w:r>
      <w:r>
        <w:rPr>
          <w:color w:val="000000"/>
          <w:spacing w:val="0"/>
          <w:w w:val="100"/>
          <w:position w:val="0"/>
          <w:sz w:val="24"/>
          <w:szCs w:val="24"/>
        </w:rPr>
        <w:t xml:space="preserve">500. </w:t>
      </w:r>
      <w:r>
        <w:rPr>
          <w:color w:val="000000"/>
          <w:spacing w:val="0"/>
          <w:w w:val="100"/>
          <w:position w:val="0"/>
          <w:sz w:val="24"/>
          <w:szCs w:val="24"/>
        </w:rPr>
        <w:t>00元。</w:t>
      </w:r>
    </w:p>
    <w:p>
      <w:pPr>
        <w:pStyle w:val="Style24"/>
        <w:keepNext/>
        <w:keepLines/>
        <w:widowControl w:val="0"/>
        <w:shd w:val="clear" w:color="auto" w:fill="auto"/>
        <w:bidi w:val="0"/>
        <w:spacing w:before="0" w:after="380" w:line="240" w:lineRule="auto"/>
        <w:ind w:left="0" w:right="0" w:firstLine="0"/>
        <w:jc w:val="left"/>
      </w:pPr>
      <w:bookmarkStart w:id="1463" w:name="bookmark1463"/>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3</w:t>
      </w:r>
      <w:bookmarkEnd w:id="1465"/>
      <w:r>
        <w:rPr>
          <w:rFonts w:ascii="Times New Roman" w:eastAsia="Times New Roman" w:hAnsi="Times New Roman" w:cs="Times New Roman"/>
          <w:color w:val="000000"/>
          <w:spacing w:val="0"/>
          <w:w w:val="100"/>
          <w:position w:val="0"/>
        </w:rPr>
        <w:t>8</w:t>
      </w:r>
      <w:r>
        <w:rPr>
          <w:color w:val="000000"/>
          <w:spacing w:val="0"/>
          <w:w w:val="100"/>
          <w:position w:val="0"/>
        </w:rPr>
        <w:t>、库存股</w:t>
      </w:r>
      <w:bookmarkEnd w:id="1463"/>
      <w:bookmarkEnd w:id="1464"/>
      <w:bookmarkEnd w:id="146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限制性股票未到解锁期 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17,808,000.00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17,808,000.00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17,808,000.00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17,808,000.00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r>
        <w:br w:type="page"/>
      </w:r>
    </w:p>
    <w:p>
      <w:pPr>
        <w:pStyle w:val="Style59"/>
        <w:keepNext w:val="0"/>
        <w:keepLines w:val="0"/>
        <w:widowControl w:val="0"/>
        <w:shd w:val="clear" w:color="auto" w:fill="auto"/>
        <w:bidi w:val="0"/>
        <w:spacing w:before="0" w:after="420" w:line="466" w:lineRule="exact"/>
        <w:ind w:left="0" w:right="0" w:firstLine="500"/>
        <w:jc w:val="both"/>
      </w:pPr>
      <w:r>
        <w:rPr>
          <w:color w:val="000000"/>
          <w:spacing w:val="0"/>
          <w:w w:val="100"/>
          <w:position w:val="0"/>
          <w:sz w:val="24"/>
          <w:szCs w:val="24"/>
        </w:rPr>
        <w:t xml:space="preserve">注：2021年公司《2018年股票期权与限制性股票激励计划》限制性股票解除限售数量为 2, 750, 000股，因16名激励对象离职，回购限制性股票110,000股，合计解锁限制性股票数量 2, 860, 000股，减少库存股17, 808, </w:t>
      </w:r>
      <w:r>
        <w:rPr>
          <w:color w:val="000000"/>
          <w:spacing w:val="0"/>
          <w:w w:val="100"/>
          <w:position w:val="0"/>
          <w:sz w:val="24"/>
          <w:szCs w:val="24"/>
        </w:rPr>
        <w:t xml:space="preserve">000. </w:t>
      </w:r>
      <w:r>
        <w:rPr>
          <w:color w:val="000000"/>
          <w:spacing w:val="0"/>
          <w:w w:val="100"/>
          <w:position w:val="0"/>
          <w:sz w:val="24"/>
          <w:szCs w:val="24"/>
        </w:rPr>
        <w:t>00元。</w:t>
      </w:r>
    </w:p>
    <w:p>
      <w:pPr>
        <w:pStyle w:val="Style24"/>
        <w:keepNext/>
        <w:keepLines/>
        <w:widowControl w:val="0"/>
        <w:shd w:val="clear" w:color="auto" w:fill="auto"/>
        <w:bidi w:val="0"/>
        <w:spacing w:before="0" w:after="360" w:line="240" w:lineRule="auto"/>
        <w:ind w:left="0" w:right="0" w:firstLine="0"/>
        <w:jc w:val="left"/>
      </w:pPr>
      <w:bookmarkStart w:id="1467" w:name="bookmark1467"/>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3</w:t>
      </w:r>
      <w:bookmarkEnd w:id="1469"/>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467"/>
      <w:bookmarkEnd w:id="1468"/>
      <w:bookmarkEnd w:id="1470"/>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94,776,399.71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16,336,063.85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111,112,463.56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94,776,399.71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16,336,063.85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111,112,463.56</w:t>
            </w: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left"/>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4</w:t>
      </w:r>
      <w:bookmarkEnd w:id="1473"/>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471"/>
      <w:bookmarkEnd w:id="1472"/>
      <w:bookmarkEnd w:id="1474"/>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888,685,592.85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872,739,278.58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-114,573,897.70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888,685,592.85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758,165,380.88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206,715,406.82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158,660,177.22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16,336,063.85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10,898,210.76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对所有者的分配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19,259,892.20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17,241,754.49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1,059,805,043.62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888,685,592.85</w:t>
            </w: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left"/>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4</w:t>
      </w:r>
      <w:bookmarkEnd w:id="1477"/>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475"/>
      <w:bookmarkEnd w:id="1476"/>
      <w:bookmarkEnd w:id="147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1,472,535,937.32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905,541,983.15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1,405,075,562.86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939,602,842.49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8,072,767.55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5,540,599.67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8,921,504.74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5,082,623.02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1,480,608,704.87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911,082,582.82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1,413,997,067.60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944,685,465.51</w:t>
            </w:r>
          </w:p>
        </w:tc>
      </w:tr>
    </w:tbl>
    <w:p>
      <w:pPr>
        <w:widowControl w:val="0"/>
        <w:spacing w:after="99" w:line="1" w:lineRule="exact"/>
      </w:pP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经审计扣除非经常损益前后净利润孰低是否为负值</w:t>
      </w:r>
    </w:p>
    <w:p>
      <w:pPr>
        <w:pStyle w:val="Style1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与分摊至剩余履约义务的交易价格相关的信息：</w:t>
      </w:r>
    </w:p>
    <w:p>
      <w:pPr>
        <w:pStyle w:val="Style14"/>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1,039,190,630.14</w:t>
      </w:r>
      <w:r>
        <w:rPr>
          <w:color w:val="000000"/>
          <w:spacing w:val="0"/>
          <w:w w:val="100"/>
          <w:position w:val="0"/>
        </w:rPr>
        <w:t>元。</w:t>
      </w:r>
      <w:r>
        <w:br w:type="page"/>
      </w:r>
    </w:p>
    <w:p>
      <w:pPr>
        <w:pStyle w:val="Style24"/>
        <w:keepNext/>
        <w:keepLines/>
        <w:widowControl w:val="0"/>
        <w:shd w:val="clear" w:color="auto" w:fill="auto"/>
        <w:bidi w:val="0"/>
        <w:spacing w:before="0" w:after="380" w:line="240" w:lineRule="auto"/>
        <w:ind w:left="0" w:right="0" w:firstLine="0"/>
        <w:jc w:val="both"/>
      </w:pPr>
      <w:bookmarkStart w:id="1479" w:name="bookmark1479"/>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4</w:t>
      </w:r>
      <w:bookmarkEnd w:id="1481"/>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479"/>
      <w:bookmarkEnd w:id="1480"/>
      <w:bookmarkEnd w:id="148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5,195,076.78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5,267,603.57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2,228,536.64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2,257,466.32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1,149,882.30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1,031,826.85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67,250.74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65,500.40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83,996.32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76,409.81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609,678.90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643,957.14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1,481,528.64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1,504,905.93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110,444.42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10,825,373.62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10,958,114.44</w:t>
            </w:r>
          </w:p>
        </w:tc>
      </w:tr>
    </w:tbl>
    <w:p>
      <w:pPr>
        <w:widowControl w:val="0"/>
        <w:spacing w:after="299" w:line="1" w:lineRule="exact"/>
      </w:pPr>
    </w:p>
    <w:p>
      <w:pPr>
        <w:pStyle w:val="Style24"/>
        <w:keepNext/>
        <w:keepLines/>
        <w:widowControl w:val="0"/>
        <w:shd w:val="clear" w:color="auto" w:fill="auto"/>
        <w:bidi w:val="0"/>
        <w:spacing w:before="0" w:after="380" w:line="240" w:lineRule="auto"/>
        <w:ind w:left="0" w:right="0" w:firstLine="0"/>
        <w:jc w:val="both"/>
      </w:pPr>
      <w:bookmarkStart w:id="1483" w:name="bookmark1483"/>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4</w:t>
      </w:r>
      <w:bookmarkEnd w:id="1485"/>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483"/>
      <w:bookmarkEnd w:id="1484"/>
      <w:bookmarkEnd w:id="148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55,200,886.80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42,200,212.54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26,786,321.40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27,620,464.78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14,801,298.91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8,374,569.28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6,625,102.34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7,493,444.65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4,471,554.83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4,599,638.17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1,869,897.53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4,844,147.51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维保及维修费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1,565,476.75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1,155,094.05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通讯费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470,429.47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413,372.22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验收费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180,089.00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1,414,722.00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1,042,337.39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672,386.99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113,013,394.42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98,788,052.19</w:t>
            </w:r>
          </w:p>
        </w:tc>
      </w:tr>
    </w:tbl>
    <w:p>
      <w:pPr>
        <w:widowControl w:val="0"/>
        <w:spacing w:after="299" w:line="1" w:lineRule="exact"/>
      </w:pPr>
    </w:p>
    <w:p>
      <w:pPr>
        <w:pStyle w:val="Style24"/>
        <w:keepNext/>
        <w:keepLines/>
        <w:widowControl w:val="0"/>
        <w:shd w:val="clear" w:color="auto" w:fill="auto"/>
        <w:bidi w:val="0"/>
        <w:spacing w:before="0" w:after="380" w:line="240" w:lineRule="auto"/>
        <w:ind w:left="0" w:right="0" w:firstLine="0"/>
        <w:jc w:val="both"/>
      </w:pPr>
      <w:bookmarkStart w:id="1487" w:name="bookmark1487"/>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4</w:t>
      </w:r>
      <w:bookmarkEnd w:id="1489"/>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487"/>
      <w:bookmarkEnd w:id="1488"/>
      <w:bookmarkEnd w:id="1490"/>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股份支付成本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45,342,500.00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52,473,237.50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40,935,110.66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30,523,359.21</w:t>
            </w:r>
          </w:p>
        </w:tc>
      </w:tr>
    </w:tbl>
    <w:p>
      <w:pPr>
        <w:widowControl w:val="0"/>
        <w:spacing w:line="1" w:lineRule="exact"/>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18,356,814.55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12,088,007.48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9,379,267.38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11,323,764.77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6,781,959.31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7,565,528.02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3,073,056.01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2,954,853.61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中介机构费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2,972,928.56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1,439,367.65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2,738,398.20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604,887.11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办公场租物业费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2,174,713.29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1,431,625.71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2,541,022.79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595,092.12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134,295,770.75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120,999,723.18</w:t>
            </w: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left"/>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4</w:t>
      </w:r>
      <w:bookmarkEnd w:id="1493"/>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491"/>
      <w:bookmarkEnd w:id="1492"/>
      <w:bookmarkEnd w:id="1494"/>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人工费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51,953,263.97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45,697,797.85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自行开发无形资产的摊销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34,405,564.74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31,152,826.08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8,954,401.84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8,732,215.92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2,069,390.18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1,281,695.65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769,340.47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358,280.30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285,541.82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301,392.14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材料费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123,444.16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1,939,365.70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83,734.06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158,391.05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车辆使用费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241,158.83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134,828.44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154,195.58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98,779,509.68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90,017,319.10</w:t>
            </w: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left"/>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4</w:t>
      </w:r>
      <w:bookmarkEnd w:id="1497"/>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495"/>
      <w:bookmarkEnd w:id="1496"/>
      <w:bookmarkEnd w:id="149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4,395,811.32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6,445,680.83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其中：票据贴现利息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155,780.83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15,190,289.87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18,050,535.98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390,431.33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297,675.45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-8,550,694.58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-11,711,803.93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-18,954,741.80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-23,018,983.63</w:t>
            </w:r>
          </w:p>
        </w:tc>
      </w:tr>
    </w:tbl>
    <w:p>
      <w:pPr>
        <w:spacing w:lineRule="exact" w:line="1"/>
        <w:rPr>
          <w:sz w:val="2"/>
          <w:szCs w:val="2"/>
        </w:rPr>
      </w:pPr>
      <w:r>
        <w:br w:type="page"/>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29"/>
        <w:keepNext w:val="0"/>
        <w:keepLines w:val="0"/>
        <w:widowControl w:val="0"/>
        <w:shd w:val="clear" w:color="auto" w:fill="auto"/>
        <w:bidi w:val="0"/>
        <w:spacing w:before="0" w:after="320" w:line="240" w:lineRule="auto"/>
        <w:ind w:left="0" w:right="0" w:firstLine="0"/>
        <w:jc w:val="left"/>
      </w:pPr>
      <w:r>
        <w:rPr>
          <w:color w:val="000000"/>
          <w:spacing w:val="0"/>
          <w:w w:val="100"/>
          <w:position w:val="0"/>
        </w:rPr>
        <w:t>财务费用</w:t>
      </w:r>
      <w:r>
        <w:rPr>
          <w:rFonts w:ascii="Times New Roman" w:eastAsia="Times New Roman" w:hAnsi="Times New Roman" w:cs="Times New Roman"/>
          <w:color w:val="000000"/>
          <w:spacing w:val="0"/>
          <w:w w:val="100"/>
          <w:position w:val="0"/>
        </w:rPr>
        <w:t>-</w:t>
      </w:r>
      <w:r>
        <w:rPr>
          <w:color w:val="000000"/>
          <w:spacing w:val="0"/>
          <w:w w:val="100"/>
          <w:position w:val="0"/>
        </w:rPr>
        <w:t>其他项为长期应收款</w:t>
      </w:r>
      <w:r>
        <w:rPr>
          <w:rFonts w:ascii="Times New Roman" w:eastAsia="Times New Roman" w:hAnsi="Times New Roman" w:cs="Times New Roman"/>
          <w:color w:val="000000"/>
          <w:spacing w:val="0"/>
          <w:w w:val="100"/>
          <w:position w:val="0"/>
        </w:rPr>
        <w:t>-</w:t>
      </w:r>
      <w:r>
        <w:rPr>
          <w:color w:val="000000"/>
          <w:spacing w:val="0"/>
          <w:w w:val="100"/>
          <w:position w:val="0"/>
        </w:rPr>
        <w:t>未实现融资收益冲减财务费用形成。</w:t>
      </w:r>
    </w:p>
    <w:p>
      <w:pPr>
        <w:pStyle w:val="Style24"/>
        <w:keepNext/>
        <w:keepLines/>
        <w:widowControl w:val="0"/>
        <w:shd w:val="clear" w:color="auto" w:fill="auto"/>
        <w:bidi w:val="0"/>
        <w:spacing w:before="0" w:after="360" w:line="240" w:lineRule="auto"/>
        <w:ind w:left="0" w:right="0" w:firstLine="0"/>
        <w:jc w:val="left"/>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4</w:t>
      </w:r>
      <w:bookmarkEnd w:id="1501"/>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499"/>
      <w:bookmarkEnd w:id="1500"/>
      <w:bookmarkEnd w:id="150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增值税退税款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25,169,092.01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29,581,181.08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基于智慧城市运营管理服务子公司项目 企业发展金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进项税加计抵扣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488,082.84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354,249.98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99,964.90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231,253.61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增值税减免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24,578.68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企业社保补贴和就业补贴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79,983.74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26,789,599.95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31,916,668.41</w:t>
            </w:r>
          </w:p>
        </w:tc>
      </w:tr>
    </w:tbl>
    <w:p>
      <w:pPr>
        <w:widowControl w:val="0"/>
        <w:spacing w:after="319" w:line="1" w:lineRule="exact"/>
      </w:pPr>
    </w:p>
    <w:p>
      <w:pPr>
        <w:pStyle w:val="Style24"/>
        <w:keepNext/>
        <w:keepLines/>
        <w:widowControl w:val="0"/>
        <w:shd w:val="clear" w:color="auto" w:fill="auto"/>
        <w:bidi w:val="0"/>
        <w:spacing w:before="0" w:after="360" w:line="240" w:lineRule="auto"/>
        <w:ind w:left="0" w:right="0" w:firstLine="0"/>
        <w:jc w:val="left"/>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4</w:t>
      </w:r>
      <w:bookmarkEnd w:id="1505"/>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503"/>
      <w:bookmarkEnd w:id="1504"/>
      <w:bookmarkEnd w:id="150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92"/>
        <w:gridCol w:w="29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468,761.64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-3,440,271.04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6,892,478.78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其他权益工具投资在持有期间取得的股利 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委托理财投资收益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22,138,319.56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2,023,223.64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22,608,081.20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5,478,431.38</w:t>
            </w:r>
          </w:p>
        </w:tc>
      </w:tr>
    </w:tbl>
    <w:p>
      <w:pPr>
        <w:widowControl w:val="0"/>
        <w:spacing w:after="319" w:line="1" w:lineRule="exact"/>
      </w:pPr>
    </w:p>
    <w:p>
      <w:pPr>
        <w:pStyle w:val="Style24"/>
        <w:keepNext/>
        <w:keepLines/>
        <w:widowControl w:val="0"/>
        <w:shd w:val="clear" w:color="auto" w:fill="auto"/>
        <w:bidi w:val="0"/>
        <w:spacing w:before="0" w:after="360" w:line="240" w:lineRule="auto"/>
        <w:ind w:left="0" w:right="0" w:firstLine="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4</w:t>
      </w:r>
      <w:bookmarkEnd w:id="1509"/>
      <w:r>
        <w:rPr>
          <w:rFonts w:ascii="Times New Roman" w:eastAsia="Times New Roman" w:hAnsi="Times New Roman" w:cs="Times New Roman"/>
          <w:color w:val="000000"/>
          <w:spacing w:val="0"/>
          <w:w w:val="100"/>
          <w:position w:val="0"/>
        </w:rPr>
        <w:t>9</w:t>
      </w:r>
      <w:r>
        <w:rPr>
          <w:color w:val="000000"/>
          <w:spacing w:val="0"/>
          <w:w w:val="100"/>
          <w:position w:val="0"/>
        </w:rPr>
        <w:t>、公允价值变动收益</w:t>
      </w:r>
      <w:bookmarkEnd w:id="1507"/>
      <w:bookmarkEnd w:id="1508"/>
      <w:bookmarkEnd w:id="1510"/>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2,707,837.12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169,742.06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2,707,837.12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169,742.06</w:t>
            </w:r>
          </w:p>
        </w:tc>
      </w:tr>
    </w:tbl>
    <w:p>
      <w:pPr>
        <w:widowControl w:val="0"/>
        <w:spacing w:after="319" w:line="1" w:lineRule="exact"/>
      </w:pPr>
    </w:p>
    <w:p>
      <w:pPr>
        <w:pStyle w:val="Style24"/>
        <w:keepNext/>
        <w:keepLines/>
        <w:widowControl w:val="0"/>
        <w:shd w:val="clear" w:color="auto" w:fill="auto"/>
        <w:bidi w:val="0"/>
        <w:spacing w:before="0" w:after="360" w:line="240" w:lineRule="auto"/>
        <w:ind w:left="0" w:right="0" w:firstLine="0"/>
        <w:jc w:val="left"/>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5</w:t>
      </w:r>
      <w:bookmarkEnd w:id="1513"/>
      <w:r>
        <w:rPr>
          <w:rFonts w:ascii="Times New Roman" w:eastAsia="Times New Roman" w:hAnsi="Times New Roman" w:cs="Times New Roman"/>
          <w:color w:val="000000"/>
          <w:spacing w:val="0"/>
          <w:w w:val="100"/>
          <w:position w:val="0"/>
        </w:rPr>
        <w:t>0</w:t>
      </w:r>
      <w:r>
        <w:rPr>
          <w:color w:val="000000"/>
          <w:spacing w:val="0"/>
          <w:w w:val="100"/>
          <w:position w:val="0"/>
        </w:rPr>
        <w:t>、信用减值损失</w:t>
      </w:r>
      <w:bookmarkEnd w:id="1511"/>
      <w:bookmarkEnd w:id="1512"/>
      <w:bookmarkEnd w:id="1514"/>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bl>
    <w:p>
      <w:pPr>
        <w:widowControl w:val="0"/>
        <w:spacing w:line="1" w:lineRule="exact"/>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1,040,326.30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1,020,732.23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-49,316,681.33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-39,910,573.05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-48,276,355.03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-38,889,840.82</w:t>
            </w: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5</w:t>
      </w:r>
      <w:bookmarkEnd w:id="1517"/>
      <w:r>
        <w:rPr>
          <w:rFonts w:ascii="Times New Roman" w:eastAsia="Times New Roman" w:hAnsi="Times New Roman" w:cs="Times New Roman"/>
          <w:color w:val="000000"/>
          <w:spacing w:val="0"/>
          <w:w w:val="100"/>
          <w:position w:val="0"/>
        </w:rPr>
        <w:t>1</w:t>
      </w:r>
      <w:r>
        <w:rPr>
          <w:color w:val="000000"/>
          <w:spacing w:val="0"/>
          <w:w w:val="100"/>
          <w:position w:val="0"/>
        </w:rPr>
        <w:t>、资产减值损失</w:t>
      </w:r>
      <w:bookmarkEnd w:id="1515"/>
      <w:bookmarkEnd w:id="1516"/>
      <w:bookmarkEnd w:id="151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存货跌价损失及合同履约成本减值损失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-870,421.34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-692,252.15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-2,669,181.75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-834,128.94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-3,539,603.09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-1,526,381.09</w:t>
            </w: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left"/>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5</w:t>
      </w:r>
      <w:bookmarkEnd w:id="1521"/>
      <w:r>
        <w:rPr>
          <w:rFonts w:ascii="Times New Roman" w:eastAsia="Times New Roman" w:hAnsi="Times New Roman" w:cs="Times New Roman"/>
          <w:color w:val="000000"/>
          <w:spacing w:val="0"/>
          <w:w w:val="100"/>
          <w:position w:val="0"/>
        </w:rPr>
        <w:t>2</w:t>
      </w:r>
      <w:r>
        <w:rPr>
          <w:color w:val="000000"/>
          <w:spacing w:val="0"/>
          <w:w w:val="100"/>
          <w:position w:val="0"/>
        </w:rPr>
        <w:t>、营业外收入</w:t>
      </w:r>
      <w:bookmarkEnd w:id="1519"/>
      <w:bookmarkEnd w:id="1520"/>
      <w:bookmarkEnd w:id="152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2,554,405.20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3,718,767.54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2,554,405.20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241,822.28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28,329.38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241,822.28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2,796,227.48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3,747,096.92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2,796,227.48</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1"/>
        <w:gridCol w:w="1066"/>
        <w:gridCol w:w="1061"/>
        <w:gridCol w:w="10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补贴是否影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与收益相关</w:t>
            </w:r>
          </w:p>
        </w:tc>
      </w:tr>
      <w:tr>
        <w:trPr>
          <w:trHeight w:val="3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 xml:space="preserve">工业和信息 化部产业发 展促进中心 关于国家重 点研发计划 物联网与智 慧城市关键 技术及示范 重点专项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1,141,255.71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712,749.49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1,960,678.08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信息技术奖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纳税先进奖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1"/>
        <w:gridCol w:w="1066"/>
        <w:gridCol w:w="1061"/>
        <w:gridCol w:w="107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培训补贴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99,400.00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年重新</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认定高新技</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术企业奖励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以工代训补 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年专利 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技术提升培 训补贴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优秀企业奖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年省战</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略新兴产业</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创文补助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北京市专利</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资助金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失业补助金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23,710.96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信用报告补</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办公用房租</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金补贴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18,478.50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2,554,405.20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3,718,767.54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59" w:line="1" w:lineRule="exact"/>
      </w:pPr>
    </w:p>
    <w:p>
      <w:pPr>
        <w:pStyle w:val="Style24"/>
        <w:keepNext/>
        <w:keepLines/>
        <w:widowControl w:val="0"/>
        <w:shd w:val="clear" w:color="auto" w:fill="auto"/>
        <w:bidi w:val="0"/>
        <w:spacing w:before="0" w:after="380" w:line="240" w:lineRule="auto"/>
        <w:ind w:left="0" w:right="0" w:firstLine="0"/>
        <w:jc w:val="left"/>
      </w:pPr>
      <w:bookmarkStart w:id="1523" w:name="bookmark1523"/>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5</w:t>
      </w:r>
      <w:bookmarkEnd w:id="1525"/>
      <w:r>
        <w:rPr>
          <w:rFonts w:ascii="Times New Roman" w:eastAsia="Times New Roman" w:hAnsi="Times New Roman" w:cs="Times New Roman"/>
          <w:color w:val="000000"/>
          <w:spacing w:val="0"/>
          <w:w w:val="100"/>
          <w:position w:val="0"/>
        </w:rPr>
        <w:t>3</w:t>
      </w:r>
      <w:r>
        <w:rPr>
          <w:color w:val="000000"/>
          <w:spacing w:val="0"/>
          <w:w w:val="100"/>
          <w:position w:val="0"/>
        </w:rPr>
        <w:t>、营业外支出</w:t>
      </w:r>
      <w:bookmarkEnd w:id="1523"/>
      <w:bookmarkEnd w:id="1524"/>
      <w:bookmarkEnd w:id="152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2,046,240.00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47,770.59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29,548.97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147,129.65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185,387.67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147,129.65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182,678.62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2,279,398.26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182,678.62</w:t>
            </w:r>
          </w:p>
        </w:tc>
      </w:tr>
    </w:tbl>
    <w:p>
      <w:pPr>
        <w:spacing w:lineRule="exact" w:line="1"/>
        <w:rPr>
          <w:sz w:val="2"/>
          <w:szCs w:val="2"/>
        </w:rPr>
      </w:pPr>
      <w:r>
        <w:br w:type="page"/>
      </w:r>
    </w:p>
    <w:p>
      <w:pPr>
        <w:pStyle w:val="Style24"/>
        <w:keepNext/>
        <w:keepLines/>
        <w:widowControl w:val="0"/>
        <w:shd w:val="clear" w:color="auto" w:fill="auto"/>
        <w:bidi w:val="0"/>
        <w:spacing w:before="0" w:line="240" w:lineRule="auto"/>
        <w:ind w:left="0" w:right="0" w:firstLine="0"/>
        <w:jc w:val="left"/>
      </w:pPr>
      <w:bookmarkStart w:id="1527" w:name="bookmark1527"/>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5</w:t>
      </w:r>
      <w:bookmarkEnd w:id="1529"/>
      <w:r>
        <w:rPr>
          <w:rFonts w:ascii="Times New Roman" w:eastAsia="Times New Roman" w:hAnsi="Times New Roman" w:cs="Times New Roman"/>
          <w:color w:val="000000"/>
          <w:spacing w:val="0"/>
          <w:w w:val="100"/>
          <w:position w:val="0"/>
        </w:rPr>
        <w:t>4</w:t>
      </w:r>
      <w:r>
        <w:rPr>
          <w:color w:val="000000"/>
          <w:spacing w:val="0"/>
          <w:w w:val="100"/>
          <w:position w:val="0"/>
        </w:rPr>
        <w:t>、所得税费用</w:t>
      </w:r>
      <w:bookmarkEnd w:id="1527"/>
      <w:bookmarkEnd w:id="1528"/>
      <w:bookmarkEnd w:id="1530"/>
    </w:p>
    <w:p>
      <w:pPr>
        <w:pStyle w:val="Style102"/>
        <w:keepNext/>
        <w:keepLines/>
        <w:widowControl w:val="0"/>
        <w:shd w:val="clear" w:color="auto" w:fill="auto"/>
        <w:bidi w:val="0"/>
        <w:spacing w:before="0" w:after="340" w:line="240" w:lineRule="auto"/>
        <w:ind w:left="0" w:right="0" w:firstLine="0"/>
        <w:jc w:val="left"/>
      </w:pPr>
      <w:bookmarkStart w:id="1531" w:name="bookmark1531"/>
      <w:bookmarkStart w:id="1532" w:name="bookmark1532"/>
      <w:bookmarkStart w:id="1533" w:name="bookmark15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31"/>
      <w:bookmarkEnd w:id="1532"/>
      <w:bookmarkEnd w:id="1533"/>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38,314,867.54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24,388,310.68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-10,253,636.71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-12,596,625.28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28,061,230.83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11,791,685.40</w:t>
            </w:r>
          </w:p>
        </w:tc>
      </w:tr>
    </w:tbl>
    <w:p>
      <w:pPr>
        <w:widowControl w:val="0"/>
        <w:spacing w:after="339" w:line="1" w:lineRule="exact"/>
      </w:pPr>
    </w:p>
    <w:p>
      <w:pPr>
        <w:pStyle w:val="Style102"/>
        <w:keepNext/>
        <w:keepLines/>
        <w:widowControl w:val="0"/>
        <w:shd w:val="clear" w:color="auto" w:fill="auto"/>
        <w:bidi w:val="0"/>
        <w:spacing w:before="0" w:after="340" w:line="240" w:lineRule="auto"/>
        <w:ind w:left="0" w:right="0" w:firstLine="0"/>
        <w:jc w:val="left"/>
      </w:pPr>
      <w:bookmarkStart w:id="1534" w:name="bookmark1534"/>
      <w:bookmarkStart w:id="1535" w:name="bookmark1535"/>
      <w:bookmarkStart w:id="1536" w:name="bookmark153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34"/>
      <w:bookmarkEnd w:id="1535"/>
      <w:bookmarkEnd w:id="153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234,469,924.39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35,170,488.66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-2,198,625.13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-1,175,494.95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4,736,641.78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-1,019,249.79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2,324,448.08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税率调整导致期初递延所得税资产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负债余额的变化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-564,151.64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研发费用加计扣除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-9,017,148.54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税收优惠的影响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-195,527.64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28,061,230.83</w:t>
            </w:r>
          </w:p>
        </w:tc>
      </w:tr>
    </w:tbl>
    <w:p>
      <w:pPr>
        <w:widowControl w:val="0"/>
        <w:spacing w:after="659" w:line="1" w:lineRule="exact"/>
      </w:pPr>
    </w:p>
    <w:p>
      <w:pPr>
        <w:pStyle w:val="Style24"/>
        <w:keepNext/>
        <w:keepLines/>
        <w:widowControl w:val="0"/>
        <w:shd w:val="clear" w:color="auto" w:fill="auto"/>
        <w:bidi w:val="0"/>
        <w:spacing w:before="0" w:line="240" w:lineRule="auto"/>
        <w:ind w:left="0" w:right="0" w:firstLine="0"/>
        <w:jc w:val="left"/>
      </w:pPr>
      <w:bookmarkStart w:id="1537" w:name="bookmark1537"/>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5</w:t>
      </w:r>
      <w:bookmarkEnd w:id="1539"/>
      <w:r>
        <w:rPr>
          <w:rFonts w:ascii="Times New Roman" w:eastAsia="Times New Roman" w:hAnsi="Times New Roman" w:cs="Times New Roman"/>
          <w:color w:val="000000"/>
          <w:spacing w:val="0"/>
          <w:w w:val="100"/>
          <w:position w:val="0"/>
        </w:rPr>
        <w:t>5</w:t>
      </w:r>
      <w:r>
        <w:rPr>
          <w:color w:val="000000"/>
          <w:spacing w:val="0"/>
          <w:w w:val="100"/>
          <w:position w:val="0"/>
        </w:rPr>
        <w:t>、现金流量表项目</w:t>
      </w:r>
      <w:bookmarkEnd w:id="1537"/>
      <w:bookmarkEnd w:id="1538"/>
      <w:bookmarkEnd w:id="1540"/>
    </w:p>
    <w:p>
      <w:pPr>
        <w:pStyle w:val="Style102"/>
        <w:keepNext/>
        <w:keepLines/>
        <w:widowControl w:val="0"/>
        <w:shd w:val="clear" w:color="auto" w:fill="auto"/>
        <w:bidi w:val="0"/>
        <w:spacing w:before="0" w:after="340" w:line="240" w:lineRule="auto"/>
        <w:ind w:left="0" w:right="0" w:firstLine="0"/>
        <w:jc w:val="left"/>
      </w:pPr>
      <w:bookmarkStart w:id="1541" w:name="bookmark1541"/>
      <w:bookmarkStart w:id="1542" w:name="bookmark1542"/>
      <w:bookmarkStart w:id="1543" w:name="bookmark15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41"/>
      <w:bookmarkEnd w:id="1542"/>
      <w:bookmarkEnd w:id="1543"/>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投标保证金、押金及个人备用金等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50,098,559.64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69,567,174.85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15,190,289.87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18,050,535.98</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代收代扣款项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7,979,256.46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14,048,438.88</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除税费返还外的其他政府补助收入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7,804,804.31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8,843,719.97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99,964.90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231,253.61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2,458,945.14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668,164.16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83,631,820.32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111,409,287.45</w:t>
            </w:r>
          </w:p>
        </w:tc>
      </w:tr>
    </w:tbl>
    <w:p>
      <w:pPr>
        <w:widowControl w:val="0"/>
        <w:spacing w:after="659" w:line="1" w:lineRule="exact"/>
      </w:pPr>
    </w:p>
    <w:p>
      <w:pPr>
        <w:pStyle w:val="Style102"/>
        <w:keepNext/>
        <w:keepLines/>
        <w:widowControl w:val="0"/>
        <w:shd w:val="clear" w:color="auto" w:fill="auto"/>
        <w:bidi w:val="0"/>
        <w:spacing w:before="0" w:line="240" w:lineRule="auto"/>
        <w:ind w:left="0" w:right="0" w:firstLine="0"/>
        <w:jc w:val="left"/>
      </w:pPr>
      <w:bookmarkStart w:id="1544" w:name="bookmark1544"/>
      <w:bookmarkStart w:id="1545" w:name="bookmark1545"/>
      <w:bookmarkStart w:id="1546" w:name="bookmark15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44"/>
      <w:bookmarkEnd w:id="1545"/>
      <w:bookmarkEnd w:id="154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投标保证金、押金及个人备用金等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70,077,654.50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70,400,706.54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期间费用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52,242,316.93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47,564,431.56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期间费用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27,726,801.10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25,759,762.45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代收代扣款项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24,083,250.80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3,651,504.29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期间费用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10,491,088.11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11,557,854.21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6,451,603.35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8,725,079.09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191,072,714.79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167,659,338.14</w:t>
            </w:r>
          </w:p>
        </w:tc>
      </w:tr>
    </w:tbl>
    <w:p>
      <w:pPr>
        <w:widowControl w:val="0"/>
        <w:spacing w:after="79" w:line="1" w:lineRule="exact"/>
      </w:pPr>
    </w:p>
    <w:p>
      <w:pPr>
        <w:pStyle w:val="Style1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支付的其他与经营活动有关的现金说明：</w:t>
      </w:r>
    </w:p>
    <w:p>
      <w:pPr>
        <w:pStyle w:val="Style102"/>
        <w:keepNext/>
        <w:keepLines/>
        <w:widowControl w:val="0"/>
        <w:shd w:val="clear" w:color="auto" w:fill="auto"/>
        <w:bidi w:val="0"/>
        <w:spacing w:before="0" w:line="240" w:lineRule="auto"/>
        <w:ind w:left="0" w:right="0" w:firstLine="0"/>
        <w:jc w:val="left"/>
      </w:pPr>
      <w:bookmarkStart w:id="1547" w:name="bookmark1547"/>
      <w:bookmarkStart w:id="1548" w:name="bookmark1548"/>
      <w:bookmarkStart w:id="1549" w:name="bookmark1549"/>
      <w:bookmarkStart w:id="1550" w:name="bookmark1550"/>
      <w:r>
        <w:rPr>
          <w:color w:val="000000"/>
          <w:spacing w:val="0"/>
          <w:w w:val="100"/>
          <w:position w:val="0"/>
        </w:rPr>
        <w:t>（</w:t>
      </w:r>
      <w:bookmarkEnd w:id="1549"/>
      <w:r>
        <w:rPr>
          <w:rFonts w:ascii="Times New Roman" w:eastAsia="Times New Roman" w:hAnsi="Times New Roman" w:cs="Times New Roman"/>
          <w:color w:val="000000"/>
          <w:spacing w:val="0"/>
          <w:w w:val="100"/>
          <w:position w:val="0"/>
        </w:rPr>
        <w:t>3</w:t>
      </w:r>
      <w:r>
        <w:rPr>
          <w:color w:val="000000"/>
          <w:spacing w:val="0"/>
          <w:w w:val="100"/>
          <w:position w:val="0"/>
        </w:rPr>
        <w:t>）收到的其他与筹资活动有关的现金</w:t>
      </w:r>
      <w:bookmarkEnd w:id="1547"/>
      <w:bookmarkEnd w:id="1548"/>
      <w:bookmarkEnd w:id="1550"/>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票据保证金到期收回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20,385,000.00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大余路灯</w:t>
            </w:r>
            <w:r>
              <w:rPr>
                <w:rFonts w:ascii="Times New Roman" w:eastAsia="Times New Roman" w:hAnsi="Times New Roman" w:cs="Times New Roman"/>
                <w:color w:val="000000"/>
                <w:spacing w:val="0"/>
                <w:w w:val="100"/>
                <w:position w:val="0"/>
                <w:sz w:val="18"/>
                <w:szCs w:val="18"/>
              </w:rPr>
              <w:t>PPP</w:t>
            </w:r>
            <w:r>
              <w:rPr>
                <w:color w:val="000000"/>
                <w:spacing w:val="0"/>
                <w:w w:val="100"/>
                <w:position w:val="0"/>
                <w:sz w:val="18"/>
                <w:szCs w:val="18"/>
              </w:rPr>
              <w:t>项目融资款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78,300,000.00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98,685,000.00</w:t>
            </w:r>
          </w:p>
        </w:tc>
      </w:tr>
    </w:tbl>
    <w:p>
      <w:pPr>
        <w:widowControl w:val="0"/>
        <w:spacing w:after="299" w:line="1" w:lineRule="exact"/>
      </w:pPr>
    </w:p>
    <w:p>
      <w:pPr>
        <w:pStyle w:val="Style102"/>
        <w:keepNext/>
        <w:keepLines/>
        <w:widowControl w:val="0"/>
        <w:shd w:val="clear" w:color="auto" w:fill="auto"/>
        <w:bidi w:val="0"/>
        <w:spacing w:before="0" w:line="240" w:lineRule="auto"/>
        <w:ind w:left="0" w:right="0" w:firstLine="0"/>
        <w:jc w:val="left"/>
      </w:pPr>
      <w:bookmarkStart w:id="1551" w:name="bookmark1551"/>
      <w:bookmarkStart w:id="1552" w:name="bookmark1552"/>
      <w:bookmarkStart w:id="1553" w:name="bookmark1553"/>
      <w:bookmarkStart w:id="1554" w:name="bookmark1554"/>
      <w:r>
        <w:rPr>
          <w:color w:val="000000"/>
          <w:spacing w:val="0"/>
          <w:w w:val="100"/>
          <w:position w:val="0"/>
        </w:rPr>
        <w:t>（</w:t>
      </w:r>
      <w:bookmarkEnd w:id="1553"/>
      <w:r>
        <w:rPr>
          <w:rFonts w:ascii="Times New Roman" w:eastAsia="Times New Roman" w:hAnsi="Times New Roman" w:cs="Times New Roman"/>
          <w:color w:val="000000"/>
          <w:spacing w:val="0"/>
          <w:w w:val="100"/>
          <w:position w:val="0"/>
        </w:rPr>
        <w:t>4</w:t>
      </w:r>
      <w:r>
        <w:rPr>
          <w:color w:val="000000"/>
          <w:spacing w:val="0"/>
          <w:w w:val="100"/>
          <w:position w:val="0"/>
        </w:rPr>
        <w:t>）支付的其他与筹资活动有关的现金</w:t>
      </w:r>
      <w:bookmarkEnd w:id="1551"/>
      <w:bookmarkEnd w:id="1552"/>
      <w:bookmarkEnd w:id="1554"/>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支付使用权资产租金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7,567,872.36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支付以前年度投资款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22,748,453.79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回购本公司限制性股票支付的现金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1,782,400.00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定向增发中介服务费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11,600,000.00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收购少数股东股权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2,549,437.00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10,767,872.36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38,680,290.79</w:t>
            </w:r>
          </w:p>
        </w:tc>
      </w:tr>
    </w:tbl>
    <w:p>
      <w:pPr>
        <w:spacing w:lineRule="exact" w:line="1"/>
        <w:rPr>
          <w:sz w:val="2"/>
          <w:szCs w:val="2"/>
        </w:rPr>
      </w:pPr>
      <w:r>
        <w:br w:type="page"/>
      </w:r>
    </w:p>
    <w:p>
      <w:pPr>
        <w:pStyle w:val="Style24"/>
        <w:keepNext/>
        <w:keepLines/>
        <w:widowControl w:val="0"/>
        <w:shd w:val="clear" w:color="auto" w:fill="auto"/>
        <w:bidi w:val="0"/>
        <w:spacing w:before="0" w:after="360" w:line="240" w:lineRule="auto"/>
        <w:ind w:left="0" w:right="0" w:firstLine="0"/>
        <w:jc w:val="left"/>
      </w:pPr>
      <w:bookmarkStart w:id="1555" w:name="bookmark1555"/>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5</w:t>
      </w:r>
      <w:bookmarkEnd w:id="1557"/>
      <w:r>
        <w:rPr>
          <w:rFonts w:ascii="Times New Roman" w:eastAsia="Times New Roman" w:hAnsi="Times New Roman" w:cs="Times New Roman"/>
          <w:color w:val="000000"/>
          <w:spacing w:val="0"/>
          <w:w w:val="100"/>
          <w:position w:val="0"/>
        </w:rPr>
        <w:t>6</w:t>
      </w:r>
      <w:r>
        <w:rPr>
          <w:color w:val="000000"/>
          <w:spacing w:val="0"/>
          <w:w w:val="100"/>
          <w:position w:val="0"/>
        </w:rPr>
        <w:t>、现金流量表补充资料</w:t>
      </w:r>
      <w:bookmarkEnd w:id="1555"/>
      <w:bookmarkEnd w:id="1556"/>
      <w:bookmarkEnd w:id="1558"/>
    </w:p>
    <w:p>
      <w:pPr>
        <w:pStyle w:val="Style102"/>
        <w:keepNext/>
        <w:keepLines/>
        <w:widowControl w:val="0"/>
        <w:shd w:val="clear" w:color="auto" w:fill="auto"/>
        <w:bidi w:val="0"/>
        <w:spacing w:before="0" w:line="240" w:lineRule="auto"/>
        <w:ind w:left="0" w:right="0" w:firstLine="0"/>
        <w:jc w:val="left"/>
      </w:pPr>
      <w:bookmarkStart w:id="1559" w:name="bookmark1559"/>
      <w:bookmarkStart w:id="1560" w:name="bookmark1560"/>
      <w:bookmarkStart w:id="1561" w:name="bookmark15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59"/>
      <w:bookmarkEnd w:id="1560"/>
      <w:bookmarkEnd w:id="1561"/>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206,408,693.56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158,392,010.01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3,539,603.09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1,526,381.09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信用减值准备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48,276,355.03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38,889,840.82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8"/>
                <w:szCs w:val="18"/>
              </w:rPr>
            </w:pPr>
            <w:r>
              <w:rPr>
                <w:color w:val="000000"/>
                <w:spacing w:val="0"/>
                <w:w w:val="100"/>
                <w:position w:val="0"/>
                <w:sz w:val="18"/>
                <w:szCs w:val="18"/>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14,933,675.43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14,334,703.52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6,717,420.56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42,271,389.25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39,037,951.20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17,988.00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8"/>
                <w:szCs w:val="18"/>
              </w:rPr>
            </w:pPr>
            <w:r>
              <w:rPr>
                <w:color w:val="000000"/>
                <w:spacing w:val="0"/>
                <w:w w:val="100"/>
                <w:position w:val="0"/>
                <w:sz w:val="18"/>
                <w:szCs w:val="18"/>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-23,726.84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rPr>
                <w:sz w:val="18"/>
                <w:szCs w:val="18"/>
              </w:rPr>
            </w:pPr>
            <w:r>
              <w:rPr>
                <w:color w:val="000000"/>
                <w:spacing w:val="0"/>
                <w:w w:val="100"/>
                <w:position w:val="0"/>
                <w:sz w:val="18"/>
                <w:szCs w:val="18"/>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47,220.59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rPr>
                <w:sz w:val="18"/>
                <w:szCs w:val="18"/>
              </w:rPr>
            </w:pPr>
            <w:r>
              <w:rPr>
                <w:color w:val="000000"/>
                <w:spacing w:val="0"/>
                <w:w w:val="100"/>
                <w:position w:val="0"/>
                <w:sz w:val="18"/>
                <w:szCs w:val="18"/>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-2,707,837.12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-169,742.06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-4,154,883.26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-5,266,123.10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-22,608,081.20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-5,478,431.38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rPr>
                <w:sz w:val="18"/>
                <w:szCs w:val="18"/>
              </w:rPr>
            </w:pPr>
            <w:r>
              <w:rPr>
                <w:color w:val="000000"/>
                <w:spacing w:val="0"/>
                <w:w w:val="100"/>
                <w:position w:val="0"/>
                <w:sz w:val="18"/>
                <w:szCs w:val="18"/>
              </w:rPr>
              <w:t>递延所得税资产减少（增加以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-8,897,825.83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-10,809,177.52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rPr>
                <w:sz w:val="18"/>
                <w:szCs w:val="18"/>
              </w:rPr>
            </w:pPr>
            <w:r>
              <w:rPr>
                <w:color w:val="000000"/>
                <w:spacing w:val="0"/>
                <w:w w:val="100"/>
                <w:position w:val="0"/>
                <w:sz w:val="18"/>
                <w:szCs w:val="18"/>
              </w:rPr>
              <w:t>递延所得税负债增加（减少以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-1,355,810.88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-1,787,447.76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21,657,605.88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33,039,057.45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rPr>
                <w:sz w:val="18"/>
                <w:szCs w:val="18"/>
              </w:rPr>
            </w:pPr>
            <w:r>
              <w:rPr>
                <w:color w:val="000000"/>
                <w:spacing w:val="0"/>
                <w:w w:val="100"/>
                <w:position w:val="0"/>
                <w:sz w:val="18"/>
                <w:szCs w:val="18"/>
              </w:rPr>
              <w:t>经营性应收项目的减少（增加以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-217,649,801.71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-192,746,300.85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rPr>
                <w:sz w:val="18"/>
                <w:szCs w:val="18"/>
              </w:rPr>
            </w:pPr>
            <w:r>
              <w:rPr>
                <w:color w:val="000000"/>
                <w:spacing w:val="0"/>
                <w:w w:val="100"/>
                <w:position w:val="0"/>
                <w:sz w:val="18"/>
                <w:szCs w:val="18"/>
              </w:rPr>
              <w:t>经营性应付项目的增加（减少以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-30,113,721.75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104,193,647.84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93,618,855.03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91,363,078.32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信用减值准备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48,276,355.03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38,889,840.82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股权激励影响损益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45,342,500.00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52,473,237.50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101,677,891.38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225,694,815.35</w:t>
            </w:r>
          </w:p>
        </w:tc>
      </w:tr>
    </w:tbl>
    <w:p>
      <w:pPr>
        <w:widowControl w:val="0"/>
        <w:spacing w:line="1" w:lineRule="exact"/>
      </w:pPr>
      <w:r>
        <w:br w:type="page"/>
      </w:r>
    </w:p>
    <w:tbl>
      <w:tblPr>
        <w:tblOverlap w:val="never"/>
        <w:jc w:val="center"/>
        <w:tblLayout w:type="fixed"/>
      </w:tblPr>
      <w:tblGrid>
        <w:gridCol w:w="3331"/>
        <w:gridCol w:w="3058"/>
        <w:gridCol w:w="319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1,436,408,871.71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1,554,077,273.67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1,554,077,273.67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700,298,069.03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-117,668,401.96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853,779,204.64</w:t>
            </w:r>
          </w:p>
        </w:tc>
      </w:tr>
    </w:tbl>
    <w:p>
      <w:pPr>
        <w:widowControl w:val="0"/>
        <w:spacing w:after="299" w:line="1" w:lineRule="exact"/>
      </w:pPr>
    </w:p>
    <w:p>
      <w:pPr>
        <w:pStyle w:val="Style102"/>
        <w:keepNext/>
        <w:keepLines/>
        <w:widowControl w:val="0"/>
        <w:shd w:val="clear" w:color="auto" w:fill="auto"/>
        <w:bidi w:val="0"/>
        <w:spacing w:before="0" w:line="240" w:lineRule="auto"/>
        <w:ind w:left="0" w:right="0" w:firstLine="0"/>
        <w:jc w:val="left"/>
      </w:pPr>
      <w:bookmarkStart w:id="1562" w:name="bookmark1562"/>
      <w:bookmarkStart w:id="1563" w:name="bookmark1563"/>
      <w:bookmarkStart w:id="1564" w:name="bookmark15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562"/>
      <w:bookmarkEnd w:id="1563"/>
      <w:bookmarkEnd w:id="1564"/>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1,436,408,871.71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1,554,077,273.67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387,002.54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448,667.81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1,436,021,869.17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1,553,628,605.86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1,436,408,871.71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1,554,077,273.67</w:t>
            </w: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left"/>
      </w:pPr>
      <w:bookmarkStart w:id="1565" w:name="bookmark1565"/>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5</w:t>
      </w:r>
      <w:bookmarkEnd w:id="1567"/>
      <w:r>
        <w:rPr>
          <w:rFonts w:ascii="Times New Roman" w:eastAsia="Times New Roman" w:hAnsi="Times New Roman" w:cs="Times New Roman"/>
          <w:color w:val="000000"/>
          <w:spacing w:val="0"/>
          <w:w w:val="100"/>
          <w:position w:val="0"/>
        </w:rPr>
        <w:t>7</w:t>
      </w:r>
      <w:r>
        <w:rPr>
          <w:color w:val="000000"/>
          <w:spacing w:val="0"/>
          <w:w w:val="100"/>
          <w:position w:val="0"/>
        </w:rPr>
        <w:t>、所有权或使用权受到限制的资产</w:t>
      </w:r>
      <w:bookmarkEnd w:id="1565"/>
      <w:bookmarkEnd w:id="1566"/>
      <w:bookmarkEnd w:id="156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24,854,604.88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保证金和专项资金</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24,854,604.88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9"/>
        <w:keepNext w:val="0"/>
        <w:keepLines w:val="0"/>
        <w:widowControl w:val="0"/>
        <w:shd w:val="clear" w:color="auto" w:fill="auto"/>
        <w:bidi w:val="0"/>
        <w:spacing w:before="0" w:after="420" w:line="470" w:lineRule="exact"/>
        <w:ind w:left="0" w:right="0" w:firstLine="500"/>
        <w:jc w:val="both"/>
      </w:pPr>
      <w:r>
        <w:rPr>
          <w:color w:val="000000"/>
          <w:spacing w:val="0"/>
          <w:w w:val="100"/>
          <w:position w:val="0"/>
          <w:sz w:val="24"/>
          <w:szCs w:val="24"/>
        </w:rPr>
        <w:t>截止2021年12月31日公司受限货币资金</w:t>
      </w:r>
      <w:r>
        <w:rPr>
          <w:color w:val="000000"/>
          <w:spacing w:val="0"/>
          <w:w w:val="100"/>
          <w:position w:val="0"/>
          <w:sz w:val="24"/>
          <w:szCs w:val="24"/>
        </w:rPr>
        <w:t>24,854,604.88</w:t>
      </w:r>
      <w:r>
        <w:rPr>
          <w:color w:val="000000"/>
          <w:spacing w:val="0"/>
          <w:w w:val="100"/>
          <w:position w:val="0"/>
          <w:sz w:val="24"/>
          <w:szCs w:val="24"/>
        </w:rPr>
        <w:t xml:space="preserve">元，其中开立保函保证金 15, 271, </w:t>
      </w:r>
      <w:r>
        <w:rPr>
          <w:color w:val="000000"/>
          <w:spacing w:val="0"/>
          <w:w w:val="100"/>
          <w:position w:val="0"/>
          <w:sz w:val="24"/>
          <w:szCs w:val="24"/>
        </w:rPr>
        <w:t xml:space="preserve">282. </w:t>
      </w:r>
      <w:r>
        <w:rPr>
          <w:color w:val="000000"/>
          <w:spacing w:val="0"/>
          <w:w w:val="100"/>
          <w:position w:val="0"/>
          <w:sz w:val="24"/>
          <w:szCs w:val="24"/>
        </w:rPr>
        <w:t xml:space="preserve">86元，受限银行存款9, 583, </w:t>
      </w:r>
      <w:r>
        <w:rPr>
          <w:color w:val="000000"/>
          <w:spacing w:val="0"/>
          <w:w w:val="100"/>
          <w:position w:val="0"/>
          <w:sz w:val="24"/>
          <w:szCs w:val="24"/>
        </w:rPr>
        <w:t xml:space="preserve">322. </w:t>
      </w:r>
      <w:r>
        <w:rPr>
          <w:color w:val="000000"/>
          <w:spacing w:val="0"/>
          <w:w w:val="100"/>
          <w:position w:val="0"/>
          <w:sz w:val="24"/>
          <w:szCs w:val="24"/>
        </w:rPr>
        <w:t>02元。</w:t>
      </w:r>
    </w:p>
    <w:p>
      <w:pPr>
        <w:pStyle w:val="Style24"/>
        <w:keepNext/>
        <w:keepLines/>
        <w:widowControl w:val="0"/>
        <w:shd w:val="clear" w:color="auto" w:fill="auto"/>
        <w:bidi w:val="0"/>
        <w:spacing w:before="0" w:after="360" w:line="240" w:lineRule="auto"/>
        <w:ind w:left="0" w:right="0" w:firstLine="0"/>
        <w:jc w:val="left"/>
      </w:pPr>
      <w:bookmarkStart w:id="1569" w:name="bookmark1569"/>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5</w:t>
      </w:r>
      <w:bookmarkEnd w:id="1571"/>
      <w:r>
        <w:rPr>
          <w:rFonts w:ascii="Times New Roman" w:eastAsia="Times New Roman" w:hAnsi="Times New Roman" w:cs="Times New Roman"/>
          <w:color w:val="000000"/>
          <w:spacing w:val="0"/>
          <w:w w:val="100"/>
          <w:position w:val="0"/>
        </w:rPr>
        <w:t>8</w:t>
      </w:r>
      <w:r>
        <w:rPr>
          <w:color w:val="000000"/>
          <w:spacing w:val="0"/>
          <w:w w:val="100"/>
          <w:position w:val="0"/>
        </w:rPr>
        <w:t>、政府补助</w:t>
      </w:r>
      <w:bookmarkEnd w:id="1569"/>
      <w:bookmarkEnd w:id="1570"/>
      <w:bookmarkEnd w:id="1572"/>
    </w:p>
    <w:p>
      <w:pPr>
        <w:pStyle w:val="Style102"/>
        <w:keepNext/>
        <w:keepLines/>
        <w:widowControl w:val="0"/>
        <w:shd w:val="clear" w:color="auto" w:fill="auto"/>
        <w:bidi w:val="0"/>
        <w:spacing w:before="0" w:line="240" w:lineRule="auto"/>
        <w:ind w:left="0" w:right="0" w:firstLine="0"/>
        <w:jc w:val="left"/>
      </w:pPr>
      <w:bookmarkStart w:id="1573" w:name="bookmark1573"/>
      <w:bookmarkStart w:id="1574" w:name="bookmark1574"/>
      <w:bookmarkStart w:id="1575" w:name="bookmark15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573"/>
      <w:bookmarkEnd w:id="1574"/>
      <w:bookmarkEnd w:id="1575"/>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列报项目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计入当期损益的金额</w:t>
            </w:r>
          </w:p>
        </w:tc>
      </w:tr>
    </w:tbl>
    <w:p>
      <w:pPr>
        <w:widowControl w:val="0"/>
        <w:spacing w:line="1" w:lineRule="exact"/>
      </w:pPr>
      <w:r>
        <w:br w:type="page"/>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增值税退税款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25,169,092.01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25,169,092.01</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工业和信息化部产业发展促 进中心关于国家重点研发计 划物联网与智慧城市关键技 术及示范重点专项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1,141,255.71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1,141,255.71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基于智慧城市运营管理服务 子公司项目企业发展金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社保稳岗补贴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712,749.49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712,749.49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进项税加计扣除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488,082.84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488,082.84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信息技术奖金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99,964.90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99,964.90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纳税先进奖励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技术提升培训补贴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年重新认定高新技术企 业奖励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以工代训补贴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增值税减免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24,578.68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年专利补助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稳岗返还款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7,881.52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29,344,005.15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29,344,005.15</w:t>
            </w:r>
          </w:p>
        </w:tc>
      </w:tr>
    </w:tbl>
    <w:p>
      <w:pPr>
        <w:widowControl w:val="0"/>
        <w:spacing w:after="319" w:line="1" w:lineRule="exact"/>
      </w:pPr>
    </w:p>
    <w:p>
      <w:pPr>
        <w:pStyle w:val="Style24"/>
        <w:keepNext/>
        <w:keepLines/>
        <w:widowControl w:val="0"/>
        <w:shd w:val="clear" w:color="auto" w:fill="auto"/>
        <w:bidi w:val="0"/>
        <w:spacing w:before="0" w:after="140" w:line="240" w:lineRule="auto"/>
        <w:ind w:left="0" w:right="0" w:firstLine="0"/>
        <w:jc w:val="left"/>
      </w:pPr>
      <w:bookmarkStart w:id="1576" w:name="bookmark1576"/>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5</w:t>
      </w:r>
      <w:bookmarkEnd w:id="1578"/>
      <w:r>
        <w:rPr>
          <w:rFonts w:ascii="Times New Roman" w:eastAsia="Times New Roman" w:hAnsi="Times New Roman" w:cs="Times New Roman"/>
          <w:color w:val="000000"/>
          <w:spacing w:val="0"/>
          <w:w w:val="100"/>
          <w:position w:val="0"/>
        </w:rPr>
        <w:t>9</w:t>
      </w:r>
      <w:r>
        <w:rPr>
          <w:color w:val="000000"/>
          <w:spacing w:val="0"/>
          <w:w w:val="100"/>
          <w:position w:val="0"/>
        </w:rPr>
        <w:t>、其他</w:t>
      </w:r>
      <w:bookmarkEnd w:id="1576"/>
      <w:bookmarkEnd w:id="1577"/>
      <w:bookmarkEnd w:id="1579"/>
    </w:p>
    <w:p>
      <w:pPr>
        <w:pStyle w:val="Style19"/>
        <w:keepNext/>
        <w:keepLines/>
        <w:widowControl w:val="0"/>
        <w:shd w:val="clear" w:color="auto" w:fill="auto"/>
        <w:bidi w:val="0"/>
        <w:spacing w:before="0" w:line="474" w:lineRule="exact"/>
        <w:ind w:left="0" w:right="0" w:firstLine="0"/>
        <w:jc w:val="left"/>
      </w:pPr>
      <w:bookmarkStart w:id="1580" w:name="bookmark1580"/>
      <w:bookmarkStart w:id="1581" w:name="bookmark1581"/>
      <w:bookmarkStart w:id="1582" w:name="bookmark1582"/>
      <w:bookmarkStart w:id="1583" w:name="bookmark1583"/>
      <w:r>
        <w:rPr>
          <w:color w:val="000000"/>
          <w:spacing w:val="0"/>
          <w:w w:val="100"/>
          <w:position w:val="0"/>
          <w:sz w:val="24"/>
          <w:szCs w:val="24"/>
        </w:rPr>
        <w:t>八</w:t>
      </w:r>
      <w:bookmarkEnd w:id="1582"/>
      <w:r>
        <w:rPr>
          <w:color w:val="000000"/>
          <w:spacing w:val="0"/>
          <w:w w:val="100"/>
          <w:position w:val="0"/>
          <w:sz w:val="24"/>
          <w:szCs w:val="24"/>
        </w:rPr>
        <w:t>、合并范围的变更</w:t>
      </w:r>
      <w:bookmarkEnd w:id="1580"/>
      <w:bookmarkEnd w:id="1581"/>
      <w:bookmarkEnd w:id="1583"/>
    </w:p>
    <w:p>
      <w:pPr>
        <w:pStyle w:val="Style24"/>
        <w:keepNext/>
        <w:keepLines/>
        <w:widowControl w:val="0"/>
        <w:shd w:val="clear" w:color="auto" w:fill="auto"/>
        <w:bidi w:val="0"/>
        <w:spacing w:before="0" w:after="360" w:line="240" w:lineRule="auto"/>
        <w:ind w:left="0" w:right="0" w:firstLine="0"/>
        <w:jc w:val="left"/>
      </w:pPr>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1</w:t>
      </w:r>
      <w:r>
        <w:rPr>
          <w:color w:val="000000"/>
          <w:spacing w:val="0"/>
          <w:w w:val="100"/>
          <w:position w:val="0"/>
        </w:rPr>
        <w:t>、其他原因的合并范围变动</w:t>
      </w:r>
      <w:bookmarkEnd w:id="1584"/>
      <w:bookmarkEnd w:id="1585"/>
      <w:bookmarkEnd w:id="1586"/>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59"/>
        <w:keepNext w:val="0"/>
        <w:keepLines w:val="0"/>
        <w:widowControl w:val="0"/>
        <w:numPr>
          <w:ilvl w:val="0"/>
          <w:numId w:val="117"/>
        </w:numPr>
        <w:shd w:val="clear" w:color="auto" w:fill="auto"/>
        <w:tabs>
          <w:tab w:pos="963" w:val="left"/>
        </w:tabs>
        <w:bidi w:val="0"/>
        <w:spacing w:before="0" w:after="0" w:line="474" w:lineRule="exact"/>
        <w:ind w:left="0" w:right="0" w:firstLine="500"/>
        <w:jc w:val="both"/>
      </w:pPr>
      <w:bookmarkStart w:id="1587" w:name="bookmark1587"/>
      <w:bookmarkEnd w:id="1587"/>
      <w:r>
        <w:rPr>
          <w:color w:val="000000"/>
          <w:spacing w:val="0"/>
          <w:w w:val="100"/>
          <w:position w:val="0"/>
          <w:sz w:val="24"/>
          <w:szCs w:val="24"/>
        </w:rPr>
        <w:t>本公司新设子公司安徽数字展通信息科技有限公司，注册资本</w:t>
      </w:r>
      <w:r>
        <w:rPr>
          <w:color w:val="000000"/>
          <w:spacing w:val="0"/>
          <w:w w:val="100"/>
          <w:position w:val="0"/>
          <w:sz w:val="24"/>
          <w:szCs w:val="24"/>
        </w:rPr>
        <w:t>1,000.00</w:t>
      </w:r>
      <w:r>
        <w:rPr>
          <w:color w:val="000000"/>
          <w:spacing w:val="0"/>
          <w:w w:val="100"/>
          <w:position w:val="0"/>
          <w:sz w:val="24"/>
          <w:szCs w:val="24"/>
        </w:rPr>
        <w:t>万元，本公 司持股比例100%，实际缴纳出资</w:t>
      </w:r>
      <w:r>
        <w:rPr>
          <w:color w:val="000000"/>
          <w:spacing w:val="0"/>
          <w:w w:val="100"/>
          <w:position w:val="0"/>
          <w:sz w:val="24"/>
          <w:szCs w:val="24"/>
        </w:rPr>
        <w:t>100.00</w:t>
      </w:r>
      <w:r>
        <w:rPr>
          <w:color w:val="000000"/>
          <w:spacing w:val="0"/>
          <w:w w:val="100"/>
          <w:position w:val="0"/>
          <w:sz w:val="24"/>
          <w:szCs w:val="24"/>
        </w:rPr>
        <w:t>万元。</w:t>
      </w:r>
    </w:p>
    <w:p>
      <w:pPr>
        <w:pStyle w:val="Style59"/>
        <w:keepNext w:val="0"/>
        <w:keepLines w:val="0"/>
        <w:widowControl w:val="0"/>
        <w:numPr>
          <w:ilvl w:val="0"/>
          <w:numId w:val="117"/>
        </w:numPr>
        <w:shd w:val="clear" w:color="auto" w:fill="auto"/>
        <w:tabs>
          <w:tab w:pos="978" w:val="left"/>
        </w:tabs>
        <w:bidi w:val="0"/>
        <w:spacing w:before="0" w:after="0" w:line="474" w:lineRule="exact"/>
        <w:ind w:left="0" w:right="0" w:firstLine="500"/>
        <w:jc w:val="both"/>
      </w:pPr>
      <w:bookmarkStart w:id="1588" w:name="bookmark1588"/>
      <w:bookmarkEnd w:id="1588"/>
      <w:r>
        <w:rPr>
          <w:color w:val="000000"/>
          <w:spacing w:val="0"/>
          <w:w w:val="100"/>
          <w:position w:val="0"/>
          <w:sz w:val="24"/>
          <w:szCs w:val="24"/>
        </w:rPr>
        <w:t>本公司新设子公司天津数字政通科技有限公司，注册资本</w:t>
      </w:r>
      <w:r>
        <w:rPr>
          <w:color w:val="000000"/>
          <w:spacing w:val="0"/>
          <w:w w:val="100"/>
          <w:position w:val="0"/>
          <w:sz w:val="24"/>
          <w:szCs w:val="24"/>
        </w:rPr>
        <w:t>1,000.00</w:t>
      </w:r>
      <w:r>
        <w:rPr>
          <w:color w:val="000000"/>
          <w:spacing w:val="0"/>
          <w:w w:val="100"/>
          <w:position w:val="0"/>
          <w:sz w:val="24"/>
          <w:szCs w:val="24"/>
        </w:rPr>
        <w:t>万元，本公司持 股比例100%，实际缴纳出资</w:t>
      </w:r>
      <w:r>
        <w:rPr>
          <w:color w:val="000000"/>
          <w:spacing w:val="0"/>
          <w:w w:val="100"/>
          <w:position w:val="0"/>
          <w:sz w:val="24"/>
          <w:szCs w:val="24"/>
        </w:rPr>
        <w:t>100.00</w:t>
      </w:r>
      <w:r>
        <w:rPr>
          <w:color w:val="000000"/>
          <w:spacing w:val="0"/>
          <w:w w:val="100"/>
          <w:position w:val="0"/>
          <w:sz w:val="24"/>
          <w:szCs w:val="24"/>
        </w:rPr>
        <w:t>万元。</w:t>
      </w:r>
    </w:p>
    <w:p>
      <w:pPr>
        <w:pStyle w:val="Style59"/>
        <w:keepNext w:val="0"/>
        <w:keepLines w:val="0"/>
        <w:widowControl w:val="0"/>
        <w:numPr>
          <w:ilvl w:val="0"/>
          <w:numId w:val="117"/>
        </w:numPr>
        <w:shd w:val="clear" w:color="auto" w:fill="auto"/>
        <w:tabs>
          <w:tab w:pos="978" w:val="left"/>
        </w:tabs>
        <w:bidi w:val="0"/>
        <w:spacing w:before="0" w:after="0" w:line="474" w:lineRule="exact"/>
        <w:ind w:left="0" w:right="0" w:firstLine="500"/>
        <w:jc w:val="both"/>
      </w:pPr>
      <w:bookmarkStart w:id="1589" w:name="bookmark1589"/>
      <w:bookmarkEnd w:id="1589"/>
      <w:r>
        <w:rPr>
          <w:color w:val="000000"/>
          <w:spacing w:val="0"/>
          <w:w w:val="100"/>
          <w:position w:val="0"/>
          <w:sz w:val="24"/>
          <w:szCs w:val="24"/>
        </w:rPr>
        <w:t>本公司新设子公司成都数字政通科技有限公司，注册资本</w:t>
      </w:r>
      <w:r>
        <w:rPr>
          <w:color w:val="000000"/>
          <w:spacing w:val="0"/>
          <w:w w:val="100"/>
          <w:position w:val="0"/>
          <w:sz w:val="24"/>
          <w:szCs w:val="24"/>
        </w:rPr>
        <w:t>1,000.00</w:t>
      </w:r>
      <w:r>
        <w:rPr>
          <w:color w:val="000000"/>
          <w:spacing w:val="0"/>
          <w:w w:val="100"/>
          <w:position w:val="0"/>
          <w:sz w:val="24"/>
          <w:szCs w:val="24"/>
        </w:rPr>
        <w:t>万元，本公司持 股比例100%，实际缴纳出资</w:t>
      </w:r>
      <w:r>
        <w:rPr>
          <w:color w:val="000000"/>
          <w:spacing w:val="0"/>
          <w:w w:val="100"/>
          <w:position w:val="0"/>
          <w:sz w:val="24"/>
          <w:szCs w:val="24"/>
        </w:rPr>
        <w:t>100.00</w:t>
      </w:r>
      <w:r>
        <w:rPr>
          <w:color w:val="000000"/>
          <w:spacing w:val="0"/>
          <w:w w:val="100"/>
          <w:position w:val="0"/>
          <w:sz w:val="24"/>
          <w:szCs w:val="24"/>
        </w:rPr>
        <w:t>万元。</w:t>
      </w:r>
    </w:p>
    <w:p>
      <w:pPr>
        <w:pStyle w:val="Style59"/>
        <w:keepNext w:val="0"/>
        <w:keepLines w:val="0"/>
        <w:widowControl w:val="0"/>
        <w:numPr>
          <w:ilvl w:val="0"/>
          <w:numId w:val="117"/>
        </w:numPr>
        <w:shd w:val="clear" w:color="auto" w:fill="auto"/>
        <w:tabs>
          <w:tab w:pos="454" w:val="left"/>
        </w:tabs>
        <w:bidi w:val="0"/>
        <w:spacing w:before="0" w:after="0" w:line="474" w:lineRule="exact"/>
        <w:ind w:left="0" w:right="0" w:firstLine="500"/>
        <w:jc w:val="both"/>
      </w:pPr>
      <w:bookmarkStart w:id="1590" w:name="bookmark1590"/>
      <w:bookmarkEnd w:id="1590"/>
      <w:r>
        <w:rPr>
          <w:color w:val="000000"/>
          <w:spacing w:val="0"/>
          <w:w w:val="100"/>
          <w:position w:val="0"/>
          <w:sz w:val="24"/>
          <w:szCs w:val="24"/>
        </w:rPr>
        <w:t>本公司新设子公司河南数字政通科技有限公司，注册资本</w:t>
      </w:r>
      <w:r>
        <w:rPr>
          <w:color w:val="000000"/>
          <w:spacing w:val="0"/>
          <w:w w:val="100"/>
          <w:position w:val="0"/>
          <w:sz w:val="24"/>
          <w:szCs w:val="24"/>
        </w:rPr>
        <w:t>1,000.00</w:t>
      </w:r>
      <w:r>
        <w:rPr>
          <w:color w:val="000000"/>
          <w:spacing w:val="0"/>
          <w:w w:val="100"/>
          <w:position w:val="0"/>
          <w:sz w:val="24"/>
          <w:szCs w:val="24"/>
        </w:rPr>
        <w:t xml:space="preserve">万元，本公司持 </w:t>
      </w:r>
      <w:r>
        <w:rPr>
          <w:color w:val="000000"/>
          <w:spacing w:val="0"/>
          <w:w w:val="100"/>
          <w:position w:val="0"/>
          <w:sz w:val="24"/>
          <w:szCs w:val="24"/>
        </w:rPr>
        <w:t>股比例100%,实际缴纳出资</w:t>
      </w:r>
      <w:r>
        <w:rPr>
          <w:color w:val="000000"/>
          <w:spacing w:val="0"/>
          <w:w w:val="100"/>
          <w:position w:val="0"/>
          <w:sz w:val="24"/>
          <w:szCs w:val="24"/>
        </w:rPr>
        <w:t>100.00</w:t>
      </w:r>
      <w:r>
        <w:rPr>
          <w:color w:val="000000"/>
          <w:spacing w:val="0"/>
          <w:w w:val="100"/>
          <w:position w:val="0"/>
          <w:sz w:val="24"/>
          <w:szCs w:val="24"/>
        </w:rPr>
        <w:t>万元。</w:t>
      </w:r>
    </w:p>
    <w:p>
      <w:pPr>
        <w:pStyle w:val="Style59"/>
        <w:keepNext w:val="0"/>
        <w:keepLines w:val="0"/>
        <w:widowControl w:val="0"/>
        <w:numPr>
          <w:ilvl w:val="0"/>
          <w:numId w:val="117"/>
        </w:numPr>
        <w:shd w:val="clear" w:color="auto" w:fill="auto"/>
        <w:tabs>
          <w:tab w:pos="978" w:val="left"/>
        </w:tabs>
        <w:bidi w:val="0"/>
        <w:spacing w:before="0" w:after="0" w:line="472" w:lineRule="exact"/>
        <w:ind w:left="0" w:right="0" w:firstLine="480"/>
        <w:jc w:val="both"/>
      </w:pPr>
      <w:bookmarkStart w:id="1591" w:name="bookmark1591"/>
      <w:bookmarkEnd w:id="1591"/>
      <w:r>
        <w:rPr>
          <w:color w:val="000000"/>
          <w:spacing w:val="0"/>
          <w:w w:val="100"/>
          <w:position w:val="0"/>
          <w:sz w:val="24"/>
          <w:szCs w:val="24"/>
        </w:rPr>
        <w:t>本公司新设子公司长春数字政通科技有限公司，注册资本</w:t>
      </w:r>
      <w:r>
        <w:rPr>
          <w:color w:val="000000"/>
          <w:spacing w:val="0"/>
          <w:w w:val="100"/>
          <w:position w:val="0"/>
          <w:sz w:val="24"/>
          <w:szCs w:val="24"/>
        </w:rPr>
        <w:t>2,000.00</w:t>
      </w:r>
      <w:r>
        <w:rPr>
          <w:color w:val="000000"/>
          <w:spacing w:val="0"/>
          <w:w w:val="100"/>
          <w:position w:val="0"/>
          <w:sz w:val="24"/>
          <w:szCs w:val="24"/>
        </w:rPr>
        <w:t>万元，本公司持 股比例100%，实际缴纳出资</w:t>
      </w:r>
      <w:r>
        <w:rPr>
          <w:color w:val="000000"/>
          <w:spacing w:val="0"/>
          <w:w w:val="100"/>
          <w:position w:val="0"/>
          <w:sz w:val="24"/>
          <w:szCs w:val="24"/>
        </w:rPr>
        <w:t>100.00</w:t>
      </w:r>
      <w:r>
        <w:rPr>
          <w:color w:val="000000"/>
          <w:spacing w:val="0"/>
          <w:w w:val="100"/>
          <w:position w:val="0"/>
          <w:sz w:val="24"/>
          <w:szCs w:val="24"/>
        </w:rPr>
        <w:t>万元。</w:t>
      </w:r>
    </w:p>
    <w:p>
      <w:pPr>
        <w:pStyle w:val="Style59"/>
        <w:keepNext w:val="0"/>
        <w:keepLines w:val="0"/>
        <w:widowControl w:val="0"/>
        <w:numPr>
          <w:ilvl w:val="0"/>
          <w:numId w:val="117"/>
        </w:numPr>
        <w:shd w:val="clear" w:color="auto" w:fill="auto"/>
        <w:tabs>
          <w:tab w:pos="978" w:val="left"/>
        </w:tabs>
        <w:bidi w:val="0"/>
        <w:spacing w:before="0" w:after="0" w:line="472" w:lineRule="exact"/>
        <w:ind w:left="0" w:right="0" w:firstLine="480"/>
        <w:jc w:val="both"/>
      </w:pPr>
      <w:bookmarkStart w:id="1592" w:name="bookmark1592"/>
      <w:bookmarkEnd w:id="1592"/>
      <w:r>
        <w:rPr>
          <w:color w:val="000000"/>
          <w:spacing w:val="0"/>
          <w:w w:val="100"/>
          <w:position w:val="0"/>
          <w:sz w:val="24"/>
          <w:szCs w:val="24"/>
        </w:rPr>
        <w:t>本公司新设子公司河南数字智通科技有限公司，注册资本</w:t>
      </w:r>
      <w:r>
        <w:rPr>
          <w:color w:val="000000"/>
          <w:spacing w:val="0"/>
          <w:w w:val="100"/>
          <w:position w:val="0"/>
          <w:sz w:val="24"/>
          <w:szCs w:val="24"/>
        </w:rPr>
        <w:t>1,000.00</w:t>
      </w:r>
      <w:r>
        <w:rPr>
          <w:color w:val="000000"/>
          <w:spacing w:val="0"/>
          <w:w w:val="100"/>
          <w:position w:val="0"/>
          <w:sz w:val="24"/>
          <w:szCs w:val="24"/>
        </w:rPr>
        <w:t>万元，本公司持 股比例100%，实际缴纳出资</w:t>
      </w:r>
      <w:r>
        <w:rPr>
          <w:color w:val="000000"/>
          <w:spacing w:val="0"/>
          <w:w w:val="100"/>
          <w:position w:val="0"/>
          <w:sz w:val="24"/>
          <w:szCs w:val="24"/>
        </w:rPr>
        <w:t>100.00</w:t>
      </w:r>
      <w:r>
        <w:rPr>
          <w:color w:val="000000"/>
          <w:spacing w:val="0"/>
          <w:w w:val="100"/>
          <w:position w:val="0"/>
          <w:sz w:val="24"/>
          <w:szCs w:val="24"/>
        </w:rPr>
        <w:t>万元。</w:t>
      </w:r>
    </w:p>
    <w:p>
      <w:pPr>
        <w:pStyle w:val="Style59"/>
        <w:keepNext w:val="0"/>
        <w:keepLines w:val="0"/>
        <w:widowControl w:val="0"/>
        <w:numPr>
          <w:ilvl w:val="0"/>
          <w:numId w:val="117"/>
        </w:numPr>
        <w:shd w:val="clear" w:color="auto" w:fill="auto"/>
        <w:tabs>
          <w:tab w:pos="973" w:val="left"/>
        </w:tabs>
        <w:bidi w:val="0"/>
        <w:spacing w:before="0" w:after="0" w:line="472" w:lineRule="exact"/>
        <w:ind w:left="0" w:right="0" w:firstLine="480"/>
        <w:jc w:val="both"/>
      </w:pPr>
      <w:bookmarkStart w:id="1593" w:name="bookmark1593"/>
      <w:bookmarkEnd w:id="1593"/>
      <w:r>
        <w:rPr>
          <w:color w:val="000000"/>
          <w:spacing w:val="0"/>
          <w:w w:val="100"/>
          <w:position w:val="0"/>
          <w:sz w:val="24"/>
          <w:szCs w:val="24"/>
        </w:rPr>
        <w:t>本公司新设子公司嘉兴政通优势投资合伙企业(有限合伙)，注册资本</w:t>
      </w:r>
      <w:r>
        <w:rPr>
          <w:color w:val="000000"/>
          <w:spacing w:val="0"/>
          <w:w w:val="100"/>
          <w:position w:val="0"/>
          <w:sz w:val="24"/>
          <w:szCs w:val="24"/>
        </w:rPr>
        <w:t xml:space="preserve">10,000.00 </w:t>
      </w:r>
      <w:r>
        <w:rPr>
          <w:color w:val="000000"/>
          <w:spacing w:val="0"/>
          <w:w w:val="100"/>
          <w:position w:val="0"/>
          <w:sz w:val="24"/>
          <w:szCs w:val="24"/>
        </w:rPr>
        <w:t>万元，本公司持股比例99%，实际缴纳出资</w:t>
      </w:r>
      <w:r>
        <w:rPr>
          <w:color w:val="000000"/>
          <w:spacing w:val="0"/>
          <w:w w:val="100"/>
          <w:position w:val="0"/>
          <w:sz w:val="24"/>
          <w:szCs w:val="24"/>
        </w:rPr>
        <w:t>1,490.00</w:t>
      </w:r>
      <w:r>
        <w:rPr>
          <w:color w:val="000000"/>
          <w:spacing w:val="0"/>
          <w:w w:val="100"/>
          <w:position w:val="0"/>
          <w:sz w:val="24"/>
          <w:szCs w:val="24"/>
        </w:rPr>
        <w:t>万元。</w:t>
      </w:r>
    </w:p>
    <w:p>
      <w:pPr>
        <w:pStyle w:val="Style59"/>
        <w:keepNext w:val="0"/>
        <w:keepLines w:val="0"/>
        <w:widowControl w:val="0"/>
        <w:numPr>
          <w:ilvl w:val="0"/>
          <w:numId w:val="117"/>
        </w:numPr>
        <w:shd w:val="clear" w:color="auto" w:fill="auto"/>
        <w:tabs>
          <w:tab w:pos="978" w:val="left"/>
        </w:tabs>
        <w:bidi w:val="0"/>
        <w:spacing w:before="0" w:after="0" w:line="472" w:lineRule="exact"/>
        <w:ind w:left="0" w:right="0" w:firstLine="480"/>
        <w:jc w:val="both"/>
      </w:pPr>
      <w:bookmarkStart w:id="1594" w:name="bookmark1594"/>
      <w:bookmarkEnd w:id="1594"/>
      <w:r>
        <w:rPr>
          <w:color w:val="000000"/>
          <w:spacing w:val="0"/>
          <w:w w:val="100"/>
          <w:position w:val="0"/>
          <w:sz w:val="24"/>
          <w:szCs w:val="24"/>
        </w:rPr>
        <w:t>本公司注销子公司克拉玛依数字政通信息科技有限责任公司，注册资本</w:t>
      </w:r>
      <w:r>
        <w:rPr>
          <w:color w:val="000000"/>
          <w:spacing w:val="0"/>
          <w:w w:val="100"/>
          <w:position w:val="0"/>
          <w:sz w:val="24"/>
          <w:szCs w:val="24"/>
        </w:rPr>
        <w:t xml:space="preserve">300. </w:t>
      </w:r>
      <w:r>
        <w:rPr>
          <w:color w:val="000000"/>
          <w:spacing w:val="0"/>
          <w:w w:val="100"/>
          <w:position w:val="0"/>
          <w:sz w:val="24"/>
          <w:szCs w:val="24"/>
        </w:rPr>
        <w:t>00万元， 本公司持股比例100%。</w:t>
      </w:r>
    </w:p>
    <w:p>
      <w:pPr>
        <w:pStyle w:val="Style59"/>
        <w:keepNext w:val="0"/>
        <w:keepLines w:val="0"/>
        <w:widowControl w:val="0"/>
        <w:shd w:val="clear" w:color="auto" w:fill="auto"/>
        <w:bidi w:val="0"/>
        <w:spacing w:before="0" w:after="220" w:line="472" w:lineRule="exact"/>
        <w:ind w:left="0" w:right="0" w:firstLine="480"/>
        <w:jc w:val="both"/>
      </w:pPr>
      <w:r>
        <w:rPr>
          <w:color w:val="000000"/>
          <w:spacing w:val="0"/>
          <w:w w:val="100"/>
          <w:position w:val="0"/>
          <w:sz w:val="24"/>
          <w:szCs w:val="24"/>
        </w:rPr>
        <w:t>注：本报告期本公司新设子公司广西数字政通科技有限公司，注册资本</w:t>
      </w:r>
      <w:r>
        <w:rPr>
          <w:color w:val="000000"/>
          <w:spacing w:val="0"/>
          <w:w w:val="100"/>
          <w:position w:val="0"/>
          <w:sz w:val="24"/>
          <w:szCs w:val="24"/>
        </w:rPr>
        <w:t>1,000.00</w:t>
      </w:r>
      <w:r>
        <w:rPr>
          <w:color w:val="000000"/>
          <w:spacing w:val="0"/>
          <w:w w:val="100"/>
          <w:position w:val="0"/>
          <w:sz w:val="24"/>
          <w:szCs w:val="24"/>
        </w:rPr>
        <w:t>万元， 本公司持股比例100%；新设子公司天津政通智行科技有限公司，注册资本</w:t>
      </w:r>
      <w:r>
        <w:rPr>
          <w:color w:val="000000"/>
          <w:spacing w:val="0"/>
          <w:w w:val="100"/>
          <w:position w:val="0"/>
          <w:sz w:val="24"/>
          <w:szCs w:val="24"/>
        </w:rPr>
        <w:t>2,000.00</w:t>
      </w:r>
      <w:r>
        <w:rPr>
          <w:color w:val="000000"/>
          <w:spacing w:val="0"/>
          <w:w w:val="100"/>
          <w:position w:val="0"/>
          <w:sz w:val="24"/>
          <w:szCs w:val="24"/>
        </w:rPr>
        <w:t>万元，本 公司持股比例100%，截止2021年12月31日本公司对上述两家公司均未缴纳出资，上述两家公 司也尚未实际开展经营活动，故上述两家公司未包含在本财务报告合并范围内。</w:t>
      </w:r>
    </w:p>
    <w:p>
      <w:pPr>
        <w:pStyle w:val="Style19"/>
        <w:keepNext/>
        <w:keepLines/>
        <w:widowControl w:val="0"/>
        <w:shd w:val="clear" w:color="auto" w:fill="auto"/>
        <w:bidi w:val="0"/>
        <w:spacing w:before="0" w:line="472" w:lineRule="exact"/>
        <w:ind w:left="0" w:right="0" w:firstLine="0"/>
        <w:jc w:val="both"/>
      </w:pPr>
      <w:bookmarkStart w:id="1595" w:name="bookmark1595"/>
      <w:bookmarkStart w:id="1596" w:name="bookmark1596"/>
      <w:bookmarkStart w:id="1597" w:name="bookmark1597"/>
      <w:bookmarkStart w:id="1598" w:name="bookmark1598"/>
      <w:r>
        <w:rPr>
          <w:color w:val="000000"/>
          <w:spacing w:val="0"/>
          <w:w w:val="100"/>
          <w:position w:val="0"/>
          <w:sz w:val="24"/>
          <w:szCs w:val="24"/>
        </w:rPr>
        <w:t>九</w:t>
      </w:r>
      <w:bookmarkEnd w:id="1597"/>
      <w:r>
        <w:rPr>
          <w:color w:val="000000"/>
          <w:spacing w:val="0"/>
          <w:w w:val="100"/>
          <w:position w:val="0"/>
          <w:sz w:val="24"/>
          <w:szCs w:val="24"/>
        </w:rPr>
        <w:t>、在其他主体中的权益</w:t>
      </w:r>
      <w:bookmarkEnd w:id="1595"/>
      <w:bookmarkEnd w:id="1596"/>
      <w:bookmarkEnd w:id="1598"/>
    </w:p>
    <w:p>
      <w:pPr>
        <w:pStyle w:val="Style24"/>
        <w:keepNext/>
        <w:keepLines/>
        <w:widowControl w:val="0"/>
        <w:shd w:val="clear" w:color="auto" w:fill="auto"/>
        <w:bidi w:val="0"/>
        <w:spacing w:before="0" w:after="380" w:line="240" w:lineRule="auto"/>
        <w:ind w:left="0" w:right="0" w:firstLine="0"/>
        <w:jc w:val="both"/>
      </w:pPr>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599"/>
      <w:bookmarkEnd w:id="1600"/>
      <w:bookmarkEnd w:id="1601"/>
    </w:p>
    <w:p>
      <w:pPr>
        <w:pStyle w:val="Style21"/>
        <w:keepNext w:val="0"/>
        <w:keepLines w:val="0"/>
        <w:widowControl w:val="0"/>
        <w:shd w:val="clear" w:color="auto" w:fill="auto"/>
        <w:bidi w:val="0"/>
        <w:spacing w:before="0" w:after="0" w:line="240" w:lineRule="auto"/>
        <w:ind w:left="0" w:right="0" w:firstLine="0"/>
        <w:jc w:val="distribute"/>
        <w:rPr>
          <w:sz w:val="20"/>
          <w:szCs w:val="20"/>
        </w:rPr>
      </w:pPr>
      <w:bookmarkStart w:id="1602" w:name="bookmark1602"/>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)企业集团的构成</w:t>
      </w:r>
      <w:bookmarkEnd w:id="1602"/>
    </w:p>
    <w:tbl>
      <w:tblPr>
        <w:tblOverlap w:val="never"/>
        <w:jc w:val="center"/>
        <w:tblLayout w:type="fixed"/>
      </w:tblPr>
      <w:tblGrid>
        <w:gridCol w:w="1378"/>
        <w:gridCol w:w="1368"/>
        <w:gridCol w:w="1363"/>
        <w:gridCol w:w="1368"/>
        <w:gridCol w:w="1368"/>
        <w:gridCol w:w="1368"/>
        <w:gridCol w:w="136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北京数字智通科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计算机服务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非同一控制下企 业合并</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北京数字政通数 据科技有限公司 (注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计算机服务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上海政通信息科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计算机服务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政通智慧城市运 营科技有限公司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计算机服务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保定金迪地下管 线探测工程有限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地下管线探测检 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非同一控制下企 业合并</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保定市金迪科技 开发有限公司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计算机服务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非同一控制下企 业合并</w:t>
            </w: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6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保定金迪科学仪 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地下管线探测检 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非同一控制下企 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保定金迪知电管 道检测技术开发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8"/>
                <w:szCs w:val="18"/>
              </w:rPr>
            </w:pPr>
            <w:r>
              <w:rPr>
                <w:color w:val="000000"/>
                <w:spacing w:val="0"/>
                <w:w w:val="100"/>
                <w:position w:val="0"/>
                <w:sz w:val="18"/>
                <w:szCs w:val="18"/>
              </w:rPr>
              <w:t>管道检测技术服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非同一控制下企 业合并</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8"/>
                <w:szCs w:val="18"/>
              </w:rPr>
              <w:t>保定市金迪双维 管道内衬技术有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地下管道修复工 程施工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非同一控制下企 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保定金迪益捷管 道技术开发有限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管道内衬的研 发、制造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非同一控制下企 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焦作市市民健康 促进服务有限责 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焦作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焦作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居民健康咨询服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江西政通城运科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赣州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赣州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城市及道路照明</w:t>
            </w:r>
          </w:p>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亮化工程专业承 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湖北政通智慧城 市科技有限公司 （注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黄石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黄石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计算机服务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非同一控制下企 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8"/>
                <w:szCs w:val="18"/>
              </w:rPr>
              <w:t>保定政运恒通信 息技术有限责任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网络技术开发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长沙政通康拓科</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移动互联网研发 和维护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福建政通城运信 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宁德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宁德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软件和信息技术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慧政博通信息科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软件和信息技术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安徽数字展通信 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网络技术服务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天津数字政通科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市场营销策划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成都数字政通科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呼叫中心；测绘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河南数字政通科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郑州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郑州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长春数字政通科 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市场营销策划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73"/>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河南数字智通科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许昌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许昌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嘉兴政通优势投 资合伙企业（有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嘉兴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嘉兴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实业投资、投资 管理、投资咨询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广西数字政通科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桂林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桂林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天津政通智行科 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bl>
    <w:p>
      <w:pPr>
        <w:widowControl w:val="0"/>
        <w:spacing w:after="79" w:line="1" w:lineRule="exact"/>
      </w:pPr>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日，北京数字政通智能泊车技术有限公司更名为北京数字政通数据科技有限公司。</w:t>
      </w:r>
    </w:p>
    <w:p>
      <w:pPr>
        <w:pStyle w:val="Style1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日，湖北鄂东智城科技有限公司更名为湖北政通智慧城市科技有限公司。</w:t>
      </w:r>
    </w:p>
    <w:p>
      <w:pPr>
        <w:pStyle w:val="Style102"/>
        <w:keepNext/>
        <w:keepLines/>
        <w:widowControl w:val="0"/>
        <w:shd w:val="clear" w:color="auto" w:fill="auto"/>
        <w:bidi w:val="0"/>
        <w:spacing w:before="0" w:line="240" w:lineRule="auto"/>
        <w:ind w:left="0" w:right="0" w:firstLine="0"/>
        <w:jc w:val="left"/>
      </w:pPr>
      <w:bookmarkStart w:id="1603" w:name="bookmark1603"/>
      <w:bookmarkStart w:id="1604" w:name="bookmark1604"/>
      <w:bookmarkStart w:id="1605" w:name="bookmark16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603"/>
      <w:bookmarkEnd w:id="1604"/>
      <w:bookmarkEnd w:id="1605"/>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7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本期归属于少数股东的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本期向少数股东宣告分 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期末少数股东权益余额</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政通智慧城市运营科技</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84,424.84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1,161,599.04</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子公司少数股东的持股比例不同于表决权比例的说明:</w:t>
      </w:r>
    </w:p>
    <w:p>
      <w:pPr>
        <w:widowControl w:val="0"/>
        <w:spacing w:after="359" w:line="1" w:lineRule="exact"/>
      </w:pPr>
    </w:p>
    <w:p>
      <w:pPr>
        <w:pStyle w:val="Style102"/>
        <w:keepNext/>
        <w:keepLines/>
        <w:widowControl w:val="0"/>
        <w:shd w:val="clear" w:color="auto" w:fill="auto"/>
        <w:bidi w:val="0"/>
        <w:spacing w:before="0" w:line="240" w:lineRule="auto"/>
        <w:ind w:left="0" w:right="0" w:firstLine="0"/>
        <w:jc w:val="left"/>
      </w:pPr>
      <w:bookmarkStart w:id="1606" w:name="bookmark1606"/>
      <w:bookmarkStart w:id="1607" w:name="bookmark1607"/>
      <w:bookmarkStart w:id="1608" w:name="bookmark1608"/>
      <w:bookmarkStart w:id="1609" w:name="bookmark1609"/>
      <w:r>
        <w:rPr>
          <w:color w:val="000000"/>
          <w:spacing w:val="0"/>
          <w:w w:val="100"/>
          <w:position w:val="0"/>
        </w:rPr>
        <w:t>（</w:t>
      </w:r>
      <w:bookmarkEnd w:id="1608"/>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606"/>
      <w:bookmarkEnd w:id="1607"/>
      <w:bookmarkEnd w:id="1609"/>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9"/>
        <w:gridCol w:w="734"/>
        <w:gridCol w:w="734"/>
        <w:gridCol w:w="734"/>
        <w:gridCol w:w="734"/>
        <w:gridCol w:w="734"/>
        <w:gridCol w:w="739"/>
        <w:gridCol w:w="734"/>
        <w:gridCol w:w="734"/>
        <w:gridCol w:w="74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子公司 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负债合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非流动 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负债合 计</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政通智 慧城市 运营科 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63,640,2</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38.50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14,248,7</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77,888,9</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59.25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55,272,9</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68.86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55,272,9</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68.86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50,982,1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29,210,3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29,210,3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88.72</w:t>
            </w:r>
          </w:p>
        </w:tc>
      </w:tr>
    </w:tbl>
    <w:p>
      <w:pPr>
        <w:widowControl w:val="0"/>
        <w:spacing w:after="7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4253"/>
        <w:gridCol w:w="4262"/>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bl>
    <w:p>
      <w:pPr>
        <w:widowControl w:val="0"/>
        <w:spacing w:line="1" w:lineRule="exact"/>
      </w:pPr>
    </w:p>
    <w:tbl>
      <w:tblPr>
        <w:tblOverlap w:val="never"/>
        <w:jc w:val="center"/>
        <w:tblLayout w:type="fixed"/>
      </w:tblPr>
      <w:tblGrid>
        <w:gridCol w:w="1066"/>
        <w:gridCol w:w="1061"/>
        <w:gridCol w:w="1066"/>
        <w:gridCol w:w="1061"/>
        <w:gridCol w:w="1066"/>
        <w:gridCol w:w="1066"/>
        <w:gridCol w:w="1061"/>
        <w:gridCol w:w="1066"/>
        <w:gridCol w:w="1070"/>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经营活动现 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经营活动现</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金流量</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政通智慧城 市运营科技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288,454,513.</w:t>
            </w:r>
          </w:p>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844,248.36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844,248.36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6,470,670.53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240,056,667.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521,108.69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521,108.69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14,259,118.8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bl>
    <w:p>
      <w:pPr>
        <w:pStyle w:val="Style21"/>
        <w:keepNext w:val="0"/>
        <w:keepLines w:val="0"/>
        <w:widowControl w:val="0"/>
        <w:shd w:val="clear" w:color="auto" w:fill="auto"/>
        <w:bidi w:val="0"/>
        <w:spacing w:before="0" w:after="0" w:line="240" w:lineRule="auto"/>
        <w:ind w:left="0" w:right="0" w:firstLine="0"/>
        <w:jc w:val="left"/>
        <w:rPr>
          <w:sz w:val="24"/>
          <w:szCs w:val="24"/>
        </w:rPr>
      </w:pPr>
      <w:bookmarkStart w:id="1610" w:name="bookmark1610"/>
      <w:r>
        <w:rPr>
          <w:b/>
          <w:bCs/>
          <w:color w:val="000000"/>
          <w:spacing w:val="0"/>
          <w:w w:val="100"/>
          <w:position w:val="0"/>
          <w:sz w:val="24"/>
          <w:szCs w:val="24"/>
        </w:rPr>
        <w:t>十、与金融工具相关的风险</w:t>
      </w:r>
      <w:bookmarkEnd w:id="1610"/>
    </w:p>
    <w:p>
      <w:pPr>
        <w:widowControl w:val="0"/>
        <w:spacing w:after="179" w:line="1" w:lineRule="exact"/>
      </w:pPr>
    </w:p>
    <w:p>
      <w:pPr>
        <w:pStyle w:val="Style59"/>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本公司的主要金融工具包括货币资金、应收款项、借款、长期应收款、应付款项，各项 金融工具的详细情况说明见本附注、七相关项目。与这些金融工具有关的风险，以及本公司 为降低这些风险所采取的风险管理政策如下所述。本公司管理层对这些风险敞口进行管理和 监控以确保将上述风险控制在限定的范围之内。</w:t>
      </w:r>
    </w:p>
    <w:p>
      <w:pPr>
        <w:pStyle w:val="Style59"/>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1、风险管理目标和政策：</w:t>
      </w:r>
    </w:p>
    <w:p>
      <w:pPr>
        <w:pStyle w:val="Style59"/>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本公司从事风险管理的目标是在风险和收益之间取得适当的平衡，将风险对本公司经营 业绩的负面影响降低到最低水平，使股东及其其他权益投资者的利益最大化。基于该风险管 理目标，本公司风险管理的基本策略是确定和分析本公司所面临的各种风险，建立适当的风 险承受底线和进行风险管理，并及时可靠地对各种风险进行监督，将风险控制在限定的范围 之内。</w:t>
      </w:r>
    </w:p>
    <w:p>
      <w:pPr>
        <w:pStyle w:val="Style59"/>
        <w:keepNext w:val="0"/>
        <w:keepLines w:val="0"/>
        <w:widowControl w:val="0"/>
        <w:numPr>
          <w:ilvl w:val="0"/>
          <w:numId w:val="119"/>
        </w:numPr>
        <w:shd w:val="clear" w:color="auto" w:fill="auto"/>
        <w:tabs>
          <w:tab w:pos="922" w:val="left"/>
        </w:tabs>
        <w:bidi w:val="0"/>
        <w:spacing w:before="0" w:after="0" w:line="469" w:lineRule="exact"/>
        <w:ind w:left="0" w:right="0" w:firstLine="480"/>
        <w:jc w:val="both"/>
      </w:pPr>
      <w:bookmarkStart w:id="1611" w:name="bookmark1611"/>
      <w:bookmarkEnd w:id="1611"/>
      <w:r>
        <w:rPr>
          <w:color w:val="000000"/>
          <w:spacing w:val="0"/>
          <w:w w:val="100"/>
          <w:position w:val="0"/>
          <w:sz w:val="24"/>
          <w:szCs w:val="24"/>
        </w:rPr>
        <w:t>市场风险</w:t>
      </w:r>
    </w:p>
    <w:p>
      <w:pPr>
        <w:pStyle w:val="Style59"/>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金融工具的市场风险，是指金融工具的公允价值或未来现金流量因市场价格变动而发生 波动的风险，主要为包括利率风险。</w:t>
      </w:r>
    </w:p>
    <w:p>
      <w:pPr>
        <w:pStyle w:val="Style59"/>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利率风险，是指金融工具的公允价值或未来现金流量因市场利率变动而发波动的风险。 利率风险可源于已确认的计息金融工具和未确认的金融工具(如某些贷款承诺)。</w:t>
      </w:r>
    </w:p>
    <w:p>
      <w:pPr>
        <w:pStyle w:val="Style59"/>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本公司的利率风险主要产生于银行存款、交易性金融资产、短期借款。本公司的政策是 尽可能保持这些金融资产和借款的固定利率。</w:t>
      </w:r>
    </w:p>
    <w:p>
      <w:pPr>
        <w:pStyle w:val="Style59"/>
        <w:keepNext w:val="0"/>
        <w:keepLines w:val="0"/>
        <w:widowControl w:val="0"/>
        <w:numPr>
          <w:ilvl w:val="0"/>
          <w:numId w:val="119"/>
        </w:numPr>
        <w:shd w:val="clear" w:color="auto" w:fill="auto"/>
        <w:tabs>
          <w:tab w:pos="922" w:val="left"/>
        </w:tabs>
        <w:bidi w:val="0"/>
        <w:spacing w:before="0" w:after="0" w:line="469" w:lineRule="exact"/>
        <w:ind w:left="0" w:right="0" w:firstLine="480"/>
        <w:jc w:val="both"/>
      </w:pPr>
      <w:bookmarkStart w:id="1612" w:name="bookmark1612"/>
      <w:bookmarkEnd w:id="1612"/>
      <w:r>
        <w:rPr>
          <w:color w:val="000000"/>
          <w:spacing w:val="0"/>
          <w:w w:val="100"/>
          <w:position w:val="0"/>
          <w:sz w:val="24"/>
          <w:szCs w:val="24"/>
        </w:rPr>
        <w:t>信用风险</w:t>
      </w:r>
    </w:p>
    <w:p>
      <w:pPr>
        <w:pStyle w:val="Style59"/>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2021年12月31日，可能引起本公司财务损失的最大信用风险敞口主要来自于合同另一方 未能履行义务而导致本公司金融资产产生的损失具体包括：合并资产负债表中已确认的金融 资产的账面金额。</w:t>
      </w:r>
    </w:p>
    <w:p>
      <w:pPr>
        <w:pStyle w:val="Style59"/>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 xml:space="preserve">为降低信用风险，本公司严控信用审批，并执行其他监控程序以确保采取必要的措施回 收过期债权。此外，本公司于每个资产负债表日审核每一单项应收款的回收情况，以确保就 无法回收的款项计提充分的坏账准备。因此，本公司管理层认为本公司所承担的信用风险已 </w:t>
      </w:r>
      <w:r>
        <w:rPr>
          <w:color w:val="000000"/>
          <w:spacing w:val="0"/>
          <w:w w:val="100"/>
          <w:position w:val="0"/>
          <w:sz w:val="24"/>
          <w:szCs w:val="24"/>
        </w:rPr>
        <w:t>经大为降低。本公司的流动资金存放在信用评级较高的银行，故流动资金的信用风险较低。</w:t>
      </w:r>
    </w:p>
    <w:p>
      <w:pPr>
        <w:pStyle w:val="Style59"/>
        <w:keepNext w:val="0"/>
        <w:keepLines w:val="0"/>
        <w:widowControl w:val="0"/>
        <w:shd w:val="clear" w:color="auto" w:fill="auto"/>
        <w:bidi w:val="0"/>
        <w:spacing w:before="0" w:after="0" w:line="468" w:lineRule="exact"/>
        <w:ind w:left="0" w:right="0" w:firstLine="500"/>
        <w:jc w:val="both"/>
      </w:pPr>
      <w:bookmarkStart w:id="1613" w:name="bookmark1613"/>
      <w:r>
        <w:rPr>
          <w:color w:val="000000"/>
          <w:spacing w:val="0"/>
          <w:w w:val="100"/>
          <w:position w:val="0"/>
          <w:sz w:val="24"/>
          <w:szCs w:val="24"/>
        </w:rPr>
        <w:t>（</w:t>
      </w:r>
      <w:bookmarkEnd w:id="1613"/>
      <w:r>
        <w:rPr>
          <w:color w:val="000000"/>
          <w:spacing w:val="0"/>
          <w:w w:val="100"/>
          <w:position w:val="0"/>
          <w:sz w:val="24"/>
          <w:szCs w:val="24"/>
        </w:rPr>
        <w:t>3）流动风险</w:t>
      </w:r>
    </w:p>
    <w:p>
      <w:pPr>
        <w:pStyle w:val="Style59"/>
        <w:keepNext w:val="0"/>
        <w:keepLines w:val="0"/>
        <w:widowControl w:val="0"/>
        <w:shd w:val="clear" w:color="auto" w:fill="auto"/>
        <w:bidi w:val="0"/>
        <w:spacing w:before="0" w:after="220" w:line="468" w:lineRule="exact"/>
        <w:ind w:left="0" w:right="0" w:firstLine="500"/>
        <w:jc w:val="both"/>
      </w:pPr>
      <w:r>
        <w:rPr>
          <w:color w:val="000000"/>
          <w:spacing w:val="0"/>
          <w:w w:val="100"/>
          <w:position w:val="0"/>
          <w:sz w:val="24"/>
          <w:szCs w:val="24"/>
        </w:rPr>
        <w:t>管理流动风险时，本公司保持管理层认为充分的现金及现金等价物并对其进行监控，以 满足本公司经营需要，并降低现金流量波动的影响。本公司管理层对银行借款的使用情况进 行监控并确保遵守借款协议。</w:t>
      </w:r>
    </w:p>
    <w:p>
      <w:pPr>
        <w:pStyle w:val="Style19"/>
        <w:keepNext/>
        <w:keepLines/>
        <w:widowControl w:val="0"/>
        <w:shd w:val="clear" w:color="auto" w:fill="auto"/>
        <w:bidi w:val="0"/>
        <w:spacing w:before="0" w:after="300" w:line="468" w:lineRule="exact"/>
        <w:ind w:left="0" w:right="0" w:firstLine="0"/>
        <w:jc w:val="left"/>
      </w:pPr>
      <w:bookmarkStart w:id="1614" w:name="bookmark1614"/>
      <w:bookmarkStart w:id="1615" w:name="bookmark1615"/>
      <w:bookmarkStart w:id="1616" w:name="bookmark1616"/>
      <w:r>
        <w:rPr>
          <w:color w:val="000000"/>
          <w:spacing w:val="0"/>
          <w:w w:val="100"/>
          <w:position w:val="0"/>
          <w:sz w:val="24"/>
          <w:szCs w:val="24"/>
        </w:rPr>
        <w:t>十^一、公允价值的披露</w:t>
      </w:r>
      <w:bookmarkEnd w:id="1614"/>
      <w:bookmarkEnd w:id="1615"/>
      <w:bookmarkEnd w:id="1616"/>
    </w:p>
    <w:p>
      <w:pPr>
        <w:pStyle w:val="Style24"/>
        <w:keepNext/>
        <w:keepLines/>
        <w:widowControl w:val="0"/>
        <w:shd w:val="clear" w:color="auto" w:fill="auto"/>
        <w:bidi w:val="0"/>
        <w:spacing w:before="0" w:after="360" w:line="240" w:lineRule="auto"/>
        <w:ind w:left="0" w:right="0" w:firstLine="0"/>
        <w:jc w:val="left"/>
      </w:pPr>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617"/>
      <w:bookmarkEnd w:id="1618"/>
      <w:bookmarkEnd w:id="1619"/>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第一层次公允价值计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202,877,579.18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202,877,579.18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以公允价值计量且其变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202,877,579.18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202,877,579.18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55,135,915.78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55,135,915.78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1,277,900.00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持续以公允价值计量的</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204,155,479.18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55,135,915.78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259,291,394.96</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4"/>
        <w:keepNext/>
        <w:keepLines/>
        <w:widowControl w:val="0"/>
        <w:shd w:val="clear" w:color="auto" w:fill="auto"/>
        <w:tabs>
          <w:tab w:pos="378" w:val="left"/>
        </w:tabs>
        <w:bidi w:val="0"/>
        <w:spacing w:before="0" w:after="360" w:line="240" w:lineRule="auto"/>
        <w:ind w:left="0" w:right="0" w:firstLine="0"/>
        <w:jc w:val="left"/>
      </w:pPr>
      <w:bookmarkStart w:id="1620" w:name="bookmark1620"/>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2</w:t>
      </w:r>
      <w:bookmarkEnd w:id="1622"/>
      <w:r>
        <w:rPr>
          <w:color w:val="000000"/>
          <w:spacing w:val="0"/>
          <w:w w:val="100"/>
          <w:position w:val="0"/>
        </w:rPr>
        <w:t>、</w:t>
        <w:tab/>
        <w:t>持续和非持续第一层次公允价值计量项目市价的确定依据</w:t>
      </w:r>
      <w:bookmarkEnd w:id="1620"/>
      <w:bookmarkEnd w:id="1621"/>
      <w:bookmarkEnd w:id="1623"/>
    </w:p>
    <w:p>
      <w:pPr>
        <w:pStyle w:val="Style14"/>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4"/>
        <w:keepNext/>
        <w:keepLines/>
        <w:widowControl w:val="0"/>
        <w:shd w:val="clear" w:color="auto" w:fill="auto"/>
        <w:tabs>
          <w:tab w:pos="378" w:val="left"/>
        </w:tabs>
        <w:bidi w:val="0"/>
        <w:spacing w:before="0" w:after="360" w:line="240" w:lineRule="auto"/>
        <w:ind w:left="0" w:right="0" w:firstLine="0"/>
        <w:jc w:val="left"/>
      </w:pPr>
      <w:bookmarkStart w:id="1624" w:name="bookmark1624"/>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3</w:t>
      </w:r>
      <w:bookmarkEnd w:id="1626"/>
      <w:r>
        <w:rPr>
          <w:color w:val="000000"/>
          <w:spacing w:val="0"/>
          <w:w w:val="100"/>
          <w:position w:val="0"/>
        </w:rPr>
        <w:t>、</w:t>
        <w:tab/>
        <w:t>持续和非持续第二层次公允价值计量项目，采用的估值技术和重要参数的定性及定量信息</w:t>
      </w:r>
      <w:bookmarkEnd w:id="1624"/>
      <w:bookmarkEnd w:id="1625"/>
      <w:bookmarkEnd w:id="1627"/>
    </w:p>
    <w:p>
      <w:pPr>
        <w:pStyle w:val="Style1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委托理财和应收款项融资采用现金流量折现法。输入值分别为预期收益率与交易对手信用风险的折现率。</w:t>
      </w:r>
    </w:p>
    <w:p>
      <w:pPr>
        <w:pStyle w:val="Style24"/>
        <w:keepNext/>
        <w:keepLines/>
        <w:widowControl w:val="0"/>
        <w:shd w:val="clear" w:color="auto" w:fill="auto"/>
        <w:tabs>
          <w:tab w:pos="378" w:val="left"/>
        </w:tabs>
        <w:bidi w:val="0"/>
        <w:spacing w:before="0" w:after="360" w:line="240" w:lineRule="auto"/>
        <w:ind w:left="0" w:right="0" w:firstLine="0"/>
        <w:jc w:val="left"/>
      </w:pPr>
      <w:bookmarkStart w:id="1628" w:name="bookmark1628"/>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4</w:t>
      </w:r>
      <w:bookmarkEnd w:id="1630"/>
      <w:r>
        <w:rPr>
          <w:color w:val="000000"/>
          <w:spacing w:val="0"/>
          <w:w w:val="100"/>
          <w:position w:val="0"/>
        </w:rPr>
        <w:t>、</w:t>
        <w:tab/>
        <w:t>持续和非持续第三层次公允价值计量项目，采用的估值技术和重要参数的定性及定量信息</w:t>
      </w:r>
      <w:bookmarkEnd w:id="1628"/>
      <w:bookmarkEnd w:id="1629"/>
      <w:bookmarkEnd w:id="1631"/>
    </w:p>
    <w:p>
      <w:pPr>
        <w:pStyle w:val="Style1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因被投资企业经营环境与计划或阶段性目标相比业绩未发生重大变化，公司判断该项投资成本代表其公允价值的最佳估计。</w:t>
      </w:r>
    </w:p>
    <w:p>
      <w:pPr>
        <w:pStyle w:val="Style19"/>
        <w:keepNext/>
        <w:keepLines/>
        <w:widowControl w:val="0"/>
        <w:shd w:val="clear" w:color="auto" w:fill="auto"/>
        <w:bidi w:val="0"/>
        <w:spacing w:before="0" w:after="340" w:line="240" w:lineRule="auto"/>
        <w:ind w:left="0" w:right="0" w:firstLine="0"/>
        <w:jc w:val="left"/>
      </w:pPr>
      <w:bookmarkStart w:id="1632" w:name="bookmark1632"/>
      <w:bookmarkStart w:id="1633" w:name="bookmark1633"/>
      <w:bookmarkStart w:id="1634" w:name="bookmark1634"/>
      <w:r>
        <w:rPr>
          <w:color w:val="000000"/>
          <w:spacing w:val="0"/>
          <w:w w:val="100"/>
          <w:position w:val="0"/>
          <w:sz w:val="24"/>
          <w:szCs w:val="24"/>
        </w:rPr>
        <w:t>十二、关联方及关联交易</w:t>
      </w:r>
      <w:bookmarkEnd w:id="1632"/>
      <w:bookmarkEnd w:id="1633"/>
      <w:bookmarkEnd w:id="1634"/>
    </w:p>
    <w:p>
      <w:pPr>
        <w:pStyle w:val="Style24"/>
        <w:keepNext/>
        <w:keepLines/>
        <w:widowControl w:val="0"/>
        <w:shd w:val="clear" w:color="auto" w:fill="auto"/>
        <w:tabs>
          <w:tab w:pos="368" w:val="left"/>
        </w:tabs>
        <w:bidi w:val="0"/>
        <w:spacing w:before="0" w:line="240" w:lineRule="auto"/>
        <w:ind w:left="0" w:right="0" w:firstLine="0"/>
        <w:jc w:val="left"/>
      </w:pPr>
      <w:bookmarkStart w:id="1635" w:name="bookmark1635"/>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1</w:t>
      </w:r>
      <w:bookmarkEnd w:id="1637"/>
      <w:r>
        <w:rPr>
          <w:color w:val="000000"/>
          <w:spacing w:val="0"/>
          <w:w w:val="100"/>
          <w:position w:val="0"/>
        </w:rPr>
        <w:t>、</w:t>
        <w:tab/>
        <w:t>本企业的母公司情况</w:t>
      </w:r>
      <w:bookmarkEnd w:id="1635"/>
      <w:bookmarkEnd w:id="1636"/>
      <w:bookmarkEnd w:id="1638"/>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本企业的母公司情况的说明</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本企业股东吴强华为实际控制人，持有公司</w:t>
      </w:r>
      <w:r>
        <w:rPr>
          <w:rFonts w:ascii="Times New Roman" w:eastAsia="Times New Roman" w:hAnsi="Times New Roman" w:cs="Times New Roman"/>
          <w:color w:val="000000"/>
          <w:spacing w:val="0"/>
          <w:w w:val="100"/>
          <w:position w:val="0"/>
        </w:rPr>
        <w:t>24.36%</w:t>
      </w:r>
      <w:r>
        <w:rPr>
          <w:color w:val="000000"/>
          <w:spacing w:val="0"/>
          <w:w w:val="100"/>
          <w:position w:val="0"/>
        </w:rPr>
        <w:t>的股权，对本公司的表决权比例为</w:t>
      </w:r>
      <w:r>
        <w:rPr>
          <w:rFonts w:ascii="Times New Roman" w:eastAsia="Times New Roman" w:hAnsi="Times New Roman" w:cs="Times New Roman"/>
          <w:color w:val="000000"/>
          <w:spacing w:val="0"/>
          <w:w w:val="100"/>
          <w:position w:val="0"/>
        </w:rPr>
        <w:t>24.36%</w:t>
      </w:r>
      <w:r>
        <w:rPr>
          <w:color w:val="000000"/>
          <w:spacing w:val="0"/>
          <w:w w:val="100"/>
          <w:position w:val="0"/>
        </w:rPr>
        <w:t>。</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本企业最终控制方是。</w:t>
      </w:r>
    </w:p>
    <w:p>
      <w:pPr>
        <w:pStyle w:val="Style1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4"/>
        <w:keepNext/>
        <w:keepLines/>
        <w:widowControl w:val="0"/>
        <w:shd w:val="clear" w:color="auto" w:fill="auto"/>
        <w:tabs>
          <w:tab w:pos="378" w:val="left"/>
        </w:tabs>
        <w:bidi w:val="0"/>
        <w:spacing w:before="0" w:line="240" w:lineRule="auto"/>
        <w:ind w:left="0" w:right="0" w:firstLine="0"/>
        <w:jc w:val="left"/>
      </w:pPr>
      <w:bookmarkStart w:id="1639" w:name="bookmark1639"/>
      <w:bookmarkStart w:id="1640" w:name="bookmark1640"/>
      <w:bookmarkStart w:id="1641" w:name="bookmark1641"/>
      <w:bookmarkStart w:id="1642" w:name="bookmark1642"/>
      <w:r>
        <w:rPr>
          <w:rFonts w:ascii="Times New Roman" w:eastAsia="Times New Roman" w:hAnsi="Times New Roman" w:cs="Times New Roman"/>
          <w:color w:val="000000"/>
          <w:spacing w:val="0"/>
          <w:w w:val="100"/>
          <w:position w:val="0"/>
        </w:rPr>
        <w:t>2</w:t>
      </w:r>
      <w:bookmarkEnd w:id="1641"/>
      <w:r>
        <w:rPr>
          <w:color w:val="000000"/>
          <w:spacing w:val="0"/>
          <w:w w:val="100"/>
          <w:position w:val="0"/>
        </w:rPr>
        <w:t>、</w:t>
        <w:tab/>
        <w:t>本企业的子公司情况</w:t>
      </w:r>
      <w:bookmarkEnd w:id="1639"/>
      <w:bookmarkEnd w:id="1640"/>
      <w:bookmarkEnd w:id="1642"/>
    </w:p>
    <w:p>
      <w:pPr>
        <w:pStyle w:val="Style14"/>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本企业子公司的情况详见附注八。</w:t>
      </w:r>
    </w:p>
    <w:p>
      <w:pPr>
        <w:pStyle w:val="Style24"/>
        <w:keepNext/>
        <w:keepLines/>
        <w:widowControl w:val="0"/>
        <w:shd w:val="clear" w:color="auto" w:fill="auto"/>
        <w:tabs>
          <w:tab w:pos="378" w:val="left"/>
        </w:tabs>
        <w:bidi w:val="0"/>
        <w:spacing w:before="0" w:line="240" w:lineRule="auto"/>
        <w:ind w:left="0" w:right="0" w:firstLine="0"/>
        <w:jc w:val="left"/>
      </w:pPr>
      <w:bookmarkStart w:id="1643" w:name="bookmark1643"/>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3</w:t>
      </w:r>
      <w:bookmarkEnd w:id="1645"/>
      <w:r>
        <w:rPr>
          <w:color w:val="000000"/>
          <w:spacing w:val="0"/>
          <w:w w:val="100"/>
          <w:position w:val="0"/>
        </w:rPr>
        <w:t>、</w:t>
        <w:tab/>
        <w:t>其他关联方情况</w:t>
      </w:r>
      <w:bookmarkEnd w:id="1643"/>
      <w:bookmarkEnd w:id="1644"/>
      <w:bookmarkEnd w:id="1646"/>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北京天健源达科技股份有限公司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不具有控制、共同控制或重大影响的其他关联方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北京通通易联科技有限公司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受本公司实际控制人控制的企业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宁波通通易联科技合伙企业（有限合伙）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受本公司实际控制人控制的企业</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优势金控（上海）资产管理有限公司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受本公司实际控制人的近亲属控制的企业</w:t>
            </w:r>
          </w:p>
        </w:tc>
      </w:tr>
    </w:tbl>
    <w:p>
      <w:pPr>
        <w:widowControl w:val="0"/>
        <w:spacing w:after="339" w:line="1" w:lineRule="exact"/>
      </w:pPr>
    </w:p>
    <w:p>
      <w:pPr>
        <w:pStyle w:val="Style24"/>
        <w:keepNext/>
        <w:keepLines/>
        <w:widowControl w:val="0"/>
        <w:shd w:val="clear" w:color="auto" w:fill="auto"/>
        <w:bidi w:val="0"/>
        <w:spacing w:before="0" w:line="240" w:lineRule="auto"/>
        <w:ind w:left="0" w:right="0" w:firstLine="0"/>
        <w:jc w:val="left"/>
      </w:pPr>
      <w:bookmarkStart w:id="1647" w:name="bookmark1647"/>
      <w:bookmarkStart w:id="1648" w:name="bookmark1648"/>
      <w:bookmarkStart w:id="1649" w:name="bookmark1649"/>
      <w:bookmarkStart w:id="1650" w:name="bookmark1650"/>
      <w:r>
        <w:rPr>
          <w:rFonts w:ascii="Times New Roman" w:eastAsia="Times New Roman" w:hAnsi="Times New Roman" w:cs="Times New Roman"/>
          <w:color w:val="000000"/>
          <w:spacing w:val="0"/>
          <w:w w:val="100"/>
          <w:position w:val="0"/>
        </w:rPr>
        <w:t>4</w:t>
      </w:r>
      <w:bookmarkEnd w:id="1649"/>
      <w:r>
        <w:rPr>
          <w:color w:val="000000"/>
          <w:spacing w:val="0"/>
          <w:w w:val="100"/>
          <w:position w:val="0"/>
        </w:rPr>
        <w:t>、关联交易情况</w:t>
      </w:r>
      <w:bookmarkEnd w:id="1647"/>
      <w:bookmarkEnd w:id="1648"/>
      <w:bookmarkEnd w:id="1650"/>
    </w:p>
    <w:p>
      <w:pPr>
        <w:pStyle w:val="Style102"/>
        <w:keepNext/>
        <w:keepLines/>
        <w:widowControl w:val="0"/>
        <w:shd w:val="clear" w:color="auto" w:fill="auto"/>
        <w:bidi w:val="0"/>
        <w:spacing w:before="0" w:after="340" w:line="240" w:lineRule="auto"/>
        <w:ind w:left="0" w:right="0" w:firstLine="0"/>
        <w:jc w:val="left"/>
      </w:pPr>
      <w:bookmarkStart w:id="1651" w:name="bookmark1651"/>
      <w:bookmarkStart w:id="1652" w:name="bookmark1652"/>
      <w:bookmarkStart w:id="1653" w:name="bookmark16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651"/>
      <w:bookmarkEnd w:id="1652"/>
      <w:bookmarkEnd w:id="1653"/>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9"/>
        <w:gridCol w:w="1704"/>
        <w:gridCol w:w="171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上期发生额</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北京通通易联科技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采购商品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14,223,921.99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28,198,556.59</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11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56"/>
        <w:gridCol w:w="2261"/>
        <w:gridCol w:w="26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北京通通易联科技有限公司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提供劳务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5,570,000.00</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39" w:line="1" w:lineRule="exact"/>
      </w:pPr>
    </w:p>
    <w:p>
      <w:pPr>
        <w:pStyle w:val="Style102"/>
        <w:keepNext/>
        <w:keepLines/>
        <w:widowControl w:val="0"/>
        <w:shd w:val="clear" w:color="auto" w:fill="auto"/>
        <w:bidi w:val="0"/>
        <w:spacing w:before="0" w:after="340" w:line="240" w:lineRule="auto"/>
        <w:ind w:left="0" w:right="0" w:firstLine="0"/>
        <w:jc w:val="left"/>
      </w:pPr>
      <w:bookmarkStart w:id="1654" w:name="bookmark1654"/>
      <w:bookmarkStart w:id="1655" w:name="bookmark1655"/>
      <w:bookmarkStart w:id="1656" w:name="bookmark165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654"/>
      <w:bookmarkEnd w:id="1655"/>
      <w:bookmarkEnd w:id="1656"/>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本公司作为出租方：</w:t>
      </w:r>
    </w:p>
    <w:p>
      <w:pPr>
        <w:pStyle w:val="Style14"/>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上期确认的租赁收入</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北京通通易联科技有限公司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经营租赁资产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188,917.43</w:t>
            </w:r>
          </w:p>
        </w:tc>
      </w:tr>
    </w:tbl>
    <w:p>
      <w:pPr>
        <w:widowControl w:val="0"/>
        <w:spacing w:after="319" w:line="1" w:lineRule="exact"/>
      </w:pPr>
    </w:p>
    <w:p>
      <w:pPr>
        <w:pStyle w:val="Style102"/>
        <w:keepNext/>
        <w:keepLines/>
        <w:widowControl w:val="0"/>
        <w:shd w:val="clear" w:color="auto" w:fill="auto"/>
        <w:bidi w:val="0"/>
        <w:spacing w:before="0" w:after="380" w:line="240" w:lineRule="auto"/>
        <w:ind w:left="0" w:right="0" w:firstLine="0"/>
        <w:jc w:val="left"/>
      </w:pPr>
      <w:bookmarkStart w:id="1657" w:name="bookmark1657"/>
      <w:bookmarkStart w:id="1658" w:name="bookmark1658"/>
      <w:bookmarkStart w:id="1659" w:name="bookmark1659"/>
      <w:bookmarkStart w:id="1660" w:name="bookmark1660"/>
      <w:r>
        <w:rPr>
          <w:color w:val="000000"/>
          <w:spacing w:val="0"/>
          <w:w w:val="100"/>
          <w:position w:val="0"/>
        </w:rPr>
        <w:t>（</w:t>
      </w:r>
      <w:bookmarkEnd w:id="1659"/>
      <w:r>
        <w:rPr>
          <w:rFonts w:ascii="Times New Roman" w:eastAsia="Times New Roman" w:hAnsi="Times New Roman" w:cs="Times New Roman"/>
          <w:color w:val="000000"/>
          <w:spacing w:val="0"/>
          <w:w w:val="100"/>
          <w:position w:val="0"/>
        </w:rPr>
        <w:t>3</w:t>
      </w:r>
      <w:r>
        <w:rPr>
          <w:color w:val="000000"/>
          <w:spacing w:val="0"/>
          <w:w w:val="100"/>
          <w:position w:val="0"/>
        </w:rPr>
        <w:t>）关键管理人员报酬</w:t>
      </w:r>
      <w:bookmarkEnd w:id="1657"/>
      <w:bookmarkEnd w:id="1658"/>
      <w:bookmarkEnd w:id="1660"/>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6,889,000.00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6,192,600.00</w:t>
            </w:r>
          </w:p>
        </w:tc>
      </w:tr>
    </w:tbl>
    <w:p>
      <w:pPr>
        <w:widowControl w:val="0"/>
        <w:spacing w:after="319" w:line="1" w:lineRule="exact"/>
      </w:pPr>
    </w:p>
    <w:p>
      <w:pPr>
        <w:pStyle w:val="Style102"/>
        <w:keepNext/>
        <w:keepLines/>
        <w:widowControl w:val="0"/>
        <w:shd w:val="clear" w:color="auto" w:fill="auto"/>
        <w:bidi w:val="0"/>
        <w:spacing w:before="0" w:after="660" w:line="240" w:lineRule="auto"/>
        <w:ind w:left="0" w:right="0" w:firstLine="0"/>
        <w:jc w:val="left"/>
      </w:pPr>
      <w:bookmarkStart w:id="1661" w:name="bookmark1661"/>
      <w:bookmarkStart w:id="1662" w:name="bookmark1662"/>
      <w:bookmarkStart w:id="1663" w:name="bookmark1663"/>
      <w:bookmarkStart w:id="1664" w:name="bookmark1664"/>
      <w:r>
        <w:rPr>
          <w:color w:val="000000"/>
          <w:spacing w:val="0"/>
          <w:w w:val="100"/>
          <w:position w:val="0"/>
        </w:rPr>
        <w:t>（</w:t>
      </w:r>
      <w:bookmarkEnd w:id="1663"/>
      <w:r>
        <w:rPr>
          <w:rFonts w:ascii="Times New Roman" w:eastAsia="Times New Roman" w:hAnsi="Times New Roman" w:cs="Times New Roman"/>
          <w:color w:val="000000"/>
          <w:spacing w:val="0"/>
          <w:w w:val="100"/>
          <w:position w:val="0"/>
        </w:rPr>
        <w:t>4</w:t>
      </w:r>
      <w:r>
        <w:rPr>
          <w:color w:val="000000"/>
          <w:spacing w:val="0"/>
          <w:w w:val="100"/>
          <w:position w:val="0"/>
        </w:rPr>
        <w:t>）其他关联交易</w:t>
      </w:r>
      <w:bookmarkEnd w:id="1661"/>
      <w:bookmarkEnd w:id="1662"/>
      <w:bookmarkEnd w:id="1664"/>
    </w:p>
    <w:p>
      <w:pPr>
        <w:pStyle w:val="Style129"/>
        <w:keepNext w:val="0"/>
        <w:keepLines w:val="0"/>
        <w:widowControl w:val="0"/>
        <w:numPr>
          <w:ilvl w:val="0"/>
          <w:numId w:val="121"/>
        </w:numPr>
        <w:shd w:val="clear" w:color="auto" w:fill="auto"/>
        <w:tabs>
          <w:tab w:pos="315" w:val="left"/>
        </w:tabs>
        <w:bidi w:val="0"/>
        <w:spacing w:before="0" w:after="100" w:line="240" w:lineRule="auto"/>
        <w:ind w:left="0" w:right="0" w:firstLine="0"/>
        <w:jc w:val="left"/>
      </w:pPr>
      <w:bookmarkStart w:id="1665" w:name="bookmark1665"/>
      <w:bookmarkEnd w:id="1665"/>
      <w:r>
        <w:rPr>
          <w:color w:val="000000"/>
          <w:spacing w:val="0"/>
          <w:w w:val="100"/>
          <w:position w:val="0"/>
        </w:rPr>
        <w:t>与关联方共同设立公司情况</w:t>
      </w:r>
    </w:p>
    <w:p>
      <w:pPr>
        <w:pStyle w:val="Style14"/>
        <w:keepNext w:val="0"/>
        <w:keepLines w:val="0"/>
        <w:widowControl w:val="0"/>
        <w:shd w:val="clear" w:color="auto" w:fill="auto"/>
        <w:tabs>
          <w:tab w:pos="3127" w:val="left"/>
          <w:tab w:pos="6758" w:val="left"/>
        </w:tabs>
        <w:bidi w:val="0"/>
        <w:spacing w:before="0" w:after="100" w:line="240" w:lineRule="auto"/>
        <w:ind w:left="0" w:right="0" w:firstLine="0"/>
        <w:jc w:val="left"/>
      </w:pPr>
      <w:r>
        <w:rPr>
          <w:color w:val="000000"/>
          <w:spacing w:val="0"/>
          <w:w w:val="100"/>
          <w:position w:val="0"/>
          <w:u w:val="single"/>
        </w:rPr>
        <w:t>关联方</w:t>
        <w:tab/>
        <w:t>关联交易内容</w:t>
        <w:tab/>
        <w:t>本期发生额上期发生额</w:t>
      </w:r>
    </w:p>
    <w:p>
      <w:pPr>
        <w:pStyle w:val="Style14"/>
        <w:keepNext w:val="0"/>
        <w:keepLines w:val="0"/>
        <w:widowControl w:val="0"/>
        <w:shd w:val="clear" w:color="auto" w:fill="auto"/>
        <w:tabs>
          <w:tab w:pos="3127" w:val="left"/>
        </w:tabs>
        <w:bidi w:val="0"/>
        <w:spacing w:before="0" w:after="100" w:line="240" w:lineRule="auto"/>
        <w:ind w:left="0" w:right="0" w:firstLine="0"/>
        <w:jc w:val="left"/>
      </w:pPr>
      <w:r>
        <w:rPr>
          <w:color w:val="000000"/>
          <w:spacing w:val="0"/>
          <w:w w:val="100"/>
          <w:position w:val="0"/>
        </w:rPr>
        <w:t>优势金控（上海）资产管理有限公司</w:t>
        <w:tab/>
        <w:t>共同出资设立嘉兴政通优势投资合伙企业</w:t>
      </w:r>
      <w:r>
        <w:rPr>
          <w:rFonts w:ascii="Times New Roman" w:eastAsia="Times New Roman" w:hAnsi="Times New Roman" w:cs="Times New Roman"/>
          <w:color w:val="000000"/>
          <w:spacing w:val="0"/>
          <w:w w:val="100"/>
          <w:position w:val="0"/>
        </w:rPr>
        <w:t>14,900,000.00</w:t>
      </w:r>
    </w:p>
    <w:p>
      <w:pPr>
        <w:pStyle w:val="Style14"/>
        <w:keepNext w:val="0"/>
        <w:keepLines w:val="0"/>
        <w:widowControl w:val="0"/>
        <w:shd w:val="clear" w:color="auto" w:fill="auto"/>
        <w:bidi w:val="0"/>
        <w:spacing w:before="0" w:after="380" w:line="240" w:lineRule="auto"/>
        <w:ind w:left="3180" w:right="0" w:firstLine="0"/>
        <w:jc w:val="left"/>
      </w:pPr>
      <w:r>
        <w:rPr>
          <w:color w:val="000000"/>
          <w:spacing w:val="0"/>
          <w:w w:val="100"/>
          <w:position w:val="0"/>
        </w:rPr>
        <w:t>（有限合伙）</w:t>
      </w:r>
    </w:p>
    <w:p>
      <w:pPr>
        <w:pStyle w:val="Style129"/>
        <w:keepNext w:val="0"/>
        <w:keepLines w:val="0"/>
        <w:widowControl w:val="0"/>
        <w:numPr>
          <w:ilvl w:val="0"/>
          <w:numId w:val="121"/>
        </w:numPr>
        <w:shd w:val="clear" w:color="auto" w:fill="auto"/>
        <w:tabs>
          <w:tab w:pos="334" w:val="left"/>
        </w:tabs>
        <w:bidi w:val="0"/>
        <w:spacing w:before="0" w:after="100" w:line="240" w:lineRule="auto"/>
        <w:ind w:left="0" w:right="0" w:firstLine="0"/>
        <w:jc w:val="left"/>
      </w:pPr>
      <w:bookmarkStart w:id="1666" w:name="bookmark1666"/>
      <w:bookmarkEnd w:id="1666"/>
      <w:r>
        <w:rPr>
          <w:color w:val="000000"/>
          <w:spacing w:val="0"/>
          <w:w w:val="100"/>
          <w:position w:val="0"/>
        </w:rPr>
        <w:t>关联资产出售情况</w:t>
      </w:r>
    </w:p>
    <w:p>
      <w:pPr>
        <w:pStyle w:val="Style14"/>
        <w:keepNext w:val="0"/>
        <w:keepLines w:val="0"/>
        <w:widowControl w:val="0"/>
        <w:shd w:val="clear" w:color="auto" w:fill="auto"/>
        <w:tabs>
          <w:tab w:pos="4776" w:val="left"/>
        </w:tabs>
        <w:bidi w:val="0"/>
        <w:spacing w:before="0" w:after="100" w:line="240" w:lineRule="auto"/>
        <w:ind w:left="0" w:right="0" w:firstLine="0"/>
        <w:jc w:val="left"/>
      </w:pPr>
      <w:r>
        <w:rPr>
          <w:color w:val="000000"/>
          <w:spacing w:val="0"/>
          <w:w w:val="100"/>
          <w:position w:val="0"/>
          <w:u w:val="single"/>
        </w:rPr>
        <w:t>关联方</w:t>
        <w:tab/>
        <w:t>关联交易内容 本期发生额 上期发生额</w:t>
      </w:r>
    </w:p>
    <w:p>
      <w:pPr>
        <w:pStyle w:val="Style14"/>
        <w:keepNext w:val="0"/>
        <w:keepLines w:val="0"/>
        <w:widowControl w:val="0"/>
        <w:shd w:val="clear" w:color="auto" w:fill="auto"/>
        <w:tabs>
          <w:tab w:pos="3653" w:val="left"/>
          <w:tab w:pos="7771" w:val="left"/>
        </w:tabs>
        <w:bidi w:val="0"/>
        <w:spacing w:before="0" w:after="100" w:line="240" w:lineRule="auto"/>
        <w:ind w:left="0" w:right="0" w:firstLine="0"/>
        <w:jc w:val="left"/>
      </w:pPr>
      <w:r>
        <w:rPr>
          <w:color w:val="000000"/>
          <w:spacing w:val="0"/>
          <w:w w:val="100"/>
          <w:position w:val="0"/>
        </w:rPr>
        <w:t>宁波通通易联科技合伙企业（有限合伙）</w:t>
        <w:tab/>
        <w:t>转让北京通通易联科技有限</w:t>
        <w:tab/>
      </w:r>
      <w:r>
        <w:rPr>
          <w:rFonts w:ascii="Times New Roman" w:eastAsia="Times New Roman" w:hAnsi="Times New Roman" w:cs="Times New Roman"/>
          <w:color w:val="000000"/>
          <w:spacing w:val="0"/>
          <w:w w:val="100"/>
          <w:position w:val="0"/>
        </w:rPr>
        <w:t>4,776,563.00</w:t>
      </w:r>
    </w:p>
    <w:p>
      <w:pPr>
        <w:pStyle w:val="Style14"/>
        <w:keepNext w:val="0"/>
        <w:keepLines w:val="0"/>
        <w:widowControl w:val="0"/>
        <w:shd w:val="clear" w:color="auto" w:fill="auto"/>
        <w:bidi w:val="0"/>
        <w:spacing w:before="0" w:after="660" w:line="240" w:lineRule="auto"/>
        <w:ind w:left="0" w:right="0" w:firstLine="0"/>
        <w:jc w:val="center"/>
      </w:pPr>
      <w:r>
        <w:rPr>
          <w:color w:val="000000"/>
          <w:spacing w:val="0"/>
          <w:w w:val="100"/>
          <w:position w:val="0"/>
        </w:rPr>
        <w:t>公司股权</w:t>
      </w:r>
    </w:p>
    <w:p>
      <w:pPr>
        <w:pStyle w:val="Style24"/>
        <w:keepNext/>
        <w:keepLines/>
        <w:widowControl w:val="0"/>
        <w:shd w:val="clear" w:color="auto" w:fill="auto"/>
        <w:bidi w:val="0"/>
        <w:spacing w:before="0" w:after="380" w:line="240" w:lineRule="auto"/>
        <w:ind w:left="0" w:right="0" w:firstLine="0"/>
        <w:jc w:val="left"/>
      </w:pPr>
      <w:bookmarkStart w:id="1667" w:name="bookmark1667"/>
      <w:bookmarkStart w:id="1668" w:name="bookmark1668"/>
      <w:bookmarkStart w:id="1669" w:name="bookmark1669"/>
      <w:bookmarkStart w:id="1670" w:name="bookmark1670"/>
      <w:r>
        <w:rPr>
          <w:rFonts w:ascii="Times New Roman" w:eastAsia="Times New Roman" w:hAnsi="Times New Roman" w:cs="Times New Roman"/>
          <w:color w:val="000000"/>
          <w:spacing w:val="0"/>
          <w:w w:val="100"/>
          <w:position w:val="0"/>
        </w:rPr>
        <w:t>5</w:t>
      </w:r>
      <w:bookmarkEnd w:id="1669"/>
      <w:r>
        <w:rPr>
          <w:color w:val="000000"/>
          <w:spacing w:val="0"/>
          <w:w w:val="100"/>
          <w:position w:val="0"/>
        </w:rPr>
        <w:t>、关联方应收应付款项</w:t>
      </w:r>
      <w:bookmarkEnd w:id="1667"/>
      <w:bookmarkEnd w:id="1668"/>
      <w:bookmarkEnd w:id="1670"/>
    </w:p>
    <w:p>
      <w:pPr>
        <w:pStyle w:val="Style102"/>
        <w:keepNext/>
        <w:keepLines/>
        <w:widowControl w:val="0"/>
        <w:shd w:val="clear" w:color="auto" w:fill="auto"/>
        <w:bidi w:val="0"/>
        <w:spacing w:before="0" w:after="380" w:line="240" w:lineRule="auto"/>
        <w:ind w:left="0" w:right="0" w:firstLine="0"/>
        <w:jc w:val="left"/>
      </w:pPr>
      <w:bookmarkStart w:id="1671" w:name="bookmark1671"/>
      <w:bookmarkStart w:id="1672" w:name="bookmark1672"/>
      <w:bookmarkStart w:id="1673" w:name="bookmark16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671"/>
      <w:bookmarkEnd w:id="1672"/>
      <w:bookmarkEnd w:id="1673"/>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坏账准备</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北京通通易联科技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29,046,281.32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1,452,314.07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33,546,281.32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1,677,314.07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北京天健源达科技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2,694,831.86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134,741.60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3,134,809.74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156,740.49</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北京天健源达科技 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02"/>
        <w:keepNext/>
        <w:keepLines/>
        <w:widowControl w:val="0"/>
        <w:shd w:val="clear" w:color="auto" w:fill="auto"/>
        <w:bidi w:val="0"/>
        <w:spacing w:before="0" w:after="380" w:line="240" w:lineRule="auto"/>
        <w:ind w:left="0" w:right="0" w:firstLine="0"/>
        <w:jc w:val="left"/>
      </w:pPr>
      <w:bookmarkStart w:id="1674" w:name="bookmark1674"/>
      <w:bookmarkStart w:id="1675" w:name="bookmark1675"/>
      <w:bookmarkStart w:id="1676" w:name="bookmark167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674"/>
      <w:bookmarkEnd w:id="1675"/>
      <w:bookmarkEnd w:id="167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北京通通易联科技有限公司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1,073,310.00</w:t>
            </w:r>
          </w:p>
        </w:tc>
      </w:tr>
    </w:tbl>
    <w:p>
      <w:pPr>
        <w:widowControl w:val="0"/>
        <w:spacing w:after="279" w:line="1" w:lineRule="exact"/>
      </w:pPr>
    </w:p>
    <w:p>
      <w:pPr>
        <w:pStyle w:val="Style19"/>
        <w:keepNext/>
        <w:keepLines/>
        <w:widowControl w:val="0"/>
        <w:shd w:val="clear" w:color="auto" w:fill="auto"/>
        <w:bidi w:val="0"/>
        <w:spacing w:before="0" w:after="340" w:line="240" w:lineRule="auto"/>
        <w:ind w:left="0" w:right="0" w:firstLine="0"/>
        <w:jc w:val="left"/>
      </w:pPr>
      <w:bookmarkStart w:id="1677" w:name="bookmark1677"/>
      <w:bookmarkStart w:id="1678" w:name="bookmark1678"/>
      <w:bookmarkStart w:id="1679" w:name="bookmark1679"/>
      <w:r>
        <w:rPr>
          <w:color w:val="000000"/>
          <w:spacing w:val="0"/>
          <w:w w:val="100"/>
          <w:position w:val="0"/>
          <w:sz w:val="24"/>
          <w:szCs w:val="24"/>
        </w:rPr>
        <w:t>十三、股份支付</w:t>
      </w:r>
      <w:bookmarkEnd w:id="1677"/>
      <w:bookmarkEnd w:id="1678"/>
      <w:bookmarkEnd w:id="1679"/>
    </w:p>
    <w:p>
      <w:pPr>
        <w:pStyle w:val="Style24"/>
        <w:keepNext/>
        <w:keepLines/>
        <w:widowControl w:val="0"/>
        <w:shd w:val="clear" w:color="auto" w:fill="auto"/>
        <w:bidi w:val="0"/>
        <w:spacing w:before="0" w:line="240" w:lineRule="auto"/>
        <w:ind w:left="0" w:right="0" w:firstLine="0"/>
        <w:jc w:val="left"/>
      </w:pPr>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680"/>
      <w:bookmarkEnd w:id="1681"/>
      <w:bookmarkEnd w:id="1682"/>
    </w:p>
    <w:p>
      <w:pPr>
        <w:pStyle w:val="Style1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40" w:right="0" w:firstLine="0"/>
              <w:jc w:val="left"/>
              <w:rPr>
                <w:sz w:val="18"/>
                <w:szCs w:val="18"/>
              </w:rPr>
            </w:pPr>
            <w:r>
              <w:rPr>
                <w:rFonts w:ascii="Times New Roman" w:eastAsia="Times New Roman" w:hAnsi="Times New Roman" w:cs="Times New Roman"/>
                <w:color w:val="000000"/>
                <w:spacing w:val="0"/>
                <w:w w:val="100"/>
                <w:position w:val="0"/>
                <w:sz w:val="18"/>
                <w:szCs w:val="18"/>
              </w:rPr>
              <w:t>14,220,000.00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40" w:right="0" w:firstLine="0"/>
              <w:jc w:val="left"/>
              <w:rPr>
                <w:sz w:val="18"/>
                <w:szCs w:val="18"/>
              </w:rPr>
            </w:pPr>
            <w:r>
              <w:rPr>
                <w:rFonts w:ascii="Times New Roman" w:eastAsia="Times New Roman" w:hAnsi="Times New Roman" w:cs="Times New Roman"/>
                <w:color w:val="000000"/>
                <w:spacing w:val="0"/>
                <w:w w:val="100"/>
                <w:position w:val="0"/>
                <w:sz w:val="18"/>
                <w:szCs w:val="18"/>
              </w:rPr>
              <w:t>12,815,611.00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9.32</w:t>
            </w: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个月</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7.47</w:t>
            </w: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个月</w:t>
            </w:r>
          </w:p>
        </w:tc>
      </w:tr>
    </w:tbl>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28</w:t>
      </w:r>
      <w:r>
        <w:rPr>
          <w:color w:val="000000"/>
          <w:spacing w:val="0"/>
          <w:w w:val="100"/>
          <w:position w:val="0"/>
        </w:rPr>
        <w:t>日授予限制性股票期权激励计划，行权价格为</w:t>
      </w:r>
      <w:r>
        <w:rPr>
          <w:color w:val="000000"/>
          <w:spacing w:val="0"/>
          <w:w w:val="100"/>
          <w:position w:val="0"/>
        </w:rPr>
        <w:t>7.4</w:t>
      </w:r>
      <w:r>
        <w:rPr>
          <w:color w:val="000000"/>
          <w:spacing w:val="0"/>
          <w:w w:val="100"/>
          <w:position w:val="0"/>
        </w:rPr>
        <w:t>7</w:t>
      </w:r>
      <w:r>
        <w:rPr>
          <w:color w:val="000000"/>
          <w:spacing w:val="0"/>
          <w:w w:val="100"/>
          <w:position w:val="0"/>
        </w:rPr>
        <w:t>元；合同剩余期限为</w:t>
      </w:r>
      <w:r>
        <w:rPr>
          <w:color w:val="000000"/>
          <w:spacing w:val="0"/>
          <w:w w:val="100"/>
          <w:position w:val="0"/>
        </w:rPr>
        <w:t>17</w:t>
      </w:r>
      <w:r>
        <w:rPr>
          <w:color w:val="000000"/>
          <w:spacing w:val="0"/>
          <w:w w:val="100"/>
          <w:position w:val="0"/>
        </w:rPr>
        <w:t>个月。</w:t>
      </w:r>
    </w:p>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2021</w:t>
      </w:r>
      <w:r>
        <w:rPr>
          <w:color w:val="000000"/>
          <w:spacing w:val="0"/>
          <w:w w:val="100"/>
          <w:position w:val="0"/>
        </w:rPr>
        <w:t>年度</w:t>
      </w:r>
      <w:r>
        <w:rPr>
          <w:color w:val="000000"/>
          <w:spacing w:val="0"/>
          <w:w w:val="100"/>
          <w:position w:val="0"/>
        </w:rPr>
        <w:t>2018</w:t>
      </w:r>
      <w:r>
        <w:rPr>
          <w:color w:val="000000"/>
          <w:spacing w:val="0"/>
          <w:w w:val="100"/>
          <w:position w:val="0"/>
        </w:rPr>
        <w:t>年股票期权与限制性股票激励计划中</w:t>
      </w:r>
      <w:r>
        <w:rPr>
          <w:color w:val="000000"/>
          <w:spacing w:val="0"/>
          <w:w w:val="100"/>
          <w:position w:val="0"/>
        </w:rPr>
        <w:t>20</w:t>
      </w:r>
      <w:r>
        <w:rPr>
          <w:color w:val="000000"/>
          <w:spacing w:val="0"/>
          <w:w w:val="100"/>
          <w:position w:val="0"/>
        </w:rPr>
        <w:t>名激励对象因个人原因离职，注销已获授但尚未解除限售的限制性股票</w:t>
      </w:r>
    </w:p>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320, 000</w:t>
      </w:r>
      <w:r>
        <w:rPr>
          <w:color w:val="000000"/>
          <w:spacing w:val="0"/>
          <w:w w:val="100"/>
          <w:position w:val="0"/>
        </w:rPr>
        <w:t>股。</w:t>
      </w:r>
    </w:p>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2021</w:t>
      </w:r>
      <w:r>
        <w:rPr>
          <w:color w:val="000000"/>
          <w:spacing w:val="0"/>
          <w:w w:val="100"/>
          <w:position w:val="0"/>
        </w:rPr>
        <w:t>年度</w:t>
      </w:r>
      <w:r>
        <w:rPr>
          <w:color w:val="000000"/>
          <w:spacing w:val="0"/>
          <w:w w:val="100"/>
          <w:position w:val="0"/>
        </w:rPr>
        <w:t>2020</w:t>
      </w:r>
      <w:r>
        <w:rPr>
          <w:color w:val="000000"/>
          <w:spacing w:val="0"/>
          <w:w w:val="100"/>
          <w:position w:val="0"/>
        </w:rPr>
        <w:t>年股票期权与限制性股票激励计划中</w:t>
      </w:r>
      <w:r>
        <w:rPr>
          <w:color w:val="000000"/>
          <w:spacing w:val="0"/>
          <w:w w:val="100"/>
          <w:position w:val="0"/>
        </w:rPr>
        <w:t>17</w:t>
      </w:r>
      <w:r>
        <w:rPr>
          <w:color w:val="000000"/>
          <w:spacing w:val="0"/>
          <w:w w:val="100"/>
          <w:position w:val="0"/>
        </w:rPr>
        <w:t>名激励对象因个人原因离职，注销已获授但尚未行权的股票期权</w:t>
      </w:r>
    </w:p>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730, 000</w:t>
      </w:r>
      <w:r>
        <w:rPr>
          <w:color w:val="000000"/>
          <w:spacing w:val="0"/>
          <w:w w:val="100"/>
          <w:position w:val="0"/>
        </w:rPr>
        <w:t>股。</w:t>
      </w:r>
    </w:p>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2021</w:t>
      </w:r>
      <w:r>
        <w:rPr>
          <w:color w:val="000000"/>
          <w:spacing w:val="0"/>
          <w:w w:val="100"/>
          <w:position w:val="0"/>
        </w:rPr>
        <w:t>年度</w:t>
      </w:r>
      <w:r>
        <w:rPr>
          <w:color w:val="000000"/>
          <w:spacing w:val="0"/>
          <w:w w:val="100"/>
          <w:position w:val="0"/>
        </w:rPr>
        <w:t>2018</w:t>
      </w:r>
      <w:r>
        <w:rPr>
          <w:color w:val="000000"/>
          <w:spacing w:val="0"/>
          <w:w w:val="100"/>
          <w:position w:val="0"/>
        </w:rPr>
        <w:t>年股票期权与限制性股票激励计划第二期可解锁的限制性股票数量为</w:t>
      </w:r>
      <w:r>
        <w:rPr>
          <w:color w:val="000000"/>
          <w:spacing w:val="0"/>
          <w:w w:val="100"/>
          <w:position w:val="0"/>
        </w:rPr>
        <w:t>2,750, 000</w:t>
      </w:r>
      <w:r>
        <w:rPr>
          <w:color w:val="000000"/>
          <w:spacing w:val="0"/>
          <w:w w:val="100"/>
          <w:position w:val="0"/>
        </w:rPr>
        <w:t>股；本次可行权的股票期权数 量为</w:t>
      </w:r>
      <w:r>
        <w:rPr>
          <w:color w:val="000000"/>
          <w:spacing w:val="0"/>
          <w:w w:val="100"/>
          <w:position w:val="0"/>
        </w:rPr>
        <w:t>8, 860, 000</w:t>
      </w:r>
      <w:r>
        <w:rPr>
          <w:color w:val="000000"/>
          <w:spacing w:val="0"/>
          <w:w w:val="100"/>
          <w:position w:val="0"/>
        </w:rPr>
        <w:t>股，实际行权数量为</w:t>
      </w:r>
      <w:r>
        <w:rPr>
          <w:color w:val="000000"/>
          <w:spacing w:val="0"/>
          <w:w w:val="100"/>
          <w:position w:val="0"/>
        </w:rPr>
        <w:t>7, 453, 410</w:t>
      </w:r>
      <w:r>
        <w:rPr>
          <w:color w:val="000000"/>
          <w:spacing w:val="0"/>
          <w:w w:val="100"/>
          <w:position w:val="0"/>
        </w:rPr>
        <w:t>股。</w:t>
      </w:r>
    </w:p>
    <w:p>
      <w:pPr>
        <w:pStyle w:val="Style14"/>
        <w:keepNext w:val="0"/>
        <w:keepLines w:val="0"/>
        <w:widowControl w:val="0"/>
        <w:shd w:val="clear" w:color="auto" w:fill="auto"/>
        <w:bidi w:val="0"/>
        <w:spacing w:before="0" w:after="340" w:line="312" w:lineRule="exact"/>
        <w:ind w:left="0" w:right="0" w:firstLine="0"/>
        <w:jc w:val="both"/>
      </w:pPr>
      <w:r>
        <w:rPr>
          <w:color w:val="000000"/>
          <w:spacing w:val="0"/>
          <w:w w:val="100"/>
          <w:position w:val="0"/>
        </w:rPr>
        <w:t>2021</w:t>
      </w:r>
      <w:r>
        <w:rPr>
          <w:color w:val="000000"/>
          <w:spacing w:val="0"/>
          <w:w w:val="100"/>
          <w:position w:val="0"/>
        </w:rPr>
        <w:t>年度</w:t>
      </w:r>
      <w:r>
        <w:rPr>
          <w:color w:val="000000"/>
          <w:spacing w:val="0"/>
          <w:w w:val="100"/>
          <w:position w:val="0"/>
        </w:rPr>
        <w:t>2020</w:t>
      </w:r>
      <w:r>
        <w:rPr>
          <w:color w:val="000000"/>
          <w:spacing w:val="0"/>
          <w:w w:val="100"/>
          <w:position w:val="0"/>
        </w:rPr>
        <w:t>年股票期权激励计划第一期可行权的股票期权数量为</w:t>
      </w:r>
      <w:r>
        <w:rPr>
          <w:color w:val="000000"/>
          <w:spacing w:val="0"/>
          <w:w w:val="100"/>
          <w:position w:val="0"/>
        </w:rPr>
        <w:t>7, 385, 000</w:t>
      </w:r>
      <w:r>
        <w:rPr>
          <w:color w:val="000000"/>
          <w:spacing w:val="0"/>
          <w:w w:val="100"/>
          <w:position w:val="0"/>
        </w:rPr>
        <w:t>股，实际行权</w:t>
      </w:r>
      <w:r>
        <w:rPr>
          <w:color w:val="000000"/>
          <w:spacing w:val="0"/>
          <w:w w:val="100"/>
          <w:position w:val="0"/>
        </w:rPr>
        <w:t>5, 362, 201</w:t>
      </w:r>
      <w:r>
        <w:rPr>
          <w:color w:val="000000"/>
          <w:spacing w:val="0"/>
          <w:w w:val="100"/>
          <w:position w:val="0"/>
        </w:rPr>
        <w:t>股。</w:t>
      </w:r>
    </w:p>
    <w:p>
      <w:pPr>
        <w:pStyle w:val="Style24"/>
        <w:keepNext/>
        <w:keepLines/>
        <w:widowControl w:val="0"/>
        <w:shd w:val="clear" w:color="auto" w:fill="auto"/>
        <w:bidi w:val="0"/>
        <w:spacing w:before="0" w:after="280" w:line="240" w:lineRule="auto"/>
        <w:ind w:left="0" w:right="0" w:firstLine="0"/>
        <w:jc w:val="both"/>
      </w:pPr>
      <w:bookmarkStart w:id="1683" w:name="bookmark1683"/>
      <w:bookmarkStart w:id="1684" w:name="bookmark1684"/>
      <w:bookmarkStart w:id="1685" w:name="bookmark1685"/>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683"/>
      <w:bookmarkEnd w:id="1684"/>
      <w:bookmarkEnd w:id="1685"/>
    </w:p>
    <w:p>
      <w:pPr>
        <w:pStyle w:val="Style14"/>
        <w:keepNext w:val="0"/>
        <w:keepLines w:val="0"/>
        <w:widowControl w:val="0"/>
        <w:shd w:val="clear" w:color="auto" w:fill="auto"/>
        <w:bidi w:val="0"/>
        <w:spacing w:before="0" w:line="312"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240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0"/>
              <w:jc w:val="left"/>
              <w:rPr>
                <w:sz w:val="18"/>
                <w:szCs w:val="18"/>
              </w:rPr>
            </w:pPr>
            <w:r>
              <w:rPr>
                <w:color w:val="000000"/>
                <w:spacing w:val="0"/>
                <w:w w:val="100"/>
                <w:position w:val="0"/>
                <w:sz w:val="18"/>
                <w:szCs w:val="18"/>
              </w:rPr>
              <w:t>股票期权：</w:t>
            </w:r>
          </w:p>
          <w:p>
            <w:pPr>
              <w:pStyle w:val="Style2"/>
              <w:keepNext w:val="0"/>
              <w:keepLines w:val="0"/>
              <w:widowControl w:val="0"/>
              <w:shd w:val="clear" w:color="auto" w:fill="auto"/>
              <w:bidi w:val="0"/>
              <w:spacing w:before="0" w:after="40" w:line="312" w:lineRule="exact"/>
              <w:ind w:left="0" w:right="0" w:firstLine="0"/>
              <w:jc w:val="left"/>
              <w:rPr>
                <w:sz w:val="18"/>
                <w:szCs w:val="18"/>
              </w:rPr>
            </w:pPr>
            <w:r>
              <w:rPr>
                <w:color w:val="000000"/>
                <w:spacing w:val="0"/>
                <w:w w:val="100"/>
                <w:position w:val="0"/>
                <w:sz w:val="18"/>
                <w:szCs w:val="18"/>
              </w:rPr>
              <w:t>按公司股票在创业板的交易价格为基础，并考虑行权价格、 年化波动率、年化无风险利率、到期年限、股息收益率等 参数按照</w:t>
            </w:r>
            <w:r>
              <w:rPr>
                <w:rFonts w:ascii="Times New Roman" w:eastAsia="Times New Roman" w:hAnsi="Times New Roman" w:cs="Times New Roman"/>
                <w:color w:val="000000"/>
                <w:spacing w:val="0"/>
                <w:w w:val="100"/>
                <w:position w:val="0"/>
                <w:sz w:val="18"/>
                <w:szCs w:val="18"/>
              </w:rPr>
              <w:t>BS</w:t>
            </w:r>
            <w:r>
              <w:rPr>
                <w:color w:val="000000"/>
                <w:spacing w:val="0"/>
                <w:w w:val="100"/>
                <w:position w:val="0"/>
                <w:sz w:val="18"/>
                <w:szCs w:val="18"/>
              </w:rPr>
              <w:t>期权定价模型的最佳估计数。</w:t>
            </w:r>
          </w:p>
          <w:p>
            <w:pPr>
              <w:pStyle w:val="Style2"/>
              <w:keepNext w:val="0"/>
              <w:keepLines w:val="0"/>
              <w:widowControl w:val="0"/>
              <w:shd w:val="clear" w:color="auto" w:fill="auto"/>
              <w:bidi w:val="0"/>
              <w:spacing w:before="0" w:after="40" w:line="312" w:lineRule="exact"/>
              <w:ind w:left="0" w:right="0" w:firstLine="0"/>
              <w:jc w:val="left"/>
              <w:rPr>
                <w:sz w:val="18"/>
                <w:szCs w:val="18"/>
              </w:rPr>
            </w:pPr>
            <w:r>
              <w:rPr>
                <w:color w:val="000000"/>
                <w:spacing w:val="0"/>
                <w:w w:val="100"/>
                <w:position w:val="0"/>
                <w:sz w:val="18"/>
                <w:szCs w:val="18"/>
              </w:rPr>
              <w:t>限制性股票：</w:t>
            </w:r>
          </w:p>
          <w:p>
            <w:pPr>
              <w:pStyle w:val="Style2"/>
              <w:keepNext w:val="0"/>
              <w:keepLines w:val="0"/>
              <w:widowControl w:val="0"/>
              <w:shd w:val="clear" w:color="auto" w:fill="auto"/>
              <w:bidi w:val="0"/>
              <w:spacing w:before="0" w:after="40" w:line="312" w:lineRule="exact"/>
              <w:ind w:left="0" w:right="0" w:firstLine="0"/>
              <w:jc w:val="left"/>
              <w:rPr>
                <w:sz w:val="18"/>
                <w:szCs w:val="18"/>
              </w:rPr>
            </w:pPr>
            <w:r>
              <w:rPr>
                <w:color w:val="000000"/>
                <w:spacing w:val="0"/>
                <w:w w:val="100"/>
                <w:position w:val="0"/>
                <w:sz w:val="18"/>
                <w:szCs w:val="18"/>
              </w:rPr>
              <w:t>按公司股票授予日收盘交易价格作为限制性股票公允价值 的最佳估计数。</w:t>
            </w:r>
          </w:p>
        </w:tc>
      </w:tr>
      <w:tr>
        <w:trPr>
          <w:trHeight w:val="208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可行权权益工具数量的确定依据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40" w:line="307" w:lineRule="exact"/>
              <w:ind w:left="0" w:right="0" w:firstLine="0"/>
              <w:jc w:val="left"/>
              <w:rPr>
                <w:sz w:val="18"/>
                <w:szCs w:val="18"/>
              </w:rPr>
            </w:pPr>
            <w:r>
              <w:rPr>
                <w:color w:val="000000"/>
                <w:spacing w:val="0"/>
                <w:w w:val="100"/>
                <w:position w:val="0"/>
                <w:sz w:val="18"/>
                <w:szCs w:val="18"/>
              </w:rPr>
              <w:t>股票期权：</w:t>
            </w:r>
          </w:p>
          <w:p>
            <w:pPr>
              <w:pStyle w:val="Style2"/>
              <w:keepNext w:val="0"/>
              <w:keepLines w:val="0"/>
              <w:widowControl w:val="0"/>
              <w:shd w:val="clear" w:color="auto" w:fill="auto"/>
              <w:bidi w:val="0"/>
              <w:spacing w:before="0" w:after="40" w:line="307" w:lineRule="exact"/>
              <w:ind w:left="0" w:right="0" w:firstLine="0"/>
              <w:jc w:val="left"/>
              <w:rPr>
                <w:sz w:val="18"/>
                <w:szCs w:val="18"/>
              </w:rPr>
            </w:pPr>
            <w:r>
              <w:rPr>
                <w:color w:val="000000"/>
                <w:spacing w:val="0"/>
                <w:w w:val="100"/>
                <w:position w:val="0"/>
                <w:sz w:val="18"/>
                <w:szCs w:val="18"/>
              </w:rPr>
              <w:t>根据最新取得的可行权人数变动、业绩指标完成情况等后 续信息，修正预计可行权的股票期权数量。</w:t>
            </w:r>
          </w:p>
          <w:p>
            <w:pPr>
              <w:pStyle w:val="Style2"/>
              <w:keepNext w:val="0"/>
              <w:keepLines w:val="0"/>
              <w:widowControl w:val="0"/>
              <w:shd w:val="clear" w:color="auto" w:fill="auto"/>
              <w:bidi w:val="0"/>
              <w:spacing w:before="0" w:after="40" w:line="307" w:lineRule="exact"/>
              <w:ind w:left="0" w:right="0" w:firstLine="0"/>
              <w:jc w:val="left"/>
              <w:rPr>
                <w:sz w:val="18"/>
                <w:szCs w:val="18"/>
              </w:rPr>
            </w:pPr>
            <w:r>
              <w:rPr>
                <w:color w:val="000000"/>
                <w:spacing w:val="0"/>
                <w:w w:val="100"/>
                <w:position w:val="0"/>
                <w:sz w:val="18"/>
                <w:szCs w:val="18"/>
              </w:rPr>
              <w:t>限制性股票：</w:t>
            </w:r>
          </w:p>
          <w:p>
            <w:pPr>
              <w:pStyle w:val="Style2"/>
              <w:keepNext w:val="0"/>
              <w:keepLines w:val="0"/>
              <w:widowControl w:val="0"/>
              <w:shd w:val="clear" w:color="auto" w:fill="auto"/>
              <w:bidi w:val="0"/>
              <w:spacing w:before="0" w:after="40" w:line="307" w:lineRule="exact"/>
              <w:ind w:left="0" w:right="0" w:firstLine="0"/>
              <w:jc w:val="left"/>
              <w:rPr>
                <w:sz w:val="18"/>
                <w:szCs w:val="18"/>
              </w:rPr>
            </w:pPr>
            <w:r>
              <w:rPr>
                <w:color w:val="000000"/>
                <w:spacing w:val="0"/>
                <w:w w:val="100"/>
                <w:position w:val="0"/>
                <w:sz w:val="18"/>
                <w:szCs w:val="18"/>
              </w:rPr>
              <w:t>根据最新取得的可行权人数变动、业绩指标完成情况等后 续信息，修正预计可行权的限制性数量。</w:t>
            </w:r>
          </w:p>
        </w:tc>
      </w:tr>
    </w:tbl>
    <w:p>
      <w:pPr>
        <w:widowControl w:val="0"/>
        <w:spacing w:line="1" w:lineRule="exact"/>
      </w:pP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140,925,775.00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20" w:right="0" w:firstLine="0"/>
              <w:jc w:val="left"/>
              <w:rPr>
                <w:sz w:val="18"/>
                <w:szCs w:val="18"/>
              </w:rPr>
            </w:pPr>
            <w:r>
              <w:rPr>
                <w:rFonts w:ascii="Times New Roman" w:eastAsia="Times New Roman" w:hAnsi="Times New Roman" w:cs="Times New Roman"/>
                <w:color w:val="000000"/>
                <w:spacing w:val="0"/>
                <w:w w:val="100"/>
                <w:position w:val="0"/>
                <w:sz w:val="18"/>
                <w:szCs w:val="18"/>
              </w:rPr>
              <w:t>45,342,500.00</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9"/>
        <w:keepNext w:val="0"/>
        <w:keepLines w:val="0"/>
        <w:widowControl w:val="0"/>
        <w:shd w:val="clear" w:color="auto" w:fill="auto"/>
        <w:bidi w:val="0"/>
        <w:spacing w:before="0" w:after="400" w:line="470" w:lineRule="exact"/>
        <w:ind w:left="0" w:right="0" w:firstLine="500"/>
        <w:jc w:val="both"/>
      </w:pPr>
      <w:r>
        <w:rPr>
          <w:color w:val="000000"/>
          <w:spacing w:val="0"/>
          <w:w w:val="100"/>
          <w:position w:val="0"/>
          <w:sz w:val="24"/>
          <w:szCs w:val="24"/>
        </w:rPr>
        <w:t>2021年5月28日，公司第四届董事会第三十一次会议和第四届监事会第三十次会议审议通 过了《关于向激励对象授予限制性股票的议案》。根据该议案授予本公司员工限制性股票。 确定授予日为2021年5月28日，向164名激励对象授予限制性股票1,422万股。本激励计划授予 的限制性股票的授予价格为</w:t>
      </w:r>
      <w:r>
        <w:rPr>
          <w:color w:val="000000"/>
          <w:spacing w:val="0"/>
          <w:w w:val="100"/>
          <w:position w:val="0"/>
          <w:sz w:val="24"/>
          <w:szCs w:val="24"/>
        </w:rPr>
        <w:t xml:space="preserve">7.4 </w:t>
      </w:r>
      <w:r>
        <w:rPr>
          <w:color w:val="000000"/>
          <w:spacing w:val="0"/>
          <w:w w:val="100"/>
          <w:position w:val="0"/>
          <w:sz w:val="24"/>
          <w:szCs w:val="24"/>
        </w:rPr>
        <w:t>7元/股。本激励计划授予的限制性股票第一个归属期为自授予 日起12个月后的首个交易日起至授予日起24个月内的最后一个交易日止，第二个归属期自授 予日起24个月后的首个交易日起至授予日起36个月内的最后一个交易日止。激励对象获授的 限制性股票在归属前不得转让、质押、抵押、担保或偿还债务等。</w:t>
      </w:r>
    </w:p>
    <w:p>
      <w:pPr>
        <w:pStyle w:val="Style24"/>
        <w:keepNext/>
        <w:keepLines/>
        <w:widowControl w:val="0"/>
        <w:shd w:val="clear" w:color="auto" w:fill="auto"/>
        <w:bidi w:val="0"/>
        <w:spacing w:before="0" w:after="400" w:line="240" w:lineRule="auto"/>
        <w:ind w:left="0" w:right="0" w:firstLine="0"/>
        <w:jc w:val="left"/>
      </w:pPr>
      <w:bookmarkStart w:id="1686" w:name="bookmark1686"/>
      <w:bookmarkStart w:id="1687" w:name="bookmark1687"/>
      <w:bookmarkStart w:id="1688" w:name="bookmark1688"/>
      <w:bookmarkStart w:id="1689" w:name="bookmark1689"/>
      <w:r>
        <w:rPr>
          <w:rFonts w:ascii="Times New Roman" w:eastAsia="Times New Roman" w:hAnsi="Times New Roman" w:cs="Times New Roman"/>
          <w:color w:val="000000"/>
          <w:spacing w:val="0"/>
          <w:w w:val="100"/>
          <w:position w:val="0"/>
        </w:rPr>
        <w:t>3</w:t>
      </w:r>
      <w:bookmarkEnd w:id="1688"/>
      <w:r>
        <w:rPr>
          <w:color w:val="000000"/>
          <w:spacing w:val="0"/>
          <w:w w:val="100"/>
          <w:position w:val="0"/>
        </w:rPr>
        <w:t>、股份支付的修改、终止情况</w:t>
      </w:r>
      <w:bookmarkEnd w:id="1686"/>
      <w:bookmarkEnd w:id="1687"/>
      <w:bookmarkEnd w:id="1689"/>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rPr>
        <w:t>无。</w:t>
      </w:r>
    </w:p>
    <w:p>
      <w:pPr>
        <w:pStyle w:val="Style19"/>
        <w:keepNext/>
        <w:keepLines/>
        <w:widowControl w:val="0"/>
        <w:shd w:val="clear" w:color="auto" w:fill="auto"/>
        <w:bidi w:val="0"/>
        <w:spacing w:before="0" w:after="360" w:line="470" w:lineRule="exact"/>
        <w:ind w:left="0" w:right="0" w:firstLine="0"/>
        <w:jc w:val="left"/>
      </w:pPr>
      <w:bookmarkStart w:id="1690" w:name="bookmark1690"/>
      <w:bookmarkStart w:id="1691" w:name="bookmark1691"/>
      <w:bookmarkStart w:id="1692" w:name="bookmark1692"/>
      <w:r>
        <w:rPr>
          <w:color w:val="000000"/>
          <w:spacing w:val="0"/>
          <w:w w:val="100"/>
          <w:position w:val="0"/>
          <w:sz w:val="24"/>
          <w:szCs w:val="24"/>
        </w:rPr>
        <w:t>十四、承诺及或有事项</w:t>
      </w:r>
      <w:bookmarkEnd w:id="1690"/>
      <w:bookmarkEnd w:id="1691"/>
      <w:bookmarkEnd w:id="1692"/>
    </w:p>
    <w:p>
      <w:pPr>
        <w:pStyle w:val="Style24"/>
        <w:keepNext/>
        <w:keepLines/>
        <w:widowControl w:val="0"/>
        <w:shd w:val="clear" w:color="auto" w:fill="auto"/>
        <w:tabs>
          <w:tab w:pos="368" w:val="left"/>
        </w:tabs>
        <w:bidi w:val="0"/>
        <w:spacing w:before="0" w:after="360" w:line="240" w:lineRule="auto"/>
        <w:ind w:left="0" w:right="0" w:firstLine="0"/>
        <w:jc w:val="left"/>
      </w:pPr>
      <w:bookmarkStart w:id="1693" w:name="bookmark1693"/>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rPr>
        <w:t>1</w:t>
      </w:r>
      <w:bookmarkEnd w:id="1695"/>
      <w:r>
        <w:rPr>
          <w:color w:val="000000"/>
          <w:spacing w:val="0"/>
          <w:w w:val="100"/>
          <w:position w:val="0"/>
        </w:rPr>
        <w:t>、</w:t>
        <w:tab/>
        <w:t>重要承诺事项</w:t>
      </w:r>
      <w:bookmarkEnd w:id="1693"/>
      <w:bookmarkEnd w:id="1694"/>
      <w:bookmarkEnd w:id="1696"/>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资产负债表日存在的重要承诺</w:t>
      </w:r>
    </w:p>
    <w:p>
      <w:pPr>
        <w:pStyle w:val="Style1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日，本公司无需要披露的重大承诺事项。</w:t>
      </w:r>
    </w:p>
    <w:p>
      <w:pPr>
        <w:pStyle w:val="Style24"/>
        <w:keepNext/>
        <w:keepLines/>
        <w:widowControl w:val="0"/>
        <w:shd w:val="clear" w:color="auto" w:fill="auto"/>
        <w:tabs>
          <w:tab w:pos="378" w:val="left"/>
        </w:tabs>
        <w:bidi w:val="0"/>
        <w:spacing w:before="0" w:after="360" w:line="240" w:lineRule="auto"/>
        <w:ind w:left="0" w:right="0" w:firstLine="0"/>
        <w:jc w:val="left"/>
      </w:pPr>
      <w:bookmarkStart w:id="1697" w:name="bookmark1697"/>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2</w:t>
      </w:r>
      <w:bookmarkEnd w:id="1699"/>
      <w:r>
        <w:rPr>
          <w:color w:val="000000"/>
          <w:spacing w:val="0"/>
          <w:w w:val="100"/>
          <w:position w:val="0"/>
        </w:rPr>
        <w:t>、</w:t>
        <w:tab/>
        <w:t>或有事项</w:t>
      </w:r>
      <w:bookmarkEnd w:id="1697"/>
      <w:bookmarkEnd w:id="1698"/>
      <w:bookmarkEnd w:id="1700"/>
    </w:p>
    <w:p>
      <w:pPr>
        <w:pStyle w:val="Style102"/>
        <w:keepNext/>
        <w:keepLines/>
        <w:widowControl w:val="0"/>
        <w:shd w:val="clear" w:color="auto" w:fill="auto"/>
        <w:tabs>
          <w:tab w:pos="493" w:val="left"/>
        </w:tabs>
        <w:bidi w:val="0"/>
        <w:spacing w:before="0" w:line="240" w:lineRule="auto"/>
        <w:ind w:left="0" w:right="0" w:firstLine="0"/>
        <w:jc w:val="left"/>
      </w:pPr>
      <w:bookmarkStart w:id="1701" w:name="bookmark1701"/>
      <w:bookmarkStart w:id="1702" w:name="bookmark1702"/>
      <w:bookmarkStart w:id="1703" w:name="bookmark1703"/>
      <w:bookmarkStart w:id="1704" w:name="bookmark1704"/>
      <w:r>
        <w:rPr>
          <w:color w:val="000000"/>
          <w:spacing w:val="0"/>
          <w:w w:val="100"/>
          <w:position w:val="0"/>
        </w:rPr>
        <w:t>（</w:t>
      </w:r>
      <w:bookmarkEnd w:id="1703"/>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701"/>
      <w:bookmarkEnd w:id="1702"/>
      <w:bookmarkEnd w:id="1704"/>
    </w:p>
    <w:p>
      <w:pPr>
        <w:pStyle w:val="Style1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日，本公司无需要披露的重大或有事项。</w:t>
      </w:r>
    </w:p>
    <w:p>
      <w:pPr>
        <w:pStyle w:val="Style102"/>
        <w:keepNext/>
        <w:keepLines/>
        <w:widowControl w:val="0"/>
        <w:shd w:val="clear" w:color="auto" w:fill="auto"/>
        <w:tabs>
          <w:tab w:pos="493" w:val="left"/>
        </w:tabs>
        <w:bidi w:val="0"/>
        <w:spacing w:before="0" w:after="400" w:line="240" w:lineRule="auto"/>
        <w:ind w:left="0" w:right="0" w:firstLine="0"/>
        <w:jc w:val="left"/>
      </w:pPr>
      <w:bookmarkStart w:id="1705" w:name="bookmark1705"/>
      <w:bookmarkStart w:id="1706" w:name="bookmark1706"/>
      <w:bookmarkStart w:id="1707" w:name="bookmark1707"/>
      <w:bookmarkStart w:id="1708" w:name="bookmark1708"/>
      <w:r>
        <w:rPr>
          <w:color w:val="000000"/>
          <w:spacing w:val="0"/>
          <w:w w:val="100"/>
          <w:position w:val="0"/>
        </w:rPr>
        <w:t>（</w:t>
      </w:r>
      <w:bookmarkEnd w:id="1707"/>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705"/>
      <w:bookmarkEnd w:id="1706"/>
      <w:bookmarkEnd w:id="1708"/>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公司不存在需要披露的重要或有事项。</w:t>
      </w:r>
    </w:p>
    <w:p>
      <w:pPr>
        <w:pStyle w:val="Style19"/>
        <w:keepNext/>
        <w:keepLines/>
        <w:widowControl w:val="0"/>
        <w:shd w:val="clear" w:color="auto" w:fill="auto"/>
        <w:bidi w:val="0"/>
        <w:spacing w:before="0" w:after="360" w:line="470" w:lineRule="exact"/>
        <w:ind w:left="0" w:right="0" w:firstLine="0"/>
        <w:jc w:val="left"/>
      </w:pPr>
      <w:bookmarkStart w:id="1709" w:name="bookmark1709"/>
      <w:bookmarkStart w:id="1710" w:name="bookmark1710"/>
      <w:bookmarkStart w:id="1711" w:name="bookmark1711"/>
      <w:r>
        <w:rPr>
          <w:color w:val="000000"/>
          <w:spacing w:val="0"/>
          <w:w w:val="100"/>
          <w:position w:val="0"/>
          <w:sz w:val="24"/>
          <w:szCs w:val="24"/>
        </w:rPr>
        <w:t>十五、资产负债表日后事项</w:t>
      </w:r>
      <w:bookmarkEnd w:id="1709"/>
      <w:bookmarkEnd w:id="1710"/>
      <w:bookmarkEnd w:id="1711"/>
    </w:p>
    <w:p>
      <w:pPr>
        <w:pStyle w:val="Style24"/>
        <w:keepNext/>
        <w:keepLines/>
        <w:widowControl w:val="0"/>
        <w:shd w:val="clear" w:color="auto" w:fill="auto"/>
        <w:bidi w:val="0"/>
        <w:spacing w:before="0" w:after="360" w:line="240" w:lineRule="auto"/>
        <w:ind w:left="0" w:right="0" w:firstLine="0"/>
        <w:jc w:val="left"/>
      </w:pPr>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712"/>
      <w:bookmarkEnd w:id="1713"/>
      <w:bookmarkEnd w:id="1714"/>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拟分配的利润或股利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20" w:right="0" w:firstLine="0"/>
              <w:jc w:val="left"/>
              <w:rPr>
                <w:sz w:val="18"/>
                <w:szCs w:val="18"/>
              </w:rPr>
            </w:pPr>
            <w:r>
              <w:rPr>
                <w:rFonts w:ascii="Times New Roman" w:eastAsia="Times New Roman" w:hAnsi="Times New Roman" w:cs="Times New Roman"/>
                <w:color w:val="000000"/>
                <w:spacing w:val="0"/>
                <w:w w:val="100"/>
                <w:position w:val="0"/>
                <w:sz w:val="18"/>
                <w:szCs w:val="18"/>
              </w:rPr>
              <w:t>22,328,030.93</w:t>
            </w:r>
          </w:p>
        </w:tc>
      </w:tr>
    </w:tbl>
    <w:p>
      <w:pPr>
        <w:spacing w:lineRule="exact" w:line="1"/>
        <w:rPr>
          <w:sz w:val="2"/>
          <w:szCs w:val="2"/>
        </w:rPr>
      </w:pPr>
      <w:r>
        <w:br w:type="page"/>
      </w:r>
    </w:p>
    <w:p>
      <w:pPr>
        <w:pStyle w:val="Style19"/>
        <w:keepNext/>
        <w:keepLines/>
        <w:widowControl w:val="0"/>
        <w:shd w:val="clear" w:color="auto" w:fill="auto"/>
        <w:bidi w:val="0"/>
        <w:spacing w:before="0" w:after="340" w:line="240" w:lineRule="auto"/>
        <w:ind w:left="0" w:right="0" w:firstLine="0"/>
        <w:jc w:val="left"/>
      </w:pPr>
      <w:bookmarkStart w:id="1715" w:name="bookmark1715"/>
      <w:bookmarkStart w:id="1716" w:name="bookmark1716"/>
      <w:bookmarkStart w:id="1717" w:name="bookmark1717"/>
      <w:r>
        <w:rPr>
          <w:color w:val="000000"/>
          <w:spacing w:val="0"/>
          <w:w w:val="100"/>
          <w:position w:val="0"/>
          <w:sz w:val="24"/>
          <w:szCs w:val="24"/>
        </w:rPr>
        <w:t>十六、母公司财务报表主要项目注释</w:t>
      </w:r>
      <w:bookmarkEnd w:id="1715"/>
      <w:bookmarkEnd w:id="1716"/>
      <w:bookmarkEnd w:id="1717"/>
    </w:p>
    <w:p>
      <w:pPr>
        <w:pStyle w:val="Style24"/>
        <w:keepNext/>
        <w:keepLines/>
        <w:widowControl w:val="0"/>
        <w:shd w:val="clear" w:color="auto" w:fill="auto"/>
        <w:bidi w:val="0"/>
        <w:spacing w:before="0" w:line="240" w:lineRule="auto"/>
        <w:ind w:left="0" w:right="0" w:firstLine="0"/>
        <w:jc w:val="left"/>
      </w:pPr>
      <w:bookmarkStart w:id="1718" w:name="bookmark1718"/>
      <w:bookmarkStart w:id="1719" w:name="bookmark1719"/>
      <w:bookmarkStart w:id="1720" w:name="bookmark1720"/>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718"/>
      <w:bookmarkEnd w:id="1719"/>
      <w:bookmarkEnd w:id="1720"/>
    </w:p>
    <w:p>
      <w:pPr>
        <w:pStyle w:val="Style102"/>
        <w:keepNext/>
        <w:keepLines/>
        <w:widowControl w:val="0"/>
        <w:shd w:val="clear" w:color="auto" w:fill="auto"/>
        <w:bidi w:val="0"/>
        <w:spacing w:before="0" w:after="380" w:line="240" w:lineRule="auto"/>
        <w:ind w:left="0" w:right="0" w:firstLine="0"/>
        <w:jc w:val="left"/>
      </w:pPr>
      <w:bookmarkStart w:id="1721" w:name="bookmark1721"/>
      <w:bookmarkStart w:id="1722" w:name="bookmark1722"/>
      <w:bookmarkStart w:id="1723" w:name="bookmark17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721"/>
      <w:bookmarkEnd w:id="1722"/>
      <w:bookmarkEnd w:id="1723"/>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58"/>
        <w:gridCol w:w="763"/>
        <w:gridCol w:w="792"/>
        <w:gridCol w:w="773"/>
        <w:gridCol w:w="797"/>
        <w:gridCol w:w="802"/>
        <w:gridCol w:w="787"/>
        <w:gridCol w:w="93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按组合计提坏账准</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881,379,</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560.03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107,042,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774,337,4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673,347,9</w:t>
            </w:r>
          </w:p>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86,796,26</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586,551,73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政府及运营商组合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524,993,</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403.60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57,861,3</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467,132,0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460,618,4</w:t>
            </w:r>
          </w:p>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41,822,08</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418,796,39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25,608,4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134,741.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25,473,67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8,993,758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156,740.4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8,837,017.5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330,777,</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743.40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49,046,0</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281,731,7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203,735,7</w:t>
            </w:r>
          </w:p>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44,817,43</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158,918,32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881,379,</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560.03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107,042,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774,337,4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673,347,9</w:t>
            </w:r>
          </w:p>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99.96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86,796,26</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586,551,73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按组合计提坏账准备：政府及运营商组合</w:t>
      </w:r>
    </w:p>
    <w:p>
      <w:pPr>
        <w:widowControl w:val="0"/>
        <w:spacing w:after="9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300,504,947.84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9,015,148.44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80,754,562.68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5,652,819.39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58,833,144.44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8,824,971.67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49,323,239.32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12,330,809.83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24,955,320.20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12,477,660.10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10,622,189.12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9,559,970.21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524,993,403.60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57,861,379.64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确定该组合依据的说明：</w:t>
      </w:r>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政府及运营商</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按组合计提坏账准备：关联方组合</w:t>
      </w:r>
    </w:p>
    <w:p>
      <w:pPr>
        <w:pStyle w:val="Style1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合并范围内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22,913,581.17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合并范围外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2,694,831.86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134,741.60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25,608,413.03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134,741.60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关联方</w:t>
      </w:r>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按组合计提坏账准备：其他组合</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241,509,850.65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14,490,591.04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35,947,057.64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4,313,646.92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12.00%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17,335,336.44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5,200,600.93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13,513,721.18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6,756,860.59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9,701,302.18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6,790,911.53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12,770,475.31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11,493,427.78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90.00%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330,777,743.40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49,046,038.79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除政府及运营商、关联方外的其他客户</w:t>
      </w:r>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559,069,431.40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117,286,061.64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77,914,853.79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127,109,213.20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66,214,375.11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37,502,173.66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23,392,664.43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881,379,560.03</w:t>
            </w:r>
          </w:p>
        </w:tc>
      </w:tr>
    </w:tbl>
    <w:p>
      <w:pPr>
        <w:spacing w:lineRule="exact" w:line="1"/>
        <w:rPr>
          <w:sz w:val="2"/>
          <w:szCs w:val="2"/>
        </w:rPr>
      </w:pPr>
      <w:r>
        <w:br w:type="page"/>
      </w:r>
    </w:p>
    <w:p>
      <w:pPr>
        <w:pStyle w:val="Style102"/>
        <w:keepNext/>
        <w:keepLines/>
        <w:widowControl w:val="0"/>
        <w:shd w:val="clear" w:color="auto" w:fill="auto"/>
        <w:bidi w:val="0"/>
        <w:spacing w:before="0" w:line="240" w:lineRule="auto"/>
        <w:ind w:left="0" w:right="0" w:firstLine="0"/>
        <w:jc w:val="both"/>
      </w:pPr>
      <w:bookmarkStart w:id="1724" w:name="bookmark1724"/>
      <w:bookmarkStart w:id="1725" w:name="bookmark1725"/>
      <w:bookmarkStart w:id="1726" w:name="bookmark17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724"/>
      <w:bookmarkEnd w:id="1725"/>
      <w:bookmarkEnd w:id="1726"/>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rPr>
        <w:t>本期计提坏账准备情况：</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按组合计提坏账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881,379,560.03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20,491,894.46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246,000.00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901,625,454.49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881,379,560.03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20,491,894.46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246,000.00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901,625,454.49</w:t>
            </w:r>
          </w:p>
        </w:tc>
      </w:tr>
    </w:tbl>
    <w:p>
      <w:pPr>
        <w:widowControl w:val="0"/>
        <w:spacing w:after="299" w:line="1" w:lineRule="exact"/>
      </w:pPr>
    </w:p>
    <w:p>
      <w:pPr>
        <w:pStyle w:val="Style102"/>
        <w:keepNext/>
        <w:keepLines/>
        <w:widowControl w:val="0"/>
        <w:shd w:val="clear" w:color="auto" w:fill="auto"/>
        <w:bidi w:val="0"/>
        <w:spacing w:before="0" w:line="240" w:lineRule="auto"/>
        <w:ind w:left="0" w:right="0" w:firstLine="0"/>
        <w:jc w:val="both"/>
      </w:pPr>
      <w:bookmarkStart w:id="1727" w:name="bookmark1727"/>
      <w:bookmarkStart w:id="1728" w:name="bookmark1728"/>
      <w:bookmarkStart w:id="1729" w:name="bookmark1729"/>
      <w:bookmarkStart w:id="1730" w:name="bookmark1730"/>
      <w:r>
        <w:rPr>
          <w:color w:val="000000"/>
          <w:spacing w:val="0"/>
          <w:w w:val="100"/>
          <w:position w:val="0"/>
        </w:rPr>
        <w:t>（</w:t>
      </w:r>
      <w:bookmarkEnd w:id="1729"/>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727"/>
      <w:bookmarkEnd w:id="1728"/>
      <w:bookmarkEnd w:id="1730"/>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246,000.00</w:t>
            </w:r>
          </w:p>
        </w:tc>
      </w:tr>
    </w:tbl>
    <w:p>
      <w:pPr>
        <w:widowControl w:val="0"/>
        <w:spacing w:after="79" w:line="1" w:lineRule="exact"/>
      </w:pPr>
    </w:p>
    <w:p>
      <w:pPr>
        <w:pStyle w:val="Style14"/>
        <w:keepNext w:val="0"/>
        <w:keepLines w:val="0"/>
        <w:widowControl w:val="0"/>
        <w:shd w:val="clear" w:color="auto" w:fill="auto"/>
        <w:bidi w:val="0"/>
        <w:spacing w:before="0" w:after="80" w:line="240" w:lineRule="auto"/>
        <w:ind w:left="0" w:right="0" w:firstLine="0"/>
        <w:jc w:val="both"/>
      </w:pPr>
      <w:r>
        <w:rPr>
          <w:color w:val="000000"/>
          <w:spacing w:val="0"/>
          <w:w w:val="100"/>
          <w:position w:val="0"/>
        </w:rPr>
        <w:t>应收账款核销说明：</w:t>
      </w:r>
    </w:p>
    <w:p>
      <w:pPr>
        <w:pStyle w:val="Style129"/>
        <w:keepNext w:val="0"/>
        <w:keepLines w:val="0"/>
        <w:widowControl w:val="0"/>
        <w:shd w:val="clear" w:color="auto" w:fill="auto"/>
        <w:bidi w:val="0"/>
        <w:spacing w:before="0" w:after="300" w:line="302" w:lineRule="exact"/>
        <w:ind w:left="0" w:right="0" w:firstLine="0"/>
        <w:jc w:val="both"/>
      </w:pPr>
      <w:r>
        <w:rPr>
          <w:color w:val="000000"/>
          <w:spacing w:val="0"/>
          <w:w w:val="100"/>
          <w:position w:val="0"/>
        </w:rPr>
        <w:t>本报告期按欠款方归集的期末余额前五名应收账款汇总金额</w:t>
      </w:r>
      <w:r>
        <w:rPr>
          <w:color w:val="000000"/>
          <w:spacing w:val="0"/>
          <w:w w:val="100"/>
          <w:position w:val="0"/>
        </w:rPr>
        <w:t xml:space="preserve">137,878, </w:t>
      </w:r>
      <w:r>
        <w:rPr>
          <w:color w:val="000000"/>
          <w:spacing w:val="0"/>
          <w:w w:val="100"/>
          <w:position w:val="0"/>
        </w:rPr>
        <w:t xml:space="preserve">948. </w:t>
      </w:r>
      <w:r>
        <w:rPr>
          <w:color w:val="000000"/>
          <w:spacing w:val="0"/>
          <w:w w:val="100"/>
          <w:position w:val="0"/>
        </w:rPr>
        <w:t>13</w:t>
      </w:r>
      <w:r>
        <w:rPr>
          <w:color w:val="000000"/>
          <w:spacing w:val="0"/>
          <w:w w:val="100"/>
          <w:position w:val="0"/>
        </w:rPr>
        <w:t>元，占应收账款期末余额合计 数的比例</w:t>
      </w:r>
      <w:r>
        <w:rPr>
          <w:color w:val="000000"/>
          <w:spacing w:val="0"/>
          <w:w w:val="100"/>
          <w:position w:val="0"/>
        </w:rPr>
        <w:t xml:space="preserve">15. </w:t>
      </w:r>
      <w:r>
        <w:rPr>
          <w:color w:val="000000"/>
          <w:spacing w:val="0"/>
          <w:w w:val="100"/>
          <w:position w:val="0"/>
        </w:rPr>
        <w:t>64%，</w:t>
      </w:r>
      <w:r>
        <w:rPr>
          <w:color w:val="000000"/>
          <w:spacing w:val="0"/>
          <w:w w:val="100"/>
          <w:position w:val="0"/>
        </w:rPr>
        <w:t>相应计提的坏账准备期末余额汇总金额</w:t>
      </w:r>
      <w:r>
        <w:rPr>
          <w:color w:val="000000"/>
          <w:spacing w:val="0"/>
          <w:w w:val="100"/>
          <w:position w:val="0"/>
        </w:rPr>
        <w:t xml:space="preserve">8, 149, </w:t>
      </w:r>
      <w:r>
        <w:rPr>
          <w:color w:val="000000"/>
          <w:spacing w:val="0"/>
          <w:w w:val="100"/>
          <w:position w:val="0"/>
        </w:rPr>
        <w:t xml:space="preserve">535. </w:t>
      </w:r>
      <w:r>
        <w:rPr>
          <w:color w:val="000000"/>
          <w:spacing w:val="0"/>
          <w:w w:val="100"/>
          <w:position w:val="0"/>
        </w:rPr>
        <w:t>02</w:t>
      </w:r>
      <w:r>
        <w:rPr>
          <w:color w:val="000000"/>
          <w:spacing w:val="0"/>
          <w:w w:val="100"/>
          <w:position w:val="0"/>
        </w:rPr>
        <w:t>元。</w:t>
      </w:r>
    </w:p>
    <w:p>
      <w:pPr>
        <w:pStyle w:val="Style102"/>
        <w:keepNext/>
        <w:keepLines/>
        <w:widowControl w:val="0"/>
        <w:shd w:val="clear" w:color="auto" w:fill="auto"/>
        <w:bidi w:val="0"/>
        <w:spacing w:before="0" w:line="302" w:lineRule="exact"/>
        <w:ind w:left="0" w:right="0" w:firstLine="0"/>
        <w:jc w:val="both"/>
      </w:pPr>
      <w:bookmarkStart w:id="1731" w:name="bookmark1731"/>
      <w:bookmarkStart w:id="1732" w:name="bookmark1732"/>
      <w:bookmarkStart w:id="1733" w:name="bookmark1733"/>
      <w:bookmarkStart w:id="1734" w:name="bookmark1734"/>
      <w:r>
        <w:rPr>
          <w:color w:val="000000"/>
          <w:spacing w:val="0"/>
          <w:w w:val="100"/>
          <w:position w:val="0"/>
        </w:rPr>
        <w:t>（</w:t>
      </w:r>
      <w:bookmarkEnd w:id="1733"/>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731"/>
      <w:bookmarkEnd w:id="1732"/>
      <w:bookmarkEnd w:id="1734"/>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占应收账款期末余额合计数 的比例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坏账准备期末余额</w:t>
            </w: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left"/>
      </w:pPr>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35"/>
      <w:bookmarkEnd w:id="1736"/>
      <w:bookmarkEnd w:id="1737"/>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341,038,439.84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351,961,267.74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341,038,439.84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351,961,267.74</w:t>
            </w:r>
          </w:p>
        </w:tc>
      </w:tr>
    </w:tbl>
    <w:p>
      <w:pPr>
        <w:widowControl w:val="0"/>
        <w:spacing w:after="299" w:line="1" w:lineRule="exact"/>
      </w:pPr>
    </w:p>
    <w:p>
      <w:pPr>
        <w:pStyle w:val="Style102"/>
        <w:keepNext/>
        <w:keepLines/>
        <w:widowControl w:val="0"/>
        <w:shd w:val="clear" w:color="auto" w:fill="auto"/>
        <w:bidi w:val="0"/>
        <w:spacing w:before="0" w:after="300" w:line="240" w:lineRule="auto"/>
        <w:ind w:left="0" w:right="0" w:firstLine="0"/>
        <w:jc w:val="left"/>
      </w:pPr>
      <w:bookmarkStart w:id="1738" w:name="bookmark1738"/>
      <w:bookmarkStart w:id="1739" w:name="bookmark1739"/>
      <w:bookmarkStart w:id="1740" w:name="bookmark17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738"/>
      <w:bookmarkEnd w:id="1739"/>
      <w:bookmarkEnd w:id="1740"/>
    </w:p>
    <w:p>
      <w:pPr>
        <w:pStyle w:val="Style136"/>
        <w:keepNext/>
        <w:keepLines/>
        <w:widowControl w:val="0"/>
        <w:shd w:val="clear" w:color="auto" w:fill="auto"/>
        <w:bidi w:val="0"/>
        <w:spacing w:before="0" w:after="360" w:line="240" w:lineRule="auto"/>
        <w:ind w:left="0" w:right="0" w:firstLine="0"/>
        <w:jc w:val="left"/>
      </w:pPr>
      <w:bookmarkStart w:id="1741" w:name="bookmark1741"/>
      <w:bookmarkStart w:id="1742" w:name="bookmark1742"/>
      <w:bookmarkStart w:id="1743" w:name="bookmark1743"/>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741"/>
      <w:bookmarkEnd w:id="1742"/>
      <w:bookmarkEnd w:id="1743"/>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押金、备用金、保证金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44,524,658.21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55,720,936.05</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269,747,340.14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293,635,812.03</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28,992,674.40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5,390,566.46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343,264,672.75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354,747,314.54</w:t>
            </w:r>
          </w:p>
        </w:tc>
      </w:tr>
    </w:tbl>
    <w:p>
      <w:pPr>
        <w:widowControl w:val="0"/>
        <w:spacing w:after="299" w:line="1" w:lineRule="exact"/>
      </w:pPr>
    </w:p>
    <w:p>
      <w:pPr>
        <w:pStyle w:val="Style136"/>
        <w:keepNext/>
        <w:keepLines/>
        <w:widowControl w:val="0"/>
        <w:shd w:val="clear" w:color="auto" w:fill="auto"/>
        <w:bidi w:val="0"/>
        <w:spacing w:before="0" w:after="360" w:line="240" w:lineRule="auto"/>
        <w:ind w:left="0" w:right="0" w:firstLine="0"/>
        <w:jc w:val="left"/>
      </w:pPr>
      <w:bookmarkStart w:id="1744" w:name="bookmark1744"/>
      <w:bookmarkStart w:id="1745" w:name="bookmark1745"/>
      <w:bookmarkStart w:id="1746" w:name="bookmark1746"/>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744"/>
      <w:bookmarkEnd w:id="1745"/>
      <w:bookmarkEnd w:id="174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2,786,046.80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2,786,046.80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-559,813.89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-559,813.89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2,226,232.91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2,226,232.91</w:t>
            </w:r>
          </w:p>
        </w:tc>
      </w:tr>
    </w:tbl>
    <w:p>
      <w:pPr>
        <w:widowControl w:val="0"/>
        <w:spacing w:after="11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1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83,816,436.06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11,060,531.18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30,433,603.11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217,954,102.40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177,012,257.69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37,002,875.53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3,938,969.18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343,264,672.75</w:t>
            </w:r>
          </w:p>
        </w:tc>
      </w:tr>
    </w:tbl>
    <w:p>
      <w:pPr>
        <w:widowControl w:val="0"/>
        <w:spacing w:after="299" w:line="1" w:lineRule="exact"/>
      </w:pPr>
    </w:p>
    <w:p>
      <w:pPr>
        <w:pStyle w:val="Style136"/>
        <w:keepNext/>
        <w:keepLines/>
        <w:widowControl w:val="0"/>
        <w:shd w:val="clear" w:color="auto" w:fill="auto"/>
        <w:tabs>
          <w:tab w:pos="397" w:val="left"/>
        </w:tabs>
        <w:bidi w:val="0"/>
        <w:spacing w:before="0" w:after="360" w:line="240" w:lineRule="auto"/>
        <w:ind w:left="0" w:right="0" w:firstLine="0"/>
        <w:jc w:val="left"/>
      </w:pPr>
      <w:bookmarkStart w:id="1747" w:name="bookmark1747"/>
      <w:bookmarkStart w:id="1748" w:name="bookmark1748"/>
      <w:bookmarkStart w:id="1749" w:name="bookmark1749"/>
      <w:bookmarkStart w:id="1750" w:name="bookmark1750"/>
      <w:r>
        <w:rPr>
          <w:rFonts w:ascii="Times New Roman" w:eastAsia="Times New Roman" w:hAnsi="Times New Roman" w:cs="Times New Roman"/>
          <w:color w:val="000000"/>
          <w:spacing w:val="0"/>
          <w:w w:val="100"/>
          <w:position w:val="0"/>
        </w:rPr>
        <w:t>3</w:t>
      </w:r>
      <w:bookmarkEnd w:id="1749"/>
      <w:r>
        <w:rPr>
          <w:color w:val="000000"/>
          <w:spacing w:val="0"/>
          <w:w w:val="100"/>
          <w:position w:val="0"/>
        </w:rPr>
        <w:t>）</w:t>
        <w:tab/>
        <w:t>本期计提、收回或转回的坏账准备情况</w:t>
      </w:r>
      <w:bookmarkEnd w:id="1747"/>
      <w:bookmarkEnd w:id="1748"/>
      <w:bookmarkEnd w:id="1750"/>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1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-559,813.89</w:t>
      </w:r>
      <w:r>
        <w:rPr>
          <w:color w:val="000000"/>
          <w:spacing w:val="0"/>
          <w:w w:val="100"/>
          <w:position w:val="0"/>
        </w:rPr>
        <w:t>元。</w:t>
      </w:r>
    </w:p>
    <w:p>
      <w:pPr>
        <w:pStyle w:val="Style136"/>
        <w:keepNext/>
        <w:keepLines/>
        <w:widowControl w:val="0"/>
        <w:shd w:val="clear" w:color="auto" w:fill="auto"/>
        <w:tabs>
          <w:tab w:pos="397" w:val="left"/>
        </w:tabs>
        <w:bidi w:val="0"/>
        <w:spacing w:before="0" w:after="360" w:line="240" w:lineRule="auto"/>
        <w:ind w:left="0" w:right="0" w:firstLine="0"/>
        <w:jc w:val="left"/>
      </w:pPr>
      <w:bookmarkStart w:id="1751" w:name="bookmark1751"/>
      <w:bookmarkStart w:id="1752" w:name="bookmark1752"/>
      <w:bookmarkStart w:id="1753" w:name="bookmark1753"/>
      <w:bookmarkStart w:id="1754" w:name="bookmark1754"/>
      <w:r>
        <w:rPr>
          <w:rFonts w:ascii="Times New Roman" w:eastAsia="Times New Roman" w:hAnsi="Times New Roman" w:cs="Times New Roman"/>
          <w:color w:val="000000"/>
          <w:spacing w:val="0"/>
          <w:w w:val="100"/>
          <w:position w:val="0"/>
        </w:rPr>
        <w:t>4</w:t>
      </w:r>
      <w:bookmarkEnd w:id="1753"/>
      <w:r>
        <w:rPr>
          <w:color w:val="000000"/>
          <w:spacing w:val="0"/>
          <w:w w:val="100"/>
          <w:position w:val="0"/>
        </w:rPr>
        <w:t>）</w:t>
        <w:tab/>
        <w:t>按欠款方归集的期末余额前五名的其他应收款情况</w:t>
      </w:r>
      <w:bookmarkEnd w:id="1751"/>
      <w:bookmarkEnd w:id="1752"/>
      <w:bookmarkEnd w:id="1754"/>
    </w:p>
    <w:p>
      <w:pPr>
        <w:pStyle w:val="Style1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50"/>
        <w:gridCol w:w="1613"/>
        <w:gridCol w:w="1622"/>
      </w:tblGrid>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款项的性质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占其他应收款期末 余额合计数的比例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坏账准备期末余额</w:t>
            </w:r>
          </w:p>
        </w:tc>
      </w:tr>
    </w:tbl>
    <w:p>
      <w:pPr>
        <w:widowControl w:val="0"/>
        <w:spacing w:line="1" w:lineRule="exact"/>
      </w:pPr>
      <w:r>
        <w:br w:type="page"/>
      </w:r>
    </w:p>
    <w:tbl>
      <w:tblPr>
        <w:tblOverlap w:val="never"/>
        <w:jc w:val="center"/>
        <w:tblLayout w:type="fixed"/>
      </w:tblPr>
      <w:tblGrid>
        <w:gridCol w:w="1690"/>
        <w:gridCol w:w="1550"/>
        <w:gridCol w:w="1555"/>
        <w:gridCol w:w="1550"/>
        <w:gridCol w:w="1613"/>
        <w:gridCol w:w="1622"/>
      </w:tblGrid>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116,282,281.38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559384.82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年</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660771.90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1590727.06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113471397.60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33.88%</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61,737,343.97</w:t>
            </w:r>
          </w:p>
        </w:tc>
        <w:tc>
          <w:tcPr>
            <w:tcBorders>
              <w:top w:val="single" w:sz="4"/>
              <w:left w:val="single" w:sz="4"/>
            </w:tcBorders>
            <w:shd w:val="clear" w:color="auto" w:fill="FFFFFF"/>
            <w:vAlign w:val="center"/>
          </w:tcPr>
          <w:p>
            <w:pPr>
              <w:pStyle w:val="Style2"/>
              <w:keepNext w:val="0"/>
              <w:keepLines w:val="0"/>
              <w:widowControl w:val="0"/>
              <w:numPr>
                <w:ilvl w:val="0"/>
                <w:numId w:val="123"/>
              </w:numPr>
              <w:shd w:val="clear" w:color="auto" w:fill="auto"/>
              <w:tabs>
                <w:tab w:pos="134" w:val="left"/>
              </w:tabs>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284299.51</w:t>
            </w:r>
            <w:r>
              <w:rPr>
                <w:color w:val="000000"/>
                <w:spacing w:val="0"/>
                <w:w w:val="100"/>
                <w:position w:val="0"/>
                <w:sz w:val="18"/>
                <w:szCs w:val="18"/>
              </w:rPr>
              <w:t>，</w:t>
            </w:r>
          </w:p>
          <w:p>
            <w:pPr>
              <w:pStyle w:val="Style2"/>
              <w:keepNext w:val="0"/>
              <w:keepLines w:val="0"/>
              <w:widowControl w:val="0"/>
              <w:numPr>
                <w:ilvl w:val="0"/>
                <w:numId w:val="123"/>
              </w:numPr>
              <w:shd w:val="clear" w:color="auto" w:fill="auto"/>
              <w:tabs>
                <w:tab w:pos="163" w:val="left"/>
              </w:tabs>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325265.06</w:t>
            </w:r>
            <w:r>
              <w:rPr>
                <w:color w:val="000000"/>
                <w:spacing w:val="0"/>
                <w:w w:val="100"/>
                <w:position w:val="0"/>
                <w:sz w:val="18"/>
                <w:szCs w:val="18"/>
              </w:rPr>
              <w:t>，</w:t>
            </w:r>
          </w:p>
          <w:p>
            <w:pPr>
              <w:pStyle w:val="Style2"/>
              <w:keepNext w:val="0"/>
              <w:keepLines w:val="0"/>
              <w:widowControl w:val="0"/>
              <w:numPr>
                <w:ilvl w:val="0"/>
                <w:numId w:val="123"/>
              </w:numPr>
              <w:shd w:val="clear" w:color="auto" w:fill="auto"/>
              <w:tabs>
                <w:tab w:pos="149" w:val="left"/>
              </w:tabs>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27438354.16,4-5 </w:t>
            </w:r>
            <w:r>
              <w:rPr>
                <w:color w:val="000000"/>
                <w:spacing w:val="0"/>
                <w:w w:val="100"/>
                <w:position w:val="0"/>
                <w:sz w:val="18"/>
                <w:szCs w:val="18"/>
              </w:rPr>
              <w:t>年</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33689425.24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37,162,275.47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6468269.69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8"/>
                <w:szCs w:val="18"/>
              </w:rPr>
              <w:t>年</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12104.91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sz w:val="18"/>
                <w:szCs w:val="18"/>
              </w:rPr>
              <w:t>年</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30681900.87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28,699,094.22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28699094.22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25,856,636.16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 xml:space="preserve">年以内 </w:t>
            </w:r>
            <w:r>
              <w:rPr>
                <w:rFonts w:ascii="Times New Roman" w:eastAsia="Times New Roman" w:hAnsi="Times New Roman" w:cs="Times New Roman"/>
                <w:color w:val="000000"/>
                <w:spacing w:val="0"/>
                <w:w w:val="100"/>
                <w:position w:val="0"/>
                <w:sz w:val="18"/>
                <w:szCs w:val="18"/>
              </w:rPr>
              <w:t>41261.16</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2261400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23553975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269,737,631.20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left"/>
      </w:pPr>
      <w:bookmarkStart w:id="1755" w:name="bookmark1755"/>
      <w:bookmarkStart w:id="1756" w:name="bookmark1756"/>
      <w:bookmarkStart w:id="1757" w:name="bookmark1757"/>
      <w:bookmarkStart w:id="1758" w:name="bookmark1758"/>
      <w:r>
        <w:rPr>
          <w:rFonts w:ascii="Times New Roman" w:eastAsia="Times New Roman" w:hAnsi="Times New Roman" w:cs="Times New Roman"/>
          <w:color w:val="000000"/>
          <w:spacing w:val="0"/>
          <w:w w:val="100"/>
          <w:position w:val="0"/>
        </w:rPr>
        <w:t>3</w:t>
      </w:r>
      <w:bookmarkEnd w:id="1757"/>
      <w:r>
        <w:rPr>
          <w:color w:val="000000"/>
          <w:spacing w:val="0"/>
          <w:w w:val="100"/>
          <w:position w:val="0"/>
        </w:rPr>
        <w:t>、长期股权投资</w:t>
      </w:r>
      <w:bookmarkEnd w:id="1755"/>
      <w:bookmarkEnd w:id="1756"/>
      <w:bookmarkEnd w:id="175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839,494,030.34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839,494,030.34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820,594,030.34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820,594,030.34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对联营、合营企 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4,993,948.28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4,993,948.28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450,186.64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450,186.64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844,487,978.62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844,487,978.62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821,044,216.98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821,044,216.98</w:t>
            </w:r>
          </w:p>
        </w:tc>
      </w:tr>
    </w:tbl>
    <w:p>
      <w:pPr>
        <w:widowControl w:val="0"/>
        <w:spacing w:after="299" w:line="1" w:lineRule="exact"/>
      </w:pPr>
    </w:p>
    <w:p>
      <w:pPr>
        <w:pStyle w:val="Style102"/>
        <w:keepNext/>
        <w:keepLines/>
        <w:widowControl w:val="0"/>
        <w:shd w:val="clear" w:color="auto" w:fill="auto"/>
        <w:bidi w:val="0"/>
        <w:spacing w:before="0" w:line="240" w:lineRule="auto"/>
        <w:ind w:left="0" w:right="0" w:firstLine="0"/>
        <w:jc w:val="left"/>
      </w:pPr>
      <w:bookmarkStart w:id="1759" w:name="bookmark1759"/>
      <w:bookmarkStart w:id="1760" w:name="bookmark1760"/>
      <w:bookmarkStart w:id="1761" w:name="bookmark17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759"/>
      <w:bookmarkEnd w:id="1760"/>
      <w:bookmarkEnd w:id="1761"/>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4"/>
        <w:gridCol w:w="1210"/>
        <w:gridCol w:w="1219"/>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上海政通信息</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北京数字政通</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数据科技有限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72"/>
        <w:gridCol w:w="1166"/>
        <w:gridCol w:w="1166"/>
        <w:gridCol w:w="1166"/>
        <w:gridCol w:w="1166"/>
        <w:gridCol w:w="1214"/>
        <w:gridCol w:w="1210"/>
        <w:gridCol w:w="1219"/>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北京数字智通 科技有限公司 武汉分公司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119,424,000.0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119,424,000.00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克拉玛依数字</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政通信息科技</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政通智慧城市 运营科技有限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焦作市市民健</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康促进服务有</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保定金迪地下 管线探测工程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586,426,730.3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586,426,730.34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江西政通城运</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37,500,300.00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37,500,300.00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8"/>
                <w:szCs w:val="18"/>
              </w:rPr>
              <w:t>福建政通城运 信息科技有限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湖北政通智慧 城市科技有限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5,242,000.00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5,242,000.00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长沙政通康拓 科技有限责任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1,001,000.00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保定政运恒通</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信息技术有限</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8"/>
                <w:szCs w:val="18"/>
              </w:rPr>
              <w:t>安徽数字展通 信息科技有限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天津数字政通</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成都数字政通</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河南数字政通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长春数字政通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72"/>
        <w:gridCol w:w="1166"/>
        <w:gridCol w:w="1166"/>
        <w:gridCol w:w="1166"/>
        <w:gridCol w:w="1166"/>
        <w:gridCol w:w="1214"/>
        <w:gridCol w:w="1210"/>
        <w:gridCol w:w="1219"/>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河南数字智通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嘉兴政通优势</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投资合伙企业</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广西数字政通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天津政通智行</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820,594,030.3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839,494,030.34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102"/>
        <w:keepNext/>
        <w:keepLines/>
        <w:widowControl w:val="0"/>
        <w:shd w:val="clear" w:color="auto" w:fill="auto"/>
        <w:bidi w:val="0"/>
        <w:spacing w:before="0" w:after="380" w:line="240" w:lineRule="auto"/>
        <w:ind w:left="0" w:right="0" w:firstLine="0"/>
        <w:jc w:val="left"/>
      </w:pPr>
      <w:bookmarkStart w:id="1762" w:name="bookmark1762"/>
      <w:bookmarkStart w:id="1763" w:name="bookmark1763"/>
      <w:bookmarkStart w:id="1764" w:name="bookmark17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762"/>
      <w:bookmarkEnd w:id="1763"/>
      <w:bookmarkEnd w:id="1764"/>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期初余额</w:t>
            </w:r>
          </w:p>
          <w:p>
            <w:pPr>
              <w:pStyle w:val="Style2"/>
              <w:keepNext w:val="0"/>
              <w:keepLines w:val="0"/>
              <w:widowControl w:val="0"/>
              <w:shd w:val="clear" w:color="auto" w:fill="auto"/>
              <w:bidi w:val="0"/>
              <w:spacing w:before="0" w:after="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账面价</w:t>
            </w:r>
          </w:p>
          <w:p>
            <w:pPr>
              <w:pStyle w:val="Style2"/>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 xml:space="preserve">期末余额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减值准备</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权益法下</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确认的投</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其他综合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宣告发放</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现金股利</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二、联营企业</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rPr>
                <w:sz w:val="18"/>
                <w:szCs w:val="18"/>
              </w:rPr>
            </w:pPr>
            <w:r>
              <w:rPr>
                <w:color w:val="000000"/>
                <w:spacing w:val="0"/>
                <w:w w:val="100"/>
                <w:position w:val="0"/>
                <w:sz w:val="18"/>
                <w:szCs w:val="18"/>
              </w:rPr>
              <w:t>北京华易 政通城市 管理技术 研究院有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450,186.6</w:t>
            </w:r>
          </w:p>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-11,366.4</w:t>
            </w:r>
          </w:p>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438,820.2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8"/>
                <w:szCs w:val="18"/>
              </w:rPr>
            </w:pPr>
            <w:r>
              <w:rPr>
                <w:color w:val="000000"/>
                <w:spacing w:val="0"/>
                <w:w w:val="100"/>
                <w:position w:val="0"/>
                <w:sz w:val="18"/>
                <w:szCs w:val="18"/>
              </w:rPr>
              <w:t>赣州顺浩</w:t>
            </w:r>
          </w:p>
          <w:p>
            <w:pPr>
              <w:pStyle w:val="Style2"/>
              <w:keepNext w:val="0"/>
              <w:keepLines w:val="0"/>
              <w:widowControl w:val="0"/>
              <w:shd w:val="clear" w:color="auto" w:fill="auto"/>
              <w:bidi w:val="0"/>
              <w:spacing w:before="0" w:after="0" w:line="298" w:lineRule="exact"/>
              <w:ind w:left="0" w:right="0" w:firstLine="0"/>
              <w:jc w:val="both"/>
              <w:rPr>
                <w:sz w:val="18"/>
                <w:szCs w:val="18"/>
              </w:rPr>
            </w:pPr>
            <w:r>
              <w:rPr>
                <w:color w:val="000000"/>
                <w:spacing w:val="0"/>
                <w:w w:val="100"/>
                <w:position w:val="0"/>
                <w:sz w:val="18"/>
                <w:szCs w:val="18"/>
              </w:rPr>
              <w:t>智慧科技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1,383,163</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四川省数 聚汇智科 技有限责 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596,548.5</w:t>
            </w:r>
          </w:p>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721,548.5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both"/>
              <w:rPr>
                <w:sz w:val="18"/>
                <w:szCs w:val="18"/>
              </w:rPr>
            </w:pPr>
            <w:r>
              <w:rPr>
                <w:color w:val="000000"/>
                <w:spacing w:val="0"/>
                <w:w w:val="100"/>
                <w:position w:val="0"/>
                <w:sz w:val="18"/>
                <w:szCs w:val="18"/>
              </w:rPr>
              <w:t>智慧（沂 源）城市 建设运营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2,450,416</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450,186.6</w:t>
            </w:r>
          </w:p>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4,075,000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468,761.6</w:t>
            </w:r>
          </w:p>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4,993,948</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450,186.6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468,761.6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4,993,948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4"/>
        <w:keepNext/>
        <w:keepLines/>
        <w:widowControl w:val="0"/>
        <w:shd w:val="clear" w:color="auto" w:fill="auto"/>
        <w:bidi w:val="0"/>
        <w:spacing w:before="0" w:after="360" w:line="240" w:lineRule="auto"/>
        <w:ind w:left="0" w:right="0" w:firstLine="0"/>
        <w:jc w:val="both"/>
      </w:pPr>
      <w:bookmarkStart w:id="1765" w:name="bookmark1765"/>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4</w:t>
      </w:r>
      <w:bookmarkEnd w:id="1767"/>
      <w:r>
        <w:rPr>
          <w:color w:val="000000"/>
          <w:spacing w:val="0"/>
          <w:w w:val="100"/>
          <w:position w:val="0"/>
        </w:rPr>
        <w:t>、营业收入和营业成本</w:t>
      </w:r>
      <w:bookmarkEnd w:id="1765"/>
      <w:bookmarkEnd w:id="1766"/>
      <w:bookmarkEnd w:id="176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1,083,202,382.78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679,163,717.50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882,925,733.46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537,263,007.26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3,574,821.57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1,053,884.88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5,170,279.16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1,303,009.93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1,086,777,204.35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680,217,602.38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888,096,012.62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538,566,017.19</w:t>
            </w:r>
          </w:p>
        </w:tc>
      </w:tr>
    </w:tbl>
    <w:p>
      <w:pPr>
        <w:widowControl w:val="0"/>
        <w:spacing w:after="99" w:line="1" w:lineRule="exact"/>
      </w:pP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与分摊至剩余履约义务的交易价格相关的信息：</w:t>
      </w:r>
    </w:p>
    <w:p>
      <w:pPr>
        <w:pStyle w:val="Style14"/>
        <w:keepNext w:val="0"/>
        <w:keepLines w:val="0"/>
        <w:widowControl w:val="0"/>
        <w:shd w:val="clear" w:color="auto" w:fill="auto"/>
        <w:bidi w:val="0"/>
        <w:spacing w:before="0" w:after="720" w:line="240" w:lineRule="auto"/>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774,670,531.91</w:t>
      </w:r>
      <w:r>
        <w:rPr>
          <w:color w:val="000000"/>
          <w:spacing w:val="0"/>
          <w:w w:val="100"/>
          <w:position w:val="0"/>
        </w:rPr>
        <w:t>元。</w:t>
      </w:r>
    </w:p>
    <w:p>
      <w:pPr>
        <w:pStyle w:val="Style24"/>
        <w:keepNext/>
        <w:keepLines/>
        <w:widowControl w:val="0"/>
        <w:shd w:val="clear" w:color="auto" w:fill="auto"/>
        <w:bidi w:val="0"/>
        <w:spacing w:before="0" w:after="360" w:line="240" w:lineRule="auto"/>
        <w:ind w:left="0" w:right="0" w:firstLine="0"/>
        <w:jc w:val="both"/>
      </w:pPr>
      <w:bookmarkStart w:id="1769" w:name="bookmark1769"/>
      <w:bookmarkStart w:id="1770" w:name="bookmark1770"/>
      <w:bookmarkStart w:id="1771" w:name="bookmark1771"/>
      <w:bookmarkStart w:id="1772" w:name="bookmark1772"/>
      <w:r>
        <w:rPr>
          <w:rFonts w:ascii="Times New Roman" w:eastAsia="Times New Roman" w:hAnsi="Times New Roman" w:cs="Times New Roman"/>
          <w:color w:val="000000"/>
          <w:spacing w:val="0"/>
          <w:w w:val="100"/>
          <w:position w:val="0"/>
        </w:rPr>
        <w:t>5</w:t>
      </w:r>
      <w:bookmarkEnd w:id="1771"/>
      <w:r>
        <w:rPr>
          <w:color w:val="000000"/>
          <w:spacing w:val="0"/>
          <w:w w:val="100"/>
          <w:position w:val="0"/>
        </w:rPr>
        <w:t>、投资收益</w:t>
      </w:r>
      <w:bookmarkEnd w:id="1769"/>
      <w:bookmarkEnd w:id="1770"/>
      <w:bookmarkEnd w:id="177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468,761.64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-3,440,271.04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-393,075.36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6,892,534.48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委托理财投资收益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21,276,902.03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1,826,888.02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21,352,588.31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5,279,151.46</w:t>
            </w:r>
          </w:p>
        </w:tc>
      </w:tr>
    </w:tbl>
    <w:p>
      <w:pPr>
        <w:widowControl w:val="0"/>
        <w:spacing w:after="319" w:line="1" w:lineRule="exact"/>
      </w:pPr>
    </w:p>
    <w:p>
      <w:pPr>
        <w:pStyle w:val="Style19"/>
        <w:keepNext/>
        <w:keepLines/>
        <w:widowControl w:val="0"/>
        <w:shd w:val="clear" w:color="auto" w:fill="auto"/>
        <w:bidi w:val="0"/>
        <w:spacing w:before="0" w:line="240" w:lineRule="auto"/>
        <w:ind w:left="0" w:right="0" w:firstLine="0"/>
        <w:jc w:val="both"/>
      </w:pPr>
      <w:bookmarkStart w:id="1773" w:name="bookmark1773"/>
      <w:bookmarkStart w:id="1774" w:name="bookmark1774"/>
      <w:bookmarkStart w:id="1775" w:name="bookmark1775"/>
      <w:r>
        <w:rPr>
          <w:color w:val="000000"/>
          <w:spacing w:val="0"/>
          <w:w w:val="100"/>
          <w:position w:val="0"/>
          <w:sz w:val="24"/>
          <w:szCs w:val="24"/>
        </w:rPr>
        <w:t>十七、补充资料</w:t>
      </w:r>
      <w:bookmarkEnd w:id="1773"/>
      <w:bookmarkEnd w:id="1774"/>
      <w:bookmarkEnd w:id="1775"/>
    </w:p>
    <w:p>
      <w:pPr>
        <w:pStyle w:val="Style24"/>
        <w:keepNext/>
        <w:keepLines/>
        <w:widowControl w:val="0"/>
        <w:shd w:val="clear" w:color="auto" w:fill="auto"/>
        <w:bidi w:val="0"/>
        <w:spacing w:before="0" w:after="360" w:line="240" w:lineRule="auto"/>
        <w:ind w:left="0" w:right="0" w:firstLine="0"/>
        <w:jc w:val="both"/>
      </w:pPr>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776"/>
      <w:bookmarkEnd w:id="1777"/>
      <w:bookmarkEnd w:id="1778"/>
    </w:p>
    <w:p>
      <w:pPr>
        <w:pStyle w:val="Style1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-5,822.13</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4,050,369.56</w:t>
            </w:r>
          </w:p>
        </w:tc>
        <w:tc>
          <w:tcPr>
            <w:tcBorders>
              <w:top w:val="single" w:sz="4"/>
              <w:left w:val="single" w:sz="4"/>
              <w:right w:val="single" w:sz="4"/>
            </w:tcBorders>
            <w:shd w:val="clear" w:color="auto" w:fill="FFFFFF"/>
            <w:vAlign w:val="top"/>
          </w:tcPr>
          <w:p>
            <w:pPr>
              <w:widowControl w:val="0"/>
              <w:rPr>
                <w:sz w:val="10"/>
                <w:szCs w:val="10"/>
              </w:rPr>
            </w:pPr>
          </w:p>
        </w:tc>
      </w:tr>
      <w:tr>
        <w:trPr>
          <w:trHeight w:val="98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除同公司正常经营业务相关的有效套期保 值业务外，持有交易性金融资产、交易性 金融负债产生的公允价值变动损益，以及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24,847,156.68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31"/>
        <w:gridCol w:w="3058"/>
        <w:gridCol w:w="3192"/>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处置交易性金融资产交易性金融负债和可 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64,965.79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4,505,014.54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211,001.07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24,240,654.29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4"/>
        <w:keepNext w:val="0"/>
        <w:keepLines w:val="0"/>
        <w:widowControl w:val="0"/>
        <w:shd w:val="clear" w:color="auto" w:fill="auto"/>
        <w:bidi w:val="0"/>
        <w:spacing w:before="0" w:line="317" w:lineRule="exact"/>
        <w:ind w:left="0" w:right="0" w:firstLine="0"/>
        <w:jc w:val="left"/>
      </w:pPr>
      <w:r>
        <w:rPr>
          <w:color w:val="000000"/>
          <w:spacing w:val="0"/>
          <w:w w:val="100"/>
          <w:position w:val="0"/>
        </w:rPr>
        <w:t>其他符合非经常性损益定义的损益项目的具体情况：</w:t>
      </w:r>
    </w:p>
    <w:p>
      <w:pPr>
        <w:pStyle w:val="Style1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14"/>
        <w:keepNext w:val="0"/>
        <w:keepLines w:val="0"/>
        <w:widowControl w:val="0"/>
        <w:shd w:val="clear" w:color="auto" w:fill="auto"/>
        <w:bidi w:val="0"/>
        <w:spacing w:before="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14"/>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20" w:line="240" w:lineRule="auto"/>
        <w:ind w:left="0" w:right="0" w:firstLine="0"/>
        <w:jc w:val="left"/>
      </w:pPr>
      <w:bookmarkStart w:id="1779" w:name="bookmark1779"/>
      <w:bookmarkStart w:id="1780" w:name="bookmark1780"/>
      <w:bookmarkStart w:id="1781" w:name="bookmark1781"/>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779"/>
      <w:bookmarkEnd w:id="1780"/>
      <w:bookmarkEnd w:id="1781"/>
    </w:p>
    <w:tbl>
      <w:tblPr>
        <w:tblOverlap w:val="never"/>
        <w:jc w:val="center"/>
        <w:tblLayout w:type="fixed"/>
      </w:tblPr>
      <w:tblGrid>
        <w:gridCol w:w="2669"/>
        <w:gridCol w:w="3082"/>
        <w:gridCol w:w="1910"/>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5.60%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r>
    </w:tbl>
    <w:sectPr>
      <w:footnotePr>
        <w:pos w:val="pageBottom"/>
        <w:numFmt w:val="decimal"/>
        <w:numRestart w:val="continuous"/>
      </w:footnotePr>
      <w:pgSz w:w="11900" w:h="16840"/>
      <w:pgMar w:top="1326" w:right="1037" w:bottom="1446" w:left="10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FFFFFF"/>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FFFFFF"/>
      </w:rPr>
    </w:lvl>
  </w:abstractNum>
  <w:abstractNum w:abstractNumId="1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5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7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7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7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8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8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8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9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9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9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9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9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00">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10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0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0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1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14">
    <w:multiLevelType w:val="multilevel"/>
    <w:lvl w:ilvl="0">
      <w:start w:val="8"/>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FFFFFF"/>
      </w:rPr>
    </w:lvl>
  </w:abstractNum>
  <w:abstractNum w:abstractNumId="1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u w:val="none"/>
      <w:shd w:val="clear" w:color="auto" w:fill="auto"/>
    </w:rPr>
  </w:style>
  <w:style w:type="character" w:customStyle="1" w:styleId="CharStyle9">
    <w:name w:val="Heading #1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1">
    <w:name w:val="Body text (3)_"/>
    <w:basedOn w:val="DefaultParagraphFont"/>
    <w:link w:val="Style10"/>
    <w:rPr>
      <w:rFonts w:ascii="SimSun" w:eastAsia="SimSun" w:hAnsi="SimSun" w:cs="SimSun"/>
      <w:b/>
      <w:bCs/>
      <w:i w:val="0"/>
      <w:iCs w:val="0"/>
      <w:smallCaps w:val="0"/>
      <w:strike w:val="0"/>
      <w:sz w:val="28"/>
      <w:szCs w:val="28"/>
      <w:u w:val="none"/>
      <w:shd w:val="clear" w:color="auto" w:fill="auto"/>
    </w:rPr>
  </w:style>
  <w:style w:type="character" w:customStyle="1" w:styleId="CharStyle13">
    <w:name w:val="Table of contents_"/>
    <w:basedOn w:val="DefaultParagraphFont"/>
    <w:link w:val="Style12"/>
    <w:rPr>
      <w:rFonts w:ascii="SimSun" w:eastAsia="SimSun" w:hAnsi="SimSun" w:cs="SimSun"/>
      <w:b/>
      <w:bCs/>
      <w:i w:val="0"/>
      <w:iCs w:val="0"/>
      <w:smallCaps w:val="0"/>
      <w:strike w:val="0"/>
      <w:u w:val="none"/>
      <w:shd w:val="clear" w:color="auto" w:fill="auto"/>
    </w:rPr>
  </w:style>
  <w:style w:type="character" w:customStyle="1" w:styleId="CharStyle15">
    <w:name w:val="Body text (2)_"/>
    <w:basedOn w:val="DefaultParagraphFont"/>
    <w:link w:val="Style14"/>
    <w:rPr>
      <w:rFonts w:ascii="SimSun" w:eastAsia="SimSun" w:hAnsi="SimSun" w:cs="SimSun"/>
      <w:b w:val="0"/>
      <w:bCs w:val="0"/>
      <w:i w:val="0"/>
      <w:iCs w:val="0"/>
      <w:smallCaps w:val="0"/>
      <w:strike w:val="0"/>
      <w:sz w:val="18"/>
      <w:szCs w:val="18"/>
      <w:u w:val="none"/>
      <w:shd w:val="clear" w:color="auto" w:fill="auto"/>
    </w:rPr>
  </w:style>
  <w:style w:type="character" w:customStyle="1" w:styleId="CharStyle20">
    <w:name w:val="Heading #2_"/>
    <w:basedOn w:val="DefaultParagraphFont"/>
    <w:link w:val="Style19"/>
    <w:rPr>
      <w:rFonts w:ascii="SimSun" w:eastAsia="SimSun" w:hAnsi="SimSun" w:cs="SimSun"/>
      <w:b/>
      <w:bCs/>
      <w:i w:val="0"/>
      <w:iCs w:val="0"/>
      <w:smallCaps w:val="0"/>
      <w:strike w:val="0"/>
      <w:u w:val="none"/>
      <w:shd w:val="clear" w:color="auto" w:fill="auto"/>
    </w:rPr>
  </w:style>
  <w:style w:type="character" w:customStyle="1" w:styleId="CharStyle22">
    <w:name w:val="Table caption_"/>
    <w:basedOn w:val="DefaultParagraphFont"/>
    <w:link w:val="Style21"/>
    <w:rPr>
      <w:rFonts w:ascii="SimSun" w:eastAsia="SimSun" w:hAnsi="SimSun" w:cs="SimSun"/>
      <w:b w:val="0"/>
      <w:bCs w:val="0"/>
      <w:i w:val="0"/>
      <w:iCs w:val="0"/>
      <w:smallCaps w:val="0"/>
      <w:strike w:val="0"/>
      <w:sz w:val="18"/>
      <w:szCs w:val="18"/>
      <w:u w:val="none"/>
      <w:shd w:val="clear" w:color="auto" w:fill="auto"/>
    </w:rPr>
  </w:style>
  <w:style w:type="character" w:customStyle="1" w:styleId="CharStyle25">
    <w:name w:val="Heading #3_"/>
    <w:basedOn w:val="DefaultParagraphFont"/>
    <w:link w:val="Style24"/>
    <w:rPr>
      <w:rFonts w:ascii="SimSun" w:eastAsia="SimSun" w:hAnsi="SimSun" w:cs="SimSun"/>
      <w:b/>
      <w:bCs/>
      <w:i w:val="0"/>
      <w:iCs w:val="0"/>
      <w:smallCaps w:val="0"/>
      <w:strike w:val="0"/>
      <w:sz w:val="20"/>
      <w:szCs w:val="20"/>
      <w:u w:val="none"/>
      <w:shd w:val="clear" w:color="auto" w:fill="auto"/>
    </w:rPr>
  </w:style>
  <w:style w:type="character" w:customStyle="1" w:styleId="CharStyle28">
    <w:name w:val="Other (2)_"/>
    <w:basedOn w:val="DefaultParagraphFont"/>
    <w:link w:val="Style27"/>
    <w:rPr>
      <w:rFonts w:ascii="SimHei" w:eastAsia="SimHei" w:hAnsi="SimHei" w:cs="SimHei"/>
      <w:b w:val="0"/>
      <w:bCs w:val="0"/>
      <w:i w:val="0"/>
      <w:iCs w:val="0"/>
      <w:smallCaps w:val="0"/>
      <w:strike w:val="0"/>
      <w:sz w:val="12"/>
      <w:szCs w:val="12"/>
      <w:u w:val="none"/>
      <w:shd w:val="clear" w:color="auto" w:fill="auto"/>
    </w:rPr>
  </w:style>
  <w:style w:type="character" w:customStyle="1" w:styleId="CharStyle30">
    <w:name w:val="Picture caption (2)_"/>
    <w:basedOn w:val="DefaultParagraphFont"/>
    <w:link w:val="Style29"/>
    <w:rPr>
      <w:rFonts w:ascii="SimHei" w:eastAsia="SimHei" w:hAnsi="SimHei" w:cs="SimHei"/>
      <w:b w:val="0"/>
      <w:bCs w:val="0"/>
      <w:i w:val="0"/>
      <w:iCs w:val="0"/>
      <w:smallCaps w:val="0"/>
      <w:strike w:val="0"/>
      <w:sz w:val="12"/>
      <w:szCs w:val="12"/>
      <w:u w:val="none"/>
      <w:shd w:val="clear" w:color="auto" w:fill="auto"/>
    </w:rPr>
  </w:style>
  <w:style w:type="character" w:customStyle="1" w:styleId="CharStyle35">
    <w:name w:val="Table caption (2)_"/>
    <w:basedOn w:val="DefaultParagraphFont"/>
    <w:link w:val="Style34"/>
    <w:rPr>
      <w:rFonts w:ascii="SimHei" w:eastAsia="SimHei" w:hAnsi="SimHei" w:cs="SimHei"/>
      <w:b/>
      <w:bCs/>
      <w:i w:val="0"/>
      <w:iCs w:val="0"/>
      <w:smallCaps w:val="0"/>
      <w:strike w:val="0"/>
      <w:color w:val="B4080D"/>
      <w:sz w:val="12"/>
      <w:szCs w:val="12"/>
      <w:u w:val="none"/>
      <w:shd w:val="clear" w:color="auto" w:fill="auto"/>
    </w:rPr>
  </w:style>
  <w:style w:type="character" w:customStyle="1" w:styleId="CharStyle39">
    <w:name w:val="Picture caption_"/>
    <w:basedOn w:val="DefaultParagraphFont"/>
    <w:link w:val="Style38"/>
    <w:rPr>
      <w:rFonts w:ascii="SimSun" w:eastAsia="SimSun" w:hAnsi="SimSun" w:cs="SimSun"/>
      <w:b w:val="0"/>
      <w:bCs w:val="0"/>
      <w:i w:val="0"/>
      <w:iCs w:val="0"/>
      <w:smallCaps w:val="0"/>
      <w:strike w:val="0"/>
      <w:u w:val="none"/>
      <w:shd w:val="clear" w:color="auto" w:fill="auto"/>
    </w:rPr>
  </w:style>
  <w:style w:type="character" w:customStyle="1" w:styleId="CharStyle60">
    <w:name w:val="Body text_"/>
    <w:basedOn w:val="DefaultParagraphFont"/>
    <w:link w:val="Style59"/>
    <w:rPr>
      <w:rFonts w:ascii="SimSun" w:eastAsia="SimSun" w:hAnsi="SimSun" w:cs="SimSun"/>
      <w:b w:val="0"/>
      <w:bCs w:val="0"/>
      <w:i w:val="0"/>
      <w:iCs w:val="0"/>
      <w:smallCaps w:val="0"/>
      <w:strike w:val="0"/>
      <w:u w:val="none"/>
      <w:shd w:val="clear" w:color="auto" w:fill="auto"/>
    </w:rPr>
  </w:style>
  <w:style w:type="character" w:customStyle="1" w:styleId="CharStyle103">
    <w:name w:val="Heading #4_"/>
    <w:basedOn w:val="DefaultParagraphFont"/>
    <w:link w:val="Style102"/>
    <w:rPr>
      <w:rFonts w:ascii="SimSun" w:eastAsia="SimSun" w:hAnsi="SimSun" w:cs="SimSun"/>
      <w:b/>
      <w:bCs/>
      <w:i w:val="0"/>
      <w:iCs w:val="0"/>
      <w:smallCaps w:val="0"/>
      <w:strike w:val="0"/>
      <w:sz w:val="20"/>
      <w:szCs w:val="20"/>
      <w:u w:val="none"/>
      <w:shd w:val="clear" w:color="auto" w:fill="auto"/>
    </w:rPr>
  </w:style>
  <w:style w:type="character" w:customStyle="1" w:styleId="CharStyle120">
    <w:name w:val="Body text (6)_"/>
    <w:basedOn w:val="DefaultParagraphFont"/>
    <w:link w:val="Style119"/>
    <w:rPr>
      <w:rFonts w:ascii="SimHei" w:eastAsia="SimHei" w:hAnsi="SimHei" w:cs="SimHei"/>
      <w:b w:val="0"/>
      <w:bCs w:val="0"/>
      <w:i w:val="0"/>
      <w:iCs w:val="0"/>
      <w:smallCaps w:val="0"/>
      <w:strike w:val="0"/>
      <w:color w:val="222222"/>
      <w:sz w:val="38"/>
      <w:szCs w:val="38"/>
      <w:u w:val="none"/>
      <w:shd w:val="clear" w:color="auto" w:fill="auto"/>
    </w:rPr>
  </w:style>
  <w:style w:type="character" w:customStyle="1" w:styleId="CharStyle122">
    <w:name w:val="Body text (7)_"/>
    <w:basedOn w:val="DefaultParagraphFont"/>
    <w:link w:val="Style121"/>
    <w:rPr>
      <w:rFonts w:ascii="Arial" w:eastAsia="Arial" w:hAnsi="Arial" w:cs="Arial"/>
      <w:b w:val="0"/>
      <w:bCs w:val="0"/>
      <w:i w:val="0"/>
      <w:iCs w:val="0"/>
      <w:smallCaps w:val="0"/>
      <w:strike w:val="0"/>
      <w:color w:val="222222"/>
      <w:sz w:val="28"/>
      <w:szCs w:val="28"/>
      <w:u w:val="none"/>
      <w:shd w:val="clear" w:color="auto" w:fill="auto"/>
    </w:rPr>
  </w:style>
  <w:style w:type="character" w:customStyle="1" w:styleId="CharStyle125">
    <w:name w:val="Body text (9)_"/>
    <w:basedOn w:val="DefaultParagraphFont"/>
    <w:link w:val="Style124"/>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130">
    <w:name w:val="Body text (8)_"/>
    <w:basedOn w:val="DefaultParagraphFont"/>
    <w:link w:val="Style129"/>
    <w:rPr>
      <w:rFonts w:ascii="SimSun" w:eastAsia="SimSun" w:hAnsi="SimSun" w:cs="SimSun"/>
      <w:b w:val="0"/>
      <w:bCs w:val="0"/>
      <w:i w:val="0"/>
      <w:iCs w:val="0"/>
      <w:smallCaps w:val="0"/>
      <w:strike w:val="0"/>
      <w:sz w:val="20"/>
      <w:szCs w:val="20"/>
      <w:u w:val="none"/>
      <w:shd w:val="clear" w:color="auto" w:fill="auto"/>
    </w:rPr>
  </w:style>
  <w:style w:type="character" w:customStyle="1" w:styleId="CharStyle137">
    <w:name w:val="Heading #5_"/>
    <w:basedOn w:val="DefaultParagraphFont"/>
    <w:link w:val="Style136"/>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spacing w:line="410" w:lineRule="auto"/>
      <w:ind w:firstLine="400"/>
    </w:pPr>
    <w:rPr>
      <w:rFonts w:ascii="SimSun" w:eastAsia="SimSun" w:hAnsi="SimSun" w:cs="SimSun"/>
      <w:b w:val="0"/>
      <w:bCs w:val="0"/>
      <w:i w:val="0"/>
      <w:iCs w:val="0"/>
      <w:smallCaps w:val="0"/>
      <w:strike w:val="0"/>
      <w:u w:val="none"/>
      <w:shd w:val="clear" w:color="auto" w:fill="auto"/>
    </w:rPr>
  </w:style>
  <w:style w:type="paragraph" w:customStyle="1" w:styleId="Style8">
    <w:name w:val="Heading #1"/>
    <w:basedOn w:val="Normal"/>
    <w:link w:val="CharStyle9"/>
    <w:pPr>
      <w:widowControl w:val="0"/>
      <w:shd w:val="clear" w:color="auto" w:fill="auto"/>
      <w:spacing w:before="290" w:after="3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0">
    <w:name w:val="Body text (3)"/>
    <w:basedOn w:val="Normal"/>
    <w:link w:val="CharStyle11"/>
    <w:pPr>
      <w:widowControl w:val="0"/>
      <w:shd w:val="clear" w:color="auto" w:fill="auto"/>
      <w:spacing w:after="8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2">
    <w:name w:val="Table of contents"/>
    <w:basedOn w:val="Normal"/>
    <w:link w:val="CharStyle13"/>
    <w:pPr>
      <w:widowControl w:val="0"/>
      <w:shd w:val="clear" w:color="auto" w:fill="auto"/>
      <w:spacing w:after="180"/>
      <w:ind w:firstLine="500"/>
    </w:pPr>
    <w:rPr>
      <w:rFonts w:ascii="SimSun" w:eastAsia="SimSun" w:hAnsi="SimSun" w:cs="SimSun"/>
      <w:b/>
      <w:bCs/>
      <w:i w:val="0"/>
      <w:iCs w:val="0"/>
      <w:smallCaps w:val="0"/>
      <w:strike w:val="0"/>
      <w:u w:val="none"/>
      <w:shd w:val="clear" w:color="auto" w:fill="auto"/>
    </w:rPr>
  </w:style>
  <w:style w:type="paragraph" w:customStyle="1" w:styleId="Style14">
    <w:name w:val="Body text (2)"/>
    <w:basedOn w:val="Normal"/>
    <w:link w:val="CharStyle15"/>
    <w:pPr>
      <w:widowControl w:val="0"/>
      <w:shd w:val="clear" w:color="auto" w:fill="auto"/>
      <w:spacing w:after="120"/>
    </w:pPr>
    <w:rPr>
      <w:rFonts w:ascii="SimSun" w:eastAsia="SimSun" w:hAnsi="SimSun" w:cs="SimSun"/>
      <w:b w:val="0"/>
      <w:bCs w:val="0"/>
      <w:i w:val="0"/>
      <w:iCs w:val="0"/>
      <w:smallCaps w:val="0"/>
      <w:strike w:val="0"/>
      <w:sz w:val="18"/>
      <w:szCs w:val="18"/>
      <w:u w:val="none"/>
      <w:shd w:val="clear" w:color="auto" w:fill="auto"/>
    </w:rPr>
  </w:style>
  <w:style w:type="paragraph" w:customStyle="1" w:styleId="Style19">
    <w:name w:val="Heading #2"/>
    <w:basedOn w:val="Normal"/>
    <w:link w:val="CharStyle20"/>
    <w:pPr>
      <w:widowControl w:val="0"/>
      <w:shd w:val="clear" w:color="auto" w:fill="auto"/>
      <w:spacing w:after="320"/>
      <w:outlineLvl w:val="1"/>
    </w:pPr>
    <w:rPr>
      <w:rFonts w:ascii="SimSun" w:eastAsia="SimSun" w:hAnsi="SimSun" w:cs="SimSun"/>
      <w:b/>
      <w:bCs/>
      <w:i w:val="0"/>
      <w:iCs w:val="0"/>
      <w:smallCaps w:val="0"/>
      <w:strike w:val="0"/>
      <w:u w:val="none"/>
      <w:shd w:val="clear" w:color="auto" w:fill="auto"/>
    </w:rPr>
  </w:style>
  <w:style w:type="paragraph" w:customStyle="1" w:styleId="Style21">
    <w:name w:val="Table caption"/>
    <w:basedOn w:val="Normal"/>
    <w:link w:val="CharStyle22"/>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4">
    <w:name w:val="Heading #3"/>
    <w:basedOn w:val="Normal"/>
    <w:link w:val="CharStyle25"/>
    <w:pPr>
      <w:widowControl w:val="0"/>
      <w:shd w:val="clear" w:color="auto" w:fill="auto"/>
      <w:spacing w:after="34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27">
    <w:name w:val="Other (2)"/>
    <w:basedOn w:val="Normal"/>
    <w:link w:val="CharStyle28"/>
    <w:pPr>
      <w:widowControl w:val="0"/>
      <w:shd w:val="clear" w:color="auto" w:fill="auto"/>
    </w:pPr>
    <w:rPr>
      <w:rFonts w:ascii="SimHei" w:eastAsia="SimHei" w:hAnsi="SimHei" w:cs="SimHei"/>
      <w:b w:val="0"/>
      <w:bCs w:val="0"/>
      <w:i w:val="0"/>
      <w:iCs w:val="0"/>
      <w:smallCaps w:val="0"/>
      <w:strike w:val="0"/>
      <w:sz w:val="12"/>
      <w:szCs w:val="12"/>
      <w:u w:val="none"/>
      <w:shd w:val="clear" w:color="auto" w:fill="auto"/>
    </w:rPr>
  </w:style>
  <w:style w:type="paragraph" w:customStyle="1" w:styleId="Style29">
    <w:name w:val="Picture caption (2)"/>
    <w:basedOn w:val="Normal"/>
    <w:link w:val="CharStyle30"/>
    <w:pPr>
      <w:widowControl w:val="0"/>
      <w:shd w:val="clear" w:color="auto" w:fill="auto"/>
    </w:pPr>
    <w:rPr>
      <w:rFonts w:ascii="SimHei" w:eastAsia="SimHei" w:hAnsi="SimHei" w:cs="SimHei"/>
      <w:b w:val="0"/>
      <w:bCs w:val="0"/>
      <w:i w:val="0"/>
      <w:iCs w:val="0"/>
      <w:smallCaps w:val="0"/>
      <w:strike w:val="0"/>
      <w:sz w:val="12"/>
      <w:szCs w:val="12"/>
      <w:u w:val="none"/>
      <w:shd w:val="clear" w:color="auto" w:fill="auto"/>
    </w:rPr>
  </w:style>
  <w:style w:type="paragraph" w:customStyle="1" w:styleId="Style34">
    <w:name w:val="Table caption (2)"/>
    <w:basedOn w:val="Normal"/>
    <w:link w:val="CharStyle35"/>
    <w:pPr>
      <w:widowControl w:val="0"/>
      <w:shd w:val="clear" w:color="auto" w:fill="auto"/>
      <w:spacing w:line="124" w:lineRule="exact"/>
    </w:pPr>
    <w:rPr>
      <w:rFonts w:ascii="SimHei" w:eastAsia="SimHei" w:hAnsi="SimHei" w:cs="SimHei"/>
      <w:b/>
      <w:bCs/>
      <w:i w:val="0"/>
      <w:iCs w:val="0"/>
      <w:smallCaps w:val="0"/>
      <w:strike w:val="0"/>
      <w:color w:val="B4080D"/>
      <w:sz w:val="12"/>
      <w:szCs w:val="12"/>
      <w:u w:val="none"/>
      <w:shd w:val="clear" w:color="auto" w:fill="auto"/>
    </w:rPr>
  </w:style>
  <w:style w:type="paragraph" w:customStyle="1" w:styleId="Style38">
    <w:name w:val="Picture caption"/>
    <w:basedOn w:val="Normal"/>
    <w:link w:val="CharStyle39"/>
    <w:pPr>
      <w:widowControl w:val="0"/>
      <w:shd w:val="clear" w:color="auto" w:fill="auto"/>
    </w:pPr>
    <w:rPr>
      <w:rFonts w:ascii="SimSun" w:eastAsia="SimSun" w:hAnsi="SimSun" w:cs="SimSun"/>
      <w:b w:val="0"/>
      <w:bCs w:val="0"/>
      <w:i w:val="0"/>
      <w:iCs w:val="0"/>
      <w:smallCaps w:val="0"/>
      <w:strike w:val="0"/>
      <w:u w:val="none"/>
      <w:shd w:val="clear" w:color="auto" w:fill="auto"/>
    </w:rPr>
  </w:style>
  <w:style w:type="paragraph" w:styleId="Style59">
    <w:name w:val="Body text"/>
    <w:basedOn w:val="Normal"/>
    <w:link w:val="CharStyle60"/>
    <w:qFormat/>
    <w:pPr>
      <w:widowControl w:val="0"/>
      <w:shd w:val="clear" w:color="auto" w:fill="auto"/>
      <w:spacing w:line="410" w:lineRule="auto"/>
      <w:ind w:firstLine="400"/>
    </w:pPr>
    <w:rPr>
      <w:rFonts w:ascii="SimSun" w:eastAsia="SimSun" w:hAnsi="SimSun" w:cs="SimSun"/>
      <w:b w:val="0"/>
      <w:bCs w:val="0"/>
      <w:i w:val="0"/>
      <w:iCs w:val="0"/>
      <w:smallCaps w:val="0"/>
      <w:strike w:val="0"/>
      <w:u w:val="none"/>
      <w:shd w:val="clear" w:color="auto" w:fill="auto"/>
    </w:rPr>
  </w:style>
  <w:style w:type="paragraph" w:customStyle="1" w:styleId="Style102">
    <w:name w:val="Heading #4"/>
    <w:basedOn w:val="Normal"/>
    <w:link w:val="CharStyle103"/>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119">
    <w:name w:val="Body text (6)"/>
    <w:basedOn w:val="Normal"/>
    <w:link w:val="CharStyle120"/>
    <w:pPr>
      <w:widowControl w:val="0"/>
      <w:shd w:val="clear" w:color="auto" w:fill="auto"/>
      <w:spacing w:after="660"/>
      <w:jc w:val="center"/>
    </w:pPr>
    <w:rPr>
      <w:rFonts w:ascii="SimHei" w:eastAsia="SimHei" w:hAnsi="SimHei" w:cs="SimHei"/>
      <w:b w:val="0"/>
      <w:bCs w:val="0"/>
      <w:i w:val="0"/>
      <w:iCs w:val="0"/>
      <w:smallCaps w:val="0"/>
      <w:strike w:val="0"/>
      <w:color w:val="222222"/>
      <w:sz w:val="38"/>
      <w:szCs w:val="38"/>
      <w:u w:val="none"/>
      <w:shd w:val="clear" w:color="auto" w:fill="auto"/>
    </w:rPr>
  </w:style>
  <w:style w:type="paragraph" w:customStyle="1" w:styleId="Style121">
    <w:name w:val="Body text (7)"/>
    <w:basedOn w:val="Normal"/>
    <w:link w:val="CharStyle122"/>
    <w:pPr>
      <w:widowControl w:val="0"/>
      <w:shd w:val="clear" w:color="auto" w:fill="auto"/>
      <w:spacing w:after="680"/>
      <w:ind w:left="4500"/>
    </w:pPr>
    <w:rPr>
      <w:rFonts w:ascii="Arial" w:eastAsia="Arial" w:hAnsi="Arial" w:cs="Arial"/>
      <w:b w:val="0"/>
      <w:bCs w:val="0"/>
      <w:i w:val="0"/>
      <w:iCs w:val="0"/>
      <w:smallCaps w:val="0"/>
      <w:strike w:val="0"/>
      <w:color w:val="222222"/>
      <w:sz w:val="28"/>
      <w:szCs w:val="28"/>
      <w:u w:val="none"/>
      <w:shd w:val="clear" w:color="auto" w:fill="auto"/>
    </w:rPr>
  </w:style>
  <w:style w:type="paragraph" w:customStyle="1" w:styleId="Style124">
    <w:name w:val="Body text (9)"/>
    <w:basedOn w:val="Normal"/>
    <w:link w:val="CharStyle125"/>
    <w:pPr>
      <w:widowControl w:val="0"/>
      <w:shd w:val="clear" w:color="auto" w:fill="auto"/>
      <w:spacing w:after="100"/>
      <w:ind w:left="176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129">
    <w:name w:val="Body text (8)"/>
    <w:basedOn w:val="Normal"/>
    <w:link w:val="CharStyle130"/>
    <w:pPr>
      <w:widowControl w:val="0"/>
      <w:shd w:val="clear" w:color="auto" w:fill="auto"/>
      <w:spacing w:after="310"/>
    </w:pPr>
    <w:rPr>
      <w:rFonts w:ascii="SimSun" w:eastAsia="SimSun" w:hAnsi="SimSun" w:cs="SimSun"/>
      <w:b w:val="0"/>
      <w:bCs w:val="0"/>
      <w:i w:val="0"/>
      <w:iCs w:val="0"/>
      <w:smallCaps w:val="0"/>
      <w:strike w:val="0"/>
      <w:sz w:val="20"/>
      <w:szCs w:val="20"/>
      <w:u w:val="none"/>
      <w:shd w:val="clear" w:color="auto" w:fill="auto"/>
    </w:rPr>
  </w:style>
  <w:style w:type="paragraph" w:customStyle="1" w:styleId="Style136">
    <w:name w:val="Heading #5"/>
    <w:basedOn w:val="Normal"/>
    <w:link w:val="CharStyle137"/>
    <w:pPr>
      <w:widowControl w:val="0"/>
      <w:shd w:val="clear" w:color="auto" w:fill="auto"/>
      <w:spacing w:after="37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image" Target="media/image13.jpeg"/><Relationship Id="rId30" Type="http://schemas.openxmlformats.org/officeDocument/2006/relationships/image" Target="media/image13.jpeg" TargetMode="External"/><Relationship Id="rId31" Type="http://schemas.openxmlformats.org/officeDocument/2006/relationships/image" Target="media/image14.jpeg"/><Relationship Id="rId32" Type="http://schemas.openxmlformats.org/officeDocument/2006/relationships/image" Target="media/image14.jpeg" TargetMode="External"/><Relationship Id="rId33" Type="http://schemas.openxmlformats.org/officeDocument/2006/relationships/image" Target="media/image15.jpeg"/><Relationship Id="rId34" Type="http://schemas.openxmlformats.org/officeDocument/2006/relationships/image" Target="media/image15.jpeg" TargetMode="External"/><Relationship Id="rId35" Type="http://schemas.openxmlformats.org/officeDocument/2006/relationships/image" Target="media/image16.jpeg"/><Relationship Id="rId36" Type="http://schemas.openxmlformats.org/officeDocument/2006/relationships/image" Target="media/image16.jpeg" TargetMode="External"/><Relationship Id="rId37" Type="http://schemas.openxmlformats.org/officeDocument/2006/relationships/image" Target="media/image17.jpeg"/><Relationship Id="rId38" Type="http://schemas.openxmlformats.org/officeDocument/2006/relationships/image" Target="media/image17.jpeg" TargetMode="External"/><Relationship Id="rId39" Type="http://schemas.openxmlformats.org/officeDocument/2006/relationships/image" Target="media/image18.jpeg"/><Relationship Id="rId40" Type="http://schemas.openxmlformats.org/officeDocument/2006/relationships/image" Target="media/image18.jpeg" TargetMode="External"/><Relationship Id="rId41" Type="http://schemas.openxmlformats.org/officeDocument/2006/relationships/image" Target="media/image19.jpeg"/><Relationship Id="rId42" Type="http://schemas.openxmlformats.org/officeDocument/2006/relationships/image" Target="media/image19.jpeg" TargetMode="External"/><Relationship Id="rId43" Type="http://schemas.openxmlformats.org/officeDocument/2006/relationships/image" Target="media/image20.jpeg"/><Relationship Id="rId44" Type="http://schemas.openxmlformats.org/officeDocument/2006/relationships/image" Target="media/image20.jpeg" TargetMode="External"/><Relationship Id="rId45" Type="http://schemas.openxmlformats.org/officeDocument/2006/relationships/image" Target="media/image21.jpeg"/><Relationship Id="rId46" Type="http://schemas.openxmlformats.org/officeDocument/2006/relationships/image" Target="media/image21.jpeg" TargetMode="External"/><Relationship Id="rId47" Type="http://schemas.openxmlformats.org/officeDocument/2006/relationships/image" Target="media/image22.jpeg"/><Relationship Id="rId48" Type="http://schemas.openxmlformats.org/officeDocument/2006/relationships/image" Target="media/image22.jpeg" TargetMode="External"/><Relationship Id="rId49" Type="http://schemas.openxmlformats.org/officeDocument/2006/relationships/image" Target="media/image23.jpeg"/><Relationship Id="rId50" Type="http://schemas.openxmlformats.org/officeDocument/2006/relationships/image" Target="media/image23.jpeg" TargetMode="External"/><Relationship Id="rId51" Type="http://schemas.openxmlformats.org/officeDocument/2006/relationships/image" Target="media/image24.jpeg"/><Relationship Id="rId52" Type="http://schemas.openxmlformats.org/officeDocument/2006/relationships/image" Target="media/image24.jpeg" TargetMode="External"/></Relationships>
</file>

<file path=docProps/core.xml><?xml version="1.0" encoding="utf-8"?>
<cp:coreProperties xmlns:cp="http://schemas.openxmlformats.org/package/2006/metadata/core-properties" xmlns:dc="http://purl.org/dc/elements/1.1/">
  <dc:title>北京数字政通科技股份有限公司2021年年度报告全文</dc:title>
  <dc:subject/>
  <dc:creator>北京数字政通科技股份有限公司</dc:creator>
  <cp:keywords/>
</cp:coreProperties>
</file>